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sz w:val="20"/>
        </w:rPr>
      </w:pPr>
      <w:r>
        <w:rPr/>
        <w:pict>
          <v:group style="position:absolute;margin-left:-.216858pt;margin-top:-.260076pt;width:595.75pt;height:324.55pt;mso-position-horizontal-relative:page;mso-position-vertical-relative:page;z-index:-85648" coordorigin="-4,-5" coordsize="11915,6491">
            <v:rect style="position:absolute;left:566;top:566;width:10772;height:3686" filled="true" fillcolor="#71a7a1" stroked="false">
              <v:fill type="solid"/>
            </v:rect>
            <v:shape style="position:absolute;left:-5;top:-5;width:11915;height:4264" type="#_x0000_t75" stroked="false">
              <v:imagedata r:id="rId5" o:title=""/>
            </v:shape>
            <v:shape style="position:absolute;left:-5;top:3422;width:744;height:835" type="#_x0000_t75" stroked="false">
              <v:imagedata r:id="rId6" o:title=""/>
            </v:shape>
            <v:shape style="position:absolute;left:1215;top:4115;width:54;height:81" coordorigin="1215,4115" coordsize="54,81" path="m1269,4136l1267,4115,1215,4118,1217,4141,1269,4136m1269,4191l1268,4171,1216,4173,1218,4196,1269,4191e" filled="true" fillcolor="#346752" stroked="false">
              <v:path arrowok="t"/>
              <v:fill type="solid"/>
            </v:shape>
            <v:shape style="position:absolute;left:1195;top:3328;width:8772;height:2444" coordorigin="1196,3328" coordsize="8772,2444" path="m9836,736l9834,736,9832,736,9831,738,9829,738,9827,738,9826,738,9826,740,9824,740,9822,740,9822,742,9820,742,9819,743,9817,745,9815,747,9815,749,9813,750,9812,752,9812,754,9812,756,9812,757,9810,759,9810,761,9810,763m9858,789l9855,785m9812,787l9819,787m9855,789l9857,787,9858,783,9858,780,9860,776,9860,775,9860,771,9862,768,9862,764,9862,763m9890,787l9853,787m9810,763l9810,764,9810,768,9812,771,9812,775,9812,776,9813,780,9813,783,9815,785,9817,789m9862,763l9862,761,9862,759,9860,757,9860,756,9860,754,9858,752,9858,750,9857,749,9857,747,9855,745,9853,743,9851,743,9851,742,9850,742,9850,740,9848,740,9846,740,9846,738,9845,738,9843,738,9841,738,9839,736,9838,736,9836,736m9813,789l9817,785m10481,716l10479,716,10477,716,10476,718,10474,718,10472,718,10470,718,10470,720,10469,720,10467,720,10467,721,10465,721,10463,723,10462,725,10460,727,10460,728,10458,730,10456,732,10456,734,10456,735,10456,737,10455,739,10455,741,10455,742m10503,768l10500,765m10456,767l10463,767m10500,768l10502,767,10503,763,10503,760,10505,756,10505,754,10505,751,10507,747,10507,744,10507,742m10534,767l10498,767m10455,742l10455,744,10455,747,10456,751,10456,754,10456,756,10458,760,10458,763,10460,765,10462,768m10507,742l10507,741,10507,739,10505,737,10505,735,10505,734,10503,732,10503,730,10502,728,10502,727,10500,725,10498,723,10496,723,10496,721,10495,721,10495,720,10493,720,10491,720,10491,718,10489,718,10488,718,10486,718,10484,716,10482,716,10481,716m10458,768l10462,765m10161,836l10137,896m10182,896l10160,836m10165,840l10156,840m10142,892l10135,892m10139,894l10137,890m10210,892l10177,892m9827,425l9802,484m9847,484l9825,425m9830,428l9822,428m9808,480l9801,480m9804,482l9802,479m9875,480l9842,480m10455,411l10431,470m10476,470l10454,411m10459,414l10450,414m10436,466l10429,466m10433,468l10431,465m10504,466l10471,466m10167,220l10142,279m10187,279l10165,220m10170,223l10161,223m10148,275l10141,275m10144,277l10142,274m10215,275l10182,275m9509,221l9485,280m9530,280l9507,221m9512,224l9504,224m9490,277l9483,277m9486,278l9485,275m9557,277l9524,277m9835,100l9833,100,9831,100,9830,102,9828,102,9826,102,9824,102,9824,104,9823,104,9821,104,9821,106,9819,106,9818,107,9816,109,9814,111,9814,113,9812,114,9811,116,9811,118,9811,120,9811,121,9809,123,9809,125,9809,127m9857,153l9854,149m9811,151l9818,151m9854,153l9856,151,9857,147,9857,144,9859,140,9859,139,9859,135,9861,132,9861,128,9861,127m9889,151l9852,151m9809,127l9809,128,9809,132,9811,135,9811,139,9811,140,9812,144,9812,147,9814,149,9816,153m9861,127l9861,125,9861,123,9859,121,9859,120,9859,118,9857,116,9857,114,9856,113,9856,111,9854,109,9852,107,9850,107,9850,106,9849,106,9849,104,9847,104,9845,104,9845,102,9843,102,9842,102,9840,102,9838,100,9837,100,9835,100m9812,153l9816,149m10082,496l10080,496,10078,496,10077,498,10075,498,10073,498,10071,498,10071,499,10070,499,10068,499,10068,501,10066,501,10064,503,10063,505,10061,506,10061,508,10059,510,10057,512,10057,513,10057,515,10057,517,10056,519,10056,520,10056,522m10104,548l10101,545m10057,546l10064,546m10101,548l10103,546,10104,543,10104,539,10106,536,10106,534,10106,531,10108,527,10108,524,10108,522m10136,546l10099,546m10056,522l10056,524,10056,527,10057,531,10057,534,10057,536,10059,539,10059,543,10061,545,10063,548m10108,522l10108,520,10108,519,10106,517,10106,515,10106,513,10104,512,10104,510,10103,508,10103,506,10101,505,10099,503,10097,503,10097,501,10096,501,10096,499,10094,499,10092,499,10092,498,10090,498,10089,498,10087,498,10085,496,10084,496,10082,496m10059,548l10063,545m10506,99l10504,99,10502,99,10500,101,10499,101,10497,101,10495,101,10495,103,10494,103,10492,103,10492,105,10490,105,10488,106,10487,108,10485,110,10485,112,10483,113,10481,115,10481,117,10481,119,10481,120,10480,122,10480,124,10480,125m10528,152l10525,148m10481,150l10488,150m10525,152l10526,150,10528,146,10528,143,10530,139,10530,138,10530,134,10532,131,10532,127,10532,126m10559,150l10523,150m10480,126l10480,127,10480,131,10481,134,10481,138,10481,139,10483,143,10483,146,10485,148,10487,152m10532,126l10532,124,10532,122,10530,120,10530,119,10530,117,10528,115,10528,113,10526,112,10526,110,10525,108,10523,106,10521,106,10521,105,10519,105,10519,103,10518,103,10516,103,10516,101,10514,101,10513,101,10511,101,10509,99,10507,99,10506,99m10483,152l10487,148m1803,235l1801,235,1799,235,1798,237,1796,237,1794,237,1792,237,1792,239,1791,239,1789,239,1789,241,1787,241,1786,242,1784,244,1782,246,1782,248,1780,249,1779,251,1779,253,1779,255,1779,256,1777,258,1777,260,1777,262m1825,288l1822,284m1779,286l1786,286m1822,288l1824,286,1825,282,1825,279,1827,275,1827,274,1827,270,1829,267,1829,263,1829,262m1857,286l1820,286m1777,262l1777,263,1777,267,1779,270,1779,274,1779,275,1780,279,1780,283,1782,284,1784,288m1829,262l1829,260,1829,258,1827,256,1827,255,1827,253,1825,251,1825,249,1824,248,1824,246,1822,244,1820,242,1818,242,1818,241,1817,241,1817,239,1815,239,1813,239,1813,237,1811,237,1810,237,1808,237,1806,235,1805,235,1803,235m1780,288l1784,284m2584,137l2582,137,2580,137,2578,139,2577,139,2575,139,2573,139,2573,140,2571,140,2570,140,2570,142,2568,142,2566,144,2564,146,2563,147,2563,149,2561,151,2559,153,2559,154,2559,156,2559,158,2558,160,2558,161,2558,163m2606,189l2603,186m2559,187l2566,187m2603,189l2604,187,2606,184,2606,180,2608,177,2608,175,2608,172,2610,168,2610,165,2610,163m2637,187l2601,187m2558,163l2558,165,2558,168,2559,172,2559,175,2559,177,2561,180,2561,184,2563,186,2564,189m2610,163l2610,161,2610,160,2608,158,2608,156,2608,154,2606,153,2606,151,2604,149,2604,147,2603,146,2601,144,2599,144,2599,142,2597,142,2597,140,2596,140,2594,140,2594,139,2592,139,2590,139,2589,139,2587,137,2585,137,2584,137m2561,189l2564,186m3271,727l3270,727,3268,727,3266,728,3265,728,3263,728,3261,728,3261,730,3259,730,3258,730,3258,732,3256,732,3254,734,3252,735,3251,737,3251,739,3249,741,3247,742,3247,744,3247,746,3247,748,3245,749,3245,751,3245,753m3294,779l3291,776m3247,777l3254,777m3291,779l3292,777,3294,774,3294,770,3296,767,3296,765,3296,762,3297,758,3297,755,3297,753m3325,777l3289,777m3245,753l3245,755,3245,758,3247,762,3247,765,3247,767,3249,770,3249,774,3251,776,3252,779m3297,753l3297,751,3297,749,3296,748,3296,746,3296,744,3294,742,3294,741,3292,739,3292,737,3291,735,3289,734,3287,734,3287,732,3285,732,3285,730,3284,730,3282,730,3282,728,3280,728,3278,728,3277,728,3275,727,3273,727,3271,727m3249,779l3252,776m2615,1357l2613,1357,2611,1357,2610,1359,2608,1359,2606,1359,2604,1359,2604,1361,2603,1361,2601,1361,2601,1363,2599,1363,2598,1364,2596,1366,2594,1368,2594,1370,2592,1371,2590,1373,2590,1375,2590,1377,2590,1378,2589,1380,2589,1382,2589,1383m2637,1410l2634,1406m2590,1408l2598,1408m2634,1410l2636,1408,2637,1404,2637,1401,2639,1397,2639,1396,2639,1392,2641,1389,2641,1385,2641,1383m2669,1408l2632,1408m2589,1383l2589,1385,2589,1389,2590,1392,2590,1396,2590,1397,2592,1401,2592,1404,2594,1406,2596,1410m2641,1383l2641,1382,2641,1380,2639,1378,2639,1377,2639,1375,2637,1373,2637,1371,2636,1370,2636,1368,2634,1366,2632,1364,2630,1364,2630,1363,2629,1363,2629,1361,2627,1361,2625,1361,2625,1359,2623,1359,2622,1359,2620,1359,2618,1357,2617,1357,2615,1357m2592,1410l2596,1406m1779,1251l1777,1251,1775,1251,1774,1253,1772,1253,1770,1253,1768,1253,1768,1255,1767,1255,1765,1255,1765,1257,1763,1257,1761,1258,1760,1260,1758,1262,1758,1264,1756,1265,1754,1267,1754,1269,1754,1271,1754,1272,1753,1274,1753,1276,1753,1278m1801,1304l1798,1300m1754,1302l1761,1302m1798,1304l1800,1302,1801,1298,1801,1295,1803,1291,1803,1290,1803,1286,1805,1283,1805,1279,1805,1278m1832,1302l1796,1302m1753,1278l1753,1279,1753,1283,1754,1286,1754,1290,1754,1291,1756,1295,1756,1298,1758,1300,1760,1304m1805,1278l1805,1276,1805,1274,1803,1272,1803,1271,1803,1269,1801,1267,1801,1265,1800,1264,1800,1262,1798,1260,1796,1258,1794,1258,1794,1257,1793,1257,1793,1255,1791,1255,1789,1255,1789,1253,1787,1253,1786,1253,1784,1253,1782,1251,1780,1251,1779,1251m1756,1304l1760,1300m2314,1867l2313,1867,2311,1867,2309,1869,2307,1869,2306,1869,2304,1869,2304,1871,2302,1871,2300,1871,2300,1873,2299,1873,2297,1874,2295,1876,2294,1878,2294,1880,2292,1881,2290,1883,2290,1885,2290,1887,2290,1888,2288,1890,2288,1892,2288,1893m2337,1920l2333,1916m2290,1918l2297,1918m2333,1920l2335,1918,2337,1914,2337,1911,2339,1907,2339,1906,2339,1902,2340,1899,2340,1895,2340,1893m2368,1918l2332,1918m2288,1893l2288,1895,2288,1899,2290,1902,2290,1906,2290,1907,2292,1911,2292,1914,2294,1916,2295,1920m2340,1893l2340,1892,2340,1890,2339,1888,2339,1887,2339,1885,2337,1883,2337,1881,2335,1880,2335,1878,2333,1876,2332,1874,2330,1874,2330,1873,2328,1873,2328,1871,2326,1871,2325,1871,2325,1869,2323,1869,2321,1869,2320,1869,2318,1867,2316,1867,2314,1867m2292,1920l2295,1916m2972,1977l2971,1977,2969,1977,2967,1979,2965,1979,2964,1979,2962,1979,2962,1980,2960,1980,2959,1980,2959,1982,2957,1982,2955,1984,2953,1985,2951,1987,2951,1989,2950,1991,2948,1993,2948,1994,2948,1996,2948,1998,2946,1999,2946,2001,2946,2003m2995,2029l2991,2026m2948,2027l2955,2027m2991,2029l2993,2027,2995,2024,2995,2020,2997,2017,2997,2015,2997,2012,2998,2008,2998,2005,2998,2003m3026,2027l2990,2027m2946,2003l2946,2005,2946,2008,2948,2012,2948,2015,2948,2017,2950,2020,2950,2024,2951,2026,2953,2029m2998,2003l2998,2001,2998,1999,2997,1998,2997,1996,2997,1994,2995,1993,2995,1991,2993,1989,2993,1987,2991,1985,2990,1984,2988,1984,2988,1982,2986,1982,2986,1980,2984,1980,2983,1980,2983,1979,2981,1979,2979,1979,2978,1979,2976,1977,2974,1977,2972,1977m2950,2029l2953,2026m2959,1578l2957,1578,2955,1578,2953,1579,2952,1579,2950,1579,2948,1579,2948,1581,2946,1581,2945,1581,2945,1583,2943,1583,2941,1585,2940,1586,2938,1588,2938,1590,2936,1592,2934,1593,2934,1595,2934,1597,2934,1599,2933,1600,2933,1602,2933,1604m2981,1630l2978,1626m2934,1628l2941,1628m2978,1630l2979,1628,2981,1625,2981,1621,2983,1618,2983,1616,2983,1612,2985,1609,2985,1605,2985,1604m3012,1628l2976,1628m2933,1604l2933,1605,2933,1609,2934,1612,2934,1616,2934,1618,2936,1621,2936,1625,2938,1626,2940,1630m2985,1604l2985,1602,2985,1600,2983,1599,2983,1597,2983,1595,2981,1593,2981,1592,2979,1590,2979,1588,2978,1586,2976,1585,2974,1585,2974,1583,2972,1583,2972,1581,2971,1581,2969,1581,2969,1579,2967,1579,2966,1579,2964,1579,2962,1578,2960,1578,2959,1578m2936,1630l2940,1626m804,1341l802,1341,800,1341,798,1342,797,1342,795,1342,793,1342,793,1344,791,1344,790,1344,790,1346,788,1346,786,1347,784,1349,783,1351,783,1353,781,1355,779,1356,779,1358,779,1360,779,1361,777,1363,777,1365,777,1367m826,1393l823,1389m779,1391l786,1391m823,1393l824,1391,826,1388,826,1384,828,1381,828,1379,828,1375,830,1372,830,1368,830,1367m857,1391l821,1391m777,1367l777,1368,777,1372,779,1375,779,1379,779,1381,781,1384,781,1388,783,1389,784,1393m830,1367l830,1365,830,1363,828,1361,828,1360,828,1358,826,1356,826,1355,824,1353,824,1351,823,1349,821,1347,819,1347,819,1346,817,1346,817,1344,816,1344,814,1344,814,1342,812,1342,810,1342,809,1342,807,1341,805,1341,804,1341m781,1393l784,1389m312,1718l310,1718,308,1718,307,1719,305,1719,303,1719,301,1719,301,1721,300,1721,298,1721,298,1723,296,1723,294,1725,293,1726,291,1728,291,1730,289,1732,287,1733,287,1735,287,1737,287,1739,286,1740,286,1742,286,1744m334,1770l331,1766m287,1768l294,1768m331,1770l333,1768,334,1765,334,1761,336,1758,336,1756,336,1752,338,1749,338,1746,338,1744m365,1768l329,1768m286,1744l286,1746,286,1749,287,1752,287,1756,287,1758,289,1761,289,1765,291,1766,293,1770m338,1744l338,1742,338,1740,336,1739,336,1737,336,1735,334,1733,334,1732,333,1730,333,1728,331,1726,329,1725,327,1725,327,1723,325,1723,325,1721,324,1721,322,1721,322,1719,320,1719,319,1719,317,1719,315,1718,313,1718,312,1718m289,1770l293,1766m37,2241l35,2241,34,2241,32,2242,30,2242,28,2242,27,2242,27,2244,25,2244,23,2244,23,2246,22,2246,20,2248,18,2249,16,2251,16,2253,15,2255,13,2256,13,2258,13,2260,13,2262,11,2263,11,2265,11,2267m60,2293l56,2289m13,2291l20,2291m56,2293l58,2291,60,2288,60,2284,61,2281,61,2279,61,2275,63,2272,63,2269,63,2267m91,2291l54,2291m11,2267l11,2269,11,2272,13,2275,13,2279,13,2281,15,2284,15,2288,16,2289,18,2293m63,2267l63,2265,63,2263,61,2262,61,2260,61,2258,60,2256,60,2255,58,2253,58,2251,56,2249,54,2248,53,2248,53,2246,51,2246,51,2244,49,2244,48,2244,48,2242,46,2242,44,2242,42,2242,41,2241,39,2241,37,2241m15,2293l18,2289m229,2899l228,2899,226,2899,224,2901,223,2901,221,2901,219,2901,219,2903,217,2903,216,2903,216,2904,214,2904,212,2906,210,2908,209,2910,209,2911,207,2913,205,2915,205,2917,205,2918,205,2920,203,2922,203,2924,203,2925m252,2951l248,2948m205,2950l212,2950m249,2951l250,2950,252,2946,252,2943,254,2939,254,2937,254,2934,255,2931,255,2927,255,2925m283,2950l247,2950m203,2925l203,2927,203,2931,205,2934,205,2937,205,2939,207,2943,207,2946,209,2948,210,2951m255,2925l255,2924,255,2922,254,2920,254,2918,254,2917,252,2915,252,2913,250,2911,250,2910,249,2908,247,2906,245,2906,245,2904,243,2904,243,2903,242,2903,240,2903,240,2901,238,2901,236,2901,235,2901,233,2899,231,2899,229,2899m207,2951l210,2948m656,2185l654,2185,653,2185,651,2186,649,2186,647,2186,646,2186,646,2188,644,2188,642,2188,642,2190,640,2190,639,2191,637,2193,635,2195,635,2197,633,2199,632,2200,632,2202,632,2204,632,2205,630,2207,630,2209,630,2211m679,2237l675,2233m632,2235l639,2235m675,2237l677,2235,679,2232,679,2228,680,2224,680,2223,680,2219,682,2216,682,2212,682,2211m710,2235l673,2235m630,2211l630,2212,630,2216,632,2219,632,2223,632,2224,633,2228,633,2232,635,2233,637,2237m682,2211l682,2209,682,2207,680,2205,680,2204,680,2202,678,2200,678,2199,677,2197,677,2195,675,2193,673,2191,672,2191,672,2190,670,2190,670,2188,668,2188,666,2188,666,2186,665,2186,663,2186,661,2186,659,2185,658,2185,656,2185m633,2237l637,2233m1229,1801l1227,1801,1225,1801,1224,1802,1222,1802,1220,1802,1218,1802,1218,1804,1217,1804,1215,1804,1215,1806,1213,1806,1211,1808,1210,1809,1208,1811,1208,1813,1206,1815,1204,1817,1204,1818,1204,1820,1204,1822,1203,1823,1203,1825,1203,1827m1251,1853l1248,1850m1204,1851l1212,1851m1248,1853l1250,1851,1251,1848,1251,1844,1253,1841,1253,1839,1253,1836,1255,1832,1255,1829,1255,1827m1283,1851l1246,1851m1203,1827l1203,1829,1203,1832,1204,1836,1204,1839,1204,1841,1206,1844,1206,1848,1208,1850,1210,1853m1255,1827l1255,1825,1255,1823,1253,1822,1253,1820,1253,1818,1251,1817,1251,1815,1250,1813,1250,1811,1248,1809,1246,1808,1244,1808,1244,1806,1243,1806,1243,1804,1241,1804,1239,1804,1239,1802,1237,1802,1236,1802,1234,1802,1232,1801,1230,1801,1229,1801m1206,1853l1210,1850m1696,2183l1694,2183,1693,2183,1691,2185,1689,2185,1687,2185,1686,2185,1686,2187,1684,2187,1682,2187,1682,2188,1680,2188,1679,2190,1677,2192,1675,2194,1675,2195,1673,2197,1672,2199,1672,2201,1672,2202,1672,2204,1670,2206,1670,2207,1670,2209m1719,2235l1715,2232m1672,2234l1679,2234m1715,2235l1717,2234,1719,2230,1719,2227,1720,2223,1720,2221,1720,2218,1722,2214,1722,2211,1722,2209m1750,2234l1713,2234m1670,2209l1670,2211,1670,2214,1672,2218,1672,2221,1672,2223,1674,2227,1674,2230,1675,2232,1677,2235m1722,2209l1722,2207,1722,2206,1720,2204,1720,2202,1720,2201,1719,2199,1719,2197,1717,2195,1717,2194,1715,2192,1713,2190,1712,2190,1712,2188,1710,2188,1710,2187,1708,2187,1706,2187,1706,2185,1705,2185,1703,2185,1701,2185,1699,2183,1698,2183,1696,2183m1674,2235l1677,2232m2014,2650l2013,2650,2011,2650,2009,2652,2007,2652,2006,2652,2004,2652,2004,2653,2002,2653,2001,2653,2001,2655,1999,2655,1997,2657,1995,2659,1994,2660,1994,2662,1992,2664,1990,2666,1990,2667,1990,2669,1990,2671,1988,2673,1988,2674,1988,2676m2037,2702l2033,2699m1990,2700l1997,2700m2033,2702l2035,2700,2037,2697,2037,2693,2039,2690,2039,2688,2039,2685,2040,2681,2040,2678,2040,2676m2068,2700l2032,2700m1988,2676l1988,2678,1988,2681,1990,2685,1990,2688,1990,2690,1992,2693,1992,2697,1994,2699,1995,2702m2040,2676l2040,2674,2040,2673,2039,2671,2039,2669,2039,2667,2037,2666,2037,2664,2035,2662,2035,2660,2033,2659,2032,2657,2030,2657,2030,2655,2028,2655,2028,2653,2026,2653,2025,2653,2025,2652,2023,2652,2021,2652,2020,2652,2018,2650,2016,2650,2014,2650m1992,2702l1995,2699m1601,1592l1599,1592,1598,1592,1596,1594,1594,1594,1592,1594,1591,1594,1591,1596,1589,1596,1587,1596,1587,1598,1586,1598,1584,1599,1582,1601,1580,1603,1580,1605,1578,1606,1577,1608,1577,1610,1577,1612,1577,1613,1575,1615,1575,1617,1575,1619m1624,1645l1620,1641m1577,1643l1584,1643m1620,1645l1622,1643,1624,1639,1624,1636,1625,1632,1625,1631,1625,1627,1627,1624,1627,1620,1627,1619m1655,1643l1618,1643m1575,1619l1575,1620,1575,1624,1577,1627,1577,1631,1577,1632,1579,1636,1579,1639,1580,1641,1582,1645m1627,1619l1627,1617,1627,1615,1625,1613,1625,1612,1625,1610,1624,1608,1624,1606,1622,1605,1622,1603,1620,1601,1619,1599,1617,1599,1617,1598,1615,1598,1615,1596,1613,1596,1611,1596,1611,1594,1610,1594,1608,1594,1606,1594,1604,1592,1603,1592,1601,1592m1579,1645l1582,1641m1726,0l1714,28m1759,28l1749,0m1720,25l1713,25m1716,27l1714,23m1787,25l1754,25m2083,177l2058,236m2103,236l2081,176m2086,180l2077,180m2063,232l2056,232m2060,234l2058,230m2131,232l2098,232m2575,422l2551,482m2596,482l2574,422m2579,426l2570,426m2556,478l2549,478m2553,480l2551,476m2624,478l2591,478m2055,1371l2031,1430m2076,1430l2054,1371m2059,1374l2050,1374m2036,1427l2029,1427m2033,1428l2031,1425m2104,1427l2071,1427m2289,1273l2264,1332m2309,1332l2287,1273m2292,1277l2283,1277m2269,1329l2263,1329m2266,1331l2264,1327m2337,1329l2304,1329m2318,1575l2294,1634m2339,1634l2316,1575m2322,1579l2313,1579m2299,1631l2292,1631m2296,1632l2294,1629m2367,1631l2334,1631m2607,1672l2582,1731m2627,1731l2605,1672m2610,1676l2602,1676m2588,1728l2581,1728m2584,1729l2582,1726m2655,1728l2622,1728m2484,2081l2460,2140m2505,2140l2483,2081m2488,2085l2479,2085m2465,2137l2458,2137m2462,2139l2460,2135m2533,2137l2500,2137m2907,1246l2883,1305m2928,1305l2906,1246m2911,1250l2902,1250m2888,1302l2881,1302m2885,1304l2883,1300m2956,1302l2923,1302m2932,656l2908,715m2953,715l2930,656m2936,659l2927,659m2913,711l2906,711m2910,713l2908,710m2981,711l2948,711m28,1948l4,2008m49,2008l26,1948m31,1952l23,1952m9,2004l2,2004m5,2006l4,2002m76,2004l44,2004m29,2581l5,2640m50,2640l27,2581m33,2585l24,2585m10,2637l3,2637m7,2639l5,2635m78,2637l45,2637m291,2045l266,2104m311,2104l289,2045m294,2049l286,2049m272,2101l265,2101m268,2103l266,2099m339,2101l306,2101m342,2454l318,2513m363,2513l341,2454m346,2458l337,2458m323,2510l316,2510m320,2512l318,2508m391,2510l358,2510m575,1590l551,1650m596,1650l573,1590m578,1594l570,1594m556,1646l549,1646m552,1648l551,1644m623,1646l591,1646m605,1934l580,1994m625,1994l603,1934m608,1938l600,1938m586,1990l579,1990m582,1992l581,1988m653,1990l620,1990m919,1700l894,1760m939,1760l917,1700m922,1704l913,1704m899,1756l893,1756m896,1758l894,1754m967,1756l934,1756m919,1976l895,2035m940,2035l917,1976m923,1980l914,1980m900,2032l893,2032m897,2034l895,2030m968,2032l935,2032m978,2347l954,2406m999,2406l976,2347m981,2351l973,2351m959,2403l952,2403m955,2405l954,2401m1026,2403l993,2403m1289,2125l1264,2184m1310,2184l1287,2125m1292,2129l1284,2129m1270,2181l1263,2181m1266,2183l1264,2179m1337,2181l1304,2181m1551,1891l1527,1950m1572,1950l1549,1891m1554,1894l1546,1894m1532,1947l1525,1947m1528,1948l1527,1945m1599,1947l1566,1947m1718,2813l1693,2872m1738,2872l1716,2813m1721,2816l1712,2816m1699,2868l1692,2868m1695,2870l1693,2866m1766,2868l1733,2868m1908,2316l1884,2375m1929,2375l1906,2316m1911,2319l1903,2319m1889,2371l1882,2371m1885,2373l1884,2370m1956,2371l1924,2371m1327,2430l1325,2430,1324,2430,1322,2432,1320,2432,1318,2432,1317,2432,1317,2434,1315,2434,1313,2434,1313,2436,1312,2436,1310,2437,1308,2439,1306,2441,1306,2443,1305,2444,1303,2446,1303,2448,1303,2450,1303,2451,1301,2453,1301,2455,1301,2456m1350,2483l1346,2479m1303,2481l1310,2481m1346,2483l1348,2481,1350,2477,1350,2474,1351,2470,1351,2469,1351,2465,1353,2462,1353,2458,1353,2456m1381,2481l1344,2481m1301,2456l1301,2458,1301,2462,1303,2465,1303,2469,1303,2470,1305,2474,1305,2477,1306,2479,1308,2483m1353,2456l1353,2455,1353,2453,1351,2451,1351,2450,1351,2448,1350,2446,1350,2444,1348,2443,1348,2441,1346,2439,1344,2437,1343,2437,1343,2436,1341,2436,1341,2434,1339,2434,1338,2434,1338,2432,1336,2432,1334,2432,1332,2432,1331,2430,1329,2430,1327,2430m1305,2483l1308,2479m1257,1457l1256,1457,1254,1457,1252,1458,1250,1458,1249,1458,1247,1458,1247,1460,1245,1460,1244,1460,1244,1462,1242,1462,1240,1464,1238,1465,1237,1467,1237,1469,1235,1471,1233,1472,1233,1474,1233,1476,1233,1478,1231,1479,1231,1481,1231,1483m1280,1509l1276,1505m1233,1507l1240,1507m1276,1509l1278,1507,1280,1504,1280,1500,1282,1497,1282,1495,1282,1491,1283,1488,1283,1484,1283,1483m1311,1507l1275,1507m1231,1483l1231,1484,1231,1488,1233,1491,1233,1495,1233,1497,1235,1500,1235,1504,1237,1505,1238,1509m1283,1483l1283,1481,1283,1479,1282,1478,1282,1476,1282,1474,1280,1472,1280,1471,1278,1469,1278,1467,1277,1465,1275,1464,1273,1464,1273,1462,1271,1462,1271,1460,1269,1460,1268,1460,1268,1458,1266,1458,1264,1458,1263,1458,1261,1457,1259,1457,1257,1457m1235,1509l1238,1505m3010,969l2986,1028m3031,1028l3008,969m3014,973l3005,973m2991,1025l2984,1025m2987,1027l2986,1023m3059,1025l3026,1025e" filled="false" stroked="true" strokeweight=".520824pt" strokecolor="#346752">
              <v:path arrowok="t"/>
              <v:stroke dashstyle="solid"/>
            </v:shape>
            <v:shape style="position:absolute;left:0;top:4251;width:11906;height:2234" type="#_x0000_t75" stroked="false">
              <v:imagedata r:id="rId7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ind w:left="6910"/>
        <w:rPr>
          <w:sz w:val="20"/>
        </w:rPr>
      </w:pPr>
      <w:r>
        <w:rPr>
          <w:sz w:val="20"/>
        </w:rPr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width:198.45pt;height:28.35pt;mso-position-horizontal-relative:char;mso-position-vertical-relative:line" type="#_x0000_t202" filled="true" fillcolor="#294947" stroked="false">
            <w10:anchorlock/>
            <v:textbox inset="0,0,0,0">
              <w:txbxContent>
                <w:p>
                  <w:pPr>
                    <w:spacing w:before="137"/>
                    <w:ind w:left="188" w:right="0" w:firstLine="0"/>
                    <w:jc w:val="left"/>
                    <w:rPr>
                      <w:rFonts w:ascii="Arial"/>
                      <w:b/>
                      <w:sz w:val="26"/>
                    </w:rPr>
                  </w:pPr>
                  <w:r>
                    <w:rPr>
                      <w:rFonts w:ascii="Arial"/>
                      <w:b/>
                      <w:color w:val="FFFFFF"/>
                      <w:sz w:val="26"/>
                    </w:rPr>
                    <w:t>TECHNICAL REPORT NO. 16</w:t>
                  </w:r>
                </w:p>
              </w:txbxContent>
            </v:textbox>
            <v:fill type="solid"/>
          </v:shape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1"/>
        </w:rPr>
      </w:pPr>
      <w:r>
        <w:rPr/>
        <w:pict>
          <v:shape style="position:absolute;margin-left:28.346001pt;margin-top:13.441859pt;width:538.6pt;height:412.75pt;mso-position-horizontal-relative:page;mso-position-vertical-relative:paragraph;z-index:-1000;mso-wrap-distance-left:0;mso-wrap-distance-right:0" type="#_x0000_t202" filled="true" fillcolor="#71a7a1" stroked="false">
            <v:textbox inset="0,0,0,0">
              <w:txbxContent>
                <w:p>
                  <w:pPr>
                    <w:pStyle w:val="BodyText"/>
                    <w:rPr>
                      <w:sz w:val="56"/>
                    </w:rPr>
                  </w:pPr>
                </w:p>
                <w:p>
                  <w:pPr>
                    <w:pStyle w:val="BodyText"/>
                    <w:rPr>
                      <w:sz w:val="56"/>
                    </w:rPr>
                  </w:pPr>
                </w:p>
                <w:p>
                  <w:pPr>
                    <w:pStyle w:val="BodyText"/>
                    <w:rPr>
                      <w:sz w:val="56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sz w:val="46"/>
                    </w:rPr>
                  </w:pPr>
                </w:p>
                <w:p>
                  <w:pPr>
                    <w:spacing w:line="278" w:lineRule="auto" w:before="0"/>
                    <w:ind w:left="1133" w:right="3606" w:firstLine="0"/>
                    <w:jc w:val="left"/>
                    <w:rPr>
                      <w:rFonts w:ascii="Arial" w:hAnsi="Arial"/>
                      <w:b/>
                      <w:sz w:val="45"/>
                    </w:rPr>
                  </w:pPr>
                  <w:r>
                    <w:rPr>
                      <w:rFonts w:ascii="Arial" w:hAnsi="Arial"/>
                      <w:b/>
                      <w:color w:val="FFFFFF"/>
                      <w:sz w:val="45"/>
                    </w:rPr>
                    <w:t>Metode til fremskrivning af oversvømmelsesomfang ved stormflod</w:t>
                  </w:r>
                </w:p>
                <w:p>
                  <w:pPr>
                    <w:spacing w:line="273" w:lineRule="auto" w:before="139"/>
                    <w:ind w:left="1133" w:right="2517" w:firstLine="0"/>
                    <w:jc w:val="left"/>
                    <w:rPr>
                      <w:rFonts w:ascii="Arial" w:hAnsi="Arial"/>
                      <w:sz w:val="22"/>
                    </w:rPr>
                  </w:pPr>
                  <w:r>
                    <w:rPr>
                      <w:rFonts w:ascii="Arial" w:hAnsi="Arial"/>
                      <w:color w:val="FFFFFF"/>
                      <w:sz w:val="22"/>
                    </w:rPr>
                    <w:t>Karsten Vognsen, Ian B. Sonne, Niels H. Broge (Geodatastyrelsen), Carlo S. Sørensen (Kystdirektoratet), Per Knudsen (DTU-Space)</w:t>
                  </w:r>
                </w:p>
              </w:txbxContent>
            </v:textbox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">
            <wp:simplePos x="0" y="0"/>
            <wp:positionH relativeFrom="page">
              <wp:posOffset>359994</wp:posOffset>
            </wp:positionH>
            <wp:positionV relativeFrom="paragraph">
              <wp:posOffset>5592271</wp:posOffset>
            </wp:positionV>
            <wp:extent cx="1047750" cy="453390"/>
            <wp:effectExtent l="0" t="0" r="0" b="0"/>
            <wp:wrapTopAndBottom/>
            <wp:docPr id="1" name="image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750" cy="453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">
            <wp:simplePos x="0" y="0"/>
            <wp:positionH relativeFrom="page">
              <wp:posOffset>2296325</wp:posOffset>
            </wp:positionH>
            <wp:positionV relativeFrom="paragraph">
              <wp:posOffset>5592258</wp:posOffset>
            </wp:positionV>
            <wp:extent cx="1737360" cy="463295"/>
            <wp:effectExtent l="0" t="0" r="0" b="0"/>
            <wp:wrapTopAndBottom/>
            <wp:docPr id="3" name="image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7360" cy="463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">
            <wp:simplePos x="0" y="0"/>
            <wp:positionH relativeFrom="page">
              <wp:posOffset>4906162</wp:posOffset>
            </wp:positionH>
            <wp:positionV relativeFrom="paragraph">
              <wp:posOffset>5592253</wp:posOffset>
            </wp:positionV>
            <wp:extent cx="2244089" cy="457866"/>
            <wp:effectExtent l="0" t="0" r="0" b="0"/>
            <wp:wrapTopAndBottom/>
            <wp:docPr id="5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4089" cy="457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0" w:bottom="280" w:left="46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5"/>
        </w:rPr>
      </w:pPr>
    </w:p>
    <w:p>
      <w:pPr>
        <w:pStyle w:val="BodyText"/>
        <w:spacing w:line="20" w:lineRule="exact"/>
        <w:ind w:left="669"/>
        <w:rPr>
          <w:sz w:val="2"/>
        </w:rPr>
      </w:pPr>
      <w:r>
        <w:rPr>
          <w:sz w:val="2"/>
        </w:rPr>
        <w:pict>
          <v:group style="width:481.9pt;height:.4pt;mso-position-horizontal-relative:char;mso-position-vertical-relative:line" coordorigin="0,0" coordsize="9638,8">
            <v:line style="position:absolute" from="0,4" to="9638,4" stroked="true" strokeweight=".398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2"/>
        <w:rPr>
          <w:sz w:val="16"/>
        </w:rPr>
      </w:pPr>
    </w:p>
    <w:p>
      <w:pPr>
        <w:spacing w:line="302" w:lineRule="auto" w:before="104"/>
        <w:ind w:left="673" w:right="4742" w:firstLine="0"/>
        <w:jc w:val="left"/>
        <w:rPr>
          <w:rFonts w:ascii="Arial" w:hAnsi="Arial"/>
          <w:sz w:val="20"/>
        </w:rPr>
      </w:pPr>
      <w:r>
        <w:rPr>
          <w:rFonts w:ascii="Arial" w:hAnsi="Arial"/>
          <w:sz w:val="20"/>
        </w:rPr>
        <w:t>Karsten Vognsen, Ian B. Sonne, Niels H. Broge (Geodatastyrelsen), Carlo S. Sørensen (Kystdirektoratet), Per Knudsen (DTU-Space)</w:t>
      </w:r>
    </w:p>
    <w:p>
      <w:pPr>
        <w:pStyle w:val="BodyText"/>
        <w:spacing w:before="5"/>
        <w:rPr>
          <w:rFonts w:ascii="Arial"/>
          <w:sz w:val="27"/>
        </w:rPr>
      </w:pPr>
    </w:p>
    <w:p>
      <w:pPr>
        <w:spacing w:before="0"/>
        <w:ind w:left="673" w:right="0" w:firstLine="0"/>
        <w:jc w:val="left"/>
        <w:rPr>
          <w:rFonts w:ascii="Arial" w:hAnsi="Arial"/>
          <w:i/>
          <w:sz w:val="20"/>
        </w:rPr>
      </w:pPr>
      <w:r>
        <w:rPr>
          <w:rFonts w:ascii="Arial" w:hAnsi="Arial"/>
          <w:i/>
          <w:sz w:val="20"/>
        </w:rPr>
        <w:t>Metode til fremskrivning af oversvømmelsesomfang ved stormflod</w:t>
      </w:r>
    </w:p>
    <w:p>
      <w:pPr>
        <w:pStyle w:val="BodyText"/>
        <w:spacing w:before="9"/>
        <w:rPr>
          <w:rFonts w:ascii="Arial"/>
          <w:i/>
          <w:sz w:val="29"/>
        </w:rPr>
      </w:pPr>
    </w:p>
    <w:p>
      <w:pPr>
        <w:spacing w:before="0"/>
        <w:ind w:left="673" w:right="0" w:firstLine="0"/>
        <w:jc w:val="left"/>
        <w:rPr>
          <w:rFonts w:ascii="Arial" w:hAnsi="Arial"/>
          <w:sz w:val="20"/>
        </w:rPr>
      </w:pPr>
      <w:r>
        <w:rPr>
          <w:rFonts w:ascii="Arial" w:hAnsi="Arial"/>
          <w:w w:val="100"/>
          <w:sz w:val="20"/>
        </w:rPr>
        <w:t>Sat</w:t>
      </w:r>
      <w:r>
        <w:rPr>
          <w:rFonts w:ascii="Arial" w:hAnsi="Arial"/>
          <w:spacing w:val="-4"/>
          <w:w w:val="100"/>
          <w:sz w:val="20"/>
        </w:rPr>
        <w:t>s</w:t>
      </w:r>
      <w:r>
        <w:rPr>
          <w:rFonts w:ascii="Arial" w:hAnsi="Arial"/>
          <w:w w:val="100"/>
          <w:sz w:val="20"/>
        </w:rPr>
        <w:t>,</w:t>
      </w:r>
      <w:r>
        <w:rPr>
          <w:rFonts w:ascii="Arial" w:hAnsi="Arial"/>
          <w:sz w:val="20"/>
        </w:rPr>
        <w:t> </w:t>
      </w:r>
      <w:r>
        <w:rPr>
          <w:rFonts w:ascii="Arial" w:hAnsi="Arial"/>
          <w:w w:val="100"/>
          <w:sz w:val="20"/>
        </w:rPr>
        <w:t>teknisk</w:t>
      </w:r>
      <w:r>
        <w:rPr>
          <w:rFonts w:ascii="Arial" w:hAnsi="Arial"/>
          <w:sz w:val="20"/>
        </w:rPr>
        <w:t> </w:t>
      </w:r>
      <w:r>
        <w:rPr>
          <w:rFonts w:ascii="Arial" w:hAnsi="Arial"/>
          <w:w w:val="100"/>
          <w:sz w:val="20"/>
        </w:rPr>
        <w:t>redaktion,</w:t>
      </w:r>
      <w:r>
        <w:rPr>
          <w:rFonts w:ascii="Arial" w:hAnsi="Arial"/>
          <w:sz w:val="20"/>
        </w:rPr>
        <w:t> </w:t>
      </w:r>
      <w:r>
        <w:rPr>
          <w:rFonts w:ascii="Arial" w:hAnsi="Arial"/>
          <w:w w:val="100"/>
          <w:sz w:val="20"/>
        </w:rPr>
        <w:t>og</w:t>
      </w:r>
      <w:r>
        <w:rPr>
          <w:rFonts w:ascii="Arial" w:hAnsi="Arial"/>
          <w:sz w:val="20"/>
        </w:rPr>
        <w:t> </w:t>
      </w:r>
      <w:r>
        <w:rPr>
          <w:rFonts w:ascii="Arial" w:hAnsi="Arial"/>
          <w:spacing w:val="-2"/>
          <w:w w:val="100"/>
          <w:sz w:val="20"/>
        </w:rPr>
        <w:t>g</w:t>
      </w:r>
      <w:r>
        <w:rPr>
          <w:rFonts w:ascii="Arial" w:hAnsi="Arial"/>
          <w:spacing w:val="-2"/>
          <w:w w:val="100"/>
          <w:sz w:val="20"/>
        </w:rPr>
        <w:t>r</w:t>
      </w:r>
      <w:r>
        <w:rPr>
          <w:rFonts w:ascii="Arial" w:hAnsi="Arial"/>
          <w:w w:val="100"/>
          <w:sz w:val="20"/>
        </w:rPr>
        <w:t>afisk</w:t>
      </w:r>
      <w:r>
        <w:rPr>
          <w:rFonts w:ascii="Arial" w:hAnsi="Arial"/>
          <w:sz w:val="20"/>
        </w:rPr>
        <w:t> </w:t>
      </w:r>
      <w:r>
        <w:rPr>
          <w:rFonts w:ascii="Arial" w:hAnsi="Arial"/>
          <w:w w:val="100"/>
          <w:sz w:val="20"/>
        </w:rPr>
        <w:t>tilrettelægelse</w:t>
      </w:r>
      <w:r>
        <w:rPr>
          <w:rFonts w:ascii="Arial" w:hAnsi="Arial"/>
          <w:sz w:val="20"/>
        </w:rPr>
        <w:t> </w:t>
      </w:r>
      <w:r>
        <w:rPr>
          <w:rFonts w:ascii="Arial" w:hAnsi="Arial"/>
          <w:w w:val="100"/>
          <w:sz w:val="20"/>
        </w:rPr>
        <w:t>(pdf</w:t>
      </w:r>
      <w:r>
        <w:rPr>
          <w:rFonts w:ascii="Arial" w:hAnsi="Arial"/>
          <w:spacing w:val="-73"/>
          <w:w w:val="100"/>
          <w:sz w:val="20"/>
        </w:rPr>
        <w:t>L</w:t>
      </w:r>
      <w:r>
        <w:rPr>
          <w:rFonts w:ascii="Arial" w:hAnsi="Arial"/>
          <w:spacing w:val="-31"/>
          <w:w w:val="104"/>
          <w:position w:val="4"/>
          <w:sz w:val="14"/>
        </w:rPr>
        <w:t>A</w:t>
      </w:r>
      <w:r>
        <w:rPr>
          <w:rFonts w:ascii="Arial" w:hAnsi="Arial"/>
          <w:spacing w:val="-34"/>
          <w:w w:val="100"/>
          <w:sz w:val="20"/>
        </w:rPr>
        <w:t>T</w:t>
      </w:r>
      <w:r>
        <w:rPr>
          <w:rFonts w:ascii="Arial" w:hAnsi="Arial"/>
          <w:spacing w:val="-26"/>
          <w:w w:val="100"/>
          <w:position w:val="-4"/>
          <w:sz w:val="20"/>
        </w:rPr>
        <w:t>E</w:t>
      </w:r>
      <w:r>
        <w:rPr>
          <w:rFonts w:ascii="Arial" w:hAnsi="Arial"/>
          <w:w w:val="100"/>
          <w:sz w:val="20"/>
        </w:rPr>
        <w:t>X</w:t>
      </w:r>
      <w:r>
        <w:rPr>
          <w:rFonts w:ascii="Arial" w:hAnsi="Arial"/>
          <w:spacing w:val="-26"/>
          <w:sz w:val="20"/>
        </w:rPr>
        <w:t> </w:t>
      </w:r>
      <w:r>
        <w:rPr>
          <w:rFonts w:ascii="Arial" w:hAnsi="Arial"/>
          <w:spacing w:val="-1"/>
          <w:w w:val="100"/>
          <w:sz w:val="20"/>
        </w:rPr>
        <w:t>2</w:t>
      </w:r>
      <w:r>
        <w:rPr>
          <w:rFonts w:ascii="Calibri" w:hAnsi="Calibri"/>
          <w:i/>
          <w:w w:val="95"/>
          <w:position w:val="-3"/>
          <w:sz w:val="22"/>
        </w:rPr>
        <w:t>ε</w:t>
      </w:r>
      <w:r>
        <w:rPr>
          <w:rFonts w:ascii="Calibri" w:hAnsi="Calibri"/>
          <w:i/>
          <w:spacing w:val="-22"/>
          <w:position w:val="-3"/>
          <w:sz w:val="22"/>
        </w:rPr>
        <w:t> </w:t>
      </w:r>
      <w:r>
        <w:rPr>
          <w:rFonts w:ascii="Arial" w:hAnsi="Arial"/>
          <w:w w:val="100"/>
          <w:sz w:val="20"/>
        </w:rPr>
        <w:t>):</w:t>
      </w:r>
    </w:p>
    <w:p>
      <w:pPr>
        <w:spacing w:before="2"/>
        <w:ind w:left="673" w:right="0" w:firstLine="0"/>
        <w:jc w:val="left"/>
        <w:rPr>
          <w:rFonts w:ascii="Arial"/>
          <w:sz w:val="20"/>
        </w:rPr>
      </w:pPr>
      <w:r>
        <w:rPr>
          <w:rFonts w:ascii="Arial"/>
          <w:sz w:val="20"/>
        </w:rPr>
        <w:t>Thomas Knudsen, Geodatastyrelsen.</w:t>
      </w:r>
    </w:p>
    <w:p>
      <w:pPr>
        <w:pStyle w:val="BodyText"/>
        <w:spacing w:before="3"/>
        <w:rPr>
          <w:rFonts w:ascii="Arial"/>
          <w:sz w:val="30"/>
        </w:rPr>
      </w:pPr>
    </w:p>
    <w:p>
      <w:pPr>
        <w:spacing w:line="302" w:lineRule="auto" w:before="0"/>
        <w:ind w:left="673" w:right="4905" w:firstLine="0"/>
        <w:jc w:val="left"/>
        <w:rPr>
          <w:rFonts w:ascii="Arial"/>
          <w:sz w:val="20"/>
        </w:rPr>
      </w:pPr>
      <w:r>
        <w:rPr>
          <w:rFonts w:ascii="Arial"/>
          <w:sz w:val="20"/>
        </w:rPr>
        <w:t>Danish Geodata Agency, Technical Report Series Volume 16 ISBN 978-78-92107-42-8</w:t>
      </w:r>
    </w:p>
    <w:p>
      <w:pPr>
        <w:spacing w:line="302" w:lineRule="auto" w:before="0"/>
        <w:ind w:left="673" w:right="8799" w:firstLine="0"/>
        <w:jc w:val="left"/>
        <w:rPr>
          <w:rFonts w:ascii="Arial"/>
          <w:sz w:val="20"/>
        </w:rPr>
      </w:pPr>
      <w:r>
        <w:rPr>
          <w:rFonts w:ascii="Arial"/>
          <w:sz w:val="20"/>
        </w:rPr>
        <w:t>Technical Report Published 2013-10-01</w:t>
      </w:r>
    </w:p>
    <w:p>
      <w:pPr>
        <w:spacing w:line="228" w:lineRule="exact" w:before="0"/>
        <w:ind w:left="673" w:right="0" w:firstLine="0"/>
        <w:jc w:val="left"/>
        <w:rPr>
          <w:rFonts w:ascii="Arial"/>
          <w:sz w:val="20"/>
        </w:rPr>
      </w:pPr>
      <w:r>
        <w:rPr>
          <w:rFonts w:ascii="Arial"/>
          <w:sz w:val="20"/>
        </w:rPr>
        <w:t>This report is available from </w:t>
      </w:r>
      <w:hyperlink r:id="rId11">
        <w:r>
          <w:rPr>
            <w:rFonts w:ascii="Arial"/>
            <w:color w:val="FF0000"/>
            <w:sz w:val="20"/>
          </w:rPr>
          <w:t>http://www.gst.dk</w:t>
        </w:r>
      </w:hyperlink>
    </w:p>
    <w:p>
      <w:pPr>
        <w:spacing w:line="273" w:lineRule="auto" w:before="152"/>
        <w:ind w:left="673" w:right="1053" w:firstLine="0"/>
        <w:jc w:val="left"/>
        <w:rPr>
          <w:rFonts w:ascii="Arial" w:hAnsi="Arial"/>
          <w:sz w:val="22"/>
        </w:rPr>
      </w:pPr>
      <w:r>
        <w:rPr>
          <w:rFonts w:ascii="Arial" w:hAnsi="Arial"/>
          <w:sz w:val="22"/>
        </w:rPr>
        <w:t>Note: The first 15 volumes of this series were published under the series title “Technical Reports of the National Survey and Cadastre”.</w:t>
      </w:r>
    </w:p>
    <w:p>
      <w:pPr>
        <w:spacing w:after="0" w:line="273" w:lineRule="auto"/>
        <w:jc w:val="left"/>
        <w:rPr>
          <w:rFonts w:ascii="Arial" w:hAnsi="Arial"/>
          <w:sz w:val="22"/>
        </w:rPr>
        <w:sectPr>
          <w:pgSz w:w="11910" w:h="16840"/>
          <w:pgMar w:top="1580" w:bottom="280" w:left="460" w:right="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spacing w:before="257"/>
        <w:ind w:left="673" w:right="0" w:firstLine="0"/>
        <w:jc w:val="left"/>
        <w:rPr>
          <w:rFonts w:ascii="Arial"/>
          <w:b/>
          <w:sz w:val="45"/>
        </w:rPr>
      </w:pPr>
      <w:r>
        <w:rPr>
          <w:rFonts w:ascii="Arial"/>
          <w:b/>
          <w:sz w:val="45"/>
        </w:rPr>
        <w:t>Indhold</w:t>
      </w:r>
    </w:p>
    <w:p>
      <w:pPr>
        <w:pStyle w:val="BodyText"/>
        <w:rPr>
          <w:rFonts w:ascii="Arial"/>
          <w:b/>
          <w:sz w:val="56"/>
        </w:r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tabs>
              <w:tab w:pos="10311" w:val="right" w:leader="none"/>
            </w:tabs>
            <w:spacing w:before="360"/>
            <w:ind w:firstLine="0"/>
          </w:pPr>
          <w:hyperlink w:history="true" w:anchor="_bookmark0">
            <w:r>
              <w:rPr>
                <w:color w:val="FF0000"/>
              </w:rPr>
              <w:t>Summary</w:t>
            </w:r>
          </w:hyperlink>
          <w:r>
            <w:rPr>
              <w:color w:val="FF0000"/>
            </w:rPr>
            <w:tab/>
          </w:r>
          <w:r>
            <w:rPr/>
            <w:t>4</w:t>
          </w:r>
        </w:p>
        <w:p>
          <w:pPr>
            <w:pStyle w:val="TOC1"/>
            <w:tabs>
              <w:tab w:pos="10311" w:val="right" w:leader="none"/>
            </w:tabs>
            <w:ind w:firstLine="0"/>
          </w:pPr>
          <w:hyperlink w:history="true" w:anchor="_bookmark2">
            <w:r>
              <w:rPr>
                <w:color w:val="FF0000"/>
              </w:rPr>
              <w:t>Sammendrag</w:t>
            </w:r>
          </w:hyperlink>
          <w:r>
            <w:rPr>
              <w:color w:val="FF0000"/>
            </w:rPr>
            <w:tab/>
          </w:r>
          <w:r>
            <w:rPr/>
            <w:t>6</w:t>
          </w:r>
        </w:p>
        <w:p>
          <w:pPr>
            <w:pStyle w:val="TOC1"/>
            <w:numPr>
              <w:ilvl w:val="0"/>
              <w:numId w:val="1"/>
            </w:numPr>
            <w:tabs>
              <w:tab w:pos="1003" w:val="left" w:leader="none"/>
              <w:tab w:pos="1004" w:val="left" w:leader="none"/>
              <w:tab w:pos="10311" w:val="right" w:leader="none"/>
            </w:tabs>
            <w:spacing w:line="240" w:lineRule="auto" w:before="256" w:after="0"/>
            <w:ind w:left="1003" w:right="0" w:hanging="330"/>
            <w:jc w:val="left"/>
          </w:pPr>
          <w:hyperlink w:history="true" w:anchor="_bookmark3">
            <w:r>
              <w:rPr>
                <w:color w:val="FF0000"/>
              </w:rPr>
              <w:t>Indledning</w:t>
            </w:r>
          </w:hyperlink>
          <w:r>
            <w:rPr>
              <w:color w:val="FF0000"/>
            </w:rPr>
            <w:tab/>
          </w:r>
          <w:r>
            <w:rPr/>
            <w:t>7</w:t>
          </w:r>
        </w:p>
        <w:p>
          <w:pPr>
            <w:pStyle w:val="TOC2"/>
            <w:numPr>
              <w:ilvl w:val="1"/>
              <w:numId w:val="1"/>
            </w:numPr>
            <w:tabs>
              <w:tab w:pos="1509" w:val="left" w:leader="none"/>
              <w:tab w:pos="1510" w:val="left" w:leader="none"/>
              <w:tab w:pos="10311" w:val="right" w:leader="dot"/>
            </w:tabs>
            <w:spacing w:line="240" w:lineRule="auto" w:before="36" w:after="0"/>
            <w:ind w:left="1509" w:right="0" w:hanging="506"/>
            <w:jc w:val="left"/>
          </w:pPr>
          <w:hyperlink w:history="true" w:anchor="_bookmark3">
            <w:r>
              <w:rPr>
                <w:color w:val="FF0000"/>
              </w:rPr>
              <w:t>Baggrund</w:t>
            </w:r>
          </w:hyperlink>
          <w:r>
            <w:rPr>
              <w:color w:val="FF0000"/>
            </w:rPr>
            <w:tab/>
          </w:r>
          <w:r>
            <w:rPr/>
            <w:t>7</w:t>
          </w:r>
        </w:p>
        <w:p>
          <w:pPr>
            <w:pStyle w:val="TOC2"/>
            <w:numPr>
              <w:ilvl w:val="1"/>
              <w:numId w:val="1"/>
            </w:numPr>
            <w:tabs>
              <w:tab w:pos="1509" w:val="left" w:leader="none"/>
              <w:tab w:pos="1510" w:val="left" w:leader="none"/>
              <w:tab w:pos="10311" w:val="right" w:leader="dot"/>
            </w:tabs>
            <w:spacing w:line="240" w:lineRule="auto" w:before="36" w:after="0"/>
            <w:ind w:left="1509" w:right="0" w:hanging="506"/>
            <w:jc w:val="left"/>
          </w:pPr>
          <w:hyperlink w:history="true" w:anchor="_bookmark5">
            <w:r>
              <w:rPr>
                <w:color w:val="FF0000"/>
                <w:spacing w:val="-3"/>
              </w:rPr>
              <w:t>Testområde</w:t>
            </w:r>
          </w:hyperlink>
          <w:r>
            <w:rPr>
              <w:color w:val="FF0000"/>
              <w:spacing w:val="-3"/>
            </w:rPr>
            <w:tab/>
          </w:r>
          <w:r>
            <w:rPr/>
            <w:t>9</w:t>
          </w:r>
        </w:p>
        <w:p>
          <w:pPr>
            <w:pStyle w:val="TOC1"/>
            <w:numPr>
              <w:ilvl w:val="0"/>
              <w:numId w:val="1"/>
            </w:numPr>
            <w:tabs>
              <w:tab w:pos="1003" w:val="left" w:leader="none"/>
              <w:tab w:pos="1004" w:val="left" w:leader="none"/>
              <w:tab w:pos="10311" w:val="right" w:leader="none"/>
            </w:tabs>
            <w:spacing w:line="240" w:lineRule="auto" w:before="256" w:after="0"/>
            <w:ind w:left="1003" w:right="0" w:hanging="330"/>
            <w:jc w:val="left"/>
          </w:pPr>
          <w:hyperlink w:history="true" w:anchor="_bookmark6">
            <w:r>
              <w:rPr>
                <w:color w:val="FF0000"/>
              </w:rPr>
              <w:t>Datagrundlag</w:t>
            </w:r>
            <w:r>
              <w:rPr>
                <w:color w:val="FF0000"/>
                <w:spacing w:val="-1"/>
              </w:rPr>
              <w:t> </w:t>
            </w:r>
            <w:r>
              <w:rPr>
                <w:color w:val="FF0000"/>
              </w:rPr>
              <w:t>og metode</w:t>
            </w:r>
          </w:hyperlink>
          <w:r>
            <w:rPr>
              <w:color w:val="FF0000"/>
            </w:rPr>
            <w:tab/>
          </w:r>
          <w:r>
            <w:rPr/>
            <w:t>10</w:t>
          </w:r>
        </w:p>
        <w:p>
          <w:pPr>
            <w:pStyle w:val="TOC2"/>
            <w:numPr>
              <w:ilvl w:val="1"/>
              <w:numId w:val="1"/>
            </w:numPr>
            <w:tabs>
              <w:tab w:pos="1509" w:val="left" w:leader="none"/>
              <w:tab w:pos="1510" w:val="left" w:leader="none"/>
              <w:tab w:pos="10311" w:val="right" w:leader="dot"/>
            </w:tabs>
            <w:spacing w:line="240" w:lineRule="auto" w:before="36" w:after="0"/>
            <w:ind w:left="1509" w:right="0" w:hanging="506"/>
            <w:jc w:val="left"/>
          </w:pPr>
          <w:hyperlink w:history="true" w:anchor="_bookmark6">
            <w:r>
              <w:rPr>
                <w:color w:val="FF0000"/>
              </w:rPr>
              <w:t>Vandstandsmålinger</w:t>
            </w:r>
          </w:hyperlink>
          <w:r>
            <w:rPr>
              <w:color w:val="FF0000"/>
            </w:rPr>
            <w:tab/>
          </w:r>
          <w:r>
            <w:rPr/>
            <w:t>10</w:t>
          </w:r>
        </w:p>
        <w:p>
          <w:pPr>
            <w:pStyle w:val="TOC2"/>
            <w:numPr>
              <w:ilvl w:val="1"/>
              <w:numId w:val="1"/>
            </w:numPr>
            <w:tabs>
              <w:tab w:pos="1509" w:val="left" w:leader="none"/>
              <w:tab w:pos="1510" w:val="left" w:leader="none"/>
              <w:tab w:pos="10311" w:val="right" w:leader="dot"/>
            </w:tabs>
            <w:spacing w:line="240" w:lineRule="auto" w:before="36" w:after="0"/>
            <w:ind w:left="1509" w:right="0" w:hanging="506"/>
            <w:jc w:val="left"/>
          </w:pPr>
          <w:hyperlink w:history="true" w:anchor="_bookmark7">
            <w:r>
              <w:rPr>
                <w:color w:val="FF0000"/>
              </w:rPr>
              <w:t>Udvikling</w:t>
            </w:r>
            <w:r>
              <w:rPr>
                <w:color w:val="FF0000"/>
                <w:spacing w:val="-1"/>
              </w:rPr>
              <w:t> </w:t>
            </w:r>
            <w:r>
              <w:rPr>
                <w:color w:val="FF0000"/>
              </w:rPr>
              <w:t>i middelvandstand</w:t>
            </w:r>
          </w:hyperlink>
          <w:r>
            <w:rPr>
              <w:color w:val="FF0000"/>
            </w:rPr>
            <w:tab/>
          </w:r>
          <w:r>
            <w:rPr/>
            <w:t>10</w:t>
          </w:r>
        </w:p>
        <w:p>
          <w:pPr>
            <w:pStyle w:val="TOC2"/>
            <w:numPr>
              <w:ilvl w:val="1"/>
              <w:numId w:val="1"/>
            </w:numPr>
            <w:tabs>
              <w:tab w:pos="1509" w:val="left" w:leader="none"/>
              <w:tab w:pos="1510" w:val="left" w:leader="none"/>
              <w:tab w:pos="10311" w:val="right" w:leader="dot"/>
            </w:tabs>
            <w:spacing w:line="240" w:lineRule="auto" w:before="36" w:after="0"/>
            <w:ind w:left="1509" w:right="0" w:hanging="506"/>
            <w:jc w:val="left"/>
          </w:pPr>
          <w:hyperlink w:history="true" w:anchor="_bookmark8">
            <w:r>
              <w:rPr>
                <w:color w:val="FF0000"/>
              </w:rPr>
              <w:t>Højvandsstatistik</w:t>
            </w:r>
          </w:hyperlink>
          <w:r>
            <w:rPr>
              <w:color w:val="FF0000"/>
            </w:rPr>
            <w:tab/>
          </w:r>
          <w:r>
            <w:rPr/>
            <w:t>10</w:t>
          </w:r>
        </w:p>
        <w:p>
          <w:pPr>
            <w:pStyle w:val="TOC2"/>
            <w:numPr>
              <w:ilvl w:val="1"/>
              <w:numId w:val="1"/>
            </w:numPr>
            <w:tabs>
              <w:tab w:pos="1509" w:val="left" w:leader="none"/>
              <w:tab w:pos="1510" w:val="left" w:leader="none"/>
              <w:tab w:pos="10311" w:val="right" w:leader="dot"/>
            </w:tabs>
            <w:spacing w:line="240" w:lineRule="auto" w:before="35" w:after="0"/>
            <w:ind w:left="1509" w:right="0" w:hanging="506"/>
            <w:jc w:val="left"/>
          </w:pPr>
          <w:hyperlink w:history="true" w:anchor="_bookmark11">
            <w:r>
              <w:rPr>
                <w:color w:val="FF0000"/>
              </w:rPr>
              <w:t>Danmarks</w:t>
            </w:r>
            <w:r>
              <w:rPr>
                <w:color w:val="FF0000"/>
                <w:spacing w:val="-1"/>
              </w:rPr>
              <w:t> </w:t>
            </w:r>
            <w:r>
              <w:rPr>
                <w:color w:val="FF0000"/>
              </w:rPr>
              <w:t>højdemodel</w:t>
            </w:r>
          </w:hyperlink>
          <w:r>
            <w:rPr>
              <w:color w:val="FF0000"/>
            </w:rPr>
            <w:tab/>
          </w:r>
          <w:r>
            <w:rPr/>
            <w:t>11</w:t>
          </w:r>
        </w:p>
        <w:p>
          <w:pPr>
            <w:pStyle w:val="TOC2"/>
            <w:numPr>
              <w:ilvl w:val="1"/>
              <w:numId w:val="1"/>
            </w:numPr>
            <w:tabs>
              <w:tab w:pos="1509" w:val="left" w:leader="none"/>
              <w:tab w:pos="1510" w:val="left" w:leader="none"/>
              <w:tab w:pos="10311" w:val="right" w:leader="dot"/>
            </w:tabs>
            <w:spacing w:line="240" w:lineRule="auto" w:before="36" w:after="0"/>
            <w:ind w:left="1509" w:right="0" w:hanging="506"/>
            <w:jc w:val="left"/>
          </w:pPr>
          <w:hyperlink w:history="true" w:anchor="_bookmark14">
            <w:r>
              <w:rPr>
                <w:color w:val="FF0000"/>
              </w:rPr>
              <w:t>Landhævning</w:t>
            </w:r>
          </w:hyperlink>
          <w:r>
            <w:rPr>
              <w:color w:val="FF0000"/>
            </w:rPr>
            <w:tab/>
          </w:r>
          <w:r>
            <w:rPr/>
            <w:t>13</w:t>
          </w:r>
        </w:p>
        <w:p>
          <w:pPr>
            <w:pStyle w:val="TOC2"/>
            <w:numPr>
              <w:ilvl w:val="1"/>
              <w:numId w:val="1"/>
            </w:numPr>
            <w:tabs>
              <w:tab w:pos="1509" w:val="left" w:leader="none"/>
              <w:tab w:pos="1510" w:val="left" w:leader="none"/>
              <w:tab w:pos="10311" w:val="right" w:leader="dot"/>
            </w:tabs>
            <w:spacing w:line="240" w:lineRule="auto" w:before="36" w:after="0"/>
            <w:ind w:left="1509" w:right="0" w:hanging="506"/>
            <w:jc w:val="left"/>
          </w:pPr>
          <w:hyperlink w:history="true" w:anchor="_bookmark17">
            <w:r>
              <w:rPr>
                <w:color w:val="FF0000"/>
              </w:rPr>
              <w:t>Fikspunkter</w:t>
            </w:r>
          </w:hyperlink>
          <w:r>
            <w:rPr>
              <w:color w:val="FF0000"/>
            </w:rPr>
            <w:tab/>
          </w:r>
          <w:r>
            <w:rPr/>
            <w:t>15</w:t>
          </w:r>
        </w:p>
        <w:p>
          <w:pPr>
            <w:pStyle w:val="TOC2"/>
            <w:numPr>
              <w:ilvl w:val="1"/>
              <w:numId w:val="1"/>
            </w:numPr>
            <w:tabs>
              <w:tab w:pos="1509" w:val="left" w:leader="none"/>
              <w:tab w:pos="1510" w:val="left" w:leader="none"/>
              <w:tab w:pos="10311" w:val="right" w:leader="dot"/>
            </w:tabs>
            <w:spacing w:line="240" w:lineRule="auto" w:before="36" w:after="0"/>
            <w:ind w:left="1509" w:right="0" w:hanging="506"/>
            <w:jc w:val="left"/>
          </w:pPr>
          <w:hyperlink w:history="true" w:anchor="_bookmark24">
            <w:r>
              <w:rPr>
                <w:color w:val="FF0000"/>
              </w:rPr>
              <w:t>Kloaknettet i </w:t>
            </w:r>
            <w:r>
              <w:rPr>
                <w:color w:val="FF0000"/>
                <w:spacing w:val="-3"/>
              </w:rPr>
              <w:t>Thyborøn</w:t>
            </w:r>
          </w:hyperlink>
          <w:r>
            <w:rPr>
              <w:color w:val="FF0000"/>
              <w:spacing w:val="-3"/>
            </w:rPr>
            <w:tab/>
          </w:r>
          <w:r>
            <w:rPr/>
            <w:t>21</w:t>
          </w:r>
        </w:p>
        <w:p>
          <w:pPr>
            <w:pStyle w:val="TOC1"/>
            <w:numPr>
              <w:ilvl w:val="0"/>
              <w:numId w:val="1"/>
            </w:numPr>
            <w:tabs>
              <w:tab w:pos="1003" w:val="left" w:leader="none"/>
              <w:tab w:pos="1004" w:val="left" w:leader="none"/>
              <w:tab w:pos="10311" w:val="right" w:leader="none"/>
            </w:tabs>
            <w:spacing w:line="240" w:lineRule="auto" w:before="256" w:after="0"/>
            <w:ind w:left="1003" w:right="0" w:hanging="330"/>
            <w:jc w:val="left"/>
          </w:pPr>
          <w:hyperlink w:history="true" w:anchor="_bookmark25">
            <w:r>
              <w:rPr>
                <w:color w:val="FF0000"/>
              </w:rPr>
              <w:t>Resultater</w:t>
            </w:r>
          </w:hyperlink>
          <w:r>
            <w:rPr>
              <w:color w:val="FF0000"/>
            </w:rPr>
            <w:tab/>
          </w:r>
          <w:r>
            <w:rPr/>
            <w:t>22</w:t>
          </w:r>
        </w:p>
        <w:p>
          <w:pPr>
            <w:pStyle w:val="TOC2"/>
            <w:numPr>
              <w:ilvl w:val="1"/>
              <w:numId w:val="1"/>
            </w:numPr>
            <w:tabs>
              <w:tab w:pos="1509" w:val="left" w:leader="none"/>
              <w:tab w:pos="1510" w:val="left" w:leader="none"/>
              <w:tab w:pos="10311" w:val="right" w:leader="dot"/>
            </w:tabs>
            <w:spacing w:line="240" w:lineRule="auto" w:before="36" w:after="0"/>
            <w:ind w:left="1509" w:right="0" w:hanging="506"/>
            <w:jc w:val="left"/>
          </w:pPr>
          <w:hyperlink w:history="true" w:anchor="_bookmark26">
            <w:r>
              <w:rPr>
                <w:color w:val="FF0000"/>
              </w:rPr>
              <w:t>Lokal justering</w:t>
            </w:r>
            <w:r>
              <w:rPr>
                <w:color w:val="FF0000"/>
                <w:spacing w:val="-1"/>
              </w:rPr>
              <w:t> </w:t>
            </w:r>
            <w:r>
              <w:rPr>
                <w:color w:val="FF0000"/>
              </w:rPr>
              <w:t>af højdemodellen</w:t>
            </w:r>
          </w:hyperlink>
          <w:r>
            <w:rPr>
              <w:color w:val="FF0000"/>
            </w:rPr>
            <w:tab/>
          </w:r>
          <w:r>
            <w:rPr/>
            <w:t>22</w:t>
          </w:r>
        </w:p>
        <w:p>
          <w:pPr>
            <w:pStyle w:val="TOC2"/>
            <w:numPr>
              <w:ilvl w:val="1"/>
              <w:numId w:val="1"/>
            </w:numPr>
            <w:tabs>
              <w:tab w:pos="1509" w:val="left" w:leader="none"/>
              <w:tab w:pos="1510" w:val="left" w:leader="none"/>
              <w:tab w:pos="10311" w:val="right" w:leader="dot"/>
            </w:tabs>
            <w:spacing w:line="240" w:lineRule="auto" w:before="36" w:after="0"/>
            <w:ind w:left="1509" w:right="0" w:hanging="506"/>
            <w:jc w:val="left"/>
          </w:pPr>
          <w:hyperlink w:history="true" w:anchor="_bookmark27">
            <w:r>
              <w:rPr>
                <w:color w:val="FF0000"/>
              </w:rPr>
              <w:t>Beregning</w:t>
            </w:r>
            <w:r>
              <w:rPr>
                <w:color w:val="FF0000"/>
                <w:spacing w:val="-1"/>
              </w:rPr>
              <w:t> </w:t>
            </w:r>
            <w:r>
              <w:rPr>
                <w:color w:val="FF0000"/>
              </w:rPr>
              <w:t>af havspejlsstigningsrate</w:t>
            </w:r>
          </w:hyperlink>
          <w:r>
            <w:rPr>
              <w:color w:val="FF0000"/>
            </w:rPr>
            <w:tab/>
          </w:r>
          <w:r>
            <w:rPr/>
            <w:t>22</w:t>
          </w:r>
        </w:p>
        <w:p>
          <w:pPr>
            <w:pStyle w:val="TOC2"/>
            <w:numPr>
              <w:ilvl w:val="1"/>
              <w:numId w:val="1"/>
            </w:numPr>
            <w:tabs>
              <w:tab w:pos="1509" w:val="left" w:leader="none"/>
              <w:tab w:pos="1510" w:val="left" w:leader="none"/>
              <w:tab w:pos="10311" w:val="right" w:leader="dot"/>
            </w:tabs>
            <w:spacing w:line="240" w:lineRule="auto" w:before="36" w:after="0"/>
            <w:ind w:left="1509" w:right="0" w:hanging="506"/>
            <w:jc w:val="left"/>
          </w:pPr>
          <w:hyperlink w:history="true" w:anchor="_bookmark31">
            <w:r>
              <w:rPr>
                <w:color w:val="FF0000"/>
              </w:rPr>
              <w:t>Beregning af</w:t>
            </w:r>
            <w:r>
              <w:rPr>
                <w:color w:val="FF0000"/>
                <w:spacing w:val="-1"/>
              </w:rPr>
              <w:t> </w:t>
            </w:r>
            <w:r>
              <w:rPr>
                <w:color w:val="FF0000"/>
              </w:rPr>
              <w:t>lokal landsætning</w:t>
            </w:r>
          </w:hyperlink>
          <w:r>
            <w:rPr>
              <w:color w:val="FF0000"/>
            </w:rPr>
            <w:tab/>
          </w:r>
          <w:r>
            <w:rPr/>
            <w:t>24</w:t>
          </w:r>
        </w:p>
        <w:p>
          <w:pPr>
            <w:pStyle w:val="TOC2"/>
            <w:numPr>
              <w:ilvl w:val="1"/>
              <w:numId w:val="1"/>
            </w:numPr>
            <w:tabs>
              <w:tab w:pos="1509" w:val="left" w:leader="none"/>
              <w:tab w:pos="1510" w:val="left" w:leader="none"/>
              <w:tab w:pos="10311" w:val="right" w:leader="dot"/>
            </w:tabs>
            <w:spacing w:line="240" w:lineRule="auto" w:before="36" w:after="0"/>
            <w:ind w:left="1509" w:right="0" w:hanging="506"/>
            <w:jc w:val="left"/>
          </w:pPr>
          <w:hyperlink w:history="true" w:anchor="_bookmark35">
            <w:r>
              <w:rPr>
                <w:color w:val="FF0000"/>
              </w:rPr>
              <w:t>Rumlig interpolation af lokale sætningsrater</w:t>
            </w:r>
          </w:hyperlink>
          <w:r>
            <w:rPr>
              <w:color w:val="FF0000"/>
            </w:rPr>
            <w:tab/>
          </w:r>
          <w:r>
            <w:rPr/>
            <w:t>26</w:t>
          </w:r>
        </w:p>
        <w:p>
          <w:pPr>
            <w:pStyle w:val="TOC2"/>
            <w:numPr>
              <w:ilvl w:val="1"/>
              <w:numId w:val="1"/>
            </w:numPr>
            <w:tabs>
              <w:tab w:pos="1509" w:val="left" w:leader="none"/>
              <w:tab w:pos="1510" w:val="left" w:leader="none"/>
              <w:tab w:pos="10311" w:val="right" w:leader="dot"/>
            </w:tabs>
            <w:spacing w:line="240" w:lineRule="auto" w:before="36" w:after="0"/>
            <w:ind w:left="1509" w:right="0" w:hanging="506"/>
            <w:jc w:val="left"/>
          </w:pPr>
          <w:hyperlink w:history="true" w:anchor="_bookmark36">
            <w:r>
              <w:rPr>
                <w:color w:val="FF0000"/>
              </w:rPr>
              <w:t>Kortlægning af</w:t>
            </w:r>
            <w:r>
              <w:rPr>
                <w:color w:val="FF0000"/>
                <w:spacing w:val="-1"/>
              </w:rPr>
              <w:t> </w:t>
            </w:r>
            <w:r>
              <w:rPr>
                <w:color w:val="FF0000"/>
              </w:rPr>
              <w:t>oversvømmelsestruede</w:t>
            </w:r>
            <w:r>
              <w:rPr>
                <w:color w:val="FF0000"/>
                <w:spacing w:val="-1"/>
              </w:rPr>
              <w:t> </w:t>
            </w:r>
            <w:r>
              <w:rPr>
                <w:color w:val="FF0000"/>
              </w:rPr>
              <w:t>områder</w:t>
            </w:r>
          </w:hyperlink>
          <w:r>
            <w:rPr>
              <w:color w:val="FF0000"/>
            </w:rPr>
            <w:tab/>
          </w:r>
          <w:r>
            <w:rPr/>
            <w:t>26</w:t>
          </w:r>
        </w:p>
        <w:p>
          <w:pPr>
            <w:pStyle w:val="TOC2"/>
            <w:numPr>
              <w:ilvl w:val="1"/>
              <w:numId w:val="1"/>
            </w:numPr>
            <w:tabs>
              <w:tab w:pos="1509" w:val="left" w:leader="none"/>
              <w:tab w:pos="1510" w:val="left" w:leader="none"/>
              <w:tab w:pos="10311" w:val="right" w:leader="dot"/>
            </w:tabs>
            <w:spacing w:line="240" w:lineRule="auto" w:before="36" w:after="0"/>
            <w:ind w:left="1509" w:right="0" w:hanging="506"/>
            <w:jc w:val="left"/>
          </w:pPr>
          <w:hyperlink w:history="true" w:anchor="_bookmark41">
            <w:r>
              <w:rPr>
                <w:color w:val="FF0000"/>
              </w:rPr>
              <w:t>Bundkoter</w:t>
            </w:r>
            <w:r>
              <w:rPr>
                <w:color w:val="FF0000"/>
                <w:spacing w:val="-1"/>
              </w:rPr>
              <w:t> </w:t>
            </w:r>
            <w:r>
              <w:rPr>
                <w:color w:val="FF0000"/>
              </w:rPr>
              <w:t>i spildevandssystemet</w:t>
            </w:r>
          </w:hyperlink>
          <w:r>
            <w:rPr>
              <w:color w:val="FF0000"/>
            </w:rPr>
            <w:tab/>
          </w:r>
          <w:r>
            <w:rPr/>
            <w:t>31</w:t>
          </w:r>
        </w:p>
        <w:p>
          <w:pPr>
            <w:pStyle w:val="TOC1"/>
            <w:numPr>
              <w:ilvl w:val="0"/>
              <w:numId w:val="1"/>
            </w:numPr>
            <w:tabs>
              <w:tab w:pos="1003" w:val="left" w:leader="none"/>
              <w:tab w:pos="1004" w:val="left" w:leader="none"/>
              <w:tab w:pos="10311" w:val="right" w:leader="none"/>
            </w:tabs>
            <w:spacing w:line="240" w:lineRule="auto" w:before="256" w:after="0"/>
            <w:ind w:left="1003" w:right="0" w:hanging="330"/>
            <w:jc w:val="left"/>
          </w:pPr>
          <w:hyperlink w:history="true" w:anchor="_bookmark44">
            <w:r>
              <w:rPr>
                <w:color w:val="FF0000"/>
              </w:rPr>
              <w:t>Anvendelser</w:t>
            </w:r>
            <w:r>
              <w:rPr>
                <w:color w:val="FF0000"/>
                <w:spacing w:val="-1"/>
              </w:rPr>
              <w:t> </w:t>
            </w:r>
            <w:r>
              <w:rPr>
                <w:color w:val="FF0000"/>
              </w:rPr>
              <w:t>af metoden</w:t>
            </w:r>
          </w:hyperlink>
          <w:r>
            <w:rPr>
              <w:color w:val="FF0000"/>
            </w:rPr>
            <w:tab/>
          </w:r>
          <w:r>
            <w:rPr/>
            <w:t>34</w:t>
          </w:r>
        </w:p>
        <w:p>
          <w:pPr>
            <w:pStyle w:val="TOC2"/>
            <w:numPr>
              <w:ilvl w:val="1"/>
              <w:numId w:val="1"/>
            </w:numPr>
            <w:tabs>
              <w:tab w:pos="1509" w:val="left" w:leader="none"/>
              <w:tab w:pos="1510" w:val="left" w:leader="none"/>
              <w:tab w:pos="10311" w:val="right" w:leader="dot"/>
            </w:tabs>
            <w:spacing w:line="240" w:lineRule="auto" w:before="36" w:after="0"/>
            <w:ind w:left="1509" w:right="0" w:hanging="506"/>
            <w:jc w:val="left"/>
          </w:pPr>
          <w:hyperlink w:history="true" w:anchor="_bookmark44">
            <w:r>
              <w:rPr>
                <w:color w:val="FF0000"/>
                <w:spacing w:val="-3"/>
              </w:rPr>
              <w:t>Kyst-</w:t>
            </w:r>
            <w:r>
              <w:rPr>
                <w:color w:val="FF0000"/>
                <w:spacing w:val="-1"/>
              </w:rPr>
              <w:t> </w:t>
            </w:r>
            <w:r>
              <w:rPr>
                <w:color w:val="FF0000"/>
              </w:rPr>
              <w:t>og havnebeskyttelse</w:t>
            </w:r>
          </w:hyperlink>
          <w:r>
            <w:rPr>
              <w:color w:val="FF0000"/>
            </w:rPr>
            <w:tab/>
          </w:r>
          <w:r>
            <w:rPr/>
            <w:t>34</w:t>
          </w:r>
        </w:p>
        <w:p>
          <w:pPr>
            <w:pStyle w:val="TOC2"/>
            <w:numPr>
              <w:ilvl w:val="1"/>
              <w:numId w:val="1"/>
            </w:numPr>
            <w:tabs>
              <w:tab w:pos="1509" w:val="left" w:leader="none"/>
              <w:tab w:pos="1510" w:val="left" w:leader="none"/>
              <w:tab w:pos="10311" w:val="right" w:leader="dot"/>
            </w:tabs>
            <w:spacing w:line="240" w:lineRule="auto" w:before="36" w:after="0"/>
            <w:ind w:left="1509" w:right="0" w:hanging="506"/>
            <w:jc w:val="left"/>
          </w:pPr>
          <w:hyperlink w:history="true" w:anchor="_bookmark46">
            <w:r>
              <w:rPr>
                <w:color w:val="FF0000"/>
              </w:rPr>
              <w:t>Renovering</w:t>
            </w:r>
            <w:r>
              <w:rPr>
                <w:color w:val="FF0000"/>
                <w:spacing w:val="-1"/>
              </w:rPr>
              <w:t> </w:t>
            </w:r>
            <w:r>
              <w:rPr>
                <w:color w:val="FF0000"/>
              </w:rPr>
              <w:t>af kloaknet</w:t>
            </w:r>
          </w:hyperlink>
          <w:r>
            <w:rPr>
              <w:color w:val="FF0000"/>
            </w:rPr>
            <w:tab/>
          </w:r>
          <w:r>
            <w:rPr/>
            <w:t>35</w:t>
          </w:r>
        </w:p>
        <w:p>
          <w:pPr>
            <w:pStyle w:val="TOC2"/>
            <w:numPr>
              <w:ilvl w:val="1"/>
              <w:numId w:val="1"/>
            </w:numPr>
            <w:tabs>
              <w:tab w:pos="1509" w:val="left" w:leader="none"/>
              <w:tab w:pos="1510" w:val="left" w:leader="none"/>
              <w:tab w:pos="10311" w:val="right" w:leader="dot"/>
            </w:tabs>
            <w:spacing w:line="240" w:lineRule="auto" w:before="36" w:after="0"/>
            <w:ind w:left="1509" w:right="0" w:hanging="506"/>
            <w:jc w:val="left"/>
          </w:pPr>
          <w:hyperlink w:history="true" w:anchor="_bookmark47">
            <w:r>
              <w:rPr>
                <w:color w:val="FF0000"/>
              </w:rPr>
              <w:t>Klimatilpasning generelt</w:t>
            </w:r>
          </w:hyperlink>
          <w:r>
            <w:rPr>
              <w:color w:val="FF0000"/>
            </w:rPr>
            <w:tab/>
          </w:r>
          <w:r>
            <w:rPr/>
            <w:t>35</w:t>
          </w:r>
        </w:p>
        <w:p>
          <w:pPr>
            <w:pStyle w:val="TOC1"/>
            <w:numPr>
              <w:ilvl w:val="0"/>
              <w:numId w:val="1"/>
            </w:numPr>
            <w:tabs>
              <w:tab w:pos="1003" w:val="left" w:leader="none"/>
              <w:tab w:pos="1004" w:val="left" w:leader="none"/>
              <w:tab w:pos="10311" w:val="right" w:leader="none"/>
            </w:tabs>
            <w:spacing w:line="240" w:lineRule="auto" w:before="255" w:after="0"/>
            <w:ind w:left="1003" w:right="0" w:hanging="330"/>
            <w:jc w:val="left"/>
          </w:pPr>
          <w:hyperlink w:history="true" w:anchor="_bookmark48">
            <w:r>
              <w:rPr>
                <w:color w:val="FF0000"/>
              </w:rPr>
              <w:t>Afrunding</w:t>
            </w:r>
          </w:hyperlink>
          <w:r>
            <w:rPr>
              <w:color w:val="FF0000"/>
            </w:rPr>
            <w:tab/>
          </w:r>
          <w:r>
            <w:rPr/>
            <w:t>36</w:t>
          </w:r>
        </w:p>
        <w:p>
          <w:pPr>
            <w:pStyle w:val="TOC2"/>
            <w:numPr>
              <w:ilvl w:val="1"/>
              <w:numId w:val="1"/>
            </w:numPr>
            <w:tabs>
              <w:tab w:pos="1509" w:val="left" w:leader="none"/>
              <w:tab w:pos="1510" w:val="left" w:leader="none"/>
              <w:tab w:pos="10311" w:val="right" w:leader="dot"/>
            </w:tabs>
            <w:spacing w:line="240" w:lineRule="auto" w:before="36" w:after="0"/>
            <w:ind w:left="1509" w:right="0" w:hanging="506"/>
            <w:jc w:val="left"/>
          </w:pPr>
          <w:hyperlink w:history="true" w:anchor="_bookmark48">
            <w:r>
              <w:rPr>
                <w:color w:val="FF0000"/>
              </w:rPr>
              <w:t>Perspektiv: inddragelse</w:t>
            </w:r>
            <w:r>
              <w:rPr>
                <w:color w:val="FF0000"/>
                <w:spacing w:val="-1"/>
              </w:rPr>
              <w:t> </w:t>
            </w:r>
            <w:r>
              <w:rPr>
                <w:color w:val="FF0000"/>
              </w:rPr>
              <w:t>af indikatordatasæt</w:t>
            </w:r>
          </w:hyperlink>
          <w:r>
            <w:rPr>
              <w:color w:val="FF0000"/>
            </w:rPr>
            <w:tab/>
          </w:r>
          <w:r>
            <w:rPr/>
            <w:t>36</w:t>
          </w:r>
        </w:p>
        <w:p>
          <w:pPr>
            <w:pStyle w:val="TOC2"/>
            <w:numPr>
              <w:ilvl w:val="1"/>
              <w:numId w:val="1"/>
            </w:numPr>
            <w:tabs>
              <w:tab w:pos="1509" w:val="left" w:leader="none"/>
              <w:tab w:pos="1510" w:val="left" w:leader="none"/>
              <w:tab w:pos="10311" w:val="right" w:leader="dot"/>
            </w:tabs>
            <w:spacing w:line="240" w:lineRule="auto" w:before="36" w:after="0"/>
            <w:ind w:left="1509" w:right="0" w:hanging="506"/>
            <w:jc w:val="left"/>
          </w:pPr>
          <w:hyperlink w:history="true" w:anchor="_bookmark49">
            <w:r>
              <w:rPr>
                <w:color w:val="FF0000"/>
              </w:rPr>
              <w:t>Konklusion</w:t>
            </w:r>
          </w:hyperlink>
          <w:r>
            <w:rPr>
              <w:color w:val="FF0000"/>
            </w:rPr>
            <w:tab/>
          </w:r>
          <w:r>
            <w:rPr/>
            <w:t>36</w:t>
          </w:r>
        </w:p>
        <w:p>
          <w:pPr>
            <w:pStyle w:val="TOC1"/>
            <w:tabs>
              <w:tab w:pos="10311" w:val="right" w:leader="none"/>
            </w:tabs>
            <w:ind w:firstLine="0"/>
          </w:pPr>
          <w:hyperlink w:history="true" w:anchor="_bookmark49">
            <w:r>
              <w:rPr>
                <w:color w:val="FF0000"/>
              </w:rPr>
              <w:t>Litteratur</w:t>
            </w:r>
          </w:hyperlink>
          <w:r>
            <w:rPr>
              <w:color w:val="FF0000"/>
            </w:rPr>
            <w:tab/>
          </w:r>
          <w:r>
            <w:rPr/>
            <w:t>38</w:t>
          </w:r>
        </w:p>
        <w:p>
          <w:pPr>
            <w:pStyle w:val="TOC1"/>
            <w:tabs>
              <w:tab w:pos="10311" w:val="right" w:leader="none"/>
            </w:tabs>
            <w:ind w:firstLine="0"/>
          </w:pPr>
          <w:hyperlink w:history="true" w:anchor="_bookmark50">
            <w:r>
              <w:rPr>
                <w:color w:val="FF0000"/>
                <w:spacing w:val="-3"/>
              </w:rPr>
              <w:t>BILAG</w:t>
            </w:r>
          </w:hyperlink>
          <w:r>
            <w:rPr>
              <w:color w:val="FF0000"/>
              <w:spacing w:val="-3"/>
            </w:rPr>
            <w:tab/>
          </w:r>
          <w:r>
            <w:rPr/>
            <w:t>39</w:t>
          </w:r>
        </w:p>
        <w:p>
          <w:pPr>
            <w:pStyle w:val="TOC1"/>
            <w:tabs>
              <w:tab w:pos="10311" w:val="right" w:leader="none"/>
            </w:tabs>
            <w:ind w:firstLine="0"/>
          </w:pPr>
          <w:hyperlink w:history="true" w:anchor="_bookmark51">
            <w:r>
              <w:rPr>
                <w:color w:val="FF0000"/>
              </w:rPr>
              <w:t>A   Beregninger for fikspunkter i</w:t>
            </w:r>
            <w:r>
              <w:rPr>
                <w:color w:val="FF0000"/>
                <w:spacing w:val="-14"/>
              </w:rPr>
              <w:t> </w:t>
            </w:r>
            <w:r>
              <w:rPr>
                <w:color w:val="FF0000"/>
              </w:rPr>
              <w:t>Thyborøn</w:t>
            </w:r>
            <w:r>
              <w:rPr>
                <w:color w:val="FF0000"/>
                <w:spacing w:val="-1"/>
              </w:rPr>
              <w:t> </w:t>
            </w:r>
            <w:r>
              <w:rPr>
                <w:color w:val="FF0000"/>
                <w:spacing w:val="-3"/>
              </w:rPr>
              <w:t>by</w:t>
            </w:r>
          </w:hyperlink>
          <w:r>
            <w:rPr>
              <w:color w:val="FF0000"/>
              <w:spacing w:val="-3"/>
            </w:rPr>
            <w:tab/>
          </w:r>
          <w:r>
            <w:rPr/>
            <w:t>39</w:t>
          </w:r>
        </w:p>
      </w:sdtContent>
    </w:sdt>
    <w:p>
      <w:pPr>
        <w:spacing w:after="0"/>
        <w:sectPr>
          <w:footerReference w:type="default" r:id="rId12"/>
          <w:pgSz w:w="11910" w:h="16840"/>
          <w:pgMar w:footer="546" w:header="0" w:top="1580" w:bottom="740" w:left="460" w:right="0"/>
        </w:sectPr>
      </w:pPr>
    </w:p>
    <w:p>
      <w:pPr>
        <w:pStyle w:val="Heading1"/>
        <w:spacing w:before="443"/>
      </w:pPr>
      <w:r>
        <w:rPr/>
        <w:t>Summary</w:t>
      </w:r>
    </w:p>
    <w:p>
      <w:pPr>
        <w:spacing w:after="0"/>
        <w:sectPr>
          <w:footerReference w:type="default" r:id="rId13"/>
          <w:pgSz w:w="11910" w:h="16840"/>
          <w:pgMar w:footer="0" w:header="0" w:top="1580" w:bottom="280" w:left="460" w:right="0"/>
        </w:sect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line="252" w:lineRule="auto" w:before="167"/>
        <w:ind w:left="673"/>
        <w:jc w:val="both"/>
      </w:pPr>
      <w:bookmarkStart w:name="_bookmark0" w:id="1"/>
      <w:bookmarkEnd w:id="1"/>
      <w:r>
        <w:rPr/>
      </w:r>
      <w:r>
        <w:rPr/>
        <w:t>The</w:t>
      </w:r>
      <w:r>
        <w:rPr>
          <w:spacing w:val="-10"/>
        </w:rPr>
        <w:t> </w:t>
      </w:r>
      <w:r>
        <w:rPr/>
        <w:t>Danish</w:t>
      </w:r>
      <w:r>
        <w:rPr>
          <w:spacing w:val="-9"/>
        </w:rPr>
        <w:t> </w:t>
      </w:r>
      <w:r>
        <w:rPr/>
        <w:t>Geodata</w:t>
      </w:r>
      <w:r>
        <w:rPr>
          <w:spacing w:val="-10"/>
        </w:rPr>
        <w:t> </w:t>
      </w:r>
      <w:r>
        <w:rPr>
          <w:spacing w:val="-3"/>
        </w:rPr>
        <w:t>Agency,</w:t>
      </w:r>
      <w:r>
        <w:rPr>
          <w:spacing w:val="-7"/>
        </w:rPr>
        <w:t> </w:t>
      </w:r>
      <w:r>
        <w:rPr/>
        <w:t>the</w:t>
      </w:r>
      <w:r>
        <w:rPr>
          <w:spacing w:val="-9"/>
        </w:rPr>
        <w:t> </w:t>
      </w:r>
      <w:r>
        <w:rPr/>
        <w:t>Danish</w:t>
      </w:r>
      <w:r>
        <w:rPr>
          <w:spacing w:val="-10"/>
        </w:rPr>
        <w:t> </w:t>
      </w:r>
      <w:r>
        <w:rPr>
          <w:spacing w:val="-3"/>
        </w:rPr>
        <w:t>Coastal </w:t>
      </w:r>
      <w:r>
        <w:rPr/>
        <w:t>Authority and the Danish National Space</w:t>
      </w:r>
      <w:r>
        <w:rPr>
          <w:spacing w:val="41"/>
        </w:rPr>
        <w:t> </w:t>
      </w:r>
      <w:r>
        <w:rPr>
          <w:spacing w:val="-6"/>
        </w:rPr>
        <w:t>In- </w:t>
      </w:r>
      <w:r>
        <w:rPr/>
        <w:t>stitute </w:t>
      </w:r>
      <w:r>
        <w:rPr>
          <w:spacing w:val="-3"/>
        </w:rPr>
        <w:t>have </w:t>
      </w:r>
      <w:r>
        <w:rPr/>
        <w:t>developed a method for simulating flooding extent as a result of future storm </w:t>
      </w:r>
      <w:r>
        <w:rPr>
          <w:spacing w:val="-4"/>
        </w:rPr>
        <w:t>surge </w:t>
      </w:r>
      <w:r>
        <w:rPr/>
        <w:t>events. The method is based on time series </w:t>
      </w:r>
      <w:r>
        <w:rPr>
          <w:spacing w:val="-7"/>
        </w:rPr>
        <w:t>of </w:t>
      </w:r>
      <w:r>
        <w:rPr/>
        <w:t>GPS measurements, mean sea levels, precision leveling measurements and the Danish </w:t>
      </w:r>
      <w:r>
        <w:rPr>
          <w:spacing w:val="-3"/>
        </w:rPr>
        <w:t>national </w:t>
      </w:r>
      <w:r>
        <w:rPr/>
        <w:t>elevation model (DK-DEM). A pilot project </w:t>
      </w:r>
      <w:r>
        <w:rPr>
          <w:spacing w:val="-6"/>
        </w:rPr>
        <w:t>has </w:t>
      </w:r>
      <w:r>
        <w:rPr/>
        <w:t>been</w:t>
      </w:r>
      <w:r>
        <w:rPr>
          <w:spacing w:val="-9"/>
        </w:rPr>
        <w:t> </w:t>
      </w:r>
      <w:r>
        <w:rPr/>
        <w:t>conducted</w:t>
      </w:r>
      <w:r>
        <w:rPr>
          <w:spacing w:val="-9"/>
        </w:rPr>
        <w:t> </w:t>
      </w:r>
      <w:r>
        <w:rPr/>
        <w:t>as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collaborative</w:t>
      </w:r>
      <w:r>
        <w:rPr>
          <w:spacing w:val="-9"/>
        </w:rPr>
        <w:t> </w:t>
      </w:r>
      <w:r>
        <w:rPr/>
        <w:t>effort</w:t>
      </w:r>
      <w:r>
        <w:rPr>
          <w:spacing w:val="-9"/>
        </w:rPr>
        <w:t> </w:t>
      </w:r>
      <w:r>
        <w:rPr>
          <w:spacing w:val="-3"/>
        </w:rPr>
        <w:t>between </w:t>
      </w:r>
      <w:r>
        <w:rPr/>
        <w:t>the</w:t>
      </w:r>
      <w:r>
        <w:rPr>
          <w:spacing w:val="-14"/>
        </w:rPr>
        <w:t> </w:t>
      </w:r>
      <w:r>
        <w:rPr/>
        <w:t>three</w:t>
      </w:r>
      <w:r>
        <w:rPr>
          <w:spacing w:val="-13"/>
        </w:rPr>
        <w:t> </w:t>
      </w:r>
      <w:r>
        <w:rPr/>
        <w:t>institutions,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municipality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>
          <w:spacing w:val="-3"/>
        </w:rPr>
        <w:t>Lemvig </w:t>
      </w:r>
      <w:r>
        <w:rPr/>
        <w:t>and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Lemvig</w:t>
      </w:r>
      <w:r>
        <w:rPr>
          <w:spacing w:val="-7"/>
        </w:rPr>
        <w:t> </w:t>
      </w:r>
      <w:r>
        <w:rPr/>
        <w:t>water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waste</w:t>
      </w:r>
      <w:r>
        <w:rPr>
          <w:spacing w:val="-7"/>
        </w:rPr>
        <w:t> </w:t>
      </w:r>
      <w:r>
        <w:rPr/>
        <w:t>water</w:t>
      </w:r>
      <w:r>
        <w:rPr>
          <w:spacing w:val="-8"/>
        </w:rPr>
        <w:t> </w:t>
      </w:r>
      <w:r>
        <w:rPr>
          <w:spacing w:val="-5"/>
        </w:rPr>
        <w:t>company. </w:t>
      </w:r>
      <w:r>
        <w:rPr/>
        <w:t>The focus of the pilot study was on utilization of</w:t>
      </w:r>
      <w:r>
        <w:rPr>
          <w:spacing w:val="-8"/>
        </w:rPr>
        <w:t> </w:t>
      </w:r>
      <w:r>
        <w:rPr/>
        <w:t>DK-DEM</w:t>
      </w:r>
      <w:r>
        <w:rPr>
          <w:spacing w:val="-8"/>
        </w:rPr>
        <w:t> </w:t>
      </w:r>
      <w:r>
        <w:rPr/>
        <w:t>combined</w:t>
      </w:r>
      <w:r>
        <w:rPr>
          <w:spacing w:val="-7"/>
        </w:rPr>
        <w:t> </w:t>
      </w:r>
      <w:r>
        <w:rPr/>
        <w:t>with</w:t>
      </w:r>
      <w:r>
        <w:rPr>
          <w:spacing w:val="-7"/>
        </w:rPr>
        <w:t> </w:t>
      </w:r>
      <w:r>
        <w:rPr/>
        <w:t>time</w:t>
      </w:r>
      <w:r>
        <w:rPr>
          <w:spacing w:val="-8"/>
        </w:rPr>
        <w:t> </w:t>
      </w:r>
      <w:r>
        <w:rPr/>
        <w:t>series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>
          <w:spacing w:val="-3"/>
        </w:rPr>
        <w:t>preci- </w:t>
      </w:r>
      <w:r>
        <w:rPr/>
        <w:t>sion leveling</w:t>
      </w:r>
      <w:r>
        <w:rPr>
          <w:spacing w:val="-4"/>
        </w:rPr>
        <w:t> </w:t>
      </w:r>
      <w:r>
        <w:rPr/>
        <w:t>measurements.</w:t>
      </w:r>
    </w:p>
    <w:p>
      <w:pPr>
        <w:pStyle w:val="BodyText"/>
        <w:spacing w:line="252" w:lineRule="auto"/>
        <w:ind w:left="673" w:firstLine="234"/>
        <w:jc w:val="both"/>
      </w:pPr>
      <w:r>
        <w:rPr/>
        <w:t>The combination of these data sets makes </w:t>
      </w:r>
      <w:r>
        <w:rPr>
          <w:spacing w:val="-9"/>
        </w:rPr>
        <w:t>it </w:t>
      </w:r>
      <w:r>
        <w:rPr/>
        <w:t>possible to identify areas prone to flooding </w:t>
      </w:r>
      <w:r>
        <w:rPr>
          <w:spacing w:val="-7"/>
        </w:rPr>
        <w:t>dur- </w:t>
      </w:r>
      <w:r>
        <w:rPr/>
        <w:t>ing future storm surge events, and a method </w:t>
      </w:r>
      <w:r>
        <w:rPr>
          <w:spacing w:val="-5"/>
        </w:rPr>
        <w:t>for </w:t>
      </w:r>
      <w:r>
        <w:rPr/>
        <w:t>identifying</w:t>
      </w:r>
      <w:r>
        <w:rPr>
          <w:spacing w:val="-6"/>
        </w:rPr>
        <w:t> </w:t>
      </w:r>
      <w:r>
        <w:rPr/>
        <w:t>both</w:t>
      </w:r>
      <w:r>
        <w:rPr>
          <w:spacing w:val="-6"/>
        </w:rPr>
        <w:t> </w:t>
      </w:r>
      <w:r>
        <w:rPr/>
        <w:t>area</w:t>
      </w:r>
      <w:r>
        <w:rPr>
          <w:spacing w:val="-5"/>
        </w:rPr>
        <w:t> </w:t>
      </w:r>
      <w:r>
        <w:rPr/>
        <w:t>and</w:t>
      </w:r>
      <w:r>
        <w:rPr>
          <w:spacing w:val="-6"/>
        </w:rPr>
        <w:t> </w:t>
      </w:r>
      <w:r>
        <w:rPr/>
        <w:t>depths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these</w:t>
      </w:r>
      <w:r>
        <w:rPr>
          <w:spacing w:val="-6"/>
        </w:rPr>
        <w:t> </w:t>
      </w:r>
      <w:r>
        <w:rPr/>
        <w:t>areas</w:t>
      </w:r>
      <w:r>
        <w:rPr>
          <w:spacing w:val="-5"/>
        </w:rPr>
        <w:t> </w:t>
      </w:r>
      <w:r>
        <w:rPr>
          <w:spacing w:val="-9"/>
        </w:rPr>
        <w:t>is </w:t>
      </w:r>
      <w:r>
        <w:rPr/>
        <w:t>presented. The study shows that land</w:t>
      </w:r>
      <w:r>
        <w:rPr>
          <w:spacing w:val="-42"/>
        </w:rPr>
        <w:t> </w:t>
      </w:r>
      <w:r>
        <w:rPr/>
        <w:t>subsidence at</w:t>
      </w:r>
      <w:r>
        <w:rPr>
          <w:spacing w:val="-16"/>
        </w:rPr>
        <w:t> </w:t>
      </w:r>
      <w:r>
        <w:rPr/>
        <w:t>the</w:t>
      </w:r>
      <w:r>
        <w:rPr>
          <w:spacing w:val="-16"/>
        </w:rPr>
        <w:t> </w:t>
      </w:r>
      <w:r>
        <w:rPr/>
        <w:t>local</w:t>
      </w:r>
      <w:r>
        <w:rPr>
          <w:spacing w:val="-15"/>
        </w:rPr>
        <w:t> </w:t>
      </w:r>
      <w:r>
        <w:rPr/>
        <w:t>scale</w:t>
      </w:r>
      <w:r>
        <w:rPr>
          <w:spacing w:val="-16"/>
        </w:rPr>
        <w:t> </w:t>
      </w:r>
      <w:r>
        <w:rPr/>
        <w:t>may</w:t>
      </w:r>
      <w:r>
        <w:rPr>
          <w:spacing w:val="-16"/>
        </w:rPr>
        <w:t> </w:t>
      </w:r>
      <w:r>
        <w:rPr/>
        <w:t>play</w:t>
      </w:r>
      <w:r>
        <w:rPr>
          <w:spacing w:val="-15"/>
        </w:rPr>
        <w:t> </w:t>
      </w:r>
      <w:r>
        <w:rPr/>
        <w:t>a</w:t>
      </w:r>
      <w:r>
        <w:rPr>
          <w:spacing w:val="-16"/>
        </w:rPr>
        <w:t> </w:t>
      </w:r>
      <w:r>
        <w:rPr/>
        <w:t>significant</w:t>
      </w:r>
      <w:r>
        <w:rPr>
          <w:spacing w:val="-16"/>
        </w:rPr>
        <w:t> </w:t>
      </w:r>
      <w:r>
        <w:rPr/>
        <w:t>role</w:t>
      </w:r>
      <w:r>
        <w:rPr>
          <w:spacing w:val="-15"/>
        </w:rPr>
        <w:t> </w:t>
      </w:r>
      <w:r>
        <w:rPr/>
        <w:t>in</w:t>
      </w:r>
      <w:r>
        <w:rPr>
          <w:spacing w:val="-16"/>
        </w:rPr>
        <w:t> </w:t>
      </w:r>
      <w:r>
        <w:rPr>
          <w:spacing w:val="-4"/>
        </w:rPr>
        <w:t>re- </w:t>
      </w:r>
      <w:r>
        <w:rPr/>
        <w:t>lation to the extent of flooding caused by </w:t>
      </w:r>
      <w:r>
        <w:rPr>
          <w:spacing w:val="-3"/>
        </w:rPr>
        <w:t>future </w:t>
      </w:r>
      <w:r>
        <w:rPr/>
        <w:t>storm surge events. Calculations of land </w:t>
      </w:r>
      <w:r>
        <w:rPr>
          <w:spacing w:val="-3"/>
        </w:rPr>
        <w:t>subsi- </w:t>
      </w:r>
      <w:r>
        <w:rPr/>
        <w:t>dence</w:t>
      </w:r>
      <w:r>
        <w:rPr>
          <w:spacing w:val="-10"/>
        </w:rPr>
        <w:t> </w:t>
      </w:r>
      <w:r>
        <w:rPr/>
        <w:t>rates</w:t>
      </w:r>
      <w:r>
        <w:rPr>
          <w:spacing w:val="-9"/>
        </w:rPr>
        <w:t> </w:t>
      </w:r>
      <w:r>
        <w:rPr/>
        <w:t>in</w:t>
      </w:r>
      <w:r>
        <w:rPr>
          <w:spacing w:val="-10"/>
        </w:rPr>
        <w:t> </w:t>
      </w:r>
      <w:r>
        <w:rPr/>
        <w:t>and</w:t>
      </w:r>
      <w:r>
        <w:rPr>
          <w:spacing w:val="-9"/>
        </w:rPr>
        <w:t> </w:t>
      </w:r>
      <w:r>
        <w:rPr/>
        <w:t>around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town</w:t>
      </w:r>
      <w:r>
        <w:rPr>
          <w:spacing w:val="-10"/>
        </w:rPr>
        <w:t> </w:t>
      </w:r>
      <w:r>
        <w:rPr/>
        <w:t>of</w:t>
      </w:r>
      <w:r>
        <w:rPr>
          <w:spacing w:val="-9"/>
        </w:rPr>
        <w:t> </w:t>
      </w:r>
      <w:r>
        <w:rPr>
          <w:spacing w:val="-3"/>
        </w:rPr>
        <w:t>Thyboroen </w:t>
      </w:r>
      <w:r>
        <w:rPr/>
        <w:t>are combined with information about the </w:t>
      </w:r>
      <w:r>
        <w:rPr>
          <w:spacing w:val="-3"/>
        </w:rPr>
        <w:t>terrain </w:t>
      </w:r>
      <w:r>
        <w:rPr/>
        <w:t>through DK-DEM to calculate future terrain</w:t>
      </w:r>
      <w:r>
        <w:rPr>
          <w:spacing w:val="-29"/>
        </w:rPr>
        <w:t> </w:t>
      </w:r>
      <w:r>
        <w:rPr>
          <w:spacing w:val="-5"/>
        </w:rPr>
        <w:t>ele- </w:t>
      </w:r>
      <w:r>
        <w:rPr/>
        <w:t>vation</w:t>
      </w:r>
      <w:r>
        <w:rPr>
          <w:spacing w:val="-2"/>
        </w:rPr>
        <w:t> </w:t>
      </w:r>
      <w:r>
        <w:rPr/>
        <w:t>levels.</w:t>
      </w:r>
    </w:p>
    <w:p>
      <w:pPr>
        <w:pStyle w:val="BodyText"/>
        <w:spacing w:line="252" w:lineRule="auto"/>
        <w:ind w:left="673" w:firstLine="234"/>
        <w:jc w:val="both"/>
      </w:pPr>
      <w:r>
        <w:rPr/>
        <w:t>These calculations are then combined </w:t>
      </w:r>
      <w:r>
        <w:rPr>
          <w:spacing w:val="-5"/>
        </w:rPr>
        <w:t>with </w:t>
      </w:r>
      <w:r>
        <w:rPr/>
        <w:t>forecasts of mean sea level rise to provide </w:t>
      </w:r>
      <w:r>
        <w:rPr>
          <w:spacing w:val="-5"/>
        </w:rPr>
        <w:t>re- </w:t>
      </w:r>
      <w:r>
        <w:rPr/>
        <w:t>alistic simulations of future flooding incidents. Similarly, the method may be used to model</w:t>
      </w:r>
      <w:r>
        <w:rPr>
          <w:spacing w:val="-31"/>
        </w:rPr>
        <w:t> </w:t>
      </w:r>
      <w:r>
        <w:rPr>
          <w:spacing w:val="-4"/>
        </w:rPr>
        <w:t>and </w:t>
      </w:r>
      <w:r>
        <w:rPr/>
        <w:t>visualize</w:t>
      </w:r>
      <w:r>
        <w:rPr>
          <w:spacing w:val="-19"/>
        </w:rPr>
        <w:t> </w:t>
      </w:r>
      <w:r>
        <w:rPr/>
        <w:t>the</w:t>
      </w:r>
      <w:r>
        <w:rPr>
          <w:spacing w:val="-19"/>
        </w:rPr>
        <w:t> </w:t>
      </w:r>
      <w:r>
        <w:rPr/>
        <w:t>effects</w:t>
      </w:r>
      <w:r>
        <w:rPr>
          <w:spacing w:val="-19"/>
        </w:rPr>
        <w:t> </w:t>
      </w:r>
      <w:r>
        <w:rPr/>
        <w:t>of</w:t>
      </w:r>
      <w:r>
        <w:rPr>
          <w:spacing w:val="-19"/>
        </w:rPr>
        <w:t> </w:t>
      </w:r>
      <w:r>
        <w:rPr/>
        <w:t>climate</w:t>
      </w:r>
      <w:r>
        <w:rPr>
          <w:spacing w:val="-19"/>
        </w:rPr>
        <w:t> </w:t>
      </w:r>
      <w:r>
        <w:rPr/>
        <w:t>change</w:t>
      </w:r>
      <w:r>
        <w:rPr>
          <w:spacing w:val="-19"/>
        </w:rPr>
        <w:t> </w:t>
      </w:r>
      <w:r>
        <w:rPr/>
        <w:t>adaptation measures for future events of storm surge or </w:t>
      </w:r>
      <w:r>
        <w:rPr>
          <w:spacing w:val="-6"/>
        </w:rPr>
        <w:t>ex- </w:t>
      </w:r>
      <w:r>
        <w:rPr/>
        <w:t>treme</w:t>
      </w:r>
      <w:r>
        <w:rPr>
          <w:spacing w:val="-2"/>
        </w:rPr>
        <w:t> </w:t>
      </w:r>
      <w:r>
        <w:rPr/>
        <w:t>precipitation.</w:t>
      </w:r>
    </w:p>
    <w:p>
      <w:pPr>
        <w:pStyle w:val="BodyText"/>
        <w:spacing w:line="252" w:lineRule="auto"/>
        <w:ind w:left="673" w:firstLine="234"/>
        <w:jc w:val="both"/>
      </w:pPr>
      <w:r>
        <w:rPr/>
        <w:t>The</w:t>
      </w:r>
      <w:r>
        <w:rPr>
          <w:spacing w:val="-14"/>
        </w:rPr>
        <w:t> </w:t>
      </w:r>
      <w:r>
        <w:rPr/>
        <w:t>forecasting</w:t>
      </w:r>
      <w:r>
        <w:rPr>
          <w:spacing w:val="-14"/>
        </w:rPr>
        <w:t> </w:t>
      </w:r>
      <w:r>
        <w:rPr/>
        <w:t>and</w:t>
      </w:r>
      <w:r>
        <w:rPr>
          <w:spacing w:val="-14"/>
        </w:rPr>
        <w:t> </w:t>
      </w:r>
      <w:r>
        <w:rPr/>
        <w:t>simulation</w:t>
      </w:r>
      <w:r>
        <w:rPr>
          <w:spacing w:val="-14"/>
        </w:rPr>
        <w:t> </w:t>
      </w:r>
      <w:r>
        <w:rPr/>
        <w:t>examples</w:t>
      </w:r>
      <w:r>
        <w:rPr>
          <w:spacing w:val="-14"/>
        </w:rPr>
        <w:t> </w:t>
      </w:r>
      <w:r>
        <w:rPr>
          <w:spacing w:val="-5"/>
        </w:rPr>
        <w:t>from </w:t>
      </w:r>
      <w:r>
        <w:rPr/>
        <w:t>Thyboroen shows, that major parts of the </w:t>
      </w:r>
      <w:r>
        <w:rPr>
          <w:spacing w:val="-6"/>
        </w:rPr>
        <w:t>town </w:t>
      </w:r>
      <w:r>
        <w:rPr/>
        <w:t>near the harbor and north of the railroad is </w:t>
      </w:r>
      <w:r>
        <w:rPr>
          <w:spacing w:val="-6"/>
        </w:rPr>
        <w:t>at </w:t>
      </w:r>
      <w:r>
        <w:rPr/>
        <w:t>risk of flooding if a 100 year storm surge </w:t>
      </w:r>
      <w:r>
        <w:rPr>
          <w:spacing w:val="-5"/>
        </w:rPr>
        <w:t>event </w:t>
      </w:r>
      <w:r>
        <w:rPr/>
        <w:t>should occur today (see figure at page </w:t>
      </w:r>
      <w:hyperlink w:history="true" w:anchor="_bookmark1">
        <w:r>
          <w:rPr>
            <w:color w:val="FF0000"/>
          </w:rPr>
          <w:t>5</w:t>
        </w:r>
      </w:hyperlink>
      <w:r>
        <w:rPr/>
        <w:t>). If </w:t>
      </w:r>
      <w:r>
        <w:rPr>
          <w:spacing w:val="-6"/>
        </w:rPr>
        <w:t>the </w:t>
      </w:r>
      <w:r>
        <w:rPr/>
        <w:t>same</w:t>
      </w:r>
      <w:r>
        <w:rPr>
          <w:spacing w:val="19"/>
        </w:rPr>
        <w:t> </w:t>
      </w:r>
      <w:r>
        <w:rPr/>
        <w:t>storm</w:t>
      </w:r>
      <w:r>
        <w:rPr>
          <w:spacing w:val="19"/>
        </w:rPr>
        <w:t> </w:t>
      </w:r>
      <w:r>
        <w:rPr/>
        <w:t>should</w:t>
      </w:r>
      <w:r>
        <w:rPr>
          <w:spacing w:val="19"/>
        </w:rPr>
        <w:t> </w:t>
      </w:r>
      <w:r>
        <w:rPr/>
        <w:t>occur</w:t>
      </w:r>
      <w:r>
        <w:rPr>
          <w:spacing w:val="19"/>
        </w:rPr>
        <w:t> </w:t>
      </w:r>
      <w:r>
        <w:rPr/>
        <w:t>in</w:t>
      </w:r>
      <w:r>
        <w:rPr>
          <w:spacing w:val="19"/>
        </w:rPr>
        <w:t> </w:t>
      </w:r>
      <w:r>
        <w:rPr/>
        <w:t>the</w:t>
      </w:r>
      <w:r>
        <w:rPr>
          <w:spacing w:val="20"/>
        </w:rPr>
        <w:t> </w:t>
      </w:r>
      <w:r>
        <w:rPr/>
        <w:t>year</w:t>
      </w:r>
      <w:r>
        <w:rPr>
          <w:spacing w:val="19"/>
        </w:rPr>
        <w:t> </w:t>
      </w:r>
      <w:r>
        <w:rPr/>
        <w:t>2060,</w:t>
      </w:r>
      <w:r>
        <w:rPr>
          <w:spacing w:val="24"/>
        </w:rPr>
        <w:t> </w:t>
      </w:r>
      <w:r>
        <w:rPr>
          <w:spacing w:val="-5"/>
        </w:rPr>
        <w:t>and</w:t>
      </w:r>
    </w:p>
    <w:p>
      <w:pPr>
        <w:pStyle w:val="BodyText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BodyText"/>
        <w:rPr>
          <w:sz w:val="28"/>
        </w:rPr>
      </w:pPr>
    </w:p>
    <w:p>
      <w:pPr>
        <w:pStyle w:val="BodyText"/>
        <w:spacing w:line="249" w:lineRule="auto" w:before="167"/>
        <w:ind w:left="329" w:right="1131"/>
        <w:jc w:val="both"/>
      </w:pPr>
      <w:r>
        <w:rPr/>
        <w:t>no climate change adaptation measures has </w:t>
      </w:r>
      <w:r>
        <w:rPr>
          <w:spacing w:val="-4"/>
        </w:rPr>
        <w:t>been </w:t>
      </w:r>
      <w:r>
        <w:rPr/>
        <w:t>taken,</w:t>
      </w:r>
      <w:r>
        <w:rPr>
          <w:spacing w:val="-19"/>
        </w:rPr>
        <w:t> </w:t>
      </w:r>
      <w:r>
        <w:rPr/>
        <w:t>practically</w:t>
      </w:r>
      <w:r>
        <w:rPr>
          <w:spacing w:val="-21"/>
        </w:rPr>
        <w:t> </w:t>
      </w:r>
      <w:r>
        <w:rPr/>
        <w:t>the</w:t>
      </w:r>
      <w:r>
        <w:rPr>
          <w:spacing w:val="-21"/>
        </w:rPr>
        <w:t> </w:t>
      </w:r>
      <w:r>
        <w:rPr/>
        <w:t>whole</w:t>
      </w:r>
      <w:r>
        <w:rPr>
          <w:spacing w:val="-21"/>
        </w:rPr>
        <w:t> </w:t>
      </w:r>
      <w:r>
        <w:rPr/>
        <w:t>town</w:t>
      </w:r>
      <w:r>
        <w:rPr>
          <w:spacing w:val="-21"/>
        </w:rPr>
        <w:t> </w:t>
      </w:r>
      <w:r>
        <w:rPr/>
        <w:t>will</w:t>
      </w:r>
      <w:r>
        <w:rPr>
          <w:spacing w:val="-21"/>
        </w:rPr>
        <w:t> </w:t>
      </w:r>
      <w:r>
        <w:rPr/>
        <w:t>be</w:t>
      </w:r>
      <w:r>
        <w:rPr>
          <w:spacing w:val="-21"/>
        </w:rPr>
        <w:t> </w:t>
      </w:r>
      <w:r>
        <w:rPr/>
        <w:t>flooded, due to the increase in mean sea level and the </w:t>
      </w:r>
      <w:r>
        <w:rPr>
          <w:spacing w:val="-6"/>
        </w:rPr>
        <w:t>ef- </w:t>
      </w:r>
      <w:r>
        <w:rPr/>
        <w:t>fect of land subsidence at the local</w:t>
      </w:r>
      <w:r>
        <w:rPr>
          <w:spacing w:val="-12"/>
        </w:rPr>
        <w:t> </w:t>
      </w:r>
      <w:r>
        <w:rPr/>
        <w:t>scale.</w:t>
      </w:r>
    </w:p>
    <w:p>
      <w:pPr>
        <w:pStyle w:val="BodyText"/>
        <w:spacing w:line="252" w:lineRule="auto" w:before="5"/>
        <w:ind w:left="329" w:right="1131" w:firstLine="234"/>
        <w:jc w:val="both"/>
      </w:pPr>
      <w:r>
        <w:rPr/>
        <w:t>Further, local land subsidence has an </w:t>
      </w:r>
      <w:r>
        <w:rPr>
          <w:spacing w:val="-5"/>
        </w:rPr>
        <w:t>impor- </w:t>
      </w:r>
      <w:r>
        <w:rPr/>
        <w:t>tant impact on the performance of the </w:t>
      </w:r>
      <w:r>
        <w:rPr>
          <w:spacing w:val="-5"/>
        </w:rPr>
        <w:t>under- </w:t>
      </w:r>
      <w:r>
        <w:rPr/>
        <w:t>ground waste water pipeline system in </w:t>
      </w:r>
      <w:r>
        <w:rPr>
          <w:spacing w:val="-4"/>
        </w:rPr>
        <w:t>Thy- </w:t>
      </w:r>
      <w:r>
        <w:rPr/>
        <w:t>boroen,</w:t>
      </w:r>
      <w:r>
        <w:rPr>
          <w:spacing w:val="-12"/>
        </w:rPr>
        <w:t> </w:t>
      </w:r>
      <w:r>
        <w:rPr/>
        <w:t>causing</w:t>
      </w:r>
      <w:r>
        <w:rPr>
          <w:spacing w:val="-15"/>
        </w:rPr>
        <w:t> </w:t>
      </w:r>
      <w:r>
        <w:rPr/>
        <w:t>declining</w:t>
      </w:r>
      <w:r>
        <w:rPr>
          <w:spacing w:val="-14"/>
        </w:rPr>
        <w:t> </w:t>
      </w:r>
      <w:r>
        <w:rPr/>
        <w:t>slopes</w:t>
      </w:r>
      <w:r>
        <w:rPr>
          <w:spacing w:val="-15"/>
        </w:rPr>
        <w:t> </w:t>
      </w:r>
      <w:r>
        <w:rPr/>
        <w:t>of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pipe</w:t>
      </w:r>
      <w:r>
        <w:rPr>
          <w:spacing w:val="-14"/>
        </w:rPr>
        <w:t> </w:t>
      </w:r>
      <w:r>
        <w:rPr>
          <w:spacing w:val="-3"/>
        </w:rPr>
        <w:t>lines </w:t>
      </w:r>
      <w:r>
        <w:rPr/>
        <w:t>which</w:t>
      </w:r>
      <w:r>
        <w:rPr>
          <w:spacing w:val="-11"/>
        </w:rPr>
        <w:t> </w:t>
      </w:r>
      <w:r>
        <w:rPr/>
        <w:t>already</w:t>
      </w:r>
      <w:r>
        <w:rPr>
          <w:spacing w:val="-10"/>
        </w:rPr>
        <w:t> </w:t>
      </w:r>
      <w:r>
        <w:rPr/>
        <w:t>today</w:t>
      </w:r>
      <w:r>
        <w:rPr>
          <w:spacing w:val="-11"/>
        </w:rPr>
        <w:t> </w:t>
      </w:r>
      <w:r>
        <w:rPr/>
        <w:t>is</w:t>
      </w:r>
      <w:r>
        <w:rPr>
          <w:spacing w:val="-10"/>
        </w:rPr>
        <w:t> </w:t>
      </w:r>
      <w:r>
        <w:rPr/>
        <w:t>a</w:t>
      </w:r>
      <w:r>
        <w:rPr>
          <w:spacing w:val="-11"/>
        </w:rPr>
        <w:t> </w:t>
      </w:r>
      <w:r>
        <w:rPr/>
        <w:t>problem</w:t>
      </w:r>
      <w:r>
        <w:rPr>
          <w:spacing w:val="-10"/>
        </w:rPr>
        <w:t> </w:t>
      </w:r>
      <w:r>
        <w:rPr/>
        <w:t>in</w:t>
      </w:r>
      <w:r>
        <w:rPr>
          <w:spacing w:val="-11"/>
        </w:rPr>
        <w:t> </w:t>
      </w:r>
      <w:r>
        <w:rPr/>
        <w:t>need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a</w:t>
      </w:r>
      <w:r>
        <w:rPr>
          <w:spacing w:val="-10"/>
        </w:rPr>
        <w:t> </w:t>
      </w:r>
      <w:r>
        <w:rPr/>
        <w:t>so- lution.</w:t>
      </w:r>
      <w:r>
        <w:rPr>
          <w:spacing w:val="7"/>
        </w:rPr>
        <w:t> </w:t>
      </w:r>
      <w:r>
        <w:rPr/>
        <w:t>Thus,</w:t>
      </w:r>
      <w:r>
        <w:rPr>
          <w:spacing w:val="-11"/>
        </w:rPr>
        <w:t> </w:t>
      </w:r>
      <w:r>
        <w:rPr/>
        <w:t>knowledge</w:t>
      </w:r>
      <w:r>
        <w:rPr>
          <w:spacing w:val="-13"/>
        </w:rPr>
        <w:t> </w:t>
      </w:r>
      <w:r>
        <w:rPr/>
        <w:t>of</w:t>
      </w:r>
      <w:r>
        <w:rPr>
          <w:spacing w:val="-12"/>
        </w:rPr>
        <w:t> </w:t>
      </w:r>
      <w:r>
        <w:rPr/>
        <w:t>land</w:t>
      </w:r>
      <w:r>
        <w:rPr>
          <w:spacing w:val="-13"/>
        </w:rPr>
        <w:t> </w:t>
      </w:r>
      <w:r>
        <w:rPr/>
        <w:t>subsidence</w:t>
      </w:r>
      <w:r>
        <w:rPr>
          <w:spacing w:val="-12"/>
        </w:rPr>
        <w:t> </w:t>
      </w:r>
      <w:r>
        <w:rPr>
          <w:spacing w:val="-4"/>
        </w:rPr>
        <w:t>rates </w:t>
      </w:r>
      <w:r>
        <w:rPr/>
        <w:t>at the local scale may serve as an input for fu- ture renovation of the waste water pipeline </w:t>
      </w:r>
      <w:r>
        <w:rPr>
          <w:spacing w:val="-4"/>
        </w:rPr>
        <w:t>sys- </w:t>
      </w:r>
      <w:r>
        <w:rPr/>
        <w:t>tem. Similarly, land subsidence rates will </w:t>
      </w:r>
      <w:r>
        <w:rPr>
          <w:spacing w:val="-4"/>
        </w:rPr>
        <w:t>affect </w:t>
      </w:r>
      <w:r>
        <w:rPr/>
        <w:t>run-off patterns and water accumulation on </w:t>
      </w:r>
      <w:r>
        <w:rPr>
          <w:spacing w:val="-5"/>
        </w:rPr>
        <w:t>the </w:t>
      </w:r>
      <w:r>
        <w:rPr/>
        <w:t>terrain</w:t>
      </w:r>
      <w:r>
        <w:rPr>
          <w:spacing w:val="-2"/>
        </w:rPr>
        <w:t> </w:t>
      </w:r>
      <w:r>
        <w:rPr/>
        <w:t>surface.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The mean sea level measured in the harbor </w:t>
      </w:r>
      <w:r>
        <w:rPr>
          <w:spacing w:val="-6"/>
        </w:rPr>
        <w:t>at </w:t>
      </w:r>
      <w:r>
        <w:rPr/>
        <w:t>Thyboroen is calculated to be between 1,4 </w:t>
      </w:r>
      <w:r>
        <w:rPr>
          <w:spacing w:val="-5"/>
        </w:rPr>
        <w:t>and </w:t>
      </w:r>
      <w:r>
        <w:rPr/>
        <w:t>4,3 mm/year, which corresponds to the </w:t>
      </w:r>
      <w:r>
        <w:rPr>
          <w:spacing w:val="-4"/>
        </w:rPr>
        <w:t>newest</w:t>
      </w:r>
      <w:r>
        <w:rPr>
          <w:spacing w:val="52"/>
        </w:rPr>
        <w:t> </w:t>
      </w:r>
      <w:r>
        <w:rPr/>
        <w:t>forecasts from the International Panel on </w:t>
      </w:r>
      <w:r>
        <w:rPr>
          <w:spacing w:val="-4"/>
        </w:rPr>
        <w:t>Cli- </w:t>
      </w:r>
      <w:r>
        <w:rPr/>
        <w:t>mate Change (IPCC, 2007). In comparison </w:t>
      </w:r>
      <w:r>
        <w:rPr>
          <w:spacing w:val="-8"/>
        </w:rPr>
        <w:t>to </w:t>
      </w:r>
      <w:r>
        <w:rPr/>
        <w:t>these</w:t>
      </w:r>
      <w:r>
        <w:rPr>
          <w:spacing w:val="-19"/>
        </w:rPr>
        <w:t> </w:t>
      </w:r>
      <w:r>
        <w:rPr/>
        <w:t>figures</w:t>
      </w:r>
      <w:r>
        <w:rPr>
          <w:spacing w:val="-19"/>
        </w:rPr>
        <w:t> </w:t>
      </w:r>
      <w:r>
        <w:rPr/>
        <w:t>land</w:t>
      </w:r>
      <w:r>
        <w:rPr>
          <w:spacing w:val="-19"/>
        </w:rPr>
        <w:t> </w:t>
      </w:r>
      <w:r>
        <w:rPr/>
        <w:t>subsidence</w:t>
      </w:r>
      <w:r>
        <w:rPr>
          <w:spacing w:val="-18"/>
        </w:rPr>
        <w:t> </w:t>
      </w:r>
      <w:r>
        <w:rPr/>
        <w:t>rates</w:t>
      </w:r>
      <w:r>
        <w:rPr>
          <w:spacing w:val="-19"/>
        </w:rPr>
        <w:t> </w:t>
      </w:r>
      <w:r>
        <w:rPr/>
        <w:t>between</w:t>
      </w:r>
      <w:r>
        <w:rPr>
          <w:spacing w:val="-19"/>
        </w:rPr>
        <w:t> </w:t>
      </w:r>
      <w:r>
        <w:rPr/>
        <w:t>1</w:t>
      </w:r>
      <w:r>
        <w:rPr>
          <w:spacing w:val="-18"/>
        </w:rPr>
        <w:t> </w:t>
      </w:r>
      <w:r>
        <w:rPr>
          <w:spacing w:val="-5"/>
        </w:rPr>
        <w:t>and </w:t>
      </w:r>
      <w:r>
        <w:rPr/>
        <w:t>7 mm/year has been calculated at different </w:t>
      </w:r>
      <w:r>
        <w:rPr>
          <w:spacing w:val="-5"/>
        </w:rPr>
        <w:t>lo- </w:t>
      </w:r>
      <w:r>
        <w:rPr/>
        <w:t>cations in the town. The fact that these </w:t>
      </w:r>
      <w:r>
        <w:rPr>
          <w:spacing w:val="-4"/>
        </w:rPr>
        <w:t>num- </w:t>
      </w:r>
      <w:r>
        <w:rPr/>
        <w:t>bers are based on measurements rather than </w:t>
      </w:r>
      <w:r>
        <w:rPr>
          <w:spacing w:val="-4"/>
        </w:rPr>
        <w:t>pre- </w:t>
      </w:r>
      <w:r>
        <w:rPr/>
        <w:t>sumptions strengthens the argument, that </w:t>
      </w:r>
      <w:r>
        <w:rPr>
          <w:spacing w:val="-3"/>
        </w:rPr>
        <w:t>there </w:t>
      </w:r>
      <w:r>
        <w:rPr/>
        <w:t>is a need to consider these factors when </w:t>
      </w:r>
      <w:r>
        <w:rPr>
          <w:spacing w:val="-3"/>
        </w:rPr>
        <w:t>plan- </w:t>
      </w:r>
      <w:r>
        <w:rPr/>
        <w:t>ning</w:t>
      </w:r>
      <w:r>
        <w:rPr>
          <w:spacing w:val="-9"/>
        </w:rPr>
        <w:t> </w:t>
      </w:r>
      <w:r>
        <w:rPr/>
        <w:t>climate</w:t>
      </w:r>
      <w:r>
        <w:rPr>
          <w:spacing w:val="-9"/>
        </w:rPr>
        <w:t> </w:t>
      </w:r>
      <w:r>
        <w:rPr/>
        <w:t>change</w:t>
      </w:r>
      <w:r>
        <w:rPr>
          <w:spacing w:val="-9"/>
        </w:rPr>
        <w:t> </w:t>
      </w:r>
      <w:r>
        <w:rPr/>
        <w:t>adaptation</w:t>
      </w:r>
      <w:r>
        <w:rPr>
          <w:spacing w:val="-9"/>
        </w:rPr>
        <w:t> </w:t>
      </w:r>
      <w:r>
        <w:rPr/>
        <w:t>activities</w:t>
      </w:r>
      <w:r>
        <w:rPr>
          <w:spacing w:val="-9"/>
        </w:rPr>
        <w:t> </w:t>
      </w:r>
      <w:r>
        <w:rPr/>
        <w:t>in</w:t>
      </w:r>
      <w:r>
        <w:rPr>
          <w:spacing w:val="-9"/>
        </w:rPr>
        <w:t> </w:t>
      </w:r>
      <w:r>
        <w:rPr>
          <w:spacing w:val="-5"/>
        </w:rPr>
        <w:t>Thy- </w:t>
      </w:r>
      <w:r>
        <w:rPr/>
        <w:t>boroen, and that knowledge of land subsidence rates should be considered in general as part </w:t>
      </w:r>
      <w:r>
        <w:rPr>
          <w:spacing w:val="-6"/>
        </w:rPr>
        <w:t>of </w:t>
      </w:r>
      <w:r>
        <w:rPr/>
        <w:t>the climate adaption activities at the municipal- ity level in</w:t>
      </w:r>
      <w:r>
        <w:rPr>
          <w:spacing w:val="-5"/>
        </w:rPr>
        <w:t> </w:t>
      </w:r>
      <w:r>
        <w:rPr/>
        <w:t>Denmark.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Finally,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study</w:t>
      </w:r>
      <w:r>
        <w:rPr>
          <w:spacing w:val="-10"/>
        </w:rPr>
        <w:t> </w:t>
      </w:r>
      <w:r>
        <w:rPr/>
        <w:t>shows</w:t>
      </w:r>
      <w:r>
        <w:rPr>
          <w:spacing w:val="-9"/>
        </w:rPr>
        <w:t> </w:t>
      </w:r>
      <w:r>
        <w:rPr/>
        <w:t>that</w:t>
      </w:r>
      <w:r>
        <w:rPr>
          <w:spacing w:val="-10"/>
        </w:rPr>
        <w:t> </w:t>
      </w:r>
      <w:r>
        <w:rPr/>
        <w:t>DK-DEM</w:t>
      </w:r>
      <w:r>
        <w:rPr>
          <w:spacing w:val="-9"/>
        </w:rPr>
        <w:t> </w:t>
      </w:r>
      <w:r>
        <w:rPr/>
        <w:t>is</w:t>
      </w:r>
      <w:r>
        <w:rPr>
          <w:spacing w:val="-10"/>
        </w:rPr>
        <w:t> </w:t>
      </w:r>
      <w:r>
        <w:rPr>
          <w:spacing w:val="-4"/>
        </w:rPr>
        <w:t>well </w:t>
      </w:r>
      <w:r>
        <w:rPr/>
        <w:t>suited for the assessment of areas which are </w:t>
      </w:r>
      <w:r>
        <w:rPr>
          <w:spacing w:val="-7"/>
        </w:rPr>
        <w:t>at </w:t>
      </w:r>
      <w:r>
        <w:rPr/>
        <w:t>risk of flooding in the future. Detailed </w:t>
      </w:r>
      <w:r>
        <w:rPr>
          <w:spacing w:val="-4"/>
        </w:rPr>
        <w:t>knowl-</w:t>
      </w:r>
      <w:r>
        <w:rPr>
          <w:spacing w:val="52"/>
        </w:rPr>
        <w:t> </w:t>
      </w:r>
      <w:r>
        <w:rPr/>
        <w:t>edge about the historical development in </w:t>
      </w:r>
      <w:r>
        <w:rPr>
          <w:spacing w:val="-3"/>
        </w:rPr>
        <w:t>height </w:t>
      </w:r>
      <w:r>
        <w:rPr/>
        <w:t>differences between land and sea allow for</w:t>
      </w:r>
      <w:r>
        <w:rPr>
          <w:spacing w:val="-37"/>
        </w:rPr>
        <w:t> </w:t>
      </w:r>
      <w:r>
        <w:rPr>
          <w:spacing w:val="-4"/>
        </w:rPr>
        <w:t>mod- </w:t>
      </w:r>
      <w:r>
        <w:rPr/>
        <w:t>eling future elevation levels and the effects </w:t>
      </w:r>
      <w:r>
        <w:rPr>
          <w:spacing w:val="-7"/>
        </w:rPr>
        <w:t>of </w:t>
      </w:r>
      <w:r>
        <w:rPr/>
        <w:t>storm</w:t>
      </w:r>
      <w:r>
        <w:rPr>
          <w:spacing w:val="-9"/>
        </w:rPr>
        <w:t> </w:t>
      </w:r>
      <w:r>
        <w:rPr/>
        <w:t>surge</w:t>
      </w:r>
      <w:r>
        <w:rPr>
          <w:spacing w:val="-8"/>
        </w:rPr>
        <w:t> </w:t>
      </w:r>
      <w:r>
        <w:rPr/>
        <w:t>events,</w:t>
      </w:r>
      <w:r>
        <w:rPr>
          <w:spacing w:val="-8"/>
        </w:rPr>
        <w:t> </w:t>
      </w:r>
      <w:r>
        <w:rPr/>
        <w:t>in</w:t>
      </w:r>
      <w:r>
        <w:rPr>
          <w:spacing w:val="-8"/>
        </w:rPr>
        <w:t> </w:t>
      </w:r>
      <w:r>
        <w:rPr/>
        <w:t>terms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flooding</w:t>
      </w:r>
      <w:r>
        <w:rPr>
          <w:spacing w:val="-8"/>
        </w:rPr>
        <w:t> </w:t>
      </w:r>
      <w:r>
        <w:rPr/>
        <w:t>area</w:t>
      </w:r>
      <w:r>
        <w:rPr>
          <w:spacing w:val="-8"/>
        </w:rPr>
        <w:t> </w:t>
      </w:r>
      <w:r>
        <w:rPr>
          <w:spacing w:val="-5"/>
        </w:rPr>
        <w:t>and </w:t>
      </w:r>
      <w:r>
        <w:rPr/>
        <w:t>depths.</w:t>
      </w:r>
    </w:p>
    <w:p>
      <w:pPr>
        <w:spacing w:after="0" w:line="252" w:lineRule="auto"/>
        <w:jc w:val="both"/>
        <w:sectPr>
          <w:type w:val="continuous"/>
          <w:pgSz w:w="11910" w:h="16840"/>
          <w:pgMar w:top="0" w:bottom="280" w:left="460" w:right="0"/>
          <w:cols w:num="2" w:equalWidth="0">
            <w:col w:w="5309" w:space="40"/>
            <w:col w:w="610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9"/>
        </w:rPr>
      </w:pPr>
    </w:p>
    <w:p>
      <w:pPr>
        <w:pStyle w:val="BodyText"/>
        <w:ind w:left="1155"/>
        <w:rPr>
          <w:sz w:val="20"/>
        </w:rPr>
      </w:pPr>
      <w:r>
        <w:rPr>
          <w:sz w:val="20"/>
        </w:rPr>
        <w:drawing>
          <wp:inline distT="0" distB="0" distL="0" distR="0">
            <wp:extent cx="5508117" cy="5775388"/>
            <wp:effectExtent l="0" t="0" r="0" b="0"/>
            <wp:docPr id="7" name="image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7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8117" cy="5775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sz w:val="7"/>
        </w:rPr>
      </w:pPr>
    </w:p>
    <w:p>
      <w:pPr>
        <w:spacing w:line="273" w:lineRule="auto" w:before="104"/>
        <w:ind w:left="673" w:right="1053" w:firstLine="0"/>
        <w:jc w:val="left"/>
        <w:rPr>
          <w:rFonts w:ascii="Arial"/>
          <w:sz w:val="22"/>
        </w:rPr>
      </w:pPr>
      <w:bookmarkStart w:name="_bookmark1" w:id="2"/>
      <w:bookmarkEnd w:id="2"/>
      <w:r>
        <w:rPr/>
      </w:r>
      <w:r>
        <w:rPr>
          <w:rFonts w:ascii="Arial"/>
          <w:sz w:val="22"/>
        </w:rPr>
        <w:t>The location of Thyboroen (above) and the maximum area of flooding in Thyboroen if a 100 year storm surge occurs today (lower left) and in the year 2060.</w:t>
      </w:r>
    </w:p>
    <w:p>
      <w:pPr>
        <w:pStyle w:val="BodyText"/>
        <w:spacing w:before="4"/>
        <w:rPr>
          <w:rFonts w:ascii="Arial"/>
          <w:sz w:val="38"/>
        </w:rPr>
      </w:pPr>
    </w:p>
    <w:p>
      <w:pPr>
        <w:spacing w:line="273" w:lineRule="auto" w:before="0"/>
        <w:ind w:left="673" w:right="1053" w:firstLine="0"/>
        <w:jc w:val="left"/>
        <w:rPr>
          <w:rFonts w:ascii="Arial" w:hAnsi="Arial"/>
          <w:sz w:val="22"/>
        </w:rPr>
      </w:pPr>
      <w:r>
        <w:rPr>
          <w:rFonts w:ascii="Arial" w:hAnsi="Arial"/>
          <w:sz w:val="22"/>
        </w:rPr>
        <w:t>Placeringen af Thyborøn (øverst) og den maksimale oversvømmelsesudbredelse i Thyborøn ved en 100-års hændelse i dag (til venstre) og i år 2060.</w:t>
      </w:r>
    </w:p>
    <w:p>
      <w:pPr>
        <w:spacing w:after="0" w:line="273" w:lineRule="auto"/>
        <w:jc w:val="left"/>
        <w:rPr>
          <w:rFonts w:ascii="Arial" w:hAnsi="Arial"/>
          <w:sz w:val="22"/>
        </w:rPr>
        <w:sectPr>
          <w:footerReference w:type="default" r:id="rId14"/>
          <w:pgSz w:w="11910" w:h="16840"/>
          <w:pgMar w:footer="546" w:header="0" w:top="1580" w:bottom="740" w:left="460" w:right="0"/>
        </w:sectPr>
      </w:pPr>
    </w:p>
    <w:p>
      <w:pPr>
        <w:pStyle w:val="BodyText"/>
        <w:spacing w:before="10"/>
        <w:rPr>
          <w:rFonts w:ascii="Arial"/>
          <w:sz w:val="28"/>
        </w:rPr>
      </w:pPr>
    </w:p>
    <w:p>
      <w:pPr>
        <w:pStyle w:val="Heading1"/>
      </w:pPr>
      <w:r>
        <w:rPr/>
        <w:t>Sammendrag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"/>
        <w:rPr>
          <w:rFonts w:ascii="Arial"/>
          <w:b/>
          <w:sz w:val="22"/>
        </w:rPr>
      </w:pPr>
    </w:p>
    <w:p>
      <w:pPr>
        <w:spacing w:after="0"/>
        <w:rPr>
          <w:rFonts w:ascii="Arial"/>
          <w:sz w:val="22"/>
        </w:rPr>
        <w:sectPr>
          <w:footerReference w:type="default" r:id="rId16"/>
          <w:pgSz w:w="11910" w:h="16840"/>
          <w:pgMar w:footer="0" w:header="0" w:top="1580" w:bottom="280" w:left="460" w:right="0"/>
        </w:sectPr>
      </w:pPr>
    </w:p>
    <w:p>
      <w:pPr>
        <w:pStyle w:val="BodyText"/>
        <w:spacing w:line="252" w:lineRule="auto" w:before="97"/>
        <w:ind w:left="673"/>
        <w:jc w:val="both"/>
      </w:pPr>
      <w:bookmarkStart w:name="_bookmark2" w:id="3"/>
      <w:bookmarkEnd w:id="3"/>
      <w:r>
        <w:rPr/>
      </w:r>
      <w:r>
        <w:rPr/>
        <w:t>Geodatastyrelsen, Kystdirektoratet og </w:t>
      </w:r>
      <w:r>
        <w:rPr>
          <w:spacing w:val="-5"/>
        </w:rPr>
        <w:t>DTU- </w:t>
      </w:r>
      <w:r>
        <w:rPr/>
        <w:t>Space har udviklet en metode til simulering </w:t>
      </w:r>
      <w:r>
        <w:rPr>
          <w:spacing w:val="-8"/>
        </w:rPr>
        <w:t>af </w:t>
      </w:r>
      <w:r>
        <w:rPr/>
        <w:t>fremtidigt oversvømmelsesomfang i forbindel- se med stormflodshændelser. Metoden tager </w:t>
      </w:r>
      <w:r>
        <w:rPr>
          <w:spacing w:val="-6"/>
        </w:rPr>
        <w:t>ud- </w:t>
      </w:r>
      <w:r>
        <w:rPr/>
        <w:t>gangspunkt i tidsserier af GPS målinger, </w:t>
      </w:r>
      <w:r>
        <w:rPr>
          <w:spacing w:val="-5"/>
        </w:rPr>
        <w:t>vand- </w:t>
      </w:r>
      <w:r>
        <w:rPr/>
        <w:t>standsmålinger, præcisionsnivellementer af</w:t>
      </w:r>
      <w:r>
        <w:rPr>
          <w:spacing w:val="-26"/>
        </w:rPr>
        <w:t> </w:t>
      </w:r>
      <w:r>
        <w:rPr>
          <w:spacing w:val="-4"/>
        </w:rPr>
        <w:t>fiks- </w:t>
      </w:r>
      <w:r>
        <w:rPr/>
        <w:t>punkter og Danmarks Højdemodel. Metoden </w:t>
      </w:r>
      <w:r>
        <w:rPr>
          <w:spacing w:val="-8"/>
        </w:rPr>
        <w:t>er </w:t>
      </w:r>
      <w:r>
        <w:rPr/>
        <w:t>afprøvet ved gennemførelse af et fælles </w:t>
      </w:r>
      <w:r>
        <w:rPr>
          <w:spacing w:val="-3"/>
        </w:rPr>
        <w:t>pilot- </w:t>
      </w:r>
      <w:r>
        <w:rPr/>
        <w:t>studie i Thyborøn i et samarbejde med </w:t>
      </w:r>
      <w:r>
        <w:rPr>
          <w:spacing w:val="-3"/>
        </w:rPr>
        <w:t>Lemvig </w:t>
      </w:r>
      <w:r>
        <w:rPr/>
        <w:t>Kommune og Lemvig </w:t>
      </w:r>
      <w:r>
        <w:rPr>
          <w:spacing w:val="-7"/>
        </w:rPr>
        <w:t>Vand </w:t>
      </w:r>
      <w:r>
        <w:rPr/>
        <w:t>&amp; Spildevand </w:t>
      </w:r>
      <w:r>
        <w:rPr>
          <w:spacing w:val="-4"/>
        </w:rPr>
        <w:t>A/S. </w:t>
      </w:r>
      <w:r>
        <w:rPr/>
        <w:t>Pilotstudiets fokus var anvendelse af Danmarks Højdemodel</w:t>
      </w:r>
      <w:r>
        <w:rPr>
          <w:spacing w:val="-8"/>
        </w:rPr>
        <w:t> </w:t>
      </w:r>
      <w:r>
        <w:rPr/>
        <w:t>i</w:t>
      </w:r>
      <w:r>
        <w:rPr>
          <w:spacing w:val="-7"/>
        </w:rPr>
        <w:t> </w:t>
      </w:r>
      <w:r>
        <w:rPr/>
        <w:t>kombination</w:t>
      </w:r>
      <w:r>
        <w:rPr>
          <w:spacing w:val="-8"/>
        </w:rPr>
        <w:t> </w:t>
      </w:r>
      <w:r>
        <w:rPr/>
        <w:t>med</w:t>
      </w:r>
      <w:r>
        <w:rPr>
          <w:spacing w:val="-7"/>
        </w:rPr>
        <w:t> </w:t>
      </w:r>
      <w:r>
        <w:rPr/>
        <w:t>tidsserier</w:t>
      </w:r>
      <w:r>
        <w:rPr>
          <w:spacing w:val="-8"/>
        </w:rPr>
        <w:t> </w:t>
      </w:r>
      <w:r>
        <w:rPr/>
        <w:t>af</w:t>
      </w:r>
      <w:r>
        <w:rPr>
          <w:spacing w:val="-7"/>
        </w:rPr>
        <w:t> </w:t>
      </w:r>
      <w:r>
        <w:rPr>
          <w:spacing w:val="-6"/>
        </w:rPr>
        <w:t>me- </w:t>
      </w:r>
      <w:r>
        <w:rPr/>
        <w:t>get præcise højdemålinger foretaget med </w:t>
      </w:r>
      <w:r>
        <w:rPr>
          <w:spacing w:val="-4"/>
        </w:rPr>
        <w:t>land-</w:t>
      </w:r>
      <w:r>
        <w:rPr>
          <w:spacing w:val="52"/>
        </w:rPr>
        <w:t> </w:t>
      </w:r>
      <w:r>
        <w:rPr/>
        <w:t>målingsudstyr. Kombinationen af disse data </w:t>
      </w:r>
      <w:r>
        <w:rPr>
          <w:spacing w:val="-6"/>
        </w:rPr>
        <w:t>gør </w:t>
      </w:r>
      <w:r>
        <w:rPr/>
        <w:t>det</w:t>
      </w:r>
      <w:r>
        <w:rPr>
          <w:spacing w:val="-19"/>
        </w:rPr>
        <w:t> </w:t>
      </w:r>
      <w:r>
        <w:rPr/>
        <w:t>muligt</w:t>
      </w:r>
      <w:r>
        <w:rPr>
          <w:spacing w:val="-18"/>
        </w:rPr>
        <w:t> </w:t>
      </w:r>
      <w:r>
        <w:rPr/>
        <w:t>at</w:t>
      </w:r>
      <w:r>
        <w:rPr>
          <w:spacing w:val="-19"/>
        </w:rPr>
        <w:t> </w:t>
      </w:r>
      <w:r>
        <w:rPr/>
        <w:t>udpege</w:t>
      </w:r>
      <w:r>
        <w:rPr>
          <w:spacing w:val="-18"/>
        </w:rPr>
        <w:t> </w:t>
      </w:r>
      <w:r>
        <w:rPr/>
        <w:t>områder,</w:t>
      </w:r>
      <w:r>
        <w:rPr>
          <w:spacing w:val="-18"/>
        </w:rPr>
        <w:t> </w:t>
      </w:r>
      <w:r>
        <w:rPr/>
        <w:t>som</w:t>
      </w:r>
      <w:r>
        <w:rPr>
          <w:spacing w:val="-19"/>
        </w:rPr>
        <w:t> </w:t>
      </w:r>
      <w:r>
        <w:rPr/>
        <w:t>i</w:t>
      </w:r>
      <w:r>
        <w:rPr>
          <w:spacing w:val="-18"/>
        </w:rPr>
        <w:t> </w:t>
      </w:r>
      <w:r>
        <w:rPr/>
        <w:t>fremtiden</w:t>
      </w:r>
      <w:r>
        <w:rPr>
          <w:spacing w:val="-18"/>
        </w:rPr>
        <w:t> </w:t>
      </w:r>
      <w:r>
        <w:rPr>
          <w:spacing w:val="-5"/>
        </w:rPr>
        <w:t>vil </w:t>
      </w:r>
      <w:r>
        <w:rPr/>
        <w:t>være udsatte overfor oversvømmelser, og </w:t>
      </w:r>
      <w:r>
        <w:rPr>
          <w:spacing w:val="-4"/>
        </w:rPr>
        <w:t>meto- </w:t>
      </w:r>
      <w:r>
        <w:rPr/>
        <w:t>den muliggør estimering af både </w:t>
      </w:r>
      <w:r>
        <w:rPr>
          <w:spacing w:val="-4"/>
        </w:rPr>
        <w:t>oversvømmel- </w:t>
      </w:r>
      <w:r>
        <w:rPr/>
        <w:t>sesomfang og</w:t>
      </w:r>
      <w:r>
        <w:rPr>
          <w:spacing w:val="-7"/>
        </w:rPr>
        <w:t> </w:t>
      </w:r>
      <w:r>
        <w:rPr/>
        <w:t>oversvømmelsesdybder.</w:t>
      </w:r>
    </w:p>
    <w:p>
      <w:pPr>
        <w:pStyle w:val="BodyText"/>
        <w:spacing w:line="261" w:lineRule="exact"/>
        <w:ind w:left="907"/>
      </w:pPr>
      <w:r>
        <w:rPr/>
        <w:t>Pilotstudiet viser, at lokal landsænkning kan</w:t>
      </w:r>
    </w:p>
    <w:p>
      <w:pPr>
        <w:pStyle w:val="BodyText"/>
        <w:spacing w:line="252" w:lineRule="auto" w:before="13"/>
        <w:ind w:left="673"/>
        <w:jc w:val="both"/>
      </w:pPr>
      <w:r>
        <w:rPr/>
        <w:t>spille en anseelig rolle i forhold til </w:t>
      </w:r>
      <w:r>
        <w:rPr>
          <w:spacing w:val="-4"/>
        </w:rPr>
        <w:t>oversvøm- </w:t>
      </w:r>
      <w:r>
        <w:rPr/>
        <w:t>melse fra havet. Beregninger af </w:t>
      </w:r>
      <w:r>
        <w:rPr>
          <w:spacing w:val="-2"/>
        </w:rPr>
        <w:t>landhævnings- </w:t>
      </w:r>
      <w:r>
        <w:rPr/>
        <w:t>og sænkningsrater i og omkring Thyborøn </w:t>
      </w:r>
      <w:r>
        <w:rPr>
          <w:spacing w:val="-8"/>
        </w:rPr>
        <w:t>by   </w:t>
      </w:r>
      <w:r>
        <w:rPr/>
        <w:t>er koblet med information om terrænet fra </w:t>
      </w:r>
      <w:r>
        <w:rPr>
          <w:spacing w:val="-4"/>
        </w:rPr>
        <w:t>Dan- </w:t>
      </w:r>
      <w:r>
        <w:rPr/>
        <w:t>marks Højdemodel og anvendt til at estimere, hvordan terrænet vil bevæge sig i fremtiden. Når denne viden kombineres med prognoser </w:t>
      </w:r>
      <w:r>
        <w:rPr>
          <w:spacing w:val="-5"/>
        </w:rPr>
        <w:t>for </w:t>
      </w:r>
      <w:r>
        <w:rPr/>
        <w:t>havspejlsstigningen i området, kan realistiske</w:t>
      </w:r>
      <w:r>
        <w:rPr>
          <w:spacing w:val="-31"/>
        </w:rPr>
        <w:t> </w:t>
      </w:r>
      <w:r>
        <w:rPr>
          <w:spacing w:val="-6"/>
        </w:rPr>
        <w:t>si- </w:t>
      </w:r>
      <w:r>
        <w:rPr/>
        <w:t>muleringer af oversvømmelser ved en stormflod udføres, og konsekvenser af planlagte klimatil- pasningstiltag kan visualiseres rumligt med </w:t>
      </w:r>
      <w:r>
        <w:rPr>
          <w:spacing w:val="-4"/>
        </w:rPr>
        <w:t>hen- </w:t>
      </w:r>
      <w:r>
        <w:rPr/>
        <w:t>syn til deres effekt på fremtidige stormfloder </w:t>
      </w:r>
      <w:r>
        <w:rPr>
          <w:spacing w:val="-9"/>
        </w:rPr>
        <w:t>og </w:t>
      </w:r>
      <w:r>
        <w:rPr/>
        <w:t>ekstreme</w:t>
      </w:r>
      <w:r>
        <w:rPr>
          <w:spacing w:val="-2"/>
        </w:rPr>
        <w:t> </w:t>
      </w:r>
      <w:r>
        <w:rPr/>
        <w:t>nedbørshændelser.</w:t>
      </w:r>
    </w:p>
    <w:p>
      <w:pPr>
        <w:pStyle w:val="BodyText"/>
        <w:spacing w:line="252" w:lineRule="auto"/>
        <w:ind w:left="673" w:firstLine="234"/>
        <w:jc w:val="both"/>
      </w:pPr>
      <w:r>
        <w:rPr/>
        <w:t>Beregningseksemplerne</w:t>
      </w:r>
      <w:r>
        <w:rPr>
          <w:spacing w:val="-15"/>
        </w:rPr>
        <w:t> </w:t>
      </w:r>
      <w:r>
        <w:rPr/>
        <w:t>fra</w:t>
      </w:r>
      <w:r>
        <w:rPr>
          <w:spacing w:val="-15"/>
        </w:rPr>
        <w:t> </w:t>
      </w:r>
      <w:r>
        <w:rPr/>
        <w:t>Thyborøn</w:t>
      </w:r>
      <w:r>
        <w:rPr>
          <w:spacing w:val="-14"/>
        </w:rPr>
        <w:t> </w:t>
      </w:r>
      <w:r>
        <w:rPr/>
        <w:t>viser,</w:t>
      </w:r>
      <w:r>
        <w:rPr>
          <w:spacing w:val="-15"/>
        </w:rPr>
        <w:t> </w:t>
      </w:r>
      <w:r>
        <w:rPr>
          <w:spacing w:val="-8"/>
        </w:rPr>
        <w:t>at </w:t>
      </w:r>
      <w:r>
        <w:rPr/>
        <w:t>store</w:t>
      </w:r>
      <w:r>
        <w:rPr>
          <w:spacing w:val="-12"/>
        </w:rPr>
        <w:t> </w:t>
      </w:r>
      <w:r>
        <w:rPr/>
        <w:t>dele</w:t>
      </w:r>
      <w:r>
        <w:rPr>
          <w:spacing w:val="-12"/>
        </w:rPr>
        <w:t> </w:t>
      </w:r>
      <w:r>
        <w:rPr/>
        <w:t>af</w:t>
      </w:r>
      <w:r>
        <w:rPr>
          <w:spacing w:val="-12"/>
        </w:rPr>
        <w:t> </w:t>
      </w:r>
      <w:r>
        <w:rPr/>
        <w:t>byen</w:t>
      </w:r>
      <w:r>
        <w:rPr>
          <w:spacing w:val="-12"/>
        </w:rPr>
        <w:t> </w:t>
      </w:r>
      <w:r>
        <w:rPr/>
        <w:t>nær</w:t>
      </w:r>
      <w:r>
        <w:rPr>
          <w:spacing w:val="-12"/>
        </w:rPr>
        <w:t> </w:t>
      </w:r>
      <w:r>
        <w:rPr/>
        <w:t>havnen</w:t>
      </w:r>
      <w:r>
        <w:rPr>
          <w:spacing w:val="-12"/>
        </w:rPr>
        <w:t> </w:t>
      </w:r>
      <w:r>
        <w:rPr/>
        <w:t>samt</w:t>
      </w:r>
      <w:r>
        <w:rPr>
          <w:spacing w:val="-12"/>
        </w:rPr>
        <w:t> </w:t>
      </w:r>
      <w:r>
        <w:rPr/>
        <w:t>nord</w:t>
      </w:r>
      <w:r>
        <w:rPr>
          <w:spacing w:val="-12"/>
        </w:rPr>
        <w:t> </w:t>
      </w:r>
      <w:r>
        <w:rPr/>
        <w:t>for</w:t>
      </w:r>
      <w:r>
        <w:rPr>
          <w:spacing w:val="-12"/>
        </w:rPr>
        <w:t> </w:t>
      </w:r>
      <w:r>
        <w:rPr>
          <w:spacing w:val="-3"/>
        </w:rPr>
        <w:t>jern- </w:t>
      </w:r>
      <w:r>
        <w:rPr/>
        <w:t>banen</w:t>
      </w:r>
      <w:r>
        <w:rPr>
          <w:spacing w:val="-9"/>
        </w:rPr>
        <w:t> </w:t>
      </w:r>
      <w:r>
        <w:rPr/>
        <w:t>er</w:t>
      </w:r>
      <w:r>
        <w:rPr>
          <w:spacing w:val="-10"/>
        </w:rPr>
        <w:t> </w:t>
      </w:r>
      <w:r>
        <w:rPr/>
        <w:t>i</w:t>
      </w:r>
      <w:r>
        <w:rPr>
          <w:spacing w:val="-9"/>
        </w:rPr>
        <w:t> </w:t>
      </w:r>
      <w:r>
        <w:rPr/>
        <w:t>fare</w:t>
      </w:r>
      <w:r>
        <w:rPr>
          <w:spacing w:val="-9"/>
        </w:rPr>
        <w:t> </w:t>
      </w:r>
      <w:r>
        <w:rPr/>
        <w:t>for</w:t>
      </w:r>
      <w:r>
        <w:rPr>
          <w:spacing w:val="-9"/>
        </w:rPr>
        <w:t> </w:t>
      </w:r>
      <w:r>
        <w:rPr/>
        <w:t>at</w:t>
      </w:r>
      <w:r>
        <w:rPr>
          <w:spacing w:val="-9"/>
        </w:rPr>
        <w:t> </w:t>
      </w:r>
      <w:r>
        <w:rPr/>
        <w:t>blive</w:t>
      </w:r>
      <w:r>
        <w:rPr>
          <w:spacing w:val="-9"/>
        </w:rPr>
        <w:t> </w:t>
      </w:r>
      <w:r>
        <w:rPr/>
        <w:t>oversvømmet,</w:t>
      </w:r>
      <w:r>
        <w:rPr>
          <w:spacing w:val="-9"/>
        </w:rPr>
        <w:t> </w:t>
      </w:r>
      <w:r>
        <w:rPr/>
        <w:t>såfremt en 100 års stormflodshændelse indtræffer i </w:t>
      </w:r>
      <w:r>
        <w:rPr>
          <w:spacing w:val="-5"/>
        </w:rPr>
        <w:t>dag </w:t>
      </w:r>
      <w:r>
        <w:rPr/>
        <w:t>(jævnfør</w:t>
      </w:r>
      <w:r>
        <w:rPr>
          <w:spacing w:val="-18"/>
        </w:rPr>
        <w:t> </w:t>
      </w:r>
      <w:r>
        <w:rPr/>
        <w:t>figuren</w:t>
      </w:r>
      <w:r>
        <w:rPr>
          <w:spacing w:val="-17"/>
        </w:rPr>
        <w:t> </w:t>
      </w:r>
      <w:r>
        <w:rPr/>
        <w:t>på</w:t>
      </w:r>
      <w:r>
        <w:rPr>
          <w:spacing w:val="-18"/>
        </w:rPr>
        <w:t> </w:t>
      </w:r>
      <w:r>
        <w:rPr/>
        <w:t>side</w:t>
      </w:r>
      <w:r>
        <w:rPr>
          <w:spacing w:val="-17"/>
        </w:rPr>
        <w:t> </w:t>
      </w:r>
      <w:hyperlink w:history="true" w:anchor="_bookmark1">
        <w:r>
          <w:rPr>
            <w:color w:val="FF0000"/>
          </w:rPr>
          <w:t>5</w:t>
        </w:r>
      </w:hyperlink>
      <w:r>
        <w:rPr/>
        <w:t>).</w:t>
      </w:r>
      <w:r>
        <w:rPr>
          <w:spacing w:val="-18"/>
        </w:rPr>
        <w:t> </w:t>
      </w:r>
      <w:r>
        <w:rPr/>
        <w:t>I</w:t>
      </w:r>
      <w:r>
        <w:rPr>
          <w:spacing w:val="-17"/>
        </w:rPr>
        <w:t> </w:t>
      </w:r>
      <w:r>
        <w:rPr/>
        <w:t>år</w:t>
      </w:r>
      <w:r>
        <w:rPr>
          <w:spacing w:val="-17"/>
        </w:rPr>
        <w:t> </w:t>
      </w:r>
      <w:r>
        <w:rPr/>
        <w:t>2060</w:t>
      </w:r>
      <w:r>
        <w:rPr>
          <w:spacing w:val="-18"/>
        </w:rPr>
        <w:t> </w:t>
      </w:r>
      <w:r>
        <w:rPr/>
        <w:t>vil</w:t>
      </w:r>
      <w:r>
        <w:rPr>
          <w:spacing w:val="-17"/>
        </w:rPr>
        <w:t> </w:t>
      </w:r>
      <w:r>
        <w:rPr/>
        <w:t>det</w:t>
      </w:r>
      <w:r>
        <w:rPr>
          <w:spacing w:val="-18"/>
        </w:rPr>
        <w:t> </w:t>
      </w:r>
      <w:r>
        <w:rPr>
          <w:spacing w:val="-3"/>
        </w:rPr>
        <w:t>imid-</w:t>
      </w:r>
    </w:p>
    <w:p>
      <w:pPr>
        <w:pStyle w:val="BodyText"/>
        <w:spacing w:line="252" w:lineRule="auto" w:before="97"/>
        <w:ind w:left="329" w:right="1131"/>
        <w:jc w:val="both"/>
      </w:pPr>
      <w:r>
        <w:rPr/>
        <w:br w:type="column"/>
      </w:r>
      <w:r>
        <w:rPr/>
        <w:t>lertid være stort set hele Thyborøn, som</w:t>
      </w:r>
      <w:r>
        <w:rPr>
          <w:spacing w:val="-21"/>
        </w:rPr>
        <w:t> </w:t>
      </w:r>
      <w:r>
        <w:rPr/>
        <w:t>potenti- elt vil oversvømmes ved en 100 års stormflods- hændelse</w:t>
      </w:r>
      <w:r>
        <w:rPr>
          <w:spacing w:val="-14"/>
        </w:rPr>
        <w:t> </w:t>
      </w:r>
      <w:r>
        <w:rPr/>
        <w:t>pga.</w:t>
      </w:r>
      <w:r>
        <w:rPr>
          <w:spacing w:val="-14"/>
        </w:rPr>
        <w:t> </w:t>
      </w:r>
      <w:r>
        <w:rPr/>
        <w:t>havspejlsstigningen</w:t>
      </w:r>
      <w:r>
        <w:rPr>
          <w:spacing w:val="-14"/>
        </w:rPr>
        <w:t> </w:t>
      </w:r>
      <w:r>
        <w:rPr/>
        <w:t>og</w:t>
      </w:r>
      <w:r>
        <w:rPr>
          <w:spacing w:val="-14"/>
        </w:rPr>
        <w:t> </w:t>
      </w:r>
      <w:r>
        <w:rPr/>
        <w:t>effekten</w:t>
      </w:r>
      <w:r>
        <w:rPr>
          <w:spacing w:val="-14"/>
        </w:rPr>
        <w:t> </w:t>
      </w:r>
      <w:r>
        <w:rPr>
          <w:spacing w:val="-8"/>
        </w:rPr>
        <w:t>af </w:t>
      </w:r>
      <w:r>
        <w:rPr/>
        <w:t>lokale landsænkninger, såfremt der ikke udføres klimatilpasningstiltag for at modvirke</w:t>
      </w:r>
      <w:r>
        <w:rPr>
          <w:spacing w:val="-10"/>
        </w:rPr>
        <w:t> </w:t>
      </w:r>
      <w:r>
        <w:rPr/>
        <w:t>dette.</w:t>
      </w:r>
    </w:p>
    <w:p>
      <w:pPr>
        <w:pStyle w:val="BodyText"/>
        <w:spacing w:line="220" w:lineRule="exact"/>
        <w:ind w:left="563"/>
      </w:pPr>
      <w:r>
        <w:rPr/>
        <w:t>De lokale sætninger har endvidere betydning</w:t>
      </w:r>
    </w:p>
    <w:p>
      <w:pPr>
        <w:pStyle w:val="BodyText"/>
        <w:spacing w:line="252" w:lineRule="auto" w:before="13"/>
        <w:ind w:left="329" w:right="1131"/>
        <w:jc w:val="both"/>
      </w:pPr>
      <w:r>
        <w:rPr/>
        <w:t>for spildevandsafledningen i Thyborøn, hvor </w:t>
      </w:r>
      <w:r>
        <w:rPr>
          <w:spacing w:val="-5"/>
        </w:rPr>
        <w:t>det </w:t>
      </w:r>
      <w:r>
        <w:rPr/>
        <w:t>manglende fald i kloakkerne grundet de </w:t>
      </w:r>
      <w:r>
        <w:rPr>
          <w:spacing w:val="-3"/>
        </w:rPr>
        <w:t>påvi- </w:t>
      </w:r>
      <w:r>
        <w:rPr/>
        <w:t>ste</w:t>
      </w:r>
      <w:r>
        <w:rPr>
          <w:spacing w:val="-7"/>
        </w:rPr>
        <w:t> </w:t>
      </w:r>
      <w:r>
        <w:rPr/>
        <w:t>sætninger</w:t>
      </w:r>
      <w:r>
        <w:rPr>
          <w:spacing w:val="-7"/>
        </w:rPr>
        <w:t> </w:t>
      </w:r>
      <w:r>
        <w:rPr/>
        <w:t>allerede</w:t>
      </w:r>
      <w:r>
        <w:rPr>
          <w:spacing w:val="-6"/>
        </w:rPr>
        <w:t> </w:t>
      </w:r>
      <w:r>
        <w:rPr/>
        <w:t>i</w:t>
      </w:r>
      <w:r>
        <w:rPr>
          <w:spacing w:val="-7"/>
        </w:rPr>
        <w:t> </w:t>
      </w:r>
      <w:r>
        <w:rPr/>
        <w:t>dag</w:t>
      </w:r>
      <w:r>
        <w:rPr>
          <w:spacing w:val="-7"/>
        </w:rPr>
        <w:t> </w:t>
      </w:r>
      <w:r>
        <w:rPr/>
        <w:t>udgør</w:t>
      </w:r>
      <w:r>
        <w:rPr>
          <w:spacing w:val="-6"/>
        </w:rPr>
        <w:t> </w:t>
      </w:r>
      <w:r>
        <w:rPr/>
        <w:t>en</w:t>
      </w:r>
      <w:r>
        <w:rPr>
          <w:spacing w:val="-7"/>
        </w:rPr>
        <w:t> </w:t>
      </w:r>
      <w:r>
        <w:rPr/>
        <w:t>udfordring. Her</w:t>
      </w:r>
      <w:r>
        <w:rPr>
          <w:spacing w:val="-10"/>
        </w:rPr>
        <w:t> </w:t>
      </w:r>
      <w:r>
        <w:rPr/>
        <w:t>kan</w:t>
      </w:r>
      <w:r>
        <w:rPr>
          <w:spacing w:val="-9"/>
        </w:rPr>
        <w:t> </w:t>
      </w:r>
      <w:r>
        <w:rPr/>
        <w:t>viden</w:t>
      </w:r>
      <w:r>
        <w:rPr>
          <w:spacing w:val="-10"/>
        </w:rPr>
        <w:t> </w:t>
      </w:r>
      <w:r>
        <w:rPr/>
        <w:t>om</w:t>
      </w:r>
      <w:r>
        <w:rPr>
          <w:spacing w:val="-10"/>
        </w:rPr>
        <w:t> </w:t>
      </w:r>
      <w:r>
        <w:rPr/>
        <w:t>lokale</w:t>
      </w:r>
      <w:r>
        <w:rPr>
          <w:spacing w:val="-9"/>
        </w:rPr>
        <w:t> </w:t>
      </w:r>
      <w:r>
        <w:rPr/>
        <w:t>sætningsforhold</w:t>
      </w:r>
      <w:r>
        <w:rPr>
          <w:spacing w:val="-10"/>
        </w:rPr>
        <w:t> </w:t>
      </w:r>
      <w:r>
        <w:rPr/>
        <w:t>indgå</w:t>
      </w:r>
      <w:r>
        <w:rPr>
          <w:spacing w:val="-9"/>
        </w:rPr>
        <w:t> </w:t>
      </w:r>
      <w:r>
        <w:rPr>
          <w:spacing w:val="-14"/>
        </w:rPr>
        <w:t>i </w:t>
      </w:r>
      <w:r>
        <w:rPr/>
        <w:t>fremtidig renovering af spildevandssystemer. </w:t>
      </w:r>
      <w:r>
        <w:rPr>
          <w:spacing w:val="-8"/>
        </w:rPr>
        <w:t>På </w:t>
      </w:r>
      <w:r>
        <w:rPr/>
        <w:t>samme måde kan større lokale og</w:t>
      </w:r>
      <w:r>
        <w:rPr>
          <w:spacing w:val="-30"/>
        </w:rPr>
        <w:t> </w:t>
      </w:r>
      <w:r>
        <w:rPr>
          <w:spacing w:val="-3"/>
        </w:rPr>
        <w:t>differentierede </w:t>
      </w:r>
      <w:r>
        <w:rPr/>
        <w:t>sætninger </w:t>
      </w:r>
      <w:r>
        <w:rPr>
          <w:spacing w:val="-3"/>
        </w:rPr>
        <w:t>have </w:t>
      </w:r>
      <w:r>
        <w:rPr/>
        <w:t>indflydelse på, hvilken vej </w:t>
      </w:r>
      <w:r>
        <w:rPr>
          <w:spacing w:val="-3"/>
        </w:rPr>
        <w:t>over- </w:t>
      </w:r>
      <w:r>
        <w:rPr/>
        <w:t>fladevandet samles fx ved</w:t>
      </w:r>
      <w:r>
        <w:rPr>
          <w:spacing w:val="-11"/>
        </w:rPr>
        <w:t> </w:t>
      </w:r>
      <w:r>
        <w:rPr/>
        <w:t>skybrud.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Havspejlsstigningen omkring Thyborøn er</w:t>
      </w:r>
      <w:r>
        <w:rPr>
          <w:spacing w:val="-39"/>
        </w:rPr>
        <w:t> </w:t>
      </w:r>
      <w:r>
        <w:rPr>
          <w:spacing w:val="-5"/>
        </w:rPr>
        <w:t>be- </w:t>
      </w:r>
      <w:r>
        <w:rPr/>
        <w:t>regnet til mellem 1,4 og 4,3 mm årligt, </w:t>
      </w:r>
      <w:r>
        <w:rPr>
          <w:spacing w:val="-3"/>
        </w:rPr>
        <w:t>hvil- </w:t>
      </w:r>
      <w:r>
        <w:rPr>
          <w:spacing w:val="54"/>
        </w:rPr>
        <w:t> </w:t>
      </w:r>
      <w:r>
        <w:rPr/>
        <w:t>ket svarer til de nyeste prognoser fra det</w:t>
      </w:r>
      <w:r>
        <w:rPr>
          <w:spacing w:val="27"/>
        </w:rPr>
        <w:t> </w:t>
      </w:r>
      <w:r>
        <w:rPr>
          <w:spacing w:val="-5"/>
        </w:rPr>
        <w:t>in- </w:t>
      </w:r>
      <w:r>
        <w:rPr/>
        <w:t>ternationale klimapanel IPCC (IPCC, 2007). </w:t>
      </w:r>
      <w:r>
        <w:rPr>
          <w:spacing w:val="-8"/>
        </w:rPr>
        <w:t>Til </w:t>
      </w:r>
      <w:r>
        <w:rPr/>
        <w:t>sammenligning</w:t>
      </w:r>
      <w:r>
        <w:rPr>
          <w:spacing w:val="-11"/>
        </w:rPr>
        <w:t> </w:t>
      </w:r>
      <w:r>
        <w:rPr/>
        <w:t>er</w:t>
      </w:r>
      <w:r>
        <w:rPr>
          <w:spacing w:val="-10"/>
        </w:rPr>
        <w:t> </w:t>
      </w:r>
      <w:r>
        <w:rPr/>
        <w:t>der</w:t>
      </w:r>
      <w:r>
        <w:rPr>
          <w:spacing w:val="-11"/>
        </w:rPr>
        <w:t> </w:t>
      </w:r>
      <w:r>
        <w:rPr/>
        <w:t>beregnet</w:t>
      </w:r>
      <w:r>
        <w:rPr>
          <w:spacing w:val="-10"/>
        </w:rPr>
        <w:t> </w:t>
      </w:r>
      <w:r>
        <w:rPr/>
        <w:t>lokale</w:t>
      </w:r>
      <w:r>
        <w:rPr>
          <w:spacing w:val="-10"/>
        </w:rPr>
        <w:t> </w:t>
      </w:r>
      <w:r>
        <w:rPr/>
        <w:t>landsænk- ningsrater i området, som ligger i intervallet 1</w:t>
      </w:r>
      <w:r>
        <w:rPr>
          <w:spacing w:val="-42"/>
        </w:rPr>
        <w:t> </w:t>
      </w:r>
      <w:r>
        <w:rPr>
          <w:spacing w:val="-4"/>
        </w:rPr>
        <w:t>til </w:t>
      </w:r>
      <w:r>
        <w:rPr/>
        <w:t>7 mm årligt. Det faktum, at alle beregninger i </w:t>
      </w:r>
      <w:r>
        <w:rPr>
          <w:spacing w:val="-6"/>
        </w:rPr>
        <w:t>de </w:t>
      </w:r>
      <w:r>
        <w:rPr/>
        <w:t>to beregningseksempler fra Thyborøn er baseret på målinger fremfor antagelser, underbygger</w:t>
      </w:r>
      <w:r>
        <w:rPr>
          <w:spacing w:val="-41"/>
        </w:rPr>
        <w:t> </w:t>
      </w:r>
      <w:r>
        <w:rPr>
          <w:spacing w:val="-6"/>
        </w:rPr>
        <w:t>hy- </w:t>
      </w:r>
      <w:r>
        <w:rPr/>
        <w:t>potesen</w:t>
      </w:r>
      <w:r>
        <w:rPr>
          <w:spacing w:val="-11"/>
        </w:rPr>
        <w:t> </w:t>
      </w:r>
      <w:r>
        <w:rPr/>
        <w:t>om,</w:t>
      </w:r>
      <w:r>
        <w:rPr>
          <w:spacing w:val="-10"/>
        </w:rPr>
        <w:t> </w:t>
      </w:r>
      <w:r>
        <w:rPr/>
        <w:t>at</w:t>
      </w:r>
      <w:r>
        <w:rPr>
          <w:spacing w:val="-10"/>
        </w:rPr>
        <w:t> </w:t>
      </w:r>
      <w:r>
        <w:rPr/>
        <w:t>der</w:t>
      </w:r>
      <w:r>
        <w:rPr>
          <w:spacing w:val="-10"/>
        </w:rPr>
        <w:t> </w:t>
      </w:r>
      <w:r>
        <w:rPr/>
        <w:t>er</w:t>
      </w:r>
      <w:r>
        <w:rPr>
          <w:spacing w:val="-10"/>
        </w:rPr>
        <w:t> </w:t>
      </w:r>
      <w:r>
        <w:rPr/>
        <w:t>behov</w:t>
      </w:r>
      <w:r>
        <w:rPr>
          <w:spacing w:val="-10"/>
        </w:rPr>
        <w:t> </w:t>
      </w:r>
      <w:r>
        <w:rPr/>
        <w:t>for</w:t>
      </w:r>
      <w:r>
        <w:rPr>
          <w:spacing w:val="-11"/>
        </w:rPr>
        <w:t> </w:t>
      </w:r>
      <w:r>
        <w:rPr/>
        <w:t>at</w:t>
      </w:r>
      <w:r>
        <w:rPr>
          <w:spacing w:val="-10"/>
        </w:rPr>
        <w:t> </w:t>
      </w:r>
      <w:r>
        <w:rPr/>
        <w:t>inddrage</w:t>
      </w:r>
      <w:r>
        <w:rPr>
          <w:spacing w:val="-10"/>
        </w:rPr>
        <w:t> </w:t>
      </w:r>
      <w:r>
        <w:rPr/>
        <w:t>viden om disse parametre ifm. klimatilpasningsindsat- sen i Thyborøn, samt at viden om lokale land- hævninger og sætninger generelt bør inddrages </w:t>
      </w:r>
      <w:r>
        <w:rPr>
          <w:spacing w:val="-13"/>
        </w:rPr>
        <w:t>i </w:t>
      </w:r>
      <w:r>
        <w:rPr/>
        <w:t>kommunernes arbejde med</w:t>
      </w:r>
      <w:r>
        <w:rPr>
          <w:spacing w:val="-8"/>
        </w:rPr>
        <w:t> </w:t>
      </w:r>
      <w:r>
        <w:rPr/>
        <w:t>klimatilpasning.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Endelig</w:t>
      </w:r>
      <w:r>
        <w:rPr>
          <w:spacing w:val="-16"/>
        </w:rPr>
        <w:t> </w:t>
      </w:r>
      <w:r>
        <w:rPr/>
        <w:t>viser</w:t>
      </w:r>
      <w:r>
        <w:rPr>
          <w:spacing w:val="-15"/>
        </w:rPr>
        <w:t> </w:t>
      </w:r>
      <w:r>
        <w:rPr/>
        <w:t>pilotstudiet,</w:t>
      </w:r>
      <w:r>
        <w:rPr>
          <w:spacing w:val="-15"/>
        </w:rPr>
        <w:t> </w:t>
      </w:r>
      <w:r>
        <w:rPr/>
        <w:t>at</w:t>
      </w:r>
      <w:r>
        <w:rPr>
          <w:spacing w:val="-16"/>
        </w:rPr>
        <w:t> </w:t>
      </w:r>
      <w:r>
        <w:rPr/>
        <w:t>Danmarks</w:t>
      </w:r>
      <w:r>
        <w:rPr>
          <w:spacing w:val="-15"/>
        </w:rPr>
        <w:t> </w:t>
      </w:r>
      <w:r>
        <w:rPr>
          <w:spacing w:val="-3"/>
        </w:rPr>
        <w:t>Højde- </w:t>
      </w:r>
      <w:r>
        <w:rPr/>
        <w:t>model udgør et særdeles godt udgangspunkt </w:t>
      </w:r>
      <w:r>
        <w:rPr>
          <w:spacing w:val="-5"/>
        </w:rPr>
        <w:t>for </w:t>
      </w:r>
      <w:r>
        <w:rPr/>
        <w:t>vurdering af potentielle fremtidige </w:t>
      </w:r>
      <w:r>
        <w:rPr>
          <w:spacing w:val="-4"/>
        </w:rPr>
        <w:t>oversvøm- </w:t>
      </w:r>
      <w:r>
        <w:rPr/>
        <w:t>melser. </w:t>
      </w:r>
      <w:r>
        <w:rPr>
          <w:spacing w:val="-9"/>
        </w:rPr>
        <w:t>Ved </w:t>
      </w:r>
      <w:r>
        <w:rPr/>
        <w:t>at inddrage detaljeret viden om </w:t>
      </w:r>
      <w:r>
        <w:rPr>
          <w:spacing w:val="-5"/>
        </w:rPr>
        <w:t>den </w:t>
      </w:r>
      <w:r>
        <w:rPr/>
        <w:t>historiske udvikling i højdeforskellen </w:t>
      </w:r>
      <w:r>
        <w:rPr>
          <w:spacing w:val="-3"/>
        </w:rPr>
        <w:t>mellem </w:t>
      </w:r>
      <w:r>
        <w:rPr/>
        <w:t>land og vand, kan højdeforhold og stormflod- shændelser “modelleres” i højdemodellen til </w:t>
      </w:r>
      <w:r>
        <w:rPr>
          <w:spacing w:val="-8"/>
        </w:rPr>
        <w:t>et </w:t>
      </w:r>
      <w:r>
        <w:rPr/>
        <w:t>vilkårligt tidspunkt i</w:t>
      </w:r>
      <w:r>
        <w:rPr>
          <w:spacing w:val="-4"/>
        </w:rPr>
        <w:t> </w:t>
      </w:r>
      <w:r>
        <w:rPr/>
        <w:t>fremtiden.</w:t>
      </w:r>
    </w:p>
    <w:p>
      <w:pPr>
        <w:spacing w:after="0" w:line="252" w:lineRule="auto"/>
        <w:jc w:val="both"/>
        <w:sectPr>
          <w:type w:val="continuous"/>
          <w:pgSz w:w="11910" w:h="16840"/>
          <w:pgMar w:top="0" w:bottom="280" w:left="460" w:right="0"/>
          <w:cols w:num="2" w:equalWidth="0">
            <w:col w:w="5309" w:space="40"/>
            <w:col w:w="6101"/>
          </w:cols>
        </w:sectPr>
      </w:pPr>
    </w:p>
    <w:p>
      <w:pPr>
        <w:pStyle w:val="BodyText"/>
        <w:spacing w:before="10"/>
        <w:rPr>
          <w:sz w:val="28"/>
        </w:rPr>
      </w:pPr>
    </w:p>
    <w:p>
      <w:pPr>
        <w:spacing w:line="463" w:lineRule="auto" w:before="111"/>
        <w:ind w:left="673" w:right="6772" w:firstLine="0"/>
        <w:jc w:val="left"/>
        <w:rPr>
          <w:rFonts w:ascii="Arial"/>
          <w:b/>
          <w:sz w:val="45"/>
        </w:rPr>
      </w:pPr>
      <w:r>
        <w:rPr>
          <w:rFonts w:ascii="Arial"/>
          <w:b/>
          <w:sz w:val="45"/>
        </w:rPr>
        <w:t>Kapitel 1 Indledning</w:t>
      </w:r>
    </w:p>
    <w:p>
      <w:pPr>
        <w:pStyle w:val="BodyText"/>
        <w:spacing w:before="8"/>
        <w:rPr>
          <w:rFonts w:ascii="Arial"/>
          <w:b/>
          <w:sz w:val="13"/>
        </w:rPr>
      </w:pPr>
    </w:p>
    <w:p>
      <w:pPr>
        <w:spacing w:after="0"/>
        <w:rPr>
          <w:rFonts w:ascii="Arial"/>
          <w:sz w:val="13"/>
        </w:rPr>
        <w:sectPr>
          <w:footerReference w:type="default" r:id="rId17"/>
          <w:pgSz w:w="11910" w:h="16840"/>
          <w:pgMar w:footer="0" w:header="0" w:top="1580" w:bottom="280" w:left="460" w:right="0"/>
        </w:sectPr>
      </w:pPr>
    </w:p>
    <w:p>
      <w:pPr>
        <w:pStyle w:val="Heading2"/>
        <w:numPr>
          <w:ilvl w:val="1"/>
          <w:numId w:val="2"/>
        </w:numPr>
        <w:tabs>
          <w:tab w:pos="1430" w:val="left" w:leader="none"/>
          <w:tab w:pos="1431" w:val="left" w:leader="none"/>
        </w:tabs>
        <w:spacing w:line="240" w:lineRule="auto" w:before="110" w:after="0"/>
        <w:ind w:left="1430" w:right="0" w:hanging="757"/>
        <w:jc w:val="left"/>
      </w:pPr>
      <w:bookmarkStart w:name="_bookmark3" w:id="4"/>
      <w:bookmarkEnd w:id="4"/>
      <w:r>
        <w:rPr>
          <w:b w:val="0"/>
        </w:rPr>
      </w:r>
      <w:bookmarkStart w:name="_bookmark3" w:id="5"/>
      <w:bookmarkEnd w:id="5"/>
      <w:r>
        <w:rPr/>
        <w:t>B</w:t>
      </w:r>
      <w:r>
        <w:rPr/>
        <w:t>aggrund</w:t>
      </w:r>
    </w:p>
    <w:p>
      <w:pPr>
        <w:pStyle w:val="BodyText"/>
        <w:spacing w:line="252" w:lineRule="auto" w:before="247"/>
        <w:ind w:left="673"/>
        <w:jc w:val="both"/>
      </w:pPr>
      <w:r>
        <w:rPr/>
        <w:t>Danmarks Højdemodel (DHM) giver et </w:t>
      </w:r>
      <w:r>
        <w:rPr>
          <w:spacing w:val="-3"/>
        </w:rPr>
        <w:t>digitalt </w:t>
      </w:r>
      <w:r>
        <w:rPr/>
        <w:t>øjebliksbillede af højdeforholdene i hele </w:t>
      </w:r>
      <w:r>
        <w:rPr>
          <w:spacing w:val="-5"/>
        </w:rPr>
        <w:t>Dan- </w:t>
      </w:r>
      <w:r>
        <w:rPr/>
        <w:t>mark og giver et godt udgangspunkt for vurde- ring af det potentielle oversvømmelsesomfang ved stormfloder. Stormflodshøjder kan </w:t>
      </w:r>
      <w:r>
        <w:rPr>
          <w:spacing w:val="-3"/>
        </w:rPr>
        <w:t>beskri- </w:t>
      </w:r>
      <w:r>
        <w:rPr/>
        <w:t>ves statistisk ud fra målte vandstande ved </w:t>
      </w:r>
      <w:r>
        <w:rPr>
          <w:spacing w:val="-7"/>
        </w:rPr>
        <w:t>de </w:t>
      </w:r>
      <w:r>
        <w:rPr/>
        <w:t>mange</w:t>
      </w:r>
      <w:r>
        <w:rPr>
          <w:spacing w:val="-15"/>
        </w:rPr>
        <w:t> </w:t>
      </w:r>
      <w:r>
        <w:rPr/>
        <w:t>vandstandsmålere</w:t>
      </w:r>
      <w:r>
        <w:rPr>
          <w:spacing w:val="-15"/>
        </w:rPr>
        <w:t> </w:t>
      </w:r>
      <w:r>
        <w:rPr/>
        <w:t>i</w:t>
      </w:r>
      <w:r>
        <w:rPr>
          <w:spacing w:val="-15"/>
        </w:rPr>
        <w:t> </w:t>
      </w:r>
      <w:r>
        <w:rPr/>
        <w:t>Danmark,</w:t>
      </w:r>
      <w:r>
        <w:rPr>
          <w:spacing w:val="-14"/>
        </w:rPr>
        <w:t> </w:t>
      </w:r>
      <w:r>
        <w:rPr/>
        <w:t>de</w:t>
      </w:r>
      <w:r>
        <w:rPr>
          <w:spacing w:val="-15"/>
        </w:rPr>
        <w:t> </w:t>
      </w:r>
      <w:r>
        <w:rPr/>
        <w:t>såkaldte højvandsstatistikker.</w:t>
      </w:r>
    </w:p>
    <w:p>
      <w:pPr>
        <w:pStyle w:val="BodyText"/>
        <w:spacing w:line="252" w:lineRule="auto"/>
        <w:ind w:left="673" w:firstLine="234"/>
        <w:jc w:val="both"/>
      </w:pPr>
      <w:r>
        <w:rPr/>
        <w:t>Prognoser for klimaændringer viser, at der </w:t>
      </w:r>
      <w:r>
        <w:rPr>
          <w:spacing w:val="-6"/>
        </w:rPr>
        <w:t>vil </w:t>
      </w:r>
      <w:r>
        <w:rPr/>
        <w:t>ske en accelererende stigning i havniveauet </w:t>
      </w:r>
      <w:r>
        <w:rPr>
          <w:spacing w:val="-6"/>
        </w:rPr>
        <w:t>om- </w:t>
      </w:r>
      <w:r>
        <w:rPr/>
        <w:t>kring Danmark. Der eksisterer stadig mange </w:t>
      </w:r>
      <w:r>
        <w:rPr>
          <w:spacing w:val="-9"/>
        </w:rPr>
        <w:t>og </w:t>
      </w:r>
      <w:r>
        <w:rPr/>
        <w:t>forskellige bud på omfanget af denne stigning, hvor centrale estimater er på omkring 80 </w:t>
      </w:r>
      <w:r>
        <w:rPr>
          <w:spacing w:val="-9"/>
        </w:rPr>
        <w:t>cm </w:t>
      </w:r>
      <w:r>
        <w:rPr/>
        <w:t>frem til år 2100 og 30 cm inden år 2060. En </w:t>
      </w:r>
      <w:r>
        <w:rPr>
          <w:spacing w:val="-6"/>
        </w:rPr>
        <w:t>så- </w:t>
      </w:r>
      <w:r>
        <w:rPr/>
        <w:t>dan stigning overgår langt stigningen på 15 - </w:t>
      </w:r>
      <w:r>
        <w:rPr>
          <w:spacing w:val="-7"/>
        </w:rPr>
        <w:t>18 </w:t>
      </w:r>
      <w:r>
        <w:rPr/>
        <w:t>cm i det 20. århundrede. En accelererende </w:t>
      </w:r>
      <w:r>
        <w:rPr>
          <w:spacing w:val="-3"/>
        </w:rPr>
        <w:t>stig- </w:t>
      </w:r>
      <w:r>
        <w:rPr/>
        <w:t>ning</w:t>
      </w:r>
      <w:r>
        <w:rPr>
          <w:spacing w:val="-10"/>
        </w:rPr>
        <w:t> </w:t>
      </w:r>
      <w:r>
        <w:rPr/>
        <w:t>i</w:t>
      </w:r>
      <w:r>
        <w:rPr>
          <w:spacing w:val="-10"/>
        </w:rPr>
        <w:t> </w:t>
      </w:r>
      <w:r>
        <w:rPr/>
        <w:t>havniveau</w:t>
      </w:r>
      <w:r>
        <w:rPr>
          <w:spacing w:val="-10"/>
        </w:rPr>
        <w:t> </w:t>
      </w:r>
      <w:r>
        <w:rPr/>
        <w:t>stiller</w:t>
      </w:r>
      <w:r>
        <w:rPr>
          <w:spacing w:val="-9"/>
        </w:rPr>
        <w:t> </w:t>
      </w:r>
      <w:r>
        <w:rPr/>
        <w:t>store</w:t>
      </w:r>
      <w:r>
        <w:rPr>
          <w:spacing w:val="-10"/>
        </w:rPr>
        <w:t> </w:t>
      </w:r>
      <w:r>
        <w:rPr/>
        <w:t>krav</w:t>
      </w:r>
      <w:r>
        <w:rPr>
          <w:spacing w:val="-10"/>
        </w:rPr>
        <w:t> </w:t>
      </w:r>
      <w:r>
        <w:rPr/>
        <w:t>til</w:t>
      </w:r>
      <w:r>
        <w:rPr>
          <w:spacing w:val="-10"/>
        </w:rPr>
        <w:t> </w:t>
      </w:r>
      <w:r>
        <w:rPr/>
        <w:t>planlægnin- gen og til, hvordan vi indretter og</w:t>
      </w:r>
      <w:r>
        <w:rPr>
          <w:spacing w:val="-22"/>
        </w:rPr>
        <w:t> </w:t>
      </w:r>
      <w:r>
        <w:rPr/>
        <w:t>klimatilpasser os til</w:t>
      </w:r>
      <w:r>
        <w:rPr>
          <w:spacing w:val="-3"/>
        </w:rPr>
        <w:t> </w:t>
      </w:r>
      <w:r>
        <w:rPr/>
        <w:t>fremtiden.</w:t>
      </w:r>
    </w:p>
    <w:p>
      <w:pPr>
        <w:pStyle w:val="BodyText"/>
        <w:spacing w:line="252" w:lineRule="auto"/>
        <w:ind w:left="673" w:firstLine="234"/>
        <w:jc w:val="both"/>
      </w:pPr>
      <w:r>
        <w:rPr/>
        <w:t>Udover selve stigningen  i  havniveau  </w:t>
      </w:r>
      <w:r>
        <w:rPr>
          <w:spacing w:val="-8"/>
        </w:rPr>
        <w:t>og </w:t>
      </w:r>
      <w:r>
        <w:rPr/>
        <w:t>dens indflydelse på fremtidens stormflodshøj- </w:t>
      </w:r>
      <w:r>
        <w:rPr>
          <w:spacing w:val="-3"/>
        </w:rPr>
        <w:t>der, </w:t>
      </w:r>
      <w:r>
        <w:rPr/>
        <w:t>spiller også landhævning og lokale </w:t>
      </w:r>
      <w:r>
        <w:rPr>
          <w:spacing w:val="-3"/>
        </w:rPr>
        <w:t>sætnin- </w:t>
      </w:r>
      <w:r>
        <w:rPr/>
        <w:t>ger</w:t>
      </w:r>
      <w:r>
        <w:rPr>
          <w:spacing w:val="-7"/>
        </w:rPr>
        <w:t> </w:t>
      </w:r>
      <w:r>
        <w:rPr/>
        <w:t>ind.</w:t>
      </w:r>
      <w:r>
        <w:rPr>
          <w:spacing w:val="-7"/>
        </w:rPr>
        <w:t> </w:t>
      </w:r>
      <w:r>
        <w:rPr/>
        <w:t>Landhævning</w:t>
      </w:r>
      <w:r>
        <w:rPr>
          <w:spacing w:val="-6"/>
        </w:rPr>
        <w:t> </w:t>
      </w:r>
      <w:r>
        <w:rPr/>
        <w:t>vil</w:t>
      </w:r>
      <w:r>
        <w:rPr>
          <w:spacing w:val="-7"/>
        </w:rPr>
        <w:t> </w:t>
      </w:r>
      <w:r>
        <w:rPr/>
        <w:t>mindske</w:t>
      </w:r>
      <w:r>
        <w:rPr>
          <w:spacing w:val="-6"/>
        </w:rPr>
        <w:t> </w:t>
      </w:r>
      <w:r>
        <w:rPr/>
        <w:t>effekten</w:t>
      </w:r>
      <w:r>
        <w:rPr>
          <w:spacing w:val="-8"/>
        </w:rPr>
        <w:t> </w:t>
      </w:r>
      <w:r>
        <w:rPr/>
        <w:t>af</w:t>
      </w:r>
      <w:r>
        <w:rPr>
          <w:spacing w:val="-6"/>
        </w:rPr>
        <w:t> </w:t>
      </w:r>
      <w:r>
        <w:rPr>
          <w:spacing w:val="-8"/>
        </w:rPr>
        <w:t>en </w:t>
      </w:r>
      <w:r>
        <w:rPr/>
        <w:t>havspejlsstigning, mens lokale sætninger vil</w:t>
      </w:r>
      <w:r>
        <w:rPr>
          <w:spacing w:val="-26"/>
        </w:rPr>
        <w:t> </w:t>
      </w:r>
      <w:r>
        <w:rPr>
          <w:spacing w:val="-7"/>
        </w:rPr>
        <w:t>for- </w:t>
      </w:r>
      <w:r>
        <w:rPr/>
        <w:t>stærke</w:t>
      </w:r>
      <w:r>
        <w:rPr>
          <w:spacing w:val="-2"/>
        </w:rPr>
        <w:t> </w:t>
      </w:r>
      <w:r>
        <w:rPr/>
        <w:t>den.</w:t>
      </w:r>
    </w:p>
    <w:p>
      <w:pPr>
        <w:pStyle w:val="BodyText"/>
        <w:spacing w:line="252" w:lineRule="auto"/>
        <w:ind w:left="673" w:firstLine="234"/>
        <w:jc w:val="both"/>
      </w:pPr>
      <w:r>
        <w:rPr/>
        <w:t>Set</w:t>
      </w:r>
      <w:r>
        <w:rPr>
          <w:spacing w:val="-17"/>
        </w:rPr>
        <w:t> </w:t>
      </w:r>
      <w:r>
        <w:rPr/>
        <w:t>i</w:t>
      </w:r>
      <w:r>
        <w:rPr>
          <w:spacing w:val="-15"/>
        </w:rPr>
        <w:t> </w:t>
      </w:r>
      <w:r>
        <w:rPr/>
        <w:t>forhold</w:t>
      </w:r>
      <w:r>
        <w:rPr>
          <w:spacing w:val="-17"/>
        </w:rPr>
        <w:t> </w:t>
      </w:r>
      <w:r>
        <w:rPr/>
        <w:t>til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lokalt</w:t>
      </w:r>
      <w:r>
        <w:rPr>
          <w:spacing w:val="-16"/>
        </w:rPr>
        <w:t> </w:t>
      </w:r>
      <w:r>
        <w:rPr/>
        <w:t>oplevede</w:t>
      </w:r>
      <w:r>
        <w:rPr>
          <w:spacing w:val="-17"/>
        </w:rPr>
        <w:t> </w:t>
      </w:r>
      <w:r>
        <w:rPr/>
        <w:t>ulemper</w:t>
      </w:r>
      <w:r>
        <w:rPr>
          <w:spacing w:val="-15"/>
        </w:rPr>
        <w:t> </w:t>
      </w:r>
      <w:r>
        <w:rPr>
          <w:spacing w:val="-7"/>
        </w:rPr>
        <w:t>ved </w:t>
      </w:r>
      <w:r>
        <w:rPr/>
        <w:t>et oversvømmet hus, boligkvarter eller industri- område er oversvømmelsens oprindelse </w:t>
      </w:r>
      <w:r>
        <w:rPr>
          <w:spacing w:val="-3"/>
        </w:rPr>
        <w:t>ligegyl- </w:t>
      </w:r>
      <w:r>
        <w:rPr/>
        <w:t>dig, når den først er indtruffet. Muligheden </w:t>
      </w:r>
      <w:r>
        <w:rPr>
          <w:spacing w:val="-7"/>
        </w:rPr>
        <w:t>for </w:t>
      </w:r>
      <w:r>
        <w:rPr/>
        <w:t>at dele ændringer i oversvømmelsesfare op i</w:t>
      </w:r>
      <w:r>
        <w:rPr>
          <w:spacing w:val="-35"/>
        </w:rPr>
        <w:t> </w:t>
      </w:r>
      <w:r>
        <w:rPr>
          <w:spacing w:val="-6"/>
        </w:rPr>
        <w:t>for- </w:t>
      </w:r>
      <w:r>
        <w:rPr/>
        <w:t>skellige</w:t>
      </w:r>
      <w:r>
        <w:rPr>
          <w:spacing w:val="-18"/>
        </w:rPr>
        <w:t> </w:t>
      </w:r>
      <w:r>
        <w:rPr/>
        <w:t>absolutte</w:t>
      </w:r>
      <w:r>
        <w:rPr>
          <w:spacing w:val="-18"/>
        </w:rPr>
        <w:t> </w:t>
      </w:r>
      <w:r>
        <w:rPr/>
        <w:t>bidrag,</w:t>
      </w:r>
      <w:r>
        <w:rPr>
          <w:spacing w:val="-18"/>
        </w:rPr>
        <w:t> </w:t>
      </w:r>
      <w:r>
        <w:rPr/>
        <w:t>f.eks.</w:t>
      </w:r>
      <w:r>
        <w:rPr>
          <w:spacing w:val="-18"/>
        </w:rPr>
        <w:t> </w:t>
      </w:r>
      <w:r>
        <w:rPr/>
        <w:t>de</w:t>
      </w:r>
      <w:r>
        <w:rPr>
          <w:spacing w:val="-18"/>
        </w:rPr>
        <w:t> </w:t>
      </w:r>
      <w:r>
        <w:rPr/>
        <w:t>ovenfor</w:t>
      </w:r>
      <w:r>
        <w:rPr>
          <w:spacing w:val="-17"/>
        </w:rPr>
        <w:t> </w:t>
      </w:r>
      <w:r>
        <w:rPr>
          <w:spacing w:val="-3"/>
        </w:rPr>
        <w:t>nævn- </w:t>
      </w:r>
      <w:r>
        <w:rPr/>
        <w:t>te havspejlsstigninger, landhævning og </w:t>
      </w:r>
      <w:r>
        <w:rPr>
          <w:spacing w:val="-3"/>
        </w:rPr>
        <w:t>sætnin- ger, </w:t>
      </w:r>
      <w:r>
        <w:rPr/>
        <w:t>eller nedbør og afløbssystemer, manglende vedligeholdelse af diger </w:t>
      </w:r>
      <w:r>
        <w:rPr>
          <w:spacing w:val="-4"/>
        </w:rPr>
        <w:t>mv., </w:t>
      </w:r>
      <w:r>
        <w:rPr/>
        <w:t>giver imidlertid </w:t>
      </w:r>
      <w:r>
        <w:rPr>
          <w:spacing w:val="-8"/>
        </w:rPr>
        <w:t>et </w:t>
      </w:r>
      <w:r>
        <w:rPr/>
        <w:t>bedre</w:t>
      </w:r>
      <w:r>
        <w:rPr>
          <w:spacing w:val="-14"/>
        </w:rPr>
        <w:t> </w:t>
      </w:r>
      <w:r>
        <w:rPr/>
        <w:t>grundlag</w:t>
      </w:r>
      <w:r>
        <w:rPr>
          <w:spacing w:val="-13"/>
        </w:rPr>
        <w:t> </w:t>
      </w:r>
      <w:r>
        <w:rPr/>
        <w:t>for</w:t>
      </w:r>
      <w:r>
        <w:rPr>
          <w:spacing w:val="-14"/>
        </w:rPr>
        <w:t> </w:t>
      </w:r>
      <w:r>
        <w:rPr/>
        <w:t>at</w:t>
      </w:r>
      <w:r>
        <w:rPr>
          <w:spacing w:val="-13"/>
        </w:rPr>
        <w:t> </w:t>
      </w:r>
      <w:r>
        <w:rPr/>
        <w:t>sætte</w:t>
      </w:r>
      <w:r>
        <w:rPr>
          <w:spacing w:val="-14"/>
        </w:rPr>
        <w:t> </w:t>
      </w:r>
      <w:r>
        <w:rPr/>
        <w:t>ind</w:t>
      </w:r>
      <w:r>
        <w:rPr>
          <w:spacing w:val="-13"/>
        </w:rPr>
        <w:t> </w:t>
      </w:r>
      <w:r>
        <w:rPr/>
        <w:t>på</w:t>
      </w:r>
      <w:r>
        <w:rPr>
          <w:spacing w:val="-14"/>
        </w:rPr>
        <w:t> </w:t>
      </w:r>
      <w:r>
        <w:rPr/>
        <w:t>det</w:t>
      </w:r>
      <w:r>
        <w:rPr>
          <w:spacing w:val="-13"/>
        </w:rPr>
        <w:t> </w:t>
      </w:r>
      <w:r>
        <w:rPr/>
        <w:t>rigtige</w:t>
      </w:r>
      <w:r>
        <w:rPr>
          <w:spacing w:val="-14"/>
        </w:rPr>
        <w:t> </w:t>
      </w:r>
      <w:r>
        <w:rPr>
          <w:spacing w:val="-3"/>
        </w:rPr>
        <w:t>tids-</w:t>
      </w:r>
    </w:p>
    <w:p>
      <w:pPr>
        <w:pStyle w:val="BodyText"/>
        <w:spacing w:before="177"/>
        <w:ind w:left="329"/>
      </w:pPr>
      <w:r>
        <w:rPr/>
        <w:br w:type="column"/>
      </w:r>
      <w:r>
        <w:rPr/>
        <w:t>punkt, der hvor en indsats gør mest gavn.</w:t>
      </w:r>
    </w:p>
    <w:p>
      <w:pPr>
        <w:pStyle w:val="BodyText"/>
        <w:spacing w:line="228" w:lineRule="auto" w:before="24"/>
        <w:ind w:left="329" w:right="1131" w:firstLine="234"/>
        <w:jc w:val="both"/>
      </w:pPr>
      <w:r>
        <w:rPr/>
        <w:t>Kendskab til og viden om ovennævnte bety- dende faktorer, deres rumlige variation og tids- mæssige udvikling giver mulighed for at frem-</w:t>
      </w:r>
    </w:p>
    <w:p>
      <w:pPr>
        <w:pStyle w:val="BodyText"/>
        <w:spacing w:line="252" w:lineRule="auto" w:before="17"/>
        <w:ind w:left="329" w:right="1131"/>
        <w:jc w:val="both"/>
      </w:pPr>
      <w:r>
        <w:rPr/>
        <w:t>skrive vandstands- og højdeforhold til et </w:t>
      </w:r>
      <w:r>
        <w:rPr>
          <w:spacing w:val="-3"/>
        </w:rPr>
        <w:t>vilkår- </w:t>
      </w:r>
      <w:r>
        <w:rPr/>
        <w:t>ligt tidspunkt i fremtiden. Ændringerne kan </w:t>
      </w:r>
      <w:r>
        <w:rPr>
          <w:spacing w:val="-5"/>
        </w:rPr>
        <w:t>in- </w:t>
      </w:r>
      <w:r>
        <w:rPr/>
        <w:t>dregnes i DHM, hvorved et realistisk billede </w:t>
      </w:r>
      <w:r>
        <w:rPr>
          <w:spacing w:val="-7"/>
        </w:rPr>
        <w:t>af </w:t>
      </w:r>
      <w:r>
        <w:rPr/>
        <w:t>niveauforholdene i fx år 2060 kan </w:t>
      </w:r>
      <w:r>
        <w:rPr>
          <w:spacing w:val="-2"/>
        </w:rPr>
        <w:t>fremstilles. </w:t>
      </w:r>
      <w:r>
        <w:rPr/>
        <w:t>Dette er et værdifuldt input til brug for konse- kvensvurderinger af klimaændringerne i</w:t>
      </w:r>
      <w:r>
        <w:rPr>
          <w:spacing w:val="-32"/>
        </w:rPr>
        <w:t> </w:t>
      </w:r>
      <w:r>
        <w:rPr/>
        <w:t>relation til potentielle fremtidige oversvømmelser i </w:t>
      </w:r>
      <w:r>
        <w:rPr>
          <w:spacing w:val="-4"/>
        </w:rPr>
        <w:t>Dan- </w:t>
      </w:r>
      <w:r>
        <w:rPr/>
        <w:t>mark.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Denne nye anvendelse af højdedata i kom- bination med vandstandsmålinger har fået  </w:t>
      </w:r>
      <w:r>
        <w:rPr>
          <w:spacing w:val="-8"/>
        </w:rPr>
        <w:t>en </w:t>
      </w:r>
      <w:r>
        <w:rPr/>
        <w:t>del opmærksomhed såvel i pressen som </w:t>
      </w:r>
      <w:r>
        <w:rPr>
          <w:spacing w:val="-3"/>
        </w:rPr>
        <w:t>blandt </w:t>
      </w:r>
      <w:r>
        <w:rPr/>
        <w:t>kommuner</w:t>
      </w:r>
      <w:r>
        <w:rPr>
          <w:spacing w:val="-11"/>
        </w:rPr>
        <w:t> </w:t>
      </w:r>
      <w:r>
        <w:rPr/>
        <w:t>og</w:t>
      </w:r>
      <w:r>
        <w:rPr>
          <w:spacing w:val="-11"/>
        </w:rPr>
        <w:t> </w:t>
      </w:r>
      <w:r>
        <w:rPr/>
        <w:t>forsyningsselskaber.</w:t>
      </w:r>
      <w:r>
        <w:rPr>
          <w:spacing w:val="-11"/>
        </w:rPr>
        <w:t> </w:t>
      </w:r>
      <w:r>
        <w:rPr/>
        <w:t>Fakta,</w:t>
      </w:r>
      <w:r>
        <w:rPr>
          <w:spacing w:val="-10"/>
        </w:rPr>
        <w:t> </w:t>
      </w:r>
      <w:r>
        <w:rPr/>
        <w:t>råd</w:t>
      </w:r>
      <w:r>
        <w:rPr>
          <w:spacing w:val="-11"/>
        </w:rPr>
        <w:t> </w:t>
      </w:r>
      <w:r>
        <w:rPr>
          <w:spacing w:val="-6"/>
        </w:rPr>
        <w:t>og </w:t>
      </w:r>
      <w:r>
        <w:rPr/>
        <w:t>vejledning om detaljerede højdedatas betydning for</w:t>
      </w:r>
      <w:r>
        <w:rPr>
          <w:spacing w:val="-10"/>
        </w:rPr>
        <w:t> </w:t>
      </w:r>
      <w:r>
        <w:rPr/>
        <w:t>indsatsen</w:t>
      </w:r>
      <w:r>
        <w:rPr>
          <w:spacing w:val="-9"/>
        </w:rPr>
        <w:t> </w:t>
      </w:r>
      <w:r>
        <w:rPr/>
        <w:t>mod</w:t>
      </w:r>
      <w:r>
        <w:rPr>
          <w:spacing w:val="-9"/>
        </w:rPr>
        <w:t> </w:t>
      </w:r>
      <w:r>
        <w:rPr/>
        <w:t>oversvømmelser</w:t>
      </w:r>
      <w:r>
        <w:rPr>
          <w:spacing w:val="-9"/>
        </w:rPr>
        <w:t> </w:t>
      </w:r>
      <w:r>
        <w:rPr/>
        <w:t>efter</w:t>
      </w:r>
      <w:r>
        <w:rPr>
          <w:spacing w:val="-9"/>
        </w:rPr>
        <w:t> </w:t>
      </w:r>
      <w:r>
        <w:rPr>
          <w:spacing w:val="-3"/>
        </w:rPr>
        <w:t>ekstrem </w:t>
      </w:r>
      <w:r>
        <w:rPr/>
        <w:t>regn eller havvandsstigninger er beskrevet </w:t>
      </w:r>
      <w:r>
        <w:rPr>
          <w:spacing w:val="-5"/>
        </w:rPr>
        <w:t>nær- </w:t>
      </w:r>
      <w:r>
        <w:rPr/>
        <w:t>mere i notatet ”Klimatilpasning og detaljerede højdedata” (Miljøministeriet,</w:t>
      </w:r>
      <w:r>
        <w:rPr>
          <w:spacing w:val="-4"/>
        </w:rPr>
        <w:t> </w:t>
      </w:r>
      <w:r>
        <w:rPr/>
        <w:t>2012).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Nærværende</w:t>
      </w:r>
      <w:r>
        <w:rPr>
          <w:spacing w:val="-15"/>
        </w:rPr>
        <w:t> </w:t>
      </w:r>
      <w:r>
        <w:rPr/>
        <w:t>rapport</w:t>
      </w:r>
      <w:r>
        <w:rPr>
          <w:spacing w:val="-15"/>
        </w:rPr>
        <w:t> </w:t>
      </w:r>
      <w:r>
        <w:rPr/>
        <w:t>er</w:t>
      </w:r>
      <w:r>
        <w:rPr>
          <w:spacing w:val="-14"/>
        </w:rPr>
        <w:t> </w:t>
      </w:r>
      <w:r>
        <w:rPr/>
        <w:t>et</w:t>
      </w:r>
      <w:r>
        <w:rPr>
          <w:spacing w:val="-15"/>
        </w:rPr>
        <w:t> </w:t>
      </w:r>
      <w:r>
        <w:rPr/>
        <w:t>metodestudium</w:t>
      </w:r>
      <w:r>
        <w:rPr>
          <w:spacing w:val="-14"/>
        </w:rPr>
        <w:t> </w:t>
      </w:r>
      <w:r>
        <w:rPr>
          <w:spacing w:val="-5"/>
        </w:rPr>
        <w:t>med </w:t>
      </w:r>
      <w:r>
        <w:rPr/>
        <w:t>fokus på anvendelsesmuligheder for højdemo- dellen til vurdering af fremtidig </w:t>
      </w:r>
      <w:r>
        <w:rPr>
          <w:spacing w:val="-4"/>
        </w:rPr>
        <w:t>oversvømmel- </w:t>
      </w:r>
      <w:r>
        <w:rPr/>
        <w:t>sesfare med inddragelse af viden om nuværen- de</w:t>
      </w:r>
      <w:r>
        <w:rPr>
          <w:spacing w:val="-7"/>
        </w:rPr>
        <w:t> </w:t>
      </w:r>
      <w:r>
        <w:rPr/>
        <w:t>og</w:t>
      </w:r>
      <w:r>
        <w:rPr>
          <w:spacing w:val="-7"/>
        </w:rPr>
        <w:t> </w:t>
      </w:r>
      <w:r>
        <w:rPr/>
        <w:t>fremtidige</w:t>
      </w:r>
      <w:r>
        <w:rPr>
          <w:spacing w:val="-7"/>
        </w:rPr>
        <w:t> </w:t>
      </w:r>
      <w:r>
        <w:rPr/>
        <w:t>ændringer</w:t>
      </w:r>
      <w:r>
        <w:rPr>
          <w:spacing w:val="-7"/>
        </w:rPr>
        <w:t> </w:t>
      </w:r>
      <w:r>
        <w:rPr/>
        <w:t>i</w:t>
      </w:r>
      <w:r>
        <w:rPr>
          <w:spacing w:val="-7"/>
        </w:rPr>
        <w:t> </w:t>
      </w:r>
      <w:r>
        <w:rPr/>
        <w:t>land-</w:t>
      </w:r>
      <w:r>
        <w:rPr>
          <w:spacing w:val="-6"/>
        </w:rPr>
        <w:t> </w:t>
      </w:r>
      <w:r>
        <w:rPr/>
        <w:t>og</w:t>
      </w:r>
      <w:r>
        <w:rPr>
          <w:spacing w:val="-7"/>
        </w:rPr>
        <w:t> </w:t>
      </w:r>
      <w:r>
        <w:rPr>
          <w:spacing w:val="-4"/>
        </w:rPr>
        <w:t>havniveau. </w:t>
      </w:r>
      <w:r>
        <w:rPr/>
        <w:t>Endvidere vurderes viden om lokale sætninger  i forhold til projektering og renovering af </w:t>
      </w:r>
      <w:r>
        <w:rPr>
          <w:spacing w:val="-3"/>
        </w:rPr>
        <w:t>klo- </w:t>
      </w:r>
      <w:r>
        <w:rPr/>
        <w:t>akledninger. Thyborøn er valgt som</w:t>
      </w:r>
      <w:r>
        <w:rPr>
          <w:spacing w:val="-45"/>
        </w:rPr>
        <w:t> </w:t>
      </w:r>
      <w:r>
        <w:rPr/>
        <w:t>pilotområde dels med henblik på at undersøge højdemodel- lens nøjagtighed og anvendelsesmuligheder, </w:t>
      </w:r>
      <w:r>
        <w:rPr>
          <w:spacing w:val="-8"/>
        </w:rPr>
        <w:t>og </w:t>
      </w:r>
      <w:r>
        <w:rPr/>
        <w:t>dels fordi der gennem målekampagner over </w:t>
      </w:r>
      <w:r>
        <w:rPr>
          <w:spacing w:val="-7"/>
        </w:rPr>
        <w:t>de </w:t>
      </w:r>
      <w:r>
        <w:rPr/>
        <w:t>seneste tiår er opnået detaljeret viden om </w:t>
      </w:r>
      <w:r>
        <w:rPr>
          <w:spacing w:val="-3"/>
        </w:rPr>
        <w:t>loka- </w:t>
      </w:r>
      <w:r>
        <w:rPr/>
        <w:t>le sætningsforhold. Det primære fokus her er </w:t>
      </w:r>
      <w:r>
        <w:rPr>
          <w:spacing w:val="-8"/>
        </w:rPr>
        <w:t>på </w:t>
      </w:r>
      <w:r>
        <w:rPr/>
        <w:t>anvendelsesmuligheder. Sekundært fokus er </w:t>
      </w:r>
      <w:r>
        <w:rPr>
          <w:spacing w:val="-7"/>
        </w:rPr>
        <w:t>en </w:t>
      </w:r>
      <w:r>
        <w:rPr/>
        <w:t>udbygning af viden og metoder til mere bredt </w:t>
      </w:r>
      <w:r>
        <w:rPr>
          <w:spacing w:val="-8"/>
        </w:rPr>
        <w:t>at </w:t>
      </w:r>
      <w:r>
        <w:rPr/>
        <w:t>kunne estimere lokale ændringsrater på en </w:t>
      </w:r>
      <w:r>
        <w:rPr>
          <w:spacing w:val="-4"/>
        </w:rPr>
        <w:t>vil- </w:t>
      </w:r>
      <w:r>
        <w:rPr/>
        <w:t>kårlig</w:t>
      </w:r>
      <w:r>
        <w:rPr>
          <w:spacing w:val="-24"/>
        </w:rPr>
        <w:t> </w:t>
      </w:r>
      <w:r>
        <w:rPr/>
        <w:t>(potentielt</w:t>
      </w:r>
      <w:r>
        <w:rPr>
          <w:spacing w:val="-23"/>
        </w:rPr>
        <w:t> </w:t>
      </w:r>
      <w:r>
        <w:rPr/>
        <w:t>oversvømmelsestruet)</w:t>
      </w:r>
      <w:r>
        <w:rPr>
          <w:spacing w:val="-22"/>
        </w:rPr>
        <w:t> </w:t>
      </w:r>
      <w:r>
        <w:rPr/>
        <w:t>lokalitet.</w:t>
      </w:r>
    </w:p>
    <w:p>
      <w:pPr>
        <w:spacing w:after="0" w:line="252" w:lineRule="auto"/>
        <w:jc w:val="both"/>
        <w:sectPr>
          <w:type w:val="continuous"/>
          <w:pgSz w:w="11910" w:h="16840"/>
          <w:pgMar w:top="0" w:bottom="280" w:left="460" w:right="0"/>
          <w:cols w:num="2" w:equalWidth="0">
            <w:col w:w="5309" w:space="40"/>
            <w:col w:w="610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0"/>
        </w:rPr>
      </w:pPr>
    </w:p>
    <w:p>
      <w:pPr>
        <w:pStyle w:val="BodyText"/>
        <w:ind w:left="1155"/>
        <w:rPr>
          <w:sz w:val="20"/>
        </w:rPr>
      </w:pPr>
      <w:r>
        <w:rPr>
          <w:sz w:val="20"/>
        </w:rPr>
        <w:drawing>
          <wp:inline distT="0" distB="0" distL="0" distR="0">
            <wp:extent cx="5408676" cy="3605784"/>
            <wp:effectExtent l="0" t="0" r="0" b="0"/>
            <wp:docPr id="9" name="image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8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8676" cy="3605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7">
            <wp:simplePos x="0" y="0"/>
            <wp:positionH relativeFrom="page">
              <wp:posOffset>1026020</wp:posOffset>
            </wp:positionH>
            <wp:positionV relativeFrom="paragraph">
              <wp:posOffset>112444</wp:posOffset>
            </wp:positionV>
            <wp:extent cx="5471160" cy="3694176"/>
            <wp:effectExtent l="0" t="0" r="0" b="0"/>
            <wp:wrapTopAndBottom/>
            <wp:docPr id="11" name="image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9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1160" cy="3694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8"/>
        </w:rPr>
      </w:pPr>
    </w:p>
    <w:p>
      <w:pPr>
        <w:spacing w:line="273" w:lineRule="auto" w:before="103"/>
        <w:ind w:left="673" w:right="1053" w:firstLine="0"/>
        <w:jc w:val="left"/>
        <w:rPr>
          <w:rFonts w:ascii="Arial" w:hAnsi="Arial"/>
          <w:sz w:val="22"/>
        </w:rPr>
      </w:pPr>
      <w:bookmarkStart w:name="_bookmark4" w:id="6"/>
      <w:bookmarkEnd w:id="6"/>
      <w:r>
        <w:rPr/>
      </w:r>
      <w:r>
        <w:rPr>
          <w:rFonts w:ascii="Arial" w:hAnsi="Arial"/>
          <w:sz w:val="22"/>
        </w:rPr>
        <w:t>Figur 1: Øverst: Thyborøn (2007), set mod syd (Foto: Kystdirektoratet/Hunderup Luftfoto). Nederst: Thyborøn (ca. 1965), set mod nord (Foto: Kystdirektoratet/Th. Balslev).</w:t>
      </w:r>
    </w:p>
    <w:p>
      <w:pPr>
        <w:spacing w:after="0" w:line="273" w:lineRule="auto"/>
        <w:jc w:val="left"/>
        <w:rPr>
          <w:rFonts w:ascii="Arial" w:hAnsi="Arial"/>
          <w:sz w:val="22"/>
        </w:rPr>
        <w:sectPr>
          <w:footerReference w:type="default" r:id="rId18"/>
          <w:pgSz w:w="11910" w:h="16840"/>
          <w:pgMar w:footer="546" w:header="0" w:top="1580" w:bottom="740" w:left="460" w:right="0"/>
          <w:pgNumType w:start="8"/>
        </w:sectPr>
      </w:pPr>
    </w:p>
    <w:p>
      <w:pPr>
        <w:pStyle w:val="Heading2"/>
        <w:numPr>
          <w:ilvl w:val="1"/>
          <w:numId w:val="2"/>
        </w:numPr>
        <w:tabs>
          <w:tab w:pos="1430" w:val="left" w:leader="none"/>
          <w:tab w:pos="1431" w:val="left" w:leader="none"/>
        </w:tabs>
        <w:spacing w:line="240" w:lineRule="auto" w:before="91" w:after="0"/>
        <w:ind w:left="1430" w:right="0" w:hanging="757"/>
        <w:jc w:val="left"/>
      </w:pPr>
      <w:bookmarkStart w:name="_bookmark5" w:id="7"/>
      <w:bookmarkEnd w:id="7"/>
      <w:r>
        <w:rPr>
          <w:b w:val="0"/>
        </w:rPr>
      </w:r>
      <w:bookmarkStart w:name="_bookmark5" w:id="8"/>
      <w:bookmarkEnd w:id="8"/>
      <w:r>
        <w:rPr/>
        <w:t>T</w:t>
      </w:r>
      <w:r>
        <w:rPr/>
        <w:t>estområde</w:t>
      </w:r>
    </w:p>
    <w:p>
      <w:pPr>
        <w:pStyle w:val="BodyText"/>
        <w:spacing w:line="252" w:lineRule="auto" w:before="246"/>
        <w:ind w:left="673"/>
        <w:jc w:val="both"/>
      </w:pPr>
      <w:r>
        <w:rPr/>
        <w:t>Limfjordstangerne er opbygget over de  </w:t>
      </w:r>
      <w:r>
        <w:rPr>
          <w:spacing w:val="-4"/>
        </w:rPr>
        <w:t>sene- </w:t>
      </w:r>
      <w:r>
        <w:rPr/>
        <w:t>ste årtusinder af sand eroderet fra klinterne </w:t>
      </w:r>
      <w:r>
        <w:rPr>
          <w:spacing w:val="-8"/>
        </w:rPr>
        <w:t>ved </w:t>
      </w:r>
      <w:r>
        <w:rPr/>
        <w:t>Bovbjerg</w:t>
      </w:r>
      <w:r>
        <w:rPr>
          <w:spacing w:val="-20"/>
        </w:rPr>
        <w:t> </w:t>
      </w:r>
      <w:r>
        <w:rPr/>
        <w:t>og</w:t>
      </w:r>
      <w:r>
        <w:rPr>
          <w:spacing w:val="-19"/>
        </w:rPr>
        <w:t> </w:t>
      </w:r>
      <w:r>
        <w:rPr/>
        <w:t>Lodbjerg.</w:t>
      </w:r>
      <w:r>
        <w:rPr>
          <w:spacing w:val="-19"/>
        </w:rPr>
        <w:t> </w:t>
      </w:r>
      <w:r>
        <w:rPr/>
        <w:t>Thyborøn</w:t>
      </w:r>
      <w:r>
        <w:rPr>
          <w:spacing w:val="-19"/>
        </w:rPr>
        <w:t> </w:t>
      </w:r>
      <w:r>
        <w:rPr/>
        <w:t>ligger</w:t>
      </w:r>
      <w:r>
        <w:rPr>
          <w:spacing w:val="-20"/>
        </w:rPr>
        <w:t> </w:t>
      </w:r>
      <w:r>
        <w:rPr/>
        <w:t>ved</w:t>
      </w:r>
      <w:r>
        <w:rPr>
          <w:spacing w:val="-18"/>
        </w:rPr>
        <w:t> </w:t>
      </w:r>
      <w:r>
        <w:rPr>
          <w:spacing w:val="-5"/>
        </w:rPr>
        <w:t>Thy- </w:t>
      </w:r>
      <w:r>
        <w:rPr/>
        <w:t>borøn Kanal (figur </w:t>
      </w:r>
      <w:hyperlink w:history="true" w:anchor="_bookmark4">
        <w:r>
          <w:rPr>
            <w:color w:val="FF0000"/>
          </w:rPr>
          <w:t>1</w:t>
        </w:r>
      </w:hyperlink>
      <w:r>
        <w:rPr/>
        <w:t>), der blev skabt som </w:t>
      </w:r>
      <w:r>
        <w:rPr>
          <w:spacing w:val="-4"/>
        </w:rPr>
        <w:t>føl- </w:t>
      </w:r>
      <w:r>
        <w:rPr/>
        <w:t>ge af gennembrud af Limfjordstangerne </w:t>
      </w:r>
      <w:r>
        <w:rPr>
          <w:spacing w:val="-4"/>
        </w:rPr>
        <w:t>under </w:t>
      </w:r>
      <w:r>
        <w:rPr/>
        <w:t>en stormflod i 1862, og hvor der siden har </w:t>
      </w:r>
      <w:r>
        <w:rPr>
          <w:spacing w:val="-6"/>
        </w:rPr>
        <w:t>væ- </w:t>
      </w:r>
      <w:r>
        <w:rPr/>
        <w:t>ret</w:t>
      </w:r>
      <w:r>
        <w:rPr>
          <w:spacing w:val="-9"/>
        </w:rPr>
        <w:t> </w:t>
      </w:r>
      <w:r>
        <w:rPr/>
        <w:t>åben</w:t>
      </w:r>
      <w:r>
        <w:rPr>
          <w:spacing w:val="-9"/>
        </w:rPr>
        <w:t> </w:t>
      </w:r>
      <w:r>
        <w:rPr/>
        <w:t>forbindelse</w:t>
      </w:r>
      <w:r>
        <w:rPr>
          <w:spacing w:val="-9"/>
        </w:rPr>
        <w:t> </w:t>
      </w:r>
      <w:r>
        <w:rPr/>
        <w:t>mellem</w:t>
      </w:r>
      <w:r>
        <w:rPr>
          <w:spacing w:val="-8"/>
        </w:rPr>
        <w:t> </w:t>
      </w:r>
      <w:r>
        <w:rPr>
          <w:spacing w:val="-4"/>
        </w:rPr>
        <w:t>Vesterhavet</w:t>
      </w:r>
      <w:r>
        <w:rPr>
          <w:spacing w:val="-9"/>
        </w:rPr>
        <w:t> </w:t>
      </w:r>
      <w:r>
        <w:rPr/>
        <w:t>og</w:t>
      </w:r>
      <w:r>
        <w:rPr>
          <w:spacing w:val="-9"/>
        </w:rPr>
        <w:t> </w:t>
      </w:r>
      <w:r>
        <w:rPr>
          <w:spacing w:val="-5"/>
        </w:rPr>
        <w:t>Lim- </w:t>
      </w:r>
      <w:r>
        <w:rPr/>
        <w:t>fjorden.</w:t>
      </w:r>
    </w:p>
    <w:p>
      <w:pPr>
        <w:pStyle w:val="BodyText"/>
        <w:spacing w:line="252" w:lineRule="auto"/>
        <w:ind w:left="673" w:firstLine="234"/>
      </w:pPr>
      <w:r>
        <w:rPr/>
        <w:t>Dengang</w:t>
      </w:r>
      <w:r>
        <w:rPr>
          <w:spacing w:val="-8"/>
        </w:rPr>
        <w:t> </w:t>
      </w:r>
      <w:r>
        <w:rPr/>
        <w:t>boede</w:t>
      </w:r>
      <w:r>
        <w:rPr>
          <w:spacing w:val="-8"/>
        </w:rPr>
        <w:t> </w:t>
      </w:r>
      <w:r>
        <w:rPr/>
        <w:t>der</w:t>
      </w:r>
      <w:r>
        <w:rPr>
          <w:spacing w:val="-8"/>
        </w:rPr>
        <w:t> </w:t>
      </w:r>
      <w:r>
        <w:rPr/>
        <w:t>kun</w:t>
      </w:r>
      <w:r>
        <w:rPr>
          <w:spacing w:val="-7"/>
        </w:rPr>
        <w:t> </w:t>
      </w:r>
      <w:r>
        <w:rPr/>
        <w:t>få</w:t>
      </w:r>
      <w:r>
        <w:rPr>
          <w:spacing w:val="-8"/>
        </w:rPr>
        <w:t> </w:t>
      </w:r>
      <w:r>
        <w:rPr/>
        <w:t>familier,</w:t>
      </w:r>
      <w:r>
        <w:rPr>
          <w:spacing w:val="-8"/>
        </w:rPr>
        <w:t> </w:t>
      </w:r>
      <w:r>
        <w:rPr/>
        <w:t>men</w:t>
      </w:r>
      <w:r>
        <w:rPr>
          <w:spacing w:val="-8"/>
        </w:rPr>
        <w:t> </w:t>
      </w:r>
      <w:r>
        <w:rPr>
          <w:spacing w:val="-3"/>
        </w:rPr>
        <w:t>siden </w:t>
      </w:r>
      <w:r>
        <w:rPr/>
        <w:t>er</w:t>
      </w:r>
      <w:r>
        <w:rPr>
          <w:spacing w:val="31"/>
        </w:rPr>
        <w:t> </w:t>
      </w:r>
      <w:r>
        <w:rPr/>
        <w:t>byen</w:t>
      </w:r>
      <w:r>
        <w:rPr>
          <w:spacing w:val="32"/>
        </w:rPr>
        <w:t> </w:t>
      </w:r>
      <w:r>
        <w:rPr/>
        <w:t>vokset</w:t>
      </w:r>
      <w:r>
        <w:rPr>
          <w:spacing w:val="31"/>
        </w:rPr>
        <w:t> </w:t>
      </w:r>
      <w:r>
        <w:rPr/>
        <w:t>op</w:t>
      </w:r>
      <w:r>
        <w:rPr>
          <w:spacing w:val="32"/>
        </w:rPr>
        <w:t> </w:t>
      </w:r>
      <w:r>
        <w:rPr/>
        <w:t>så</w:t>
      </w:r>
      <w:r>
        <w:rPr>
          <w:spacing w:val="31"/>
        </w:rPr>
        <w:t> </w:t>
      </w:r>
      <w:r>
        <w:rPr/>
        <w:t>den</w:t>
      </w:r>
      <w:r>
        <w:rPr>
          <w:spacing w:val="32"/>
        </w:rPr>
        <w:t> </w:t>
      </w:r>
      <w:r>
        <w:rPr/>
        <w:t>i</w:t>
      </w:r>
      <w:r>
        <w:rPr>
          <w:spacing w:val="32"/>
        </w:rPr>
        <w:t> </w:t>
      </w:r>
      <w:r>
        <w:rPr/>
        <w:t>dag</w:t>
      </w:r>
      <w:r>
        <w:rPr>
          <w:spacing w:val="31"/>
        </w:rPr>
        <w:t> </w:t>
      </w:r>
      <w:r>
        <w:rPr/>
        <w:t>huser</w:t>
      </w:r>
      <w:r>
        <w:rPr>
          <w:spacing w:val="32"/>
        </w:rPr>
        <w:t> </w:t>
      </w:r>
      <w:r>
        <w:rPr>
          <w:spacing w:val="-3"/>
        </w:rPr>
        <w:t>omkring</w:t>
      </w:r>
    </w:p>
    <w:p>
      <w:pPr>
        <w:pStyle w:val="BodyText"/>
        <w:spacing w:line="252" w:lineRule="auto" w:before="151"/>
        <w:ind w:left="329" w:right="926"/>
      </w:pPr>
      <w:r>
        <w:rPr/>
        <w:br w:type="column"/>
      </w:r>
      <w:r>
        <w:rPr/>
        <w:t>2200 indbyggere og en af Danmarks største fi- skerihavne.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Grundet byens udsatte beliggenhed, med</w:t>
      </w:r>
      <w:r>
        <w:rPr>
          <w:spacing w:val="-31"/>
        </w:rPr>
        <w:t> </w:t>
      </w:r>
      <w:r>
        <w:rPr>
          <w:spacing w:val="-6"/>
        </w:rPr>
        <w:t>vand </w:t>
      </w:r>
      <w:r>
        <w:rPr/>
        <w:t>til næsten alle sider og lavt beliggende, er </w:t>
      </w:r>
      <w:r>
        <w:rPr>
          <w:spacing w:val="-4"/>
        </w:rPr>
        <w:t>byen </w:t>
      </w:r>
      <w:r>
        <w:rPr/>
        <w:t>kystbeskyttet af store havdiger mod</w:t>
      </w:r>
      <w:r>
        <w:rPr>
          <w:spacing w:val="-25"/>
        </w:rPr>
        <w:t> </w:t>
      </w:r>
      <w:r>
        <w:rPr>
          <w:spacing w:val="-4"/>
        </w:rPr>
        <w:t>Vesterhavet, </w:t>
      </w:r>
      <w:r>
        <w:rPr/>
        <w:t>tværdiger, og lavere diger mod</w:t>
      </w:r>
      <w:r>
        <w:rPr>
          <w:spacing w:val="-18"/>
        </w:rPr>
        <w:t> </w:t>
      </w:r>
      <w:r>
        <w:rPr/>
        <w:t>Limfjorden.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I</w:t>
      </w:r>
      <w:r>
        <w:rPr>
          <w:spacing w:val="-14"/>
        </w:rPr>
        <w:t> </w:t>
      </w:r>
      <w:r>
        <w:rPr/>
        <w:t>takt</w:t>
      </w:r>
      <w:r>
        <w:rPr>
          <w:spacing w:val="-13"/>
        </w:rPr>
        <w:t> </w:t>
      </w:r>
      <w:r>
        <w:rPr/>
        <w:t>med</w:t>
      </w:r>
      <w:r>
        <w:rPr>
          <w:spacing w:val="-13"/>
        </w:rPr>
        <w:t> </w:t>
      </w:r>
      <w:r>
        <w:rPr/>
        <w:t>de</w:t>
      </w:r>
      <w:r>
        <w:rPr>
          <w:spacing w:val="-14"/>
        </w:rPr>
        <w:t> </w:t>
      </w:r>
      <w:r>
        <w:rPr/>
        <w:t>store</w:t>
      </w:r>
      <w:r>
        <w:rPr>
          <w:spacing w:val="-13"/>
        </w:rPr>
        <w:t> </w:t>
      </w:r>
      <w:r>
        <w:rPr/>
        <w:t>kystbeskyttelsesarbejder</w:t>
      </w:r>
      <w:r>
        <w:rPr>
          <w:spacing w:val="-13"/>
        </w:rPr>
        <w:t> </w:t>
      </w:r>
      <w:r>
        <w:rPr>
          <w:spacing w:val="-7"/>
        </w:rPr>
        <w:t>på </w:t>
      </w:r>
      <w:r>
        <w:rPr/>
        <w:t>vestkysten,</w:t>
      </w:r>
      <w:r>
        <w:rPr>
          <w:spacing w:val="-20"/>
        </w:rPr>
        <w:t> </w:t>
      </w:r>
      <w:r>
        <w:rPr/>
        <w:t>befolkningstilvæksten</w:t>
      </w:r>
      <w:r>
        <w:rPr>
          <w:spacing w:val="-19"/>
        </w:rPr>
        <w:t> </w:t>
      </w:r>
      <w:r>
        <w:rPr/>
        <w:t>og</w:t>
      </w:r>
      <w:r>
        <w:rPr>
          <w:spacing w:val="-19"/>
        </w:rPr>
        <w:t> </w:t>
      </w:r>
      <w:r>
        <w:rPr/>
        <w:t>anlæggelse og udbygning af havnen og havnerelaterede </w:t>
      </w:r>
      <w:r>
        <w:rPr>
          <w:spacing w:val="-10"/>
        </w:rPr>
        <w:t>er- </w:t>
      </w:r>
      <w:r>
        <w:rPr>
          <w:spacing w:val="-4"/>
        </w:rPr>
        <w:t>hverv,</w:t>
      </w:r>
      <w:r>
        <w:rPr>
          <w:spacing w:val="-7"/>
        </w:rPr>
        <w:t> </w:t>
      </w:r>
      <w:r>
        <w:rPr/>
        <w:t>er</w:t>
      </w:r>
      <w:r>
        <w:rPr>
          <w:spacing w:val="-7"/>
        </w:rPr>
        <w:t> </w:t>
      </w:r>
      <w:r>
        <w:rPr/>
        <w:t>store</w:t>
      </w:r>
      <w:r>
        <w:rPr>
          <w:spacing w:val="-7"/>
        </w:rPr>
        <w:t> </w:t>
      </w:r>
      <w:r>
        <w:rPr/>
        <w:t>områder</w:t>
      </w:r>
      <w:r>
        <w:rPr>
          <w:spacing w:val="-7"/>
        </w:rPr>
        <w:t> </w:t>
      </w:r>
      <w:r>
        <w:rPr/>
        <w:t>blevet</w:t>
      </w:r>
      <w:r>
        <w:rPr>
          <w:spacing w:val="-7"/>
        </w:rPr>
        <w:t> </w:t>
      </w:r>
      <w:r>
        <w:rPr/>
        <w:t>fyldt</w:t>
      </w:r>
      <w:r>
        <w:rPr>
          <w:spacing w:val="-7"/>
        </w:rPr>
        <w:t> </w:t>
      </w:r>
      <w:r>
        <w:rPr/>
        <w:t>op</w:t>
      </w:r>
      <w:r>
        <w:rPr>
          <w:spacing w:val="-7"/>
        </w:rPr>
        <w:t> </w:t>
      </w:r>
      <w:r>
        <w:rPr/>
        <w:t>–</w:t>
      </w:r>
      <w:r>
        <w:rPr>
          <w:spacing w:val="-7"/>
        </w:rPr>
        <w:t> </w:t>
      </w:r>
      <w:r>
        <w:rPr/>
        <w:t>primært med sand (figur</w:t>
      </w:r>
      <w:r>
        <w:rPr>
          <w:spacing w:val="-5"/>
        </w:rPr>
        <w:t> </w:t>
      </w:r>
      <w:hyperlink w:history="true" w:anchor="_bookmark4">
        <w:r>
          <w:rPr>
            <w:color w:val="FF0000"/>
          </w:rPr>
          <w:t>1</w:t>
        </w:r>
      </w:hyperlink>
      <w:r>
        <w:rPr/>
        <w:t>).</w:t>
      </w:r>
    </w:p>
    <w:p>
      <w:pPr>
        <w:spacing w:after="0" w:line="252" w:lineRule="auto"/>
        <w:jc w:val="both"/>
        <w:sectPr>
          <w:pgSz w:w="11910" w:h="16840"/>
          <w:pgMar w:header="0" w:footer="546" w:top="980" w:bottom="740" w:left="460" w:right="0"/>
          <w:cols w:num="2" w:equalWidth="0">
            <w:col w:w="5309" w:space="40"/>
            <w:col w:w="6101"/>
          </w:cols>
        </w:sectPr>
      </w:pPr>
    </w:p>
    <w:p>
      <w:pPr>
        <w:pStyle w:val="BodyText"/>
        <w:spacing w:before="10"/>
        <w:rPr>
          <w:sz w:val="28"/>
        </w:rPr>
      </w:pPr>
    </w:p>
    <w:p>
      <w:pPr>
        <w:spacing w:before="111"/>
        <w:ind w:left="673" w:right="0" w:firstLine="0"/>
        <w:jc w:val="left"/>
        <w:rPr>
          <w:rFonts w:ascii="Arial"/>
          <w:b/>
          <w:sz w:val="45"/>
        </w:rPr>
      </w:pPr>
      <w:r>
        <w:rPr>
          <w:rFonts w:ascii="Arial"/>
          <w:b/>
          <w:sz w:val="45"/>
        </w:rPr>
        <w:t>Kapitel 2</w:t>
      </w:r>
    </w:p>
    <w:p>
      <w:pPr>
        <w:spacing w:before="478"/>
        <w:ind w:left="673" w:right="0" w:firstLine="0"/>
        <w:jc w:val="left"/>
        <w:rPr>
          <w:rFonts w:ascii="Arial"/>
          <w:b/>
          <w:sz w:val="45"/>
        </w:rPr>
      </w:pPr>
      <w:r>
        <w:rPr>
          <w:rFonts w:ascii="Arial"/>
          <w:b/>
          <w:sz w:val="45"/>
        </w:rPr>
        <w:t>Datagrundlag og metode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9"/>
        <w:rPr>
          <w:rFonts w:ascii="Arial"/>
          <w:b/>
          <w:sz w:val="15"/>
        </w:rPr>
      </w:pPr>
    </w:p>
    <w:p>
      <w:pPr>
        <w:spacing w:after="0"/>
        <w:rPr>
          <w:rFonts w:ascii="Arial"/>
          <w:sz w:val="15"/>
        </w:rPr>
        <w:sectPr>
          <w:footerReference w:type="default" r:id="rId21"/>
          <w:pgSz w:w="11910" w:h="16840"/>
          <w:pgMar w:footer="413" w:header="0" w:top="1580" w:bottom="600" w:left="460" w:right="0"/>
        </w:sectPr>
      </w:pPr>
    </w:p>
    <w:p>
      <w:pPr>
        <w:pStyle w:val="Heading2"/>
        <w:numPr>
          <w:ilvl w:val="1"/>
          <w:numId w:val="3"/>
        </w:numPr>
        <w:tabs>
          <w:tab w:pos="1430" w:val="left" w:leader="none"/>
          <w:tab w:pos="1431" w:val="left" w:leader="none"/>
        </w:tabs>
        <w:spacing w:line="240" w:lineRule="auto" w:before="117" w:after="0"/>
        <w:ind w:left="1430" w:right="0" w:hanging="757"/>
        <w:jc w:val="left"/>
      </w:pPr>
      <w:bookmarkStart w:name="_bookmark6" w:id="9"/>
      <w:bookmarkEnd w:id="9"/>
      <w:r>
        <w:rPr>
          <w:b w:val="0"/>
        </w:rPr>
      </w:r>
      <w:bookmarkStart w:name="_bookmark6" w:id="10"/>
      <w:bookmarkEnd w:id="10"/>
      <w:r>
        <w:rPr/>
        <w:t>V</w:t>
      </w:r>
      <w:r>
        <w:rPr/>
        <w:t>andstandsmålinger</w:t>
      </w:r>
    </w:p>
    <w:p>
      <w:pPr>
        <w:pStyle w:val="BodyText"/>
        <w:spacing w:line="252" w:lineRule="auto" w:before="247"/>
        <w:ind w:left="673"/>
        <w:jc w:val="both"/>
      </w:pPr>
      <w:r>
        <w:rPr/>
        <w:t>Der er anvendt data fra Kystdirektoratets </w:t>
      </w:r>
      <w:r>
        <w:rPr>
          <w:spacing w:val="-4"/>
        </w:rPr>
        <w:t>(KDI) </w:t>
      </w:r>
      <w:r>
        <w:rPr/>
        <w:t>vandstandsmåler (KDI 4201/DMI 24007) i </w:t>
      </w:r>
      <w:r>
        <w:rPr>
          <w:spacing w:val="-6"/>
        </w:rPr>
        <w:t>Thy- </w:t>
      </w:r>
      <w:r>
        <w:rPr/>
        <w:t>borøn Havn (figur </w:t>
      </w:r>
      <w:hyperlink w:history="true" w:anchor="_bookmark9">
        <w:r>
          <w:rPr>
            <w:color w:val="FF0000"/>
          </w:rPr>
          <w:t>2</w:t>
        </w:r>
      </w:hyperlink>
      <w:r>
        <w:rPr/>
        <w:t>). </w:t>
      </w:r>
      <w:r>
        <w:rPr>
          <w:spacing w:val="-3"/>
        </w:rPr>
        <w:t>Til  </w:t>
      </w:r>
      <w:r>
        <w:rPr/>
        <w:t>analyse af udvikling  i middelvandstand er anvendt perioden med </w:t>
      </w:r>
      <w:r>
        <w:rPr>
          <w:spacing w:val="-5"/>
        </w:rPr>
        <w:t>di- </w:t>
      </w:r>
      <w:r>
        <w:rPr/>
        <w:t>gitale data (1974–2012), mens hele serien </w:t>
      </w:r>
      <w:r>
        <w:rPr>
          <w:spacing w:val="-9"/>
        </w:rPr>
        <w:t>af </w:t>
      </w:r>
      <w:r>
        <w:rPr/>
        <w:t>analoge og digitale data (1935–2012, i alt </w:t>
      </w:r>
      <w:r>
        <w:rPr>
          <w:spacing w:val="-5"/>
        </w:rPr>
        <w:t>77,8 </w:t>
      </w:r>
      <w:r>
        <w:rPr/>
        <w:t>år) er anvendt til beregning af højvandsstati- stik for Thyborøn Havn. KDI har endvidere </w:t>
      </w:r>
      <w:r>
        <w:rPr>
          <w:spacing w:val="-9"/>
        </w:rPr>
        <w:t>en </w:t>
      </w:r>
      <w:r>
        <w:rPr/>
        <w:t>vandstandsmåler på havsiden af Thyborøn </w:t>
      </w:r>
      <w:r>
        <w:rPr>
          <w:spacing w:val="-5"/>
        </w:rPr>
        <w:t>(KDI </w:t>
      </w:r>
      <w:r>
        <w:rPr/>
        <w:t>4203/DMI 24006). Data herfra er ikke anvendt </w:t>
      </w:r>
      <w:r>
        <w:rPr>
          <w:spacing w:val="-13"/>
        </w:rPr>
        <w:t>i </w:t>
      </w:r>
      <w:r>
        <w:rPr/>
        <w:t>pilotstudiet,</w:t>
      </w:r>
      <w:r>
        <w:rPr>
          <w:spacing w:val="-18"/>
        </w:rPr>
        <w:t> </w:t>
      </w:r>
      <w:r>
        <w:rPr/>
        <w:t>hvor</w:t>
      </w:r>
      <w:r>
        <w:rPr>
          <w:spacing w:val="-17"/>
        </w:rPr>
        <w:t> </w:t>
      </w:r>
      <w:r>
        <w:rPr/>
        <w:t>en</w:t>
      </w:r>
      <w:r>
        <w:rPr>
          <w:spacing w:val="-17"/>
        </w:rPr>
        <w:t> </w:t>
      </w:r>
      <w:r>
        <w:rPr/>
        <w:t>potentiel</w:t>
      </w:r>
      <w:r>
        <w:rPr>
          <w:spacing w:val="-17"/>
        </w:rPr>
        <w:t> </w:t>
      </w:r>
      <w:r>
        <w:rPr/>
        <w:t>oversvømmelse</w:t>
      </w:r>
      <w:r>
        <w:rPr>
          <w:spacing w:val="-18"/>
        </w:rPr>
        <w:t> </w:t>
      </w:r>
      <w:r>
        <w:rPr>
          <w:spacing w:val="-5"/>
        </w:rPr>
        <w:t>fra </w:t>
      </w:r>
      <w:r>
        <w:rPr/>
        <w:t>Limfjorden/Thyborøn Kanal er i</w:t>
      </w:r>
      <w:r>
        <w:rPr>
          <w:spacing w:val="-8"/>
        </w:rPr>
        <w:t> </w:t>
      </w:r>
      <w:r>
        <w:rPr/>
        <w:t>fokus.</w:t>
      </w:r>
    </w:p>
    <w:p>
      <w:pPr>
        <w:pStyle w:val="BodyText"/>
        <w:rPr>
          <w:sz w:val="39"/>
        </w:rPr>
      </w:pPr>
    </w:p>
    <w:p>
      <w:pPr>
        <w:pStyle w:val="Heading2"/>
        <w:numPr>
          <w:ilvl w:val="1"/>
          <w:numId w:val="3"/>
        </w:numPr>
        <w:tabs>
          <w:tab w:pos="1430" w:val="left" w:leader="none"/>
          <w:tab w:pos="1431" w:val="left" w:leader="none"/>
          <w:tab w:pos="3107" w:val="left" w:leader="none"/>
          <w:tab w:pos="3451" w:val="left" w:leader="none"/>
        </w:tabs>
        <w:spacing w:line="295" w:lineRule="auto" w:before="0" w:after="0"/>
        <w:ind w:left="1430" w:right="0" w:hanging="757"/>
        <w:jc w:val="left"/>
      </w:pPr>
      <w:bookmarkStart w:name="_bookmark7" w:id="11"/>
      <w:bookmarkEnd w:id="11"/>
      <w:r>
        <w:rPr>
          <w:b w:val="0"/>
        </w:rPr>
      </w:r>
      <w:bookmarkStart w:name="_bookmark7" w:id="12"/>
      <w:bookmarkEnd w:id="12"/>
      <w:r>
        <w:rPr/>
        <w:t>U</w:t>
      </w:r>
      <w:r>
        <w:rPr/>
        <w:t>dvikling</w:t>
        <w:tab/>
        <w:t>i</w:t>
        <w:tab/>
      </w:r>
      <w:r>
        <w:rPr>
          <w:spacing w:val="-3"/>
        </w:rPr>
        <w:t>middelvand- </w:t>
      </w:r>
      <w:r>
        <w:rPr/>
        <w:t>stand</w:t>
      </w:r>
    </w:p>
    <w:p>
      <w:pPr>
        <w:pStyle w:val="BodyText"/>
        <w:spacing w:line="252" w:lineRule="auto" w:before="165"/>
        <w:ind w:left="673"/>
        <w:jc w:val="both"/>
      </w:pPr>
      <w:r>
        <w:rPr/>
        <w:t>Udviklingen i middelvandstand er udregnet </w:t>
      </w:r>
      <w:r>
        <w:rPr>
          <w:spacing w:val="-8"/>
        </w:rPr>
        <w:t>ved </w:t>
      </w:r>
      <w:r>
        <w:rPr/>
        <w:t>en simpel lineær regression ud fra vægtede </w:t>
      </w:r>
      <w:r>
        <w:rPr>
          <w:spacing w:val="-4"/>
        </w:rPr>
        <w:t>uge- </w:t>
      </w:r>
      <w:r>
        <w:rPr/>
        <w:t>midler</w:t>
      </w:r>
      <w:r>
        <w:rPr>
          <w:spacing w:val="-13"/>
        </w:rPr>
        <w:t> </w:t>
      </w:r>
      <w:r>
        <w:rPr/>
        <w:t>af</w:t>
      </w:r>
      <w:r>
        <w:rPr>
          <w:spacing w:val="-13"/>
        </w:rPr>
        <w:t> </w:t>
      </w:r>
      <w:r>
        <w:rPr/>
        <w:t>vandstandsmålinger</w:t>
      </w:r>
      <w:r>
        <w:rPr>
          <w:spacing w:val="-13"/>
        </w:rPr>
        <w:t> </w:t>
      </w:r>
      <w:r>
        <w:rPr/>
        <w:t>fra</w:t>
      </w:r>
      <w:r>
        <w:rPr>
          <w:spacing w:val="-13"/>
        </w:rPr>
        <w:t> </w:t>
      </w:r>
      <w:r>
        <w:rPr>
          <w:spacing w:val="-5"/>
        </w:rPr>
        <w:t>Vandstandsmå- </w:t>
      </w:r>
      <w:r>
        <w:rPr/>
        <w:t>leren i Thyborøn Havn (station 4201). </w:t>
      </w:r>
      <w:r>
        <w:rPr>
          <w:spacing w:val="-3"/>
        </w:rPr>
        <w:t>Vægt- </w:t>
      </w:r>
      <w:r>
        <w:rPr/>
        <w:t>ningen er sket forholdsmæssigt i forhold til </w:t>
      </w:r>
      <w:r>
        <w:rPr>
          <w:spacing w:val="-5"/>
        </w:rPr>
        <w:t>det </w:t>
      </w:r>
      <w:r>
        <w:rPr/>
        <w:t>maksimale antal målinger på  en  uge,  </w:t>
      </w:r>
      <w:r>
        <w:rPr>
          <w:spacing w:val="-3"/>
        </w:rPr>
        <w:t>således </w:t>
      </w:r>
      <w:r>
        <w:rPr/>
        <w:t>at uger med få målinger vejer mindre i </w:t>
      </w:r>
      <w:r>
        <w:rPr>
          <w:spacing w:val="-3"/>
        </w:rPr>
        <w:t>analy- </w:t>
      </w:r>
      <w:r>
        <w:rPr/>
        <w:t>sen end uger, hvor alle registreringer (i 10 </w:t>
      </w:r>
      <w:r>
        <w:rPr>
          <w:spacing w:val="-6"/>
        </w:rPr>
        <w:t>el- </w:t>
      </w:r>
      <w:r>
        <w:rPr/>
        <w:t>ler 15 minutters intervaller) er foretaget, og </w:t>
      </w:r>
      <w:r>
        <w:rPr>
          <w:spacing w:val="-6"/>
        </w:rPr>
        <w:t>vi- </w:t>
      </w:r>
      <w:r>
        <w:rPr/>
        <w:t>ser en stigningsrate på 1,4 mm/år for perioden 1974-2012 og en stigningsrate på 4,3 mm/år </w:t>
      </w:r>
      <w:r>
        <w:rPr>
          <w:spacing w:val="-7"/>
        </w:rPr>
        <w:t>for </w:t>
      </w:r>
      <w:r>
        <w:rPr/>
        <w:t>perioden 1992-2012. Beregningsmetoden er </w:t>
      </w:r>
      <w:r>
        <w:rPr>
          <w:spacing w:val="-6"/>
        </w:rPr>
        <w:t>be- </w:t>
      </w:r>
      <w:r>
        <w:rPr/>
        <w:t>skrevet i flere detaljer af Knudsen og Sørensen (2013). Den korte periode er valgt for </w:t>
      </w:r>
      <w:r>
        <w:rPr>
          <w:spacing w:val="-3"/>
        </w:rPr>
        <w:t>sammen- </w:t>
      </w:r>
      <w:r>
        <w:rPr/>
        <w:t>ligning</w:t>
      </w:r>
      <w:r>
        <w:rPr>
          <w:spacing w:val="-14"/>
        </w:rPr>
        <w:t> </w:t>
      </w:r>
      <w:r>
        <w:rPr/>
        <w:t>med</w:t>
      </w:r>
      <w:r>
        <w:rPr>
          <w:spacing w:val="-14"/>
        </w:rPr>
        <w:t> </w:t>
      </w:r>
      <w:r>
        <w:rPr/>
        <w:t>den</w:t>
      </w:r>
      <w:r>
        <w:rPr>
          <w:spacing w:val="-14"/>
        </w:rPr>
        <w:t> </w:t>
      </w:r>
      <w:r>
        <w:rPr/>
        <w:t>globale</w:t>
      </w:r>
      <w:r>
        <w:rPr>
          <w:spacing w:val="-13"/>
        </w:rPr>
        <w:t> </w:t>
      </w:r>
      <w:r>
        <w:rPr/>
        <w:t>gennemsnitlige</w:t>
      </w:r>
      <w:r>
        <w:rPr>
          <w:spacing w:val="-14"/>
        </w:rPr>
        <w:t> </w:t>
      </w:r>
      <w:r>
        <w:rPr/>
        <w:t>stigning i middelvandstanden på 3,2 mm/år (Nerem et </w:t>
      </w:r>
      <w:r>
        <w:rPr>
          <w:spacing w:val="-6"/>
        </w:rPr>
        <w:t>al, </w:t>
      </w:r>
      <w:r>
        <w:rPr/>
        <w:t>2010).</w:t>
      </w:r>
    </w:p>
    <w:p>
      <w:pPr>
        <w:pStyle w:val="Heading2"/>
        <w:numPr>
          <w:ilvl w:val="1"/>
          <w:numId w:val="3"/>
        </w:numPr>
        <w:tabs>
          <w:tab w:pos="1086" w:val="left" w:leader="none"/>
          <w:tab w:pos="1087" w:val="left" w:leader="none"/>
        </w:tabs>
        <w:spacing w:line="240" w:lineRule="auto" w:before="110" w:after="0"/>
        <w:ind w:left="1086" w:right="0" w:hanging="757"/>
        <w:jc w:val="left"/>
      </w:pPr>
      <w:bookmarkStart w:name="_bookmark8" w:id="13"/>
      <w:bookmarkEnd w:id="13"/>
      <w:r>
        <w:rPr>
          <w:b w:val="0"/>
        </w:rPr>
      </w:r>
      <w:bookmarkStart w:name="_bookmark8" w:id="14"/>
      <w:bookmarkEnd w:id="14"/>
      <w:r>
        <w:rPr>
          <w:w w:val="102"/>
        </w:rPr>
        <w:br w:type="column"/>
      </w:r>
      <w:r>
        <w:rPr/>
        <w:t>Højvandsstatistik</w:t>
      </w:r>
    </w:p>
    <w:p>
      <w:pPr>
        <w:pStyle w:val="BodyText"/>
        <w:spacing w:line="252" w:lineRule="auto" w:before="247"/>
        <w:ind w:left="329" w:right="1131"/>
        <w:jc w:val="both"/>
      </w:pPr>
      <w:r>
        <w:rPr/>
        <w:t>Højvandsstatistikken viser, hvor ofte en </w:t>
      </w:r>
      <w:r>
        <w:rPr>
          <w:spacing w:val="-5"/>
        </w:rPr>
        <w:t>vand- </w:t>
      </w:r>
      <w:r>
        <w:rPr/>
        <w:t>stand forventes at indtræffe eller blive </w:t>
      </w:r>
      <w:r>
        <w:rPr>
          <w:spacing w:val="-4"/>
        </w:rPr>
        <w:t>overgå- </w:t>
      </w:r>
      <w:r>
        <w:rPr/>
        <w:t>et ved Thyborøn. For eksempel er en 100-års middeltidshændelse den vandstand, </w:t>
      </w:r>
      <w:r>
        <w:rPr>
          <w:spacing w:val="-3"/>
        </w:rPr>
        <w:t>der, stati- </w:t>
      </w:r>
      <w:r>
        <w:rPr/>
        <w:t>stisk set, forventes at blive nået eller overgået</w:t>
      </w:r>
      <w:r>
        <w:rPr>
          <w:spacing w:val="-41"/>
        </w:rPr>
        <w:t> </w:t>
      </w:r>
      <w:r>
        <w:rPr>
          <w:spacing w:val="-6"/>
        </w:rPr>
        <w:t>en </w:t>
      </w:r>
      <w:r>
        <w:rPr/>
        <w:t>gang på 100</w:t>
      </w:r>
      <w:r>
        <w:rPr>
          <w:spacing w:val="-4"/>
        </w:rPr>
        <w:t> </w:t>
      </w:r>
      <w:r>
        <w:rPr>
          <w:spacing w:val="-5"/>
        </w:rPr>
        <w:t>år.</w:t>
      </w:r>
    </w:p>
    <w:p>
      <w:pPr>
        <w:pStyle w:val="BodyText"/>
        <w:spacing w:line="252" w:lineRule="auto"/>
        <w:ind w:left="329" w:right="1131" w:firstLine="234"/>
        <w:jc w:val="both"/>
      </w:pPr>
      <w:r>
        <w:rPr>
          <w:spacing w:val="-9"/>
        </w:rPr>
        <w:t>Ved </w:t>
      </w:r>
      <w:r>
        <w:rPr/>
        <w:t>hvert ekstraordinære højvande udvælges den maksimale målte vandstand, og serien </w:t>
      </w:r>
      <w:r>
        <w:rPr>
          <w:spacing w:val="-8"/>
        </w:rPr>
        <w:t>af  </w:t>
      </w:r>
      <w:r>
        <w:rPr/>
        <w:t>maksimale vandstande fra alle højvandshændel- ser udgør grundlaget for beregning af </w:t>
      </w:r>
      <w:r>
        <w:rPr>
          <w:spacing w:val="-3"/>
        </w:rPr>
        <w:t>højvands- </w:t>
      </w:r>
      <w:r>
        <w:rPr/>
        <w:t>statistikken. Da der under en stormflod kan</w:t>
      </w:r>
      <w:r>
        <w:rPr>
          <w:spacing w:val="-40"/>
        </w:rPr>
        <w:t> </w:t>
      </w:r>
      <w:r>
        <w:rPr>
          <w:spacing w:val="-4"/>
        </w:rPr>
        <w:t>fore- </w:t>
      </w:r>
      <w:r>
        <w:rPr/>
        <w:t>komme</w:t>
      </w:r>
      <w:r>
        <w:rPr>
          <w:spacing w:val="-11"/>
        </w:rPr>
        <w:t> </w:t>
      </w:r>
      <w:r>
        <w:rPr/>
        <w:t>flere</w:t>
      </w:r>
      <w:r>
        <w:rPr>
          <w:spacing w:val="-10"/>
        </w:rPr>
        <w:t> </w:t>
      </w:r>
      <w:r>
        <w:rPr/>
        <w:t>ekstreme</w:t>
      </w:r>
      <w:r>
        <w:rPr>
          <w:spacing w:val="-10"/>
        </w:rPr>
        <w:t> </w:t>
      </w:r>
      <w:r>
        <w:rPr/>
        <w:t>hændelser,</w:t>
      </w:r>
      <w:r>
        <w:rPr>
          <w:spacing w:val="-10"/>
        </w:rPr>
        <w:t> </w:t>
      </w:r>
      <w:r>
        <w:rPr/>
        <w:t>er</w:t>
      </w:r>
      <w:r>
        <w:rPr>
          <w:spacing w:val="-11"/>
        </w:rPr>
        <w:t> </w:t>
      </w:r>
      <w:r>
        <w:rPr/>
        <w:t>det</w:t>
      </w:r>
      <w:r>
        <w:rPr>
          <w:spacing w:val="-10"/>
        </w:rPr>
        <w:t> </w:t>
      </w:r>
      <w:r>
        <w:rPr/>
        <w:t>i</w:t>
      </w:r>
      <w:r>
        <w:rPr>
          <w:spacing w:val="-10"/>
        </w:rPr>
        <w:t> </w:t>
      </w:r>
      <w:r>
        <w:rPr/>
        <w:t>udvæl- gelsen dels sikret, at der er minimum 36 </w:t>
      </w:r>
      <w:r>
        <w:rPr>
          <w:spacing w:val="-3"/>
        </w:rPr>
        <w:t>timer </w:t>
      </w:r>
      <w:r>
        <w:rPr/>
        <w:t>imellem to på hinanden følgende ekstremer </w:t>
      </w:r>
      <w:r>
        <w:rPr>
          <w:spacing w:val="-7"/>
        </w:rPr>
        <w:t>og </w:t>
      </w:r>
      <w:r>
        <w:rPr/>
        <w:t>dels, at vandstanden i den mellemliggende </w:t>
      </w:r>
      <w:r>
        <w:rPr>
          <w:spacing w:val="-3"/>
        </w:rPr>
        <w:t>peri- </w:t>
      </w:r>
      <w:r>
        <w:rPr/>
        <w:t>ode har været normaliseret. De indgående </w:t>
      </w:r>
      <w:r>
        <w:rPr>
          <w:spacing w:val="-3"/>
        </w:rPr>
        <w:t>målte </w:t>
      </w:r>
      <w:r>
        <w:rPr/>
        <w:t>maksimalvandstande i statistikken antages </w:t>
      </w:r>
      <w:r>
        <w:rPr>
          <w:spacing w:val="-4"/>
        </w:rPr>
        <w:t>såle- </w:t>
      </w:r>
      <w:r>
        <w:rPr/>
        <w:t>des at være uafhængige af</w:t>
      </w:r>
      <w:r>
        <w:rPr>
          <w:spacing w:val="-8"/>
        </w:rPr>
        <w:t> </w:t>
      </w:r>
      <w:r>
        <w:rPr/>
        <w:t>hinanden.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Endvidere er der gjort antagelser om, at de </w:t>
      </w:r>
      <w:r>
        <w:rPr>
          <w:spacing w:val="-5"/>
        </w:rPr>
        <w:t>re- </w:t>
      </w:r>
      <w:r>
        <w:rPr/>
        <w:t>gistrerede hændelser tilbage i tid også er repræ- sentative i dag. For eksempel vil klimatiske </w:t>
      </w:r>
      <w:r>
        <w:rPr>
          <w:spacing w:val="-5"/>
        </w:rPr>
        <w:t>æn- </w:t>
      </w:r>
      <w:r>
        <w:rPr/>
        <w:t>dringer og/eller ændringer i de fysiske forhold </w:t>
      </w:r>
      <w:r>
        <w:rPr>
          <w:spacing w:val="-15"/>
        </w:rPr>
        <w:t>i </w:t>
      </w:r>
      <w:r>
        <w:rPr/>
        <w:t>for eksempel Thyborøn Havn kunne betyde, </w:t>
      </w:r>
      <w:r>
        <w:rPr>
          <w:spacing w:val="-7"/>
        </w:rPr>
        <w:t>at </w:t>
      </w:r>
      <w:r>
        <w:rPr/>
        <w:t>en stormflodshændelse i Thyborøn i dag vil </w:t>
      </w:r>
      <w:r>
        <w:rPr>
          <w:spacing w:val="-4"/>
        </w:rPr>
        <w:t>ud- </w:t>
      </w:r>
      <w:r>
        <w:rPr/>
        <w:t>folde</w:t>
      </w:r>
      <w:r>
        <w:rPr>
          <w:spacing w:val="-10"/>
        </w:rPr>
        <w:t> </w:t>
      </w:r>
      <w:r>
        <w:rPr/>
        <w:t>sig</w:t>
      </w:r>
      <w:r>
        <w:rPr>
          <w:spacing w:val="-10"/>
        </w:rPr>
        <w:t> </w:t>
      </w:r>
      <w:r>
        <w:rPr/>
        <w:t>anderledes</w:t>
      </w:r>
      <w:r>
        <w:rPr>
          <w:spacing w:val="-10"/>
        </w:rPr>
        <w:t> </w:t>
      </w:r>
      <w:r>
        <w:rPr/>
        <w:t>end</w:t>
      </w:r>
      <w:r>
        <w:rPr>
          <w:spacing w:val="-10"/>
        </w:rPr>
        <w:t> </w:t>
      </w:r>
      <w:r>
        <w:rPr/>
        <w:t>en</w:t>
      </w:r>
      <w:r>
        <w:rPr>
          <w:spacing w:val="-9"/>
        </w:rPr>
        <w:t> </w:t>
      </w:r>
      <w:r>
        <w:rPr/>
        <w:t>tilsvarende</w:t>
      </w:r>
      <w:r>
        <w:rPr>
          <w:spacing w:val="-10"/>
        </w:rPr>
        <w:t> </w:t>
      </w:r>
      <w:r>
        <w:rPr/>
        <w:t>hændelse i</w:t>
      </w:r>
      <w:r>
        <w:rPr>
          <w:spacing w:val="-2"/>
        </w:rPr>
        <w:t> </w:t>
      </w:r>
      <w:r>
        <w:rPr/>
        <w:t>1960.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I beregning af statistikken forventes </w:t>
      </w:r>
      <w:r>
        <w:rPr>
          <w:spacing w:val="-3"/>
        </w:rPr>
        <w:t>maksi- </w:t>
      </w:r>
      <w:r>
        <w:rPr/>
        <w:t>malvandstandene</w:t>
      </w:r>
      <w:r>
        <w:rPr>
          <w:spacing w:val="-16"/>
        </w:rPr>
        <w:t> </w:t>
      </w:r>
      <w:r>
        <w:rPr/>
        <w:t>over</w:t>
      </w:r>
      <w:r>
        <w:rPr>
          <w:spacing w:val="-15"/>
        </w:rPr>
        <w:t> </w:t>
      </w:r>
      <w:r>
        <w:rPr/>
        <w:t>et</w:t>
      </w:r>
      <w:r>
        <w:rPr>
          <w:spacing w:val="-15"/>
        </w:rPr>
        <w:t> </w:t>
      </w:r>
      <w:r>
        <w:rPr/>
        <w:t>vist</w:t>
      </w:r>
      <w:r>
        <w:rPr>
          <w:spacing w:val="-15"/>
        </w:rPr>
        <w:t> </w:t>
      </w:r>
      <w:r>
        <w:rPr/>
        <w:t>niveau</w:t>
      </w:r>
      <w:r>
        <w:rPr>
          <w:spacing w:val="-16"/>
        </w:rPr>
        <w:t> </w:t>
      </w:r>
      <w:r>
        <w:rPr/>
        <w:t>at</w:t>
      </w:r>
      <w:r>
        <w:rPr>
          <w:spacing w:val="-15"/>
        </w:rPr>
        <w:t> </w:t>
      </w:r>
      <w:r>
        <w:rPr/>
        <w:t>kunne</w:t>
      </w:r>
      <w:r>
        <w:rPr>
          <w:spacing w:val="-15"/>
        </w:rPr>
        <w:t> </w:t>
      </w:r>
      <w:r>
        <w:rPr>
          <w:spacing w:val="-4"/>
        </w:rPr>
        <w:t>be- </w:t>
      </w:r>
      <w:r>
        <w:rPr/>
        <w:t>skrives ved en fordelingsfunktion; i dette tilfæl- de ved en </w:t>
      </w:r>
      <w:r>
        <w:rPr>
          <w:spacing w:val="-4"/>
        </w:rPr>
        <w:t>Weibull </w:t>
      </w:r>
      <w:r>
        <w:rPr/>
        <w:t>fordeling med et afskærings- niveau på 148 cm, hvor alle ekstremvandstande over</w:t>
      </w:r>
      <w:r>
        <w:rPr>
          <w:spacing w:val="-11"/>
        </w:rPr>
        <w:t> </w:t>
      </w:r>
      <w:r>
        <w:rPr/>
        <w:t>148</w:t>
      </w:r>
      <w:r>
        <w:rPr>
          <w:spacing w:val="-11"/>
        </w:rPr>
        <w:t> </w:t>
      </w:r>
      <w:r>
        <w:rPr/>
        <w:t>cm</w:t>
      </w:r>
      <w:r>
        <w:rPr>
          <w:spacing w:val="-11"/>
        </w:rPr>
        <w:t> </w:t>
      </w:r>
      <w:r>
        <w:rPr/>
        <w:t>således</w:t>
      </w:r>
      <w:r>
        <w:rPr>
          <w:spacing w:val="-11"/>
        </w:rPr>
        <w:t> </w:t>
      </w:r>
      <w:r>
        <w:rPr/>
        <w:t>indgår</w:t>
      </w:r>
      <w:r>
        <w:rPr>
          <w:spacing w:val="-11"/>
        </w:rPr>
        <w:t> </w:t>
      </w:r>
      <w:r>
        <w:rPr/>
        <w:t>i</w:t>
      </w:r>
      <w:r>
        <w:rPr>
          <w:spacing w:val="-11"/>
        </w:rPr>
        <w:t> </w:t>
      </w:r>
      <w:r>
        <w:rPr/>
        <w:t>beregningen,</w:t>
      </w:r>
      <w:r>
        <w:rPr>
          <w:spacing w:val="-11"/>
        </w:rPr>
        <w:t> </w:t>
      </w:r>
      <w:r>
        <w:rPr/>
        <w:t>jf.</w:t>
      </w:r>
      <w:r>
        <w:rPr>
          <w:spacing w:val="-11"/>
        </w:rPr>
        <w:t> </w:t>
      </w:r>
      <w:r>
        <w:rPr>
          <w:spacing w:val="-4"/>
        </w:rPr>
        <w:t>Sø- </w:t>
      </w:r>
      <w:r>
        <w:rPr/>
        <w:t>rensen, Madsen og Knudsen</w:t>
      </w:r>
      <w:r>
        <w:rPr>
          <w:spacing w:val="-7"/>
        </w:rPr>
        <w:t> </w:t>
      </w:r>
      <w:r>
        <w:rPr/>
        <w:t>(2013).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I tilpasningen til fordelingsfunktionen </w:t>
      </w:r>
      <w:r>
        <w:rPr>
          <w:spacing w:val="-4"/>
        </w:rPr>
        <w:t>bereg- </w:t>
      </w:r>
      <w:r>
        <w:rPr/>
        <w:t>nes endvidere en standardafvigelse, der beskri- </w:t>
      </w:r>
      <w:r>
        <w:rPr>
          <w:spacing w:val="-4"/>
        </w:rPr>
        <w:t>ver, </w:t>
      </w:r>
      <w:r>
        <w:rPr/>
        <w:t>hvor gode/præcise de beregnede</w:t>
      </w:r>
      <w:r>
        <w:rPr>
          <w:spacing w:val="-39"/>
        </w:rPr>
        <w:t> </w:t>
      </w:r>
      <w:r>
        <w:rPr/>
        <w:t>middeltids- hændelser forventes at være.</w:t>
      </w:r>
      <w:r>
        <w:rPr>
          <w:spacing w:val="-25"/>
        </w:rPr>
        <w:t> </w:t>
      </w:r>
      <w:r>
        <w:rPr/>
        <w:t>Standardafvigelsen afhænger af, hvor godt funktionen beskriver</w:t>
      </w:r>
      <w:r>
        <w:rPr>
          <w:spacing w:val="25"/>
        </w:rPr>
        <w:t> </w:t>
      </w:r>
      <w:r>
        <w:rPr>
          <w:spacing w:val="-4"/>
        </w:rPr>
        <w:t>ek-</w:t>
      </w:r>
    </w:p>
    <w:p>
      <w:pPr>
        <w:spacing w:after="0" w:line="252" w:lineRule="auto"/>
        <w:jc w:val="both"/>
        <w:sectPr>
          <w:type w:val="continuous"/>
          <w:pgSz w:w="11910" w:h="16840"/>
          <w:pgMar w:top="0" w:bottom="280" w:left="460" w:right="0"/>
          <w:cols w:num="2" w:equalWidth="0">
            <w:col w:w="5309" w:space="40"/>
            <w:col w:w="6101"/>
          </w:cols>
        </w:sectPr>
      </w:pPr>
    </w:p>
    <w:p>
      <w:pPr>
        <w:pStyle w:val="BodyText"/>
        <w:ind w:left="1637"/>
        <w:rPr>
          <w:sz w:val="20"/>
        </w:rPr>
      </w:pPr>
      <w:r>
        <w:rPr>
          <w:sz w:val="20"/>
        </w:rPr>
        <w:drawing>
          <wp:inline distT="0" distB="0" distL="0" distR="0">
            <wp:extent cx="4888611" cy="2135409"/>
            <wp:effectExtent l="0" t="0" r="0" b="0"/>
            <wp:docPr id="13" name="image1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0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8611" cy="2135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8"/>
        </w:rPr>
      </w:pPr>
    </w:p>
    <w:p>
      <w:pPr>
        <w:spacing w:line="273" w:lineRule="auto" w:before="103"/>
        <w:ind w:left="673" w:right="1053" w:firstLine="0"/>
        <w:jc w:val="left"/>
        <w:rPr>
          <w:rFonts w:ascii="Arial" w:hAnsi="Arial"/>
          <w:sz w:val="22"/>
        </w:rPr>
      </w:pPr>
      <w:bookmarkStart w:name="_bookmark9" w:id="15"/>
      <w:bookmarkEnd w:id="15"/>
      <w:r>
        <w:rPr/>
      </w:r>
      <w:r>
        <w:rPr>
          <w:rFonts w:ascii="Arial" w:hAnsi="Arial"/>
          <w:sz w:val="22"/>
        </w:rPr>
        <w:t>Figur 2: Vandstandsmåleren i Thyborøn Havn (4201) og dens placering. Havmålerens placering er endvidere vist (4203).</w:t>
      </w:r>
    </w:p>
    <w:p>
      <w:pPr>
        <w:pStyle w:val="BodyText"/>
        <w:spacing w:before="9"/>
        <w:rPr>
          <w:rFonts w:ascii="Arial"/>
          <w:sz w:val="25"/>
        </w:rPr>
      </w:pPr>
    </w:p>
    <w:p>
      <w:pPr>
        <w:spacing w:after="0"/>
        <w:rPr>
          <w:rFonts w:ascii="Arial"/>
          <w:sz w:val="25"/>
        </w:rPr>
        <w:sectPr>
          <w:footerReference w:type="default" r:id="rId22"/>
          <w:pgSz w:w="11910" w:h="16840"/>
          <w:pgMar w:footer="525" w:header="0" w:top="1120" w:bottom="720" w:left="460" w:right="0"/>
          <w:pgNumType w:start="11"/>
        </w:sectPr>
      </w:pPr>
    </w:p>
    <w:p>
      <w:pPr>
        <w:spacing w:line="261" w:lineRule="auto" w:before="103"/>
        <w:ind w:left="673" w:right="0" w:firstLine="0"/>
        <w:jc w:val="left"/>
        <w:rPr>
          <w:rFonts w:ascii="Arial" w:hAnsi="Arial"/>
          <w:sz w:val="18"/>
        </w:rPr>
      </w:pPr>
      <w:bookmarkStart w:name="_bookmark10" w:id="16"/>
      <w:bookmarkEnd w:id="16"/>
      <w:r>
        <w:rPr/>
      </w:r>
      <w:r>
        <w:rPr>
          <w:rFonts w:ascii="Arial" w:hAnsi="Arial"/>
          <w:sz w:val="22"/>
        </w:rPr>
        <w:t>Tabel 1: </w:t>
      </w:r>
      <w:r>
        <w:rPr>
          <w:rFonts w:ascii="Arial" w:hAnsi="Arial"/>
          <w:sz w:val="18"/>
        </w:rPr>
        <w:t>Statistiske middeltidsvandstande for Thyborøn Havn.</w:t>
      </w:r>
    </w:p>
    <w:p>
      <w:pPr>
        <w:pStyle w:val="BodyText"/>
        <w:spacing w:before="3"/>
        <w:rPr>
          <w:rFonts w:ascii="Arial"/>
          <w:sz w:val="15"/>
        </w:rPr>
      </w:pPr>
      <w:r>
        <w:rPr/>
        <w:pict>
          <v:line style="position:absolute;mso-position-horizontal-relative:page;mso-position-vertical-relative:paragraph;z-index:-832;mso-wrap-distance-left:0;mso-wrap-distance-right:0" from="93.751999pt,10.971189pt" to="251.343999pt,10.971189pt" stroked="true" strokeweight=".398pt" strokecolor="#000000">
            <v:stroke dashstyle="solid"/>
            <w10:wrap type="topAndBottom"/>
          </v:line>
        </w:pict>
      </w:r>
    </w:p>
    <w:p>
      <w:pPr>
        <w:tabs>
          <w:tab w:pos="2293" w:val="left" w:leader="none"/>
          <w:tab w:pos="3194" w:val="left" w:leader="none"/>
        </w:tabs>
        <w:spacing w:before="0"/>
        <w:ind w:left="1415" w:right="0" w:firstLine="0"/>
        <w:jc w:val="left"/>
        <w:rPr>
          <w:rFonts w:ascii="Arial" w:hAnsi="Arial"/>
          <w:sz w:val="18"/>
        </w:rPr>
      </w:pPr>
      <w:r>
        <w:rPr>
          <w:w w:val="101"/>
          <w:sz w:val="18"/>
          <w:u w:val="single"/>
        </w:rPr>
        <w:t> </w:t>
      </w:r>
      <w:r>
        <w:rPr>
          <w:sz w:val="18"/>
          <w:u w:val="single"/>
        </w:rPr>
        <w:t> </w:t>
      </w:r>
      <w:r>
        <w:rPr>
          <w:spacing w:val="-17"/>
          <w:sz w:val="18"/>
          <w:u w:val="single"/>
        </w:rPr>
        <w:t> </w:t>
      </w:r>
      <w:r>
        <w:rPr>
          <w:rFonts w:ascii="Arial" w:hAnsi="Arial"/>
          <w:sz w:val="18"/>
          <w:u w:val="single"/>
        </w:rPr>
        <w:t>År</w:t>
        <w:tab/>
        <w:t>VS</w:t>
      </w:r>
      <w:r>
        <w:rPr>
          <w:rFonts w:ascii="Arial" w:hAnsi="Arial"/>
          <w:spacing w:val="3"/>
          <w:sz w:val="18"/>
          <w:u w:val="single"/>
        </w:rPr>
        <w:t> </w:t>
      </w:r>
      <w:r>
        <w:rPr>
          <w:rFonts w:ascii="Arial" w:hAnsi="Arial"/>
          <w:sz w:val="18"/>
          <w:u w:val="single"/>
        </w:rPr>
        <w:t>(cm)</w:t>
        <w:tab/>
        <w:t>Spredning</w:t>
      </w:r>
      <w:r>
        <w:rPr>
          <w:rFonts w:ascii="Arial" w:hAnsi="Arial"/>
          <w:spacing w:val="22"/>
          <w:sz w:val="18"/>
          <w:u w:val="single"/>
        </w:rPr>
        <w:t> </w:t>
      </w:r>
      <w:r>
        <w:rPr>
          <w:rFonts w:ascii="Arial" w:hAnsi="Arial"/>
          <w:sz w:val="18"/>
          <w:u w:val="single"/>
        </w:rPr>
        <w:t>(cm)</w:t>
      </w:r>
      <w:r>
        <w:rPr>
          <w:rFonts w:ascii="Arial" w:hAnsi="Arial"/>
          <w:spacing w:val="19"/>
          <w:sz w:val="18"/>
          <w:u w:val="single"/>
        </w:rPr>
        <w:t> </w:t>
      </w:r>
    </w:p>
    <w:p>
      <w:pPr>
        <w:pStyle w:val="BodyText"/>
        <w:spacing w:before="11"/>
        <w:rPr>
          <w:rFonts w:ascii="Arial"/>
          <w:sz w:val="2"/>
        </w:rPr>
      </w:pPr>
    </w:p>
    <w:tbl>
      <w:tblPr>
        <w:tblW w:w="0" w:type="auto"/>
        <w:jc w:val="left"/>
        <w:tblInd w:w="14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67"/>
        <w:gridCol w:w="1298"/>
        <w:gridCol w:w="847"/>
      </w:tblGrid>
      <w:tr>
        <w:trPr>
          <w:trHeight w:val="233" w:hRule="atLeast"/>
        </w:trPr>
        <w:tc>
          <w:tcPr>
            <w:tcW w:w="867" w:type="dxa"/>
          </w:tcPr>
          <w:p>
            <w:pPr>
              <w:pStyle w:val="TableParagraph"/>
              <w:spacing w:line="240" w:lineRule="auto" w:before="6"/>
              <w:ind w:left="50"/>
              <w:jc w:val="lef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100 år</w:t>
            </w:r>
          </w:p>
        </w:tc>
        <w:tc>
          <w:tcPr>
            <w:tcW w:w="1298" w:type="dxa"/>
          </w:tcPr>
          <w:p>
            <w:pPr>
              <w:pStyle w:val="TableParagraph"/>
              <w:spacing w:line="240" w:lineRule="auto" w:before="6"/>
              <w:ind w:left="297"/>
              <w:jc w:val="left"/>
              <w:rPr>
                <w:rFonts w:ascii="Arial"/>
                <w:sz w:val="18"/>
              </w:rPr>
            </w:pPr>
            <w:r>
              <w:rPr>
                <w:rFonts w:ascii="Arial"/>
                <w:sz w:val="18"/>
              </w:rPr>
              <w:t>191</w:t>
            </w:r>
          </w:p>
        </w:tc>
        <w:tc>
          <w:tcPr>
            <w:tcW w:w="847" w:type="dxa"/>
          </w:tcPr>
          <w:p>
            <w:pPr>
              <w:pStyle w:val="TableParagraph"/>
              <w:spacing w:line="240" w:lineRule="auto" w:before="6"/>
              <w:ind w:right="47"/>
              <w:rPr>
                <w:rFonts w:ascii="Arial"/>
                <w:sz w:val="18"/>
              </w:rPr>
            </w:pPr>
            <w:r>
              <w:rPr>
                <w:rFonts w:ascii="Arial"/>
                <w:w w:val="101"/>
                <w:sz w:val="18"/>
              </w:rPr>
              <w:t>6</w:t>
            </w:r>
          </w:p>
        </w:tc>
      </w:tr>
      <w:tr>
        <w:trPr>
          <w:trHeight w:val="233" w:hRule="atLeast"/>
        </w:trPr>
        <w:tc>
          <w:tcPr>
            <w:tcW w:w="867" w:type="dxa"/>
          </w:tcPr>
          <w:p>
            <w:pPr>
              <w:pStyle w:val="TableParagraph"/>
              <w:spacing w:line="201" w:lineRule="exact" w:before="12"/>
              <w:ind w:left="50"/>
              <w:jc w:val="left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50 år</w:t>
            </w:r>
          </w:p>
        </w:tc>
        <w:tc>
          <w:tcPr>
            <w:tcW w:w="1298" w:type="dxa"/>
          </w:tcPr>
          <w:p>
            <w:pPr>
              <w:pStyle w:val="TableParagraph"/>
              <w:spacing w:line="201" w:lineRule="exact" w:before="12"/>
              <w:ind w:left="297"/>
              <w:jc w:val="left"/>
              <w:rPr>
                <w:rFonts w:ascii="Arial"/>
                <w:sz w:val="18"/>
              </w:rPr>
            </w:pPr>
            <w:r>
              <w:rPr>
                <w:rFonts w:ascii="Arial"/>
                <w:sz w:val="18"/>
              </w:rPr>
              <w:t>185</w:t>
            </w:r>
          </w:p>
        </w:tc>
        <w:tc>
          <w:tcPr>
            <w:tcW w:w="847" w:type="dxa"/>
          </w:tcPr>
          <w:p>
            <w:pPr>
              <w:pStyle w:val="TableParagraph"/>
              <w:spacing w:line="201" w:lineRule="exact" w:before="12"/>
              <w:ind w:right="47"/>
              <w:rPr>
                <w:rFonts w:ascii="Arial"/>
                <w:sz w:val="18"/>
              </w:rPr>
            </w:pPr>
            <w:r>
              <w:rPr>
                <w:rFonts w:ascii="Arial"/>
                <w:w w:val="101"/>
                <w:sz w:val="18"/>
              </w:rPr>
              <w:t>5</w:t>
            </w:r>
          </w:p>
        </w:tc>
      </w:tr>
    </w:tbl>
    <w:p>
      <w:pPr>
        <w:tabs>
          <w:tab w:pos="2649" w:val="left" w:leader="none"/>
          <w:tab w:pos="4345" w:val="left" w:leader="none"/>
        </w:tabs>
        <w:spacing w:before="18"/>
        <w:ind w:left="1415" w:right="0" w:firstLine="0"/>
        <w:jc w:val="left"/>
        <w:rPr>
          <w:rFonts w:ascii="Arial" w:hAnsi="Arial"/>
          <w:sz w:val="18"/>
        </w:rPr>
      </w:pPr>
      <w:r>
        <w:rPr>
          <w:w w:val="101"/>
          <w:sz w:val="18"/>
          <w:u w:val="single"/>
        </w:rPr>
        <w:t> </w:t>
      </w:r>
      <w:r>
        <w:rPr>
          <w:sz w:val="18"/>
          <w:u w:val="single"/>
        </w:rPr>
        <w:t> </w:t>
      </w:r>
      <w:r>
        <w:rPr>
          <w:spacing w:val="-17"/>
          <w:sz w:val="18"/>
          <w:u w:val="single"/>
        </w:rPr>
        <w:t> </w:t>
      </w:r>
      <w:r>
        <w:rPr>
          <w:rFonts w:ascii="Arial" w:hAnsi="Arial"/>
          <w:sz w:val="18"/>
          <w:u w:val="single"/>
        </w:rPr>
        <w:t>20</w:t>
      </w:r>
      <w:r>
        <w:rPr>
          <w:rFonts w:ascii="Arial" w:hAnsi="Arial"/>
          <w:spacing w:val="2"/>
          <w:sz w:val="18"/>
          <w:u w:val="single"/>
        </w:rPr>
        <w:t> </w:t>
      </w:r>
      <w:r>
        <w:rPr>
          <w:rFonts w:ascii="Arial" w:hAnsi="Arial"/>
          <w:sz w:val="18"/>
          <w:u w:val="single"/>
        </w:rPr>
        <w:t>år</w:t>
        <w:tab/>
        <w:t>177</w:t>
        <w:tab/>
        <w:t>4</w:t>
      </w:r>
      <w:r>
        <w:rPr>
          <w:rFonts w:ascii="Arial" w:hAnsi="Arial"/>
          <w:spacing w:val="19"/>
          <w:sz w:val="18"/>
          <w:u w:val="single"/>
        </w:rPr>
        <w:t> </w:t>
      </w:r>
    </w:p>
    <w:p>
      <w:pPr>
        <w:pStyle w:val="BodyText"/>
        <w:rPr>
          <w:rFonts w:ascii="Arial"/>
          <w:sz w:val="22"/>
        </w:rPr>
      </w:pPr>
    </w:p>
    <w:p>
      <w:pPr>
        <w:pStyle w:val="BodyText"/>
        <w:spacing w:before="6"/>
        <w:rPr>
          <w:rFonts w:ascii="Arial"/>
          <w:sz w:val="17"/>
        </w:rPr>
      </w:pPr>
    </w:p>
    <w:p>
      <w:pPr>
        <w:pStyle w:val="BodyText"/>
        <w:spacing w:line="252" w:lineRule="auto" w:before="1"/>
        <w:ind w:left="673"/>
      </w:pPr>
      <w:r>
        <w:rPr/>
        <w:t>stremdata,</w:t>
      </w:r>
      <w:r>
        <w:rPr>
          <w:spacing w:val="-14"/>
        </w:rPr>
        <w:t> </w:t>
      </w:r>
      <w:r>
        <w:rPr/>
        <w:t>samt</w:t>
      </w:r>
      <w:r>
        <w:rPr>
          <w:spacing w:val="-14"/>
        </w:rPr>
        <w:t> </w:t>
      </w:r>
      <w:r>
        <w:rPr/>
        <w:t>af</w:t>
      </w:r>
      <w:r>
        <w:rPr>
          <w:spacing w:val="-14"/>
        </w:rPr>
        <w:t> </w:t>
      </w:r>
      <w:r>
        <w:rPr/>
        <w:t>dataseriens</w:t>
      </w:r>
      <w:r>
        <w:rPr>
          <w:spacing w:val="-13"/>
        </w:rPr>
        <w:t> </w:t>
      </w:r>
      <w:r>
        <w:rPr/>
        <w:t>længde</w:t>
      </w:r>
      <w:r>
        <w:rPr>
          <w:spacing w:val="-14"/>
        </w:rPr>
        <w:t> </w:t>
      </w:r>
      <w:r>
        <w:rPr/>
        <w:t>og</w:t>
      </w:r>
      <w:r>
        <w:rPr>
          <w:spacing w:val="-14"/>
        </w:rPr>
        <w:t> </w:t>
      </w:r>
      <w:r>
        <w:rPr/>
        <w:t>det</w:t>
      </w:r>
      <w:r>
        <w:rPr>
          <w:spacing w:val="-13"/>
        </w:rPr>
        <w:t> </w:t>
      </w:r>
      <w:r>
        <w:rPr>
          <w:spacing w:val="-5"/>
        </w:rPr>
        <w:t>høj- </w:t>
      </w:r>
      <w:r>
        <w:rPr/>
        <w:t>deinterval, som ekstremvandstandene ligger</w:t>
      </w:r>
      <w:r>
        <w:rPr>
          <w:spacing w:val="-17"/>
        </w:rPr>
        <w:t> </w:t>
      </w:r>
      <w:r>
        <w:rPr/>
        <w:t>i.</w:t>
      </w:r>
    </w:p>
    <w:p>
      <w:pPr>
        <w:pStyle w:val="BodyText"/>
        <w:spacing w:line="252" w:lineRule="auto"/>
        <w:ind w:left="673" w:firstLine="234"/>
        <w:jc w:val="both"/>
      </w:pPr>
      <w:r>
        <w:rPr/>
        <w:t>Højvandsstatistikken beregnes i forhold </w:t>
      </w:r>
      <w:r>
        <w:rPr>
          <w:spacing w:val="-6"/>
        </w:rPr>
        <w:t>til </w:t>
      </w:r>
      <w:r>
        <w:rPr/>
        <w:t>middelvandstanden. Denne ændrer sig over </w:t>
      </w:r>
      <w:r>
        <w:rPr>
          <w:spacing w:val="-4"/>
        </w:rPr>
        <w:t>tid, </w:t>
      </w:r>
      <w:r>
        <w:rPr/>
        <w:t>og målte ekstremvandstande er derfor </w:t>
      </w:r>
      <w:r>
        <w:rPr>
          <w:spacing w:val="-3"/>
        </w:rPr>
        <w:t>korrige- </w:t>
      </w:r>
      <w:r>
        <w:rPr/>
        <w:t>ret lineært i forhold til middelvandstanden </w:t>
      </w:r>
      <w:r>
        <w:rPr>
          <w:spacing w:val="-6"/>
        </w:rPr>
        <w:t>det </w:t>
      </w:r>
      <w:r>
        <w:rPr>
          <w:spacing w:val="-4"/>
        </w:rPr>
        <w:t>år, </w:t>
      </w:r>
      <w:r>
        <w:rPr/>
        <w:t>hændelsen indtraf med basis i 1990 som </w:t>
      </w:r>
      <w:r>
        <w:rPr>
          <w:spacing w:val="-8"/>
        </w:rPr>
        <w:t>en </w:t>
      </w:r>
      <w:r>
        <w:rPr/>
        <w:t>trendfri vandstand relateret til</w:t>
      </w:r>
      <w:r>
        <w:rPr>
          <w:spacing w:val="-10"/>
        </w:rPr>
        <w:t> </w:t>
      </w:r>
      <w:r>
        <w:rPr/>
        <w:t>DVR90.</w:t>
      </w:r>
    </w:p>
    <w:p>
      <w:pPr>
        <w:pStyle w:val="BodyText"/>
        <w:spacing w:line="252" w:lineRule="auto"/>
        <w:ind w:left="673" w:firstLine="234"/>
        <w:jc w:val="both"/>
      </w:pPr>
      <w:r>
        <w:rPr/>
        <w:t>Beregningen for Thyborøn giver en </w:t>
      </w:r>
      <w:r>
        <w:rPr>
          <w:spacing w:val="-3"/>
        </w:rPr>
        <w:t>100-års </w:t>
      </w:r>
      <w:r>
        <w:rPr/>
        <w:t>vandstand på 191 cm DVR90 (trendfri med </w:t>
      </w:r>
      <w:r>
        <w:rPr>
          <w:spacing w:val="-5"/>
        </w:rPr>
        <w:t>ba- </w:t>
      </w:r>
      <w:r>
        <w:rPr/>
        <w:t>sis i 1990), jf. tabel </w:t>
      </w:r>
      <w:hyperlink w:history="true" w:anchor="_bookmark10">
        <w:r>
          <w:rPr>
            <w:color w:val="FF0000"/>
          </w:rPr>
          <w:t>1</w:t>
        </w:r>
      </w:hyperlink>
      <w:r>
        <w:rPr/>
        <w:t>, der i 2012 svarer til </w:t>
      </w:r>
      <w:r>
        <w:rPr>
          <w:spacing w:val="-6"/>
        </w:rPr>
        <w:t>193 </w:t>
      </w:r>
      <w:r>
        <w:rPr/>
        <w:t>cm DVR90. Relationen mellem vandstand</w:t>
      </w:r>
      <w:r>
        <w:rPr>
          <w:spacing w:val="-29"/>
        </w:rPr>
        <w:t> </w:t>
      </w:r>
      <w:r>
        <w:rPr>
          <w:spacing w:val="-4"/>
        </w:rPr>
        <w:t>(mid- </w:t>
      </w:r>
      <w:r>
        <w:rPr/>
        <w:t>deltidshændelse) og tid (middeltidsafstand) </w:t>
      </w:r>
      <w:r>
        <w:rPr>
          <w:spacing w:val="-6"/>
        </w:rPr>
        <w:t>kan </w:t>
      </w:r>
      <w:r>
        <w:rPr/>
        <w:t>afbildes grafisk (figur </w:t>
      </w:r>
      <w:hyperlink w:history="true" w:anchor="_bookmark12">
        <w:r>
          <w:rPr>
            <w:color w:val="FF0000"/>
          </w:rPr>
          <w:t>3</w:t>
        </w:r>
      </w:hyperlink>
      <w:r>
        <w:rPr/>
        <w:t>) således at der til en </w:t>
      </w:r>
      <w:r>
        <w:rPr>
          <w:spacing w:val="-5"/>
        </w:rPr>
        <w:t>gi- </w:t>
      </w:r>
      <w:r>
        <w:rPr/>
        <w:t>ven vandstand kan aflæses det antal </w:t>
      </w:r>
      <w:r>
        <w:rPr>
          <w:spacing w:val="-4"/>
        </w:rPr>
        <w:t>år, </w:t>
      </w:r>
      <w:r>
        <w:rPr/>
        <w:t>der </w:t>
      </w:r>
      <w:r>
        <w:rPr>
          <w:spacing w:val="-4"/>
        </w:rPr>
        <w:t>vil </w:t>
      </w:r>
      <w:r>
        <w:rPr/>
        <w:t>være mellem hændelser af denne</w:t>
      </w:r>
      <w:r>
        <w:rPr>
          <w:spacing w:val="-10"/>
        </w:rPr>
        <w:t> </w:t>
      </w:r>
      <w:r>
        <w:rPr/>
        <w:t>størrelse.</w:t>
      </w:r>
    </w:p>
    <w:p>
      <w:pPr>
        <w:pStyle w:val="BodyText"/>
        <w:spacing w:before="8"/>
        <w:rPr>
          <w:sz w:val="38"/>
        </w:rPr>
      </w:pPr>
    </w:p>
    <w:p>
      <w:pPr>
        <w:pStyle w:val="Heading2"/>
        <w:numPr>
          <w:ilvl w:val="1"/>
          <w:numId w:val="3"/>
        </w:numPr>
        <w:tabs>
          <w:tab w:pos="1430" w:val="left" w:leader="none"/>
          <w:tab w:pos="1431" w:val="left" w:leader="none"/>
        </w:tabs>
        <w:spacing w:line="240" w:lineRule="auto" w:before="0" w:after="0"/>
        <w:ind w:left="1430" w:right="0" w:hanging="757"/>
        <w:jc w:val="left"/>
      </w:pPr>
      <w:bookmarkStart w:name="_bookmark11" w:id="17"/>
      <w:bookmarkEnd w:id="17"/>
      <w:r>
        <w:rPr>
          <w:b w:val="0"/>
        </w:rPr>
      </w:r>
      <w:bookmarkStart w:name="_bookmark11" w:id="18"/>
      <w:bookmarkEnd w:id="18"/>
      <w:r>
        <w:rPr/>
        <w:t>Danmarks</w:t>
      </w:r>
      <w:r>
        <w:rPr>
          <w:spacing w:val="11"/>
        </w:rPr>
        <w:t> </w:t>
      </w:r>
      <w:r>
        <w:rPr/>
        <w:t>højdemodel</w:t>
      </w:r>
    </w:p>
    <w:p>
      <w:pPr>
        <w:pStyle w:val="Heading3"/>
        <w:spacing w:before="297"/>
        <w:ind w:left="673"/>
      </w:pPr>
      <w:r>
        <w:rPr/>
        <w:t>Baggrund</w:t>
      </w:r>
    </w:p>
    <w:p>
      <w:pPr>
        <w:pStyle w:val="BodyText"/>
        <w:spacing w:line="252" w:lineRule="auto" w:before="171"/>
        <w:ind w:left="673"/>
        <w:jc w:val="both"/>
      </w:pPr>
      <w:r>
        <w:rPr/>
        <w:t>Danmarks Højdemodel (DHM) er en model, </w:t>
      </w:r>
      <w:r>
        <w:rPr>
          <w:spacing w:val="-6"/>
        </w:rPr>
        <w:t>der </w:t>
      </w:r>
      <w:r>
        <w:rPr/>
        <w:t>beskriver terrænet (jord, marker, veje </w:t>
      </w:r>
      <w:r>
        <w:rPr>
          <w:spacing w:val="-4"/>
        </w:rPr>
        <w:t>mv.) </w:t>
      </w:r>
      <w:r>
        <w:rPr>
          <w:spacing w:val="-7"/>
        </w:rPr>
        <w:t>og </w:t>
      </w:r>
      <w:r>
        <w:rPr/>
        <w:t>overfladen (hustage, trætoppe </w:t>
      </w:r>
      <w:r>
        <w:rPr>
          <w:spacing w:val="-4"/>
        </w:rPr>
        <w:t>mv.) </w:t>
      </w:r>
      <w:r>
        <w:rPr/>
        <w:t>samt </w:t>
      </w:r>
      <w:r>
        <w:rPr>
          <w:spacing w:val="-3"/>
        </w:rPr>
        <w:t>højde- kurver. </w:t>
      </w:r>
      <w:r>
        <w:rPr/>
        <w:t>Den bruges bl.a. som datagrundlag i </w:t>
      </w:r>
      <w:r>
        <w:rPr>
          <w:spacing w:val="-6"/>
        </w:rPr>
        <w:t>for- </w:t>
      </w:r>
      <w:r>
        <w:rPr/>
        <w:t>bindelse</w:t>
      </w:r>
      <w:r>
        <w:rPr>
          <w:spacing w:val="-13"/>
        </w:rPr>
        <w:t> </w:t>
      </w:r>
      <w:r>
        <w:rPr/>
        <w:t>med</w:t>
      </w:r>
      <w:r>
        <w:rPr>
          <w:spacing w:val="-13"/>
        </w:rPr>
        <w:t> </w:t>
      </w:r>
      <w:r>
        <w:rPr/>
        <w:t>klimatilpasning</w:t>
      </w:r>
      <w:r>
        <w:rPr>
          <w:spacing w:val="-12"/>
        </w:rPr>
        <w:t> </w:t>
      </w:r>
      <w:r>
        <w:rPr/>
        <w:t>og</w:t>
      </w:r>
      <w:r>
        <w:rPr>
          <w:spacing w:val="-13"/>
        </w:rPr>
        <w:t> </w:t>
      </w:r>
      <w:r>
        <w:rPr>
          <w:spacing w:val="-3"/>
        </w:rPr>
        <w:t>kystbeskyttelse,</w:t>
      </w:r>
    </w:p>
    <w:p>
      <w:pPr>
        <w:pStyle w:val="BodyText"/>
        <w:spacing w:line="228" w:lineRule="auto" w:before="133"/>
        <w:ind w:left="329" w:right="1131"/>
        <w:jc w:val="both"/>
      </w:pPr>
      <w:r>
        <w:rPr/>
        <w:br w:type="column"/>
      </w:r>
      <w:r>
        <w:rPr/>
        <w:t>til</w:t>
      </w:r>
      <w:r>
        <w:rPr>
          <w:spacing w:val="-10"/>
        </w:rPr>
        <w:t> </w:t>
      </w:r>
      <w:r>
        <w:rPr/>
        <w:t>miljøopgaver,</w:t>
      </w:r>
      <w:r>
        <w:rPr>
          <w:spacing w:val="-10"/>
        </w:rPr>
        <w:t> </w:t>
      </w:r>
      <w:r>
        <w:rPr/>
        <w:t>i</w:t>
      </w:r>
      <w:r>
        <w:rPr>
          <w:spacing w:val="-9"/>
        </w:rPr>
        <w:t> </w:t>
      </w:r>
      <w:r>
        <w:rPr/>
        <w:t>byggesagsbehandlingen,</w:t>
      </w:r>
      <w:r>
        <w:rPr>
          <w:spacing w:val="-10"/>
        </w:rPr>
        <w:t> </w:t>
      </w:r>
      <w:r>
        <w:rPr/>
        <w:t>i</w:t>
      </w:r>
      <w:r>
        <w:rPr>
          <w:spacing w:val="-10"/>
        </w:rPr>
        <w:t> </w:t>
      </w:r>
      <w:r>
        <w:rPr>
          <w:spacing w:val="-5"/>
        </w:rPr>
        <w:t>for- </w:t>
      </w:r>
      <w:r>
        <w:rPr/>
        <w:t>svar og beredskab, til kortlægning og ortofoto- produktion og til arkæologiske</w:t>
      </w:r>
      <w:r>
        <w:rPr>
          <w:spacing w:val="-33"/>
        </w:rPr>
        <w:t> </w:t>
      </w:r>
      <w:r>
        <w:rPr/>
        <w:t>screeningsunder-</w:t>
      </w:r>
    </w:p>
    <w:p>
      <w:pPr>
        <w:pStyle w:val="BodyText"/>
        <w:spacing w:before="18"/>
        <w:ind w:left="329"/>
      </w:pPr>
      <w:r>
        <w:rPr/>
        <w:t>søgelser.</w:t>
      </w:r>
    </w:p>
    <w:p>
      <w:pPr>
        <w:pStyle w:val="BodyText"/>
        <w:spacing w:before="10"/>
        <w:rPr>
          <w:sz w:val="35"/>
        </w:rPr>
      </w:pPr>
    </w:p>
    <w:p>
      <w:pPr>
        <w:pStyle w:val="Heading3"/>
      </w:pPr>
      <w:r>
        <w:rPr/>
        <w:t>Frie data</w:t>
      </w:r>
    </w:p>
    <w:p>
      <w:pPr>
        <w:pStyle w:val="BodyText"/>
        <w:spacing w:line="252" w:lineRule="auto" w:before="171"/>
        <w:ind w:left="329" w:right="1131"/>
        <w:jc w:val="both"/>
      </w:pPr>
      <w:r>
        <w:rPr/>
        <w:t>DHM indgår i dag i infrastrukturen for geogra- fisk information. Som led i regeringens digitali- seringsstrategi blev DHM fra den 1. januar</w:t>
      </w:r>
      <w:r>
        <w:rPr>
          <w:spacing w:val="-22"/>
        </w:rPr>
        <w:t> </w:t>
      </w:r>
      <w:r>
        <w:rPr>
          <w:spacing w:val="-3"/>
        </w:rPr>
        <w:t>2013 </w:t>
      </w:r>
      <w:r>
        <w:rPr/>
        <w:t>gjort</w:t>
      </w:r>
      <w:r>
        <w:rPr>
          <w:spacing w:val="-14"/>
        </w:rPr>
        <w:t> </w:t>
      </w:r>
      <w:r>
        <w:rPr/>
        <w:t>frit</w:t>
      </w:r>
      <w:r>
        <w:rPr>
          <w:spacing w:val="-13"/>
        </w:rPr>
        <w:t> </w:t>
      </w:r>
      <w:r>
        <w:rPr/>
        <w:t>tilgængelig</w:t>
      </w:r>
      <w:r>
        <w:rPr>
          <w:spacing w:val="-14"/>
        </w:rPr>
        <w:t> </w:t>
      </w:r>
      <w:r>
        <w:rPr/>
        <w:t>for</w:t>
      </w:r>
      <w:r>
        <w:rPr>
          <w:spacing w:val="-13"/>
        </w:rPr>
        <w:t> </w:t>
      </w:r>
      <w:r>
        <w:rPr/>
        <w:t>alle</w:t>
      </w:r>
      <w:r>
        <w:rPr>
          <w:spacing w:val="-14"/>
        </w:rPr>
        <w:t> </w:t>
      </w:r>
      <w:r>
        <w:rPr/>
        <w:t>som</w:t>
      </w:r>
      <w:r>
        <w:rPr>
          <w:spacing w:val="-13"/>
        </w:rPr>
        <w:t> </w:t>
      </w:r>
      <w:r>
        <w:rPr/>
        <w:t>en</w:t>
      </w:r>
      <w:r>
        <w:rPr>
          <w:spacing w:val="-13"/>
        </w:rPr>
        <w:t> </w:t>
      </w:r>
      <w:r>
        <w:rPr/>
        <w:t>del</w:t>
      </w:r>
      <w:r>
        <w:rPr>
          <w:spacing w:val="-14"/>
        </w:rPr>
        <w:t> </w:t>
      </w:r>
      <w:r>
        <w:rPr/>
        <w:t>af</w:t>
      </w:r>
      <w:r>
        <w:rPr>
          <w:spacing w:val="-13"/>
        </w:rPr>
        <w:t> </w:t>
      </w:r>
      <w:r>
        <w:rPr/>
        <w:t>grund- dataprogrammet. DHM er således i dag en </w:t>
      </w:r>
      <w:r>
        <w:rPr>
          <w:spacing w:val="-5"/>
        </w:rPr>
        <w:t>del </w:t>
      </w:r>
      <w:r>
        <w:rPr/>
        <w:t>det fælles offentlige</w:t>
      </w:r>
      <w:r>
        <w:rPr>
          <w:spacing w:val="-9"/>
        </w:rPr>
        <w:t> </w:t>
      </w:r>
      <w:r>
        <w:rPr/>
        <w:t>forvaltningsgrundlag.</w:t>
      </w:r>
    </w:p>
    <w:p>
      <w:pPr>
        <w:pStyle w:val="BodyText"/>
        <w:spacing w:before="3"/>
        <w:rPr>
          <w:sz w:val="34"/>
        </w:rPr>
      </w:pPr>
    </w:p>
    <w:p>
      <w:pPr>
        <w:pStyle w:val="Heading3"/>
      </w:pPr>
      <w:r>
        <w:rPr/>
        <w:t>Beskrivelse af DHM</w:t>
      </w:r>
    </w:p>
    <w:p>
      <w:pPr>
        <w:pStyle w:val="BodyText"/>
        <w:spacing w:line="252" w:lineRule="auto" w:before="172"/>
        <w:ind w:left="329" w:right="1131"/>
        <w:jc w:val="both"/>
      </w:pPr>
      <w:r>
        <w:rPr/>
        <w:t>Data</w:t>
      </w:r>
      <w:r>
        <w:rPr>
          <w:spacing w:val="-10"/>
        </w:rPr>
        <w:t> </w:t>
      </w:r>
      <w:r>
        <w:rPr/>
        <w:t>til</w:t>
      </w:r>
      <w:r>
        <w:rPr>
          <w:spacing w:val="-10"/>
        </w:rPr>
        <w:t> </w:t>
      </w:r>
      <w:r>
        <w:rPr/>
        <w:t>fremstilling</w:t>
      </w:r>
      <w:r>
        <w:rPr>
          <w:spacing w:val="-10"/>
        </w:rPr>
        <w:t> </w:t>
      </w:r>
      <w:r>
        <w:rPr/>
        <w:t>af</w:t>
      </w:r>
      <w:r>
        <w:rPr>
          <w:spacing w:val="-10"/>
        </w:rPr>
        <w:t> </w:t>
      </w:r>
      <w:r>
        <w:rPr/>
        <w:t>DHM</w:t>
      </w:r>
      <w:r>
        <w:rPr>
          <w:spacing w:val="-9"/>
        </w:rPr>
        <w:t> </w:t>
      </w:r>
      <w:r>
        <w:rPr/>
        <w:t>blev</w:t>
      </w:r>
      <w:r>
        <w:rPr>
          <w:spacing w:val="-10"/>
        </w:rPr>
        <w:t> </w:t>
      </w:r>
      <w:r>
        <w:rPr/>
        <w:t>indsamlet</w:t>
      </w:r>
      <w:r>
        <w:rPr>
          <w:spacing w:val="-10"/>
        </w:rPr>
        <w:t> </w:t>
      </w:r>
      <w:r>
        <w:rPr>
          <w:spacing w:val="-4"/>
        </w:rPr>
        <w:t>med </w:t>
      </w:r>
      <w:r>
        <w:rPr/>
        <w:t>flybåren Lidar i perioden 2005-2007. DHM </w:t>
      </w:r>
      <w:r>
        <w:rPr>
          <w:spacing w:val="-5"/>
        </w:rPr>
        <w:t>be- </w:t>
      </w:r>
      <w:r>
        <w:rPr/>
        <w:t>står i dag af i alt seks</w:t>
      </w:r>
      <w:r>
        <w:rPr>
          <w:spacing w:val="-9"/>
        </w:rPr>
        <w:t> </w:t>
      </w:r>
      <w:r>
        <w:rPr/>
        <w:t>datasæt:</w:t>
      </w:r>
    </w:p>
    <w:p>
      <w:pPr>
        <w:pStyle w:val="BodyText"/>
        <w:spacing w:line="252" w:lineRule="auto" w:before="196"/>
        <w:ind w:left="797" w:right="1131" w:hanging="469"/>
        <w:jc w:val="both"/>
      </w:pPr>
      <w:r>
        <w:rPr>
          <w:rFonts w:ascii="Arial" w:hAnsi="Arial"/>
          <w:b/>
          <w:sz w:val="22"/>
        </w:rPr>
        <w:t>DHM/Terræn (1,6 m grid) </w:t>
      </w:r>
      <w:r>
        <w:rPr/>
        <w:t>Digital model af </w:t>
      </w:r>
      <w:r>
        <w:rPr>
          <w:spacing w:val="-6"/>
        </w:rPr>
        <w:t>ter- </w:t>
      </w:r>
      <w:r>
        <w:rPr/>
        <w:t>rænets</w:t>
      </w:r>
      <w:r>
        <w:rPr>
          <w:spacing w:val="-10"/>
        </w:rPr>
        <w:t> </w:t>
      </w:r>
      <w:r>
        <w:rPr/>
        <w:t>topografi</w:t>
      </w:r>
      <w:r>
        <w:rPr>
          <w:spacing w:val="-9"/>
        </w:rPr>
        <w:t> </w:t>
      </w:r>
      <w:r>
        <w:rPr/>
        <w:t>eller</w:t>
      </w:r>
      <w:r>
        <w:rPr>
          <w:spacing w:val="-10"/>
        </w:rPr>
        <w:t> </w:t>
      </w:r>
      <w:r>
        <w:rPr/>
        <w:t>højde</w:t>
      </w:r>
      <w:r>
        <w:rPr>
          <w:spacing w:val="-9"/>
        </w:rPr>
        <w:t> </w:t>
      </w:r>
      <w:r>
        <w:rPr/>
        <w:t>over</w:t>
      </w:r>
      <w:r>
        <w:rPr>
          <w:spacing w:val="-10"/>
        </w:rPr>
        <w:t> </w:t>
      </w:r>
      <w:r>
        <w:rPr>
          <w:spacing w:val="-4"/>
        </w:rPr>
        <w:t>havniveau. </w:t>
      </w:r>
      <w:r>
        <w:rPr/>
        <w:t>Alle objekter over terræn såsom træer, </w:t>
      </w:r>
      <w:r>
        <w:rPr>
          <w:spacing w:val="-4"/>
        </w:rPr>
        <w:t>hu- </w:t>
      </w:r>
      <w:r>
        <w:rPr/>
        <w:t>se, høstakke, halmballer, biler </w:t>
      </w:r>
      <w:r>
        <w:rPr>
          <w:spacing w:val="-6"/>
        </w:rPr>
        <w:t>mv. </w:t>
      </w:r>
      <w:r>
        <w:rPr/>
        <w:t>er </w:t>
      </w:r>
      <w:r>
        <w:rPr>
          <w:spacing w:val="-5"/>
        </w:rPr>
        <w:t>fjer- </w:t>
      </w:r>
      <w:r>
        <w:rPr/>
        <w:t>net. Modellen er således egnet til planlæg- ning, projektering og</w:t>
      </w:r>
      <w:r>
        <w:rPr>
          <w:spacing w:val="-13"/>
        </w:rPr>
        <w:t> </w:t>
      </w:r>
      <w:r>
        <w:rPr/>
        <w:t>landskabsanalyser.</w:t>
      </w:r>
    </w:p>
    <w:p>
      <w:pPr>
        <w:pStyle w:val="BodyText"/>
        <w:spacing w:line="252" w:lineRule="auto" w:before="194"/>
        <w:ind w:left="797" w:right="1131" w:hanging="469"/>
        <w:jc w:val="both"/>
      </w:pPr>
      <w:r>
        <w:rPr>
          <w:rFonts w:ascii="Arial" w:hAnsi="Arial"/>
          <w:b/>
          <w:sz w:val="22"/>
        </w:rPr>
        <w:t>DHM/Overflade (1,6 m grid) </w:t>
      </w:r>
      <w:r>
        <w:rPr/>
        <w:t>Digital model </w:t>
      </w:r>
      <w:r>
        <w:rPr>
          <w:spacing w:val="-7"/>
        </w:rPr>
        <w:t>af </w:t>
      </w:r>
      <w:r>
        <w:rPr/>
        <w:t>den fysiske overflade. DHM/overflade </w:t>
      </w:r>
      <w:r>
        <w:rPr>
          <w:spacing w:val="-5"/>
        </w:rPr>
        <w:t>be- </w:t>
      </w:r>
      <w:r>
        <w:rPr/>
        <w:t>skriver således højden af bygningsanlæg</w:t>
      </w:r>
      <w:r>
        <w:rPr>
          <w:spacing w:val="-28"/>
        </w:rPr>
        <w:t> </w:t>
      </w:r>
      <w:r>
        <w:rPr>
          <w:spacing w:val="-7"/>
        </w:rPr>
        <w:t>og </w:t>
      </w:r>
      <w:r>
        <w:rPr/>
        <w:t>vegetation</w:t>
      </w:r>
      <w:r>
        <w:rPr>
          <w:spacing w:val="-20"/>
        </w:rPr>
        <w:t> </w:t>
      </w:r>
      <w:r>
        <w:rPr/>
        <w:t>med</w:t>
      </w:r>
      <w:r>
        <w:rPr>
          <w:spacing w:val="-19"/>
        </w:rPr>
        <w:t> </w:t>
      </w:r>
      <w:r>
        <w:rPr/>
        <w:t>reference</w:t>
      </w:r>
      <w:r>
        <w:rPr>
          <w:spacing w:val="-20"/>
        </w:rPr>
        <w:t> </w:t>
      </w:r>
      <w:r>
        <w:rPr/>
        <w:t>til</w:t>
      </w:r>
      <w:r>
        <w:rPr>
          <w:spacing w:val="-19"/>
        </w:rPr>
        <w:t> </w:t>
      </w:r>
      <w:r>
        <w:rPr/>
        <w:t>havniveau.</w:t>
      </w:r>
      <w:r>
        <w:rPr>
          <w:spacing w:val="-20"/>
        </w:rPr>
        <w:t> </w:t>
      </w:r>
      <w:r>
        <w:rPr>
          <w:spacing w:val="-5"/>
        </w:rPr>
        <w:t>Mo- </w:t>
      </w:r>
      <w:r>
        <w:rPr/>
        <w:t>dellen er en sammenhængende </w:t>
      </w:r>
      <w:r>
        <w:rPr>
          <w:spacing w:val="-3"/>
        </w:rPr>
        <w:t>beskrivelse </w:t>
      </w:r>
      <w:r>
        <w:rPr/>
        <w:t>af</w:t>
      </w:r>
      <w:r>
        <w:rPr>
          <w:spacing w:val="-10"/>
        </w:rPr>
        <w:t> </w:t>
      </w:r>
      <w:r>
        <w:rPr/>
        <w:t>landskabet</w:t>
      </w:r>
      <w:r>
        <w:rPr>
          <w:spacing w:val="-10"/>
        </w:rPr>
        <w:t> </w:t>
      </w:r>
      <w:r>
        <w:rPr/>
        <w:t>i</w:t>
      </w:r>
      <w:r>
        <w:rPr>
          <w:spacing w:val="-10"/>
        </w:rPr>
        <w:t> </w:t>
      </w:r>
      <w:r>
        <w:rPr/>
        <w:t>3D,</w:t>
      </w:r>
      <w:r>
        <w:rPr>
          <w:spacing w:val="-9"/>
        </w:rPr>
        <w:t> </w:t>
      </w:r>
      <w:r>
        <w:rPr/>
        <w:t>hvilket</w:t>
      </w:r>
      <w:r>
        <w:rPr>
          <w:spacing w:val="-10"/>
        </w:rPr>
        <w:t> </w:t>
      </w:r>
      <w:r>
        <w:rPr/>
        <w:t>gør</w:t>
      </w:r>
      <w:r>
        <w:rPr>
          <w:spacing w:val="-10"/>
        </w:rPr>
        <w:t> </w:t>
      </w:r>
      <w:r>
        <w:rPr/>
        <w:t>modellen</w:t>
      </w:r>
      <w:r>
        <w:rPr>
          <w:spacing w:val="-9"/>
        </w:rPr>
        <w:t> </w:t>
      </w:r>
      <w:r>
        <w:rPr>
          <w:spacing w:val="-7"/>
        </w:rPr>
        <w:t>eg- </w:t>
      </w:r>
      <w:r>
        <w:rPr/>
        <w:t>net</w:t>
      </w:r>
      <w:r>
        <w:rPr>
          <w:spacing w:val="-12"/>
        </w:rPr>
        <w:t> </w:t>
      </w:r>
      <w:r>
        <w:rPr/>
        <w:t>til</w:t>
      </w:r>
      <w:r>
        <w:rPr>
          <w:spacing w:val="-11"/>
        </w:rPr>
        <w:t> </w:t>
      </w:r>
      <w:r>
        <w:rPr/>
        <w:t>visualisering</w:t>
      </w:r>
      <w:r>
        <w:rPr>
          <w:spacing w:val="-12"/>
        </w:rPr>
        <w:t> </w:t>
      </w:r>
      <w:r>
        <w:rPr/>
        <w:t>og</w:t>
      </w:r>
      <w:r>
        <w:rPr>
          <w:spacing w:val="-11"/>
        </w:rPr>
        <w:t> </w:t>
      </w:r>
      <w:r>
        <w:rPr/>
        <w:t>analyser</w:t>
      </w:r>
      <w:r>
        <w:rPr>
          <w:spacing w:val="-11"/>
        </w:rPr>
        <w:t> </w:t>
      </w:r>
      <w:r>
        <w:rPr/>
        <w:t>af</w:t>
      </w:r>
      <w:r>
        <w:rPr>
          <w:spacing w:val="-12"/>
        </w:rPr>
        <w:t> </w:t>
      </w:r>
      <w:r>
        <w:rPr/>
        <w:t>f.eks.</w:t>
      </w:r>
      <w:r>
        <w:rPr>
          <w:spacing w:val="-11"/>
        </w:rPr>
        <w:t> </w:t>
      </w:r>
      <w:r>
        <w:rPr>
          <w:spacing w:val="-4"/>
        </w:rPr>
        <w:t>sig- </w:t>
      </w:r>
      <w:r>
        <w:rPr/>
        <w:t>telinjer.</w:t>
      </w:r>
    </w:p>
    <w:p>
      <w:pPr>
        <w:spacing w:after="0" w:line="252" w:lineRule="auto"/>
        <w:jc w:val="both"/>
        <w:sectPr>
          <w:type w:val="continuous"/>
          <w:pgSz w:w="11910" w:h="16840"/>
          <w:pgMar w:top="0" w:bottom="280" w:left="460" w:right="0"/>
          <w:cols w:num="2" w:equalWidth="0">
            <w:col w:w="5309" w:space="40"/>
            <w:col w:w="6101"/>
          </w:cols>
        </w:sectPr>
      </w:pPr>
    </w:p>
    <w:p>
      <w:pPr>
        <w:pStyle w:val="BodyText"/>
        <w:ind w:left="1637"/>
        <w:rPr>
          <w:sz w:val="20"/>
        </w:rPr>
      </w:pPr>
      <w:r>
        <w:rPr>
          <w:sz w:val="20"/>
        </w:rPr>
        <w:drawing>
          <wp:inline distT="0" distB="0" distL="0" distR="0">
            <wp:extent cx="4867465" cy="3015043"/>
            <wp:effectExtent l="0" t="0" r="0" b="0"/>
            <wp:docPr id="15" name="image1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7465" cy="3015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"/>
        <w:rPr>
          <w:sz w:val="9"/>
        </w:rPr>
      </w:pPr>
    </w:p>
    <w:p>
      <w:pPr>
        <w:spacing w:before="103"/>
        <w:ind w:left="1552" w:right="0" w:firstLine="0"/>
        <w:jc w:val="left"/>
        <w:rPr>
          <w:rFonts w:ascii="Arial" w:hAnsi="Arial"/>
          <w:sz w:val="22"/>
        </w:rPr>
      </w:pPr>
      <w:bookmarkStart w:name="_bookmark12" w:id="19"/>
      <w:bookmarkEnd w:id="19"/>
      <w:r>
        <w:rPr/>
      </w:r>
      <w:r>
        <w:rPr>
          <w:rFonts w:ascii="Arial" w:hAnsi="Arial"/>
          <w:sz w:val="22"/>
        </w:rPr>
        <w:t>Figur 3: Højvandsstatistik med angivelse af standardafvigelse for Thyborøn Havn.</w:t>
      </w:r>
    </w:p>
    <w:p>
      <w:pPr>
        <w:pStyle w:val="BodyText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pgSz w:w="11910" w:h="16840"/>
          <w:pgMar w:header="0" w:footer="525" w:top="1120" w:bottom="720" w:left="460" w:right="0"/>
        </w:sectPr>
      </w:pPr>
    </w:p>
    <w:p>
      <w:pPr>
        <w:spacing w:line="254" w:lineRule="auto" w:before="242"/>
        <w:ind w:left="1142" w:right="0" w:hanging="469"/>
        <w:jc w:val="left"/>
        <w:rPr>
          <w:sz w:val="24"/>
        </w:rPr>
      </w:pPr>
      <w:r>
        <w:rPr>
          <w:rFonts w:ascii="Arial" w:hAnsi="Arial"/>
          <w:b/>
          <w:sz w:val="22"/>
        </w:rPr>
        <w:t>DHM/Højdekurver (0,5 m ækvidistance) </w:t>
      </w:r>
      <w:r>
        <w:rPr>
          <w:sz w:val="24"/>
        </w:rPr>
        <w:t>Repræsentation af terrænets topografi i form af isolinjer, der hver især angiver den beregnede terrænhøjde i halve meter.</w:t>
      </w:r>
    </w:p>
    <w:p>
      <w:pPr>
        <w:pStyle w:val="BodyText"/>
        <w:spacing w:line="252" w:lineRule="auto" w:before="191"/>
        <w:ind w:left="1142" w:hanging="469"/>
        <w:jc w:val="both"/>
      </w:pPr>
      <w:r>
        <w:rPr>
          <w:rFonts w:ascii="Arial" w:hAnsi="Arial"/>
          <w:b/>
          <w:sz w:val="22"/>
        </w:rPr>
        <w:t>DHM/Terræn_bro </w:t>
      </w:r>
      <w:r>
        <w:rPr>
          <w:spacing w:val="-4"/>
        </w:rPr>
        <w:t>Variant </w:t>
      </w:r>
      <w:r>
        <w:rPr/>
        <w:t>af </w:t>
      </w:r>
      <w:r>
        <w:rPr>
          <w:spacing w:val="-4"/>
        </w:rPr>
        <w:t>DHM/Terræn, </w:t>
      </w:r>
      <w:r>
        <w:rPr/>
        <w:t>som</w:t>
      </w:r>
      <w:r>
        <w:rPr>
          <w:spacing w:val="-8"/>
        </w:rPr>
        <w:t> </w:t>
      </w:r>
      <w:r>
        <w:rPr/>
        <w:t>indeholder</w:t>
      </w:r>
      <w:r>
        <w:rPr>
          <w:spacing w:val="-8"/>
        </w:rPr>
        <w:t> </w:t>
      </w:r>
      <w:r>
        <w:rPr/>
        <w:t>broer</w:t>
      </w:r>
      <w:r>
        <w:rPr>
          <w:spacing w:val="-7"/>
        </w:rPr>
        <w:t> </w:t>
      </w:r>
      <w:r>
        <w:rPr/>
        <w:t>over</w:t>
      </w:r>
      <w:r>
        <w:rPr>
          <w:spacing w:val="-8"/>
        </w:rPr>
        <w:t> </w:t>
      </w:r>
      <w:r>
        <w:rPr/>
        <w:t>veje</w:t>
      </w:r>
      <w:r>
        <w:rPr>
          <w:spacing w:val="-7"/>
        </w:rPr>
        <w:t> </w:t>
      </w:r>
      <w:r>
        <w:rPr/>
        <w:t>og</w:t>
      </w:r>
      <w:r>
        <w:rPr>
          <w:spacing w:val="-8"/>
        </w:rPr>
        <w:t> </w:t>
      </w:r>
      <w:r>
        <w:rPr/>
        <w:t>vandløb.</w:t>
      </w:r>
    </w:p>
    <w:p>
      <w:pPr>
        <w:pStyle w:val="BodyText"/>
        <w:spacing w:line="252" w:lineRule="auto" w:before="198"/>
        <w:ind w:left="1142" w:hanging="469"/>
        <w:jc w:val="both"/>
      </w:pPr>
      <w:r>
        <w:rPr>
          <w:rFonts w:ascii="Arial" w:hAnsi="Arial"/>
          <w:b/>
          <w:sz w:val="22"/>
        </w:rPr>
        <w:t>DHM/Punktsky </w:t>
      </w:r>
      <w:r>
        <w:rPr/>
        <w:t>Det datasæt som ligger </w:t>
      </w:r>
      <w:r>
        <w:rPr>
          <w:spacing w:val="-6"/>
        </w:rPr>
        <w:t>til </w:t>
      </w:r>
      <w:r>
        <w:rPr/>
        <w:t>grund for beregningen af de øvrige </w:t>
      </w:r>
      <w:r>
        <w:rPr>
          <w:spacing w:val="-5"/>
        </w:rPr>
        <w:t>DHM </w:t>
      </w:r>
      <w:r>
        <w:rPr/>
        <w:t>produkter.</w:t>
      </w:r>
    </w:p>
    <w:p>
      <w:pPr>
        <w:pStyle w:val="BodyText"/>
        <w:spacing w:line="252" w:lineRule="auto" w:before="196"/>
        <w:ind w:left="1142" w:hanging="469"/>
        <w:jc w:val="both"/>
      </w:pPr>
      <w:r>
        <w:rPr>
          <w:rFonts w:ascii="Arial" w:hAnsi="Arial"/>
          <w:b/>
          <w:sz w:val="22"/>
        </w:rPr>
        <w:t>DHM/Skyggekort </w:t>
      </w:r>
      <w:r>
        <w:rPr/>
        <w:t>En visualisering af </w:t>
      </w:r>
      <w:r>
        <w:rPr>
          <w:spacing w:val="-4"/>
        </w:rPr>
        <w:t>DHM/- </w:t>
      </w:r>
      <w:r>
        <w:rPr>
          <w:spacing w:val="-3"/>
        </w:rPr>
        <w:t>Terræn </w:t>
      </w:r>
      <w:r>
        <w:rPr/>
        <w:t>som skyggekort (også kaldet </w:t>
      </w:r>
      <w:r>
        <w:rPr>
          <w:spacing w:val="-3"/>
        </w:rPr>
        <w:t>hills- </w:t>
      </w:r>
      <w:r>
        <w:rPr/>
        <w:t>hade).</w:t>
      </w:r>
      <w:r>
        <w:rPr>
          <w:spacing w:val="-16"/>
        </w:rPr>
        <w:t> </w:t>
      </w:r>
      <w:r>
        <w:rPr/>
        <w:t>Skyggekortet</w:t>
      </w:r>
      <w:r>
        <w:rPr>
          <w:spacing w:val="-15"/>
        </w:rPr>
        <w:t> </w:t>
      </w:r>
      <w:r>
        <w:rPr/>
        <w:t>giver</w:t>
      </w:r>
      <w:r>
        <w:rPr>
          <w:spacing w:val="-15"/>
        </w:rPr>
        <w:t> </w:t>
      </w:r>
      <w:r>
        <w:rPr/>
        <w:t>en</w:t>
      </w:r>
      <w:r>
        <w:rPr>
          <w:spacing w:val="-16"/>
        </w:rPr>
        <w:t> </w:t>
      </w:r>
      <w:r>
        <w:rPr/>
        <w:t>3D-effekt,</w:t>
      </w:r>
      <w:r>
        <w:rPr>
          <w:spacing w:val="-15"/>
        </w:rPr>
        <w:t> </w:t>
      </w:r>
      <w:r>
        <w:rPr>
          <w:spacing w:val="-5"/>
        </w:rPr>
        <w:t>idet </w:t>
      </w:r>
      <w:r>
        <w:rPr/>
        <w:t>der er lagt en kunstig belysning på </w:t>
      </w:r>
      <w:r>
        <w:rPr>
          <w:spacing w:val="-3"/>
        </w:rPr>
        <w:t>terræn- </w:t>
      </w:r>
      <w:r>
        <w:rPr/>
        <w:t>modellen, der fremhæver landskabets </w:t>
      </w:r>
      <w:r>
        <w:rPr>
          <w:spacing w:val="-4"/>
        </w:rPr>
        <w:t>topo- </w:t>
      </w:r>
      <w:r>
        <w:rPr/>
        <w:t>grafi.</w:t>
      </w:r>
    </w:p>
    <w:p>
      <w:pPr>
        <w:pStyle w:val="BodyText"/>
        <w:spacing w:before="4"/>
        <w:rPr>
          <w:sz w:val="34"/>
        </w:rPr>
      </w:pPr>
    </w:p>
    <w:p>
      <w:pPr>
        <w:pStyle w:val="Heading3"/>
        <w:ind w:left="673"/>
      </w:pPr>
      <w:r>
        <w:rPr/>
        <w:t>Nøjagtighed</w:t>
      </w:r>
    </w:p>
    <w:p>
      <w:pPr>
        <w:pStyle w:val="BodyText"/>
        <w:spacing w:line="252" w:lineRule="auto" w:before="171"/>
        <w:ind w:left="673"/>
        <w:jc w:val="both"/>
      </w:pPr>
      <w:r>
        <w:rPr/>
        <w:t>Der  er  lavet  undersøgelser  med  henblik  </w:t>
      </w:r>
      <w:r>
        <w:rPr>
          <w:spacing w:val="-8"/>
        </w:rPr>
        <w:t>på  </w:t>
      </w:r>
      <w:r>
        <w:rPr/>
        <w:t>at dokumentere nøjagtigheden af DHM </w:t>
      </w:r>
      <w:r>
        <w:rPr>
          <w:spacing w:val="-4"/>
        </w:rPr>
        <w:t>grid- </w:t>
      </w:r>
      <w:r>
        <w:rPr/>
        <w:t>produkterne. Undersøgelserne viser, at den </w:t>
      </w:r>
      <w:r>
        <w:rPr>
          <w:spacing w:val="-8"/>
        </w:rPr>
        <w:t>ver- </w:t>
      </w:r>
      <w:r>
        <w:rPr/>
        <w:t>tikale nøjagtighed for en veldefineret plan </w:t>
      </w:r>
      <w:r>
        <w:rPr>
          <w:spacing w:val="-8"/>
        </w:rPr>
        <w:t>over- </w:t>
      </w:r>
      <w:r>
        <w:rPr/>
        <w:t>flade er 5,9 cm (RMSE). Den horisontale </w:t>
      </w:r>
      <w:r>
        <w:rPr>
          <w:spacing w:val="-3"/>
        </w:rPr>
        <w:t>nøjag- </w:t>
      </w:r>
      <w:r>
        <w:rPr/>
        <w:t>tighed er 67 cm (RMSE). Metoder og resultater vedrørende grid-produkternes kvalitet og </w:t>
      </w:r>
      <w:r>
        <w:rPr>
          <w:spacing w:val="-3"/>
        </w:rPr>
        <w:t>nøjag- </w:t>
      </w:r>
      <w:r>
        <w:rPr/>
        <w:t>tighed er udførligt dokumenteret i rapport </w:t>
      </w:r>
      <w:r>
        <w:rPr>
          <w:spacing w:val="-5"/>
        </w:rPr>
        <w:t>nr. </w:t>
      </w:r>
      <w:r>
        <w:rPr>
          <w:spacing w:val="-9"/>
        </w:rPr>
        <w:t>10 </w:t>
      </w:r>
      <w:r>
        <w:rPr/>
        <w:t>og rapport </w:t>
      </w:r>
      <w:r>
        <w:rPr>
          <w:spacing w:val="-5"/>
        </w:rPr>
        <w:t>nr. </w:t>
      </w:r>
      <w:r>
        <w:rPr/>
        <w:t>12 i Geodatastyrelsens (tidligere Kort- og Matrikelstyrelsen) </w:t>
      </w:r>
      <w:r>
        <w:rPr>
          <w:spacing w:val="-3"/>
        </w:rPr>
        <w:t>Tekniske</w:t>
      </w:r>
      <w:r>
        <w:rPr>
          <w:spacing w:val="29"/>
        </w:rPr>
        <w:t> </w:t>
      </w:r>
      <w:r>
        <w:rPr/>
        <w:t>rapportse-</w:t>
      </w:r>
    </w:p>
    <w:p>
      <w:pPr>
        <w:pStyle w:val="BodyText"/>
        <w:spacing w:line="252" w:lineRule="auto" w:before="224"/>
        <w:ind w:left="329" w:right="1131"/>
        <w:jc w:val="both"/>
      </w:pPr>
      <w:r>
        <w:rPr/>
        <w:br w:type="column"/>
      </w:r>
      <w:r>
        <w:rPr/>
        <w:t>rie (Hawa et al., 2011; Rosenkrantz og</w:t>
      </w:r>
      <w:r>
        <w:rPr>
          <w:spacing w:val="-40"/>
        </w:rPr>
        <w:t> </w:t>
      </w:r>
      <w:r>
        <w:rPr/>
        <w:t>Frederik- sen,</w:t>
      </w:r>
      <w:r>
        <w:rPr>
          <w:spacing w:val="-2"/>
        </w:rPr>
        <w:t> </w:t>
      </w:r>
      <w:r>
        <w:rPr/>
        <w:t>2011).</w:t>
      </w:r>
    </w:p>
    <w:p>
      <w:pPr>
        <w:pStyle w:val="BodyText"/>
        <w:spacing w:before="7"/>
        <w:rPr>
          <w:sz w:val="34"/>
        </w:rPr>
      </w:pPr>
    </w:p>
    <w:p>
      <w:pPr>
        <w:pStyle w:val="Heading3"/>
      </w:pPr>
      <w:r>
        <w:rPr/>
        <w:t>Ajourføring og vedligeholdelse</w:t>
      </w:r>
    </w:p>
    <w:p>
      <w:pPr>
        <w:pStyle w:val="BodyText"/>
        <w:spacing w:line="252" w:lineRule="auto" w:before="171"/>
        <w:ind w:left="329" w:right="1131"/>
        <w:jc w:val="both"/>
      </w:pPr>
      <w:r>
        <w:rPr/>
        <w:t>DHM er siden anskaffelsen blevet tilrettet, </w:t>
      </w:r>
      <w:r>
        <w:rPr>
          <w:spacing w:val="-4"/>
        </w:rPr>
        <w:t>idet</w:t>
      </w:r>
      <w:r>
        <w:rPr>
          <w:spacing w:val="52"/>
        </w:rPr>
        <w:t> </w:t>
      </w:r>
      <w:r>
        <w:rPr/>
        <w:t>der i den oprindelige model blev konstateret </w:t>
      </w:r>
      <w:r>
        <w:rPr>
          <w:spacing w:val="-5"/>
        </w:rPr>
        <w:t>sy- </w:t>
      </w:r>
      <w:r>
        <w:rPr/>
        <w:t>stematiske fejl på og omkring diger og dæmnin- </w:t>
      </w:r>
      <w:r>
        <w:rPr>
          <w:spacing w:val="-4"/>
        </w:rPr>
        <w:t>ger. </w:t>
      </w:r>
      <w:r>
        <w:rPr/>
        <w:t>Udbedringen af disse fejl er beskrevet i </w:t>
      </w:r>
      <w:r>
        <w:rPr>
          <w:spacing w:val="-3"/>
        </w:rPr>
        <w:t>rap- </w:t>
      </w:r>
      <w:r>
        <w:rPr/>
        <w:t>port</w:t>
      </w:r>
      <w:r>
        <w:rPr>
          <w:spacing w:val="-9"/>
        </w:rPr>
        <w:t> </w:t>
      </w:r>
      <w:r>
        <w:rPr>
          <w:spacing w:val="-5"/>
        </w:rPr>
        <w:t>nr.</w:t>
      </w:r>
      <w:r>
        <w:rPr>
          <w:spacing w:val="-9"/>
        </w:rPr>
        <w:t> </w:t>
      </w:r>
      <w:r>
        <w:rPr/>
        <w:t>11</w:t>
      </w:r>
      <w:r>
        <w:rPr>
          <w:spacing w:val="-9"/>
        </w:rPr>
        <w:t> </w:t>
      </w:r>
      <w:r>
        <w:rPr/>
        <w:t>i</w:t>
      </w:r>
      <w:r>
        <w:rPr>
          <w:spacing w:val="-9"/>
        </w:rPr>
        <w:t> </w:t>
      </w:r>
      <w:r>
        <w:rPr/>
        <w:t>Geodatastyrelsens</w:t>
      </w:r>
      <w:r>
        <w:rPr>
          <w:spacing w:val="-9"/>
        </w:rPr>
        <w:t> </w:t>
      </w:r>
      <w:r>
        <w:rPr>
          <w:spacing w:val="-3"/>
        </w:rPr>
        <w:t>Tekniske</w:t>
      </w:r>
      <w:r>
        <w:rPr>
          <w:spacing w:val="-9"/>
        </w:rPr>
        <w:t> </w:t>
      </w:r>
      <w:r>
        <w:rPr/>
        <w:t>rapport- serie (Rosenkrantz et al.,</w:t>
      </w:r>
      <w:r>
        <w:rPr>
          <w:spacing w:val="-6"/>
        </w:rPr>
        <w:t> </w:t>
      </w:r>
      <w:r>
        <w:rPr/>
        <w:t>2011).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Geodatastyrelsen har sikret aktualiteten ved</w:t>
      </w:r>
      <w:r>
        <w:rPr>
          <w:spacing w:val="-31"/>
        </w:rPr>
        <w:t> </w:t>
      </w:r>
      <w:r>
        <w:rPr>
          <w:spacing w:val="-8"/>
        </w:rPr>
        <w:t>at </w:t>
      </w:r>
      <w:r>
        <w:rPr/>
        <w:t>ajourføre DHM med nye data i 2012. Fremad- rettet sikres aktualiteten af DHM via grundda- taprogrammet. Der er igangsat en </w:t>
      </w:r>
      <w:r>
        <w:rPr>
          <w:spacing w:val="-3"/>
        </w:rPr>
        <w:t>udbudsforret- </w:t>
      </w:r>
      <w:r>
        <w:rPr/>
        <w:t>ning omkring anskaffelse af en ny </w:t>
      </w:r>
      <w:r>
        <w:rPr>
          <w:spacing w:val="-3"/>
        </w:rPr>
        <w:t>landsdækken- </w:t>
      </w:r>
      <w:r>
        <w:rPr/>
        <w:t>de højdemodel. Data forventes leveret i løbet </w:t>
      </w:r>
      <w:r>
        <w:rPr>
          <w:spacing w:val="-6"/>
        </w:rPr>
        <w:t>af </w:t>
      </w:r>
      <w:r>
        <w:rPr/>
        <w:t>2014 og 2015, og en ny højdemodel </w:t>
      </w:r>
      <w:r>
        <w:rPr>
          <w:spacing w:val="-3"/>
        </w:rPr>
        <w:t>forventes </w:t>
      </w:r>
      <w:r>
        <w:rPr/>
        <w:t>frigivet ultimo</w:t>
      </w:r>
      <w:r>
        <w:rPr>
          <w:spacing w:val="-3"/>
        </w:rPr>
        <w:t> </w:t>
      </w:r>
      <w:r>
        <w:rPr/>
        <w:t>2015.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Geodatastyrelsen har desuden indgået </w:t>
      </w:r>
      <w:r>
        <w:rPr>
          <w:spacing w:val="-3"/>
        </w:rPr>
        <w:t>aftale </w:t>
      </w:r>
      <w:r>
        <w:rPr/>
        <w:t>om</w:t>
      </w:r>
      <w:r>
        <w:rPr>
          <w:spacing w:val="-13"/>
        </w:rPr>
        <w:t> </w:t>
      </w:r>
      <w:r>
        <w:rPr/>
        <w:t>levering</w:t>
      </w:r>
      <w:r>
        <w:rPr>
          <w:spacing w:val="-13"/>
        </w:rPr>
        <w:t> </w:t>
      </w:r>
      <w:r>
        <w:rPr/>
        <w:t>af</w:t>
      </w:r>
      <w:r>
        <w:rPr>
          <w:spacing w:val="-13"/>
        </w:rPr>
        <w:t> </w:t>
      </w:r>
      <w:r>
        <w:rPr/>
        <w:t>en</w:t>
      </w:r>
      <w:r>
        <w:rPr>
          <w:spacing w:val="-13"/>
        </w:rPr>
        <w:t> </w:t>
      </w:r>
      <w:r>
        <w:rPr/>
        <w:t>hydrologisk</w:t>
      </w:r>
      <w:r>
        <w:rPr>
          <w:spacing w:val="-13"/>
        </w:rPr>
        <w:t> </w:t>
      </w:r>
      <w:r>
        <w:rPr/>
        <w:t>højdemodel,</w:t>
      </w:r>
      <w:r>
        <w:rPr>
          <w:spacing w:val="-13"/>
        </w:rPr>
        <w:t> </w:t>
      </w:r>
      <w:r>
        <w:rPr>
          <w:spacing w:val="-3"/>
        </w:rPr>
        <w:t>base- </w:t>
      </w:r>
      <w:r>
        <w:rPr/>
        <w:t>ret på DHM/Terræn samt informationer om </w:t>
      </w:r>
      <w:r>
        <w:rPr>
          <w:spacing w:val="-6"/>
        </w:rPr>
        <w:t>hy- </w:t>
      </w:r>
      <w:r>
        <w:rPr/>
        <w:t>drologiske</w:t>
      </w:r>
      <w:r>
        <w:rPr>
          <w:spacing w:val="-11"/>
        </w:rPr>
        <w:t> </w:t>
      </w:r>
      <w:r>
        <w:rPr/>
        <w:t>objekter</w:t>
      </w:r>
      <w:r>
        <w:rPr>
          <w:spacing w:val="-11"/>
        </w:rPr>
        <w:t> </w:t>
      </w:r>
      <w:r>
        <w:rPr/>
        <w:t>i</w:t>
      </w:r>
      <w:r>
        <w:rPr>
          <w:spacing w:val="-11"/>
        </w:rPr>
        <w:t> </w:t>
      </w:r>
      <w:r>
        <w:rPr/>
        <w:t>landskabet</w:t>
      </w:r>
      <w:r>
        <w:rPr>
          <w:spacing w:val="-11"/>
        </w:rPr>
        <w:t> </w:t>
      </w:r>
      <w:r>
        <w:rPr/>
        <w:t>såsom</w:t>
      </w:r>
      <w:r>
        <w:rPr>
          <w:spacing w:val="-11"/>
        </w:rPr>
        <w:t> </w:t>
      </w:r>
      <w:r>
        <w:rPr>
          <w:spacing w:val="-3"/>
        </w:rPr>
        <w:t>rørunder- </w:t>
      </w:r>
      <w:r>
        <w:rPr/>
        <w:t>føringer,</w:t>
      </w:r>
      <w:r>
        <w:rPr>
          <w:spacing w:val="-16"/>
        </w:rPr>
        <w:t> </w:t>
      </w:r>
      <w:r>
        <w:rPr/>
        <w:t>sluseporte,</w:t>
      </w:r>
      <w:r>
        <w:rPr>
          <w:spacing w:val="-16"/>
        </w:rPr>
        <w:t> </w:t>
      </w:r>
      <w:r>
        <w:rPr/>
        <w:t>kontraklapper,</w:t>
      </w:r>
      <w:r>
        <w:rPr>
          <w:spacing w:val="-15"/>
        </w:rPr>
        <w:t> </w:t>
      </w:r>
      <w:r>
        <w:rPr>
          <w:spacing w:val="-2"/>
        </w:rPr>
        <w:t>pumpestatio- </w:t>
      </w:r>
      <w:r>
        <w:rPr/>
        <w:t>ner </w:t>
      </w:r>
      <w:r>
        <w:rPr>
          <w:spacing w:val="-6"/>
        </w:rPr>
        <w:t>mv. </w:t>
      </w:r>
      <w:r>
        <w:rPr/>
        <w:t>Disse data blev stillet frit til rådighed i September 2013. Der arbejdes i skrivende </w:t>
      </w:r>
      <w:r>
        <w:rPr>
          <w:spacing w:val="-3"/>
        </w:rPr>
        <w:t>stund </w:t>
      </w:r>
      <w:r>
        <w:rPr/>
        <w:t>i regi af grunddataprogrammet med et forslag </w:t>
      </w:r>
      <w:r>
        <w:rPr>
          <w:spacing w:val="-5"/>
        </w:rPr>
        <w:t>til </w:t>
      </w:r>
      <w:r>
        <w:rPr/>
        <w:t>at</w:t>
      </w:r>
      <w:r>
        <w:rPr>
          <w:spacing w:val="-18"/>
        </w:rPr>
        <w:t> </w:t>
      </w:r>
      <w:r>
        <w:rPr/>
        <w:t>udvide</w:t>
      </w:r>
      <w:r>
        <w:rPr>
          <w:spacing w:val="-18"/>
        </w:rPr>
        <w:t> </w:t>
      </w:r>
      <w:r>
        <w:rPr/>
        <w:t>DHM</w:t>
      </w:r>
      <w:r>
        <w:rPr>
          <w:spacing w:val="-18"/>
        </w:rPr>
        <w:t> </w:t>
      </w:r>
      <w:r>
        <w:rPr/>
        <w:t>med</w:t>
      </w:r>
      <w:r>
        <w:rPr>
          <w:spacing w:val="-17"/>
        </w:rPr>
        <w:t> </w:t>
      </w:r>
      <w:r>
        <w:rPr/>
        <w:t>en</w:t>
      </w:r>
      <w:r>
        <w:rPr>
          <w:spacing w:val="-18"/>
        </w:rPr>
        <w:t> </w:t>
      </w:r>
      <w:r>
        <w:rPr/>
        <w:t>hydrologisk</w:t>
      </w:r>
      <w:r>
        <w:rPr>
          <w:spacing w:val="-18"/>
        </w:rPr>
        <w:t> </w:t>
      </w:r>
      <w:r>
        <w:rPr/>
        <w:t>højdemodel, for at sikre den fremtidige tilgængelighed af </w:t>
      </w:r>
      <w:r>
        <w:rPr>
          <w:spacing w:val="-7"/>
        </w:rPr>
        <w:t>en </w:t>
      </w:r>
      <w:r>
        <w:rPr/>
        <w:t>fællesoffentlig hydrologisk højdemodel med </w:t>
      </w:r>
      <w:r>
        <w:rPr>
          <w:spacing w:val="-5"/>
        </w:rPr>
        <w:t>høj </w:t>
      </w:r>
      <w:r>
        <w:rPr/>
        <w:t>nøjagtighed og</w:t>
      </w:r>
      <w:r>
        <w:rPr>
          <w:spacing w:val="-3"/>
        </w:rPr>
        <w:t> </w:t>
      </w:r>
      <w:r>
        <w:rPr/>
        <w:t>aktualitet.</w:t>
      </w:r>
    </w:p>
    <w:p>
      <w:pPr>
        <w:spacing w:after="0" w:line="252" w:lineRule="auto"/>
        <w:jc w:val="both"/>
        <w:sectPr>
          <w:type w:val="continuous"/>
          <w:pgSz w:w="11910" w:h="16840"/>
          <w:pgMar w:top="0" w:bottom="280" w:left="460" w:right="0"/>
          <w:cols w:num="2" w:equalWidth="0">
            <w:col w:w="5309" w:space="40"/>
            <w:col w:w="6101"/>
          </w:cols>
        </w:sectPr>
      </w:pPr>
    </w:p>
    <w:p>
      <w:pPr>
        <w:pStyle w:val="BodyText"/>
        <w:ind w:left="1637"/>
        <w:rPr>
          <w:sz w:val="20"/>
        </w:rPr>
      </w:pPr>
      <w:r>
        <w:rPr>
          <w:sz w:val="20"/>
        </w:rPr>
        <w:drawing>
          <wp:inline distT="0" distB="0" distL="0" distR="0">
            <wp:extent cx="4927282" cy="4210526"/>
            <wp:effectExtent l="0" t="0" r="0" b="0"/>
            <wp:docPr id="17" name="image1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7282" cy="4210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149"/>
        <w:ind w:left="1680" w:right="0" w:firstLine="0"/>
        <w:jc w:val="left"/>
        <w:rPr>
          <w:rFonts w:ascii="Arial" w:hAnsi="Arial"/>
          <w:sz w:val="22"/>
        </w:rPr>
      </w:pPr>
      <w:bookmarkStart w:name="_bookmark13" w:id="20"/>
      <w:bookmarkEnd w:id="20"/>
      <w:r>
        <w:rPr/>
      </w:r>
      <w:r>
        <w:rPr>
          <w:rFonts w:ascii="Arial" w:hAnsi="Arial"/>
          <w:sz w:val="22"/>
        </w:rPr>
        <w:t>Figur 4: Den forventede absolutte landhævning i Danmark, angivet i mm pr. år.</w:t>
      </w:r>
    </w:p>
    <w:p>
      <w:pPr>
        <w:pStyle w:val="BodyText"/>
        <w:spacing w:before="5"/>
        <w:rPr>
          <w:rFonts w:ascii="Arial"/>
          <w:sz w:val="28"/>
        </w:rPr>
      </w:pPr>
    </w:p>
    <w:p>
      <w:pPr>
        <w:spacing w:after="0"/>
        <w:rPr>
          <w:rFonts w:ascii="Arial"/>
          <w:sz w:val="28"/>
        </w:rPr>
        <w:sectPr>
          <w:footerReference w:type="default" r:id="rId25"/>
          <w:pgSz w:w="11910" w:h="16840"/>
          <w:pgMar w:footer="0" w:header="0" w:top="1120" w:bottom="280" w:left="460" w:right="0"/>
        </w:sectPr>
      </w:pPr>
    </w:p>
    <w:p>
      <w:pPr>
        <w:pStyle w:val="Heading3"/>
        <w:spacing w:before="107"/>
        <w:ind w:left="673"/>
      </w:pPr>
      <w:r>
        <w:rPr/>
        <w:t>Klimatilpasning</w:t>
      </w:r>
    </w:p>
    <w:p>
      <w:pPr>
        <w:pStyle w:val="BodyText"/>
        <w:spacing w:line="252" w:lineRule="auto" w:before="171"/>
        <w:ind w:left="673"/>
        <w:jc w:val="both"/>
      </w:pPr>
      <w:r>
        <w:rPr/>
        <w:t>Danmarks Højdemodel (DHM) er et vigtigt </w:t>
      </w:r>
      <w:r>
        <w:rPr>
          <w:spacing w:val="-6"/>
        </w:rPr>
        <w:t>da- </w:t>
      </w:r>
      <w:r>
        <w:rPr/>
        <w:t>tagrundlag i løsningen af en lang række </w:t>
      </w:r>
      <w:r>
        <w:rPr>
          <w:spacing w:val="-3"/>
        </w:rPr>
        <w:t>offentli- </w:t>
      </w:r>
      <w:r>
        <w:rPr/>
        <w:t>ge</w:t>
      </w:r>
      <w:r>
        <w:rPr>
          <w:spacing w:val="-9"/>
        </w:rPr>
        <w:t> </w:t>
      </w:r>
      <w:r>
        <w:rPr>
          <w:spacing w:val="-4"/>
        </w:rPr>
        <w:t>opgaver.</w:t>
      </w:r>
      <w:r>
        <w:rPr>
          <w:spacing w:val="-10"/>
        </w:rPr>
        <w:t> </w:t>
      </w:r>
      <w:r>
        <w:rPr/>
        <w:t>Især</w:t>
      </w:r>
      <w:r>
        <w:rPr>
          <w:spacing w:val="-9"/>
        </w:rPr>
        <w:t> </w:t>
      </w:r>
      <w:r>
        <w:rPr/>
        <w:t>er</w:t>
      </w:r>
      <w:r>
        <w:rPr>
          <w:spacing w:val="-9"/>
        </w:rPr>
        <w:t> </w:t>
      </w:r>
      <w:r>
        <w:rPr/>
        <w:t>højdemodellen</w:t>
      </w:r>
      <w:r>
        <w:rPr>
          <w:spacing w:val="-10"/>
        </w:rPr>
        <w:t> </w:t>
      </w:r>
      <w:r>
        <w:rPr/>
        <w:t>helt</w:t>
      </w:r>
      <w:r>
        <w:rPr>
          <w:spacing w:val="-9"/>
        </w:rPr>
        <w:t> </w:t>
      </w:r>
      <w:r>
        <w:rPr>
          <w:spacing w:val="-3"/>
        </w:rPr>
        <w:t>uundvær- </w:t>
      </w:r>
      <w:r>
        <w:rPr/>
        <w:t>lig,</w:t>
      </w:r>
      <w:r>
        <w:rPr>
          <w:spacing w:val="-11"/>
        </w:rPr>
        <w:t> </w:t>
      </w:r>
      <w:r>
        <w:rPr/>
        <w:t>når</w:t>
      </w:r>
      <w:r>
        <w:rPr>
          <w:spacing w:val="-10"/>
        </w:rPr>
        <w:t> </w:t>
      </w:r>
      <w:r>
        <w:rPr/>
        <w:t>opgaverne</w:t>
      </w:r>
      <w:r>
        <w:rPr>
          <w:spacing w:val="-10"/>
        </w:rPr>
        <w:t> </w:t>
      </w:r>
      <w:r>
        <w:rPr/>
        <w:t>drejer</w:t>
      </w:r>
      <w:r>
        <w:rPr>
          <w:spacing w:val="-10"/>
        </w:rPr>
        <w:t> </w:t>
      </w:r>
      <w:r>
        <w:rPr/>
        <w:t>sig</w:t>
      </w:r>
      <w:r>
        <w:rPr>
          <w:spacing w:val="-11"/>
        </w:rPr>
        <w:t> </w:t>
      </w:r>
      <w:r>
        <w:rPr/>
        <w:t>om</w:t>
      </w:r>
      <w:r>
        <w:rPr>
          <w:spacing w:val="-10"/>
        </w:rPr>
        <w:t> </w:t>
      </w:r>
      <w:r>
        <w:rPr/>
        <w:t>klimatilpasning. Simulering af konsekvenser af </w:t>
      </w:r>
      <w:r>
        <w:rPr>
          <w:spacing w:val="-2"/>
        </w:rPr>
        <w:t>klimaforandrin- </w:t>
      </w:r>
      <w:r>
        <w:rPr>
          <w:spacing w:val="-3"/>
        </w:rPr>
        <w:t>ger, </w:t>
      </w:r>
      <w:r>
        <w:rPr/>
        <w:t>herunder udpegning af oversvømmelsestru- ede områder, udgør det største anvendelsesom- råde og er p.t. den primære driver for udvikling og ajourføring af DHM. DHM har således </w:t>
      </w:r>
      <w:r>
        <w:rPr>
          <w:spacing w:val="-4"/>
        </w:rPr>
        <w:t>dan- </w:t>
      </w:r>
      <w:r>
        <w:rPr/>
        <w:t>net baggrund for udvikling af forskellige </w:t>
      </w:r>
      <w:r>
        <w:rPr>
          <w:spacing w:val="-3"/>
        </w:rPr>
        <w:t>digi- </w:t>
      </w:r>
      <w:r>
        <w:rPr/>
        <w:t>tale værktøjer i Kystdirektoratet og </w:t>
      </w:r>
      <w:r>
        <w:rPr>
          <w:spacing w:val="-2"/>
        </w:rPr>
        <w:t>Naturstyrel- </w:t>
      </w:r>
      <w:r>
        <w:rPr/>
        <w:t>sen til brug for implementeringen af </w:t>
      </w:r>
      <w:r>
        <w:rPr>
          <w:spacing w:val="-4"/>
        </w:rPr>
        <w:t>EU’s </w:t>
      </w:r>
      <w:r>
        <w:rPr>
          <w:spacing w:val="-6"/>
        </w:rPr>
        <w:t>over- </w:t>
      </w:r>
      <w:r>
        <w:rPr/>
        <w:t>svømmelsesdirektiv,</w:t>
      </w:r>
      <w:r>
        <w:rPr>
          <w:spacing w:val="-13"/>
        </w:rPr>
        <w:t> </w:t>
      </w:r>
      <w:r>
        <w:rPr/>
        <w:t>og</w:t>
      </w:r>
      <w:r>
        <w:rPr>
          <w:spacing w:val="-13"/>
        </w:rPr>
        <w:t> </w:t>
      </w:r>
      <w:r>
        <w:rPr/>
        <w:t>DHM</w:t>
      </w:r>
      <w:r>
        <w:rPr>
          <w:spacing w:val="-13"/>
        </w:rPr>
        <w:t> </w:t>
      </w:r>
      <w:r>
        <w:rPr/>
        <w:t>tilpasset</w:t>
      </w:r>
      <w:r>
        <w:rPr>
          <w:spacing w:val="-13"/>
        </w:rPr>
        <w:t> </w:t>
      </w:r>
      <w:r>
        <w:rPr/>
        <w:t>til</w:t>
      </w:r>
      <w:r>
        <w:rPr>
          <w:spacing w:val="-13"/>
        </w:rPr>
        <w:t> </w:t>
      </w:r>
      <w:r>
        <w:rPr>
          <w:spacing w:val="-4"/>
        </w:rPr>
        <w:t>hydro- </w:t>
      </w:r>
      <w:r>
        <w:rPr/>
        <w:t>logisk brug spiller en vigtig rolle i forbindelse med kommunernes udarbejdelse af klimahand- lingsplaner i 2013 og</w:t>
      </w:r>
      <w:r>
        <w:rPr>
          <w:spacing w:val="-6"/>
        </w:rPr>
        <w:t> </w:t>
      </w:r>
      <w:r>
        <w:rPr/>
        <w:t>efterfølgende.</w:t>
      </w:r>
    </w:p>
    <w:p>
      <w:pPr>
        <w:pStyle w:val="BodyText"/>
        <w:spacing w:before="10"/>
        <w:rPr>
          <w:sz w:val="36"/>
        </w:rPr>
      </w:pPr>
    </w:p>
    <w:p>
      <w:pPr>
        <w:pStyle w:val="Heading2"/>
        <w:numPr>
          <w:ilvl w:val="1"/>
          <w:numId w:val="3"/>
        </w:numPr>
        <w:tabs>
          <w:tab w:pos="1430" w:val="left" w:leader="none"/>
          <w:tab w:pos="1431" w:val="left" w:leader="none"/>
        </w:tabs>
        <w:spacing w:line="240" w:lineRule="auto" w:before="0" w:after="0"/>
        <w:ind w:left="1430" w:right="0" w:hanging="757"/>
        <w:jc w:val="left"/>
      </w:pPr>
      <w:bookmarkStart w:name="_bookmark14" w:id="21"/>
      <w:bookmarkEnd w:id="21"/>
      <w:r>
        <w:rPr>
          <w:b w:val="0"/>
        </w:rPr>
      </w:r>
      <w:bookmarkStart w:name="_bookmark14" w:id="22"/>
      <w:bookmarkEnd w:id="22"/>
      <w:r>
        <w:rPr/>
        <w:t>Landhævning</w:t>
      </w:r>
    </w:p>
    <w:p>
      <w:pPr>
        <w:pStyle w:val="BodyText"/>
        <w:spacing w:line="252" w:lineRule="auto" w:before="247"/>
        <w:ind w:left="673"/>
      </w:pPr>
      <w:r>
        <w:rPr/>
        <w:t>Landhævningsmodellen angiver den forventede absolutte landhævning i Danmark i mm pr. år.</w:t>
      </w:r>
    </w:p>
    <w:p>
      <w:pPr>
        <w:pStyle w:val="BodyText"/>
        <w:spacing w:line="228" w:lineRule="auto" w:before="138"/>
        <w:ind w:left="329" w:right="1131"/>
        <w:jc w:val="both"/>
      </w:pPr>
      <w:r>
        <w:rPr/>
        <w:br w:type="column"/>
      </w:r>
      <w:r>
        <w:rPr/>
        <w:t>Modellen er udarbejdet af DTU-Space på bag- grund af data fra Geodatastyrelsens permanen- te GNSS stationer og 3 landsdækkende præci-</w:t>
      </w:r>
    </w:p>
    <w:p>
      <w:pPr>
        <w:pStyle w:val="BodyText"/>
        <w:spacing w:line="252" w:lineRule="auto" w:before="17"/>
        <w:ind w:left="329" w:right="1131"/>
        <w:jc w:val="both"/>
      </w:pPr>
      <w:r>
        <w:rPr/>
        <w:t>sionsnivellementer gennemført over en 100 </w:t>
      </w:r>
      <w:r>
        <w:rPr>
          <w:spacing w:val="-4"/>
        </w:rPr>
        <w:t>årig </w:t>
      </w:r>
      <w:r>
        <w:rPr/>
        <w:t>periode fra 1891 - 1990 (Knudsen og </w:t>
      </w:r>
      <w:r>
        <w:rPr>
          <w:spacing w:val="-6"/>
        </w:rPr>
        <w:t>Vognsen, </w:t>
      </w:r>
      <w:r>
        <w:rPr/>
        <w:t>2010; Schmidt, 2000). Det er de beregnede </w:t>
      </w:r>
      <w:r>
        <w:rPr>
          <w:spacing w:val="-4"/>
        </w:rPr>
        <w:t>høj- </w:t>
      </w:r>
      <w:r>
        <w:rPr/>
        <w:t>deforskelle mellem præcisionsnivellementerne, der udgør fundamentet for modelleringen af </w:t>
      </w:r>
      <w:r>
        <w:rPr>
          <w:spacing w:val="-7"/>
        </w:rPr>
        <w:t>de </w:t>
      </w:r>
      <w:r>
        <w:rPr/>
        <w:t>vertikale relative landbevægelser, og det er </w:t>
      </w:r>
      <w:r>
        <w:rPr>
          <w:spacing w:val="-4"/>
        </w:rPr>
        <w:t>da- </w:t>
      </w:r>
      <w:r>
        <w:rPr/>
        <w:t>ta fra de permanente GNSS stationer, der </w:t>
      </w:r>
      <w:r>
        <w:rPr>
          <w:spacing w:val="-5"/>
        </w:rPr>
        <w:t>gør </w:t>
      </w:r>
      <w:r>
        <w:rPr/>
        <w:t>det muligt at separere disse bevægelser fra</w:t>
      </w:r>
      <w:r>
        <w:rPr>
          <w:spacing w:val="-42"/>
        </w:rPr>
        <w:t> </w:t>
      </w:r>
      <w:r>
        <w:rPr>
          <w:spacing w:val="-5"/>
        </w:rPr>
        <w:t>vand- </w:t>
      </w:r>
      <w:r>
        <w:rPr/>
        <w:t>standsudviklingen i de danske farvande og </w:t>
      </w:r>
      <w:r>
        <w:rPr>
          <w:spacing w:val="-7"/>
        </w:rPr>
        <w:t>der- </w:t>
      </w:r>
      <w:r>
        <w:rPr/>
        <w:t>med beregne absolutte</w:t>
      </w:r>
      <w:r>
        <w:rPr>
          <w:spacing w:val="-6"/>
        </w:rPr>
        <w:t> </w:t>
      </w:r>
      <w:r>
        <w:rPr/>
        <w:t>værdier.</w:t>
      </w:r>
    </w:p>
    <w:p>
      <w:pPr>
        <w:pStyle w:val="BodyText"/>
        <w:spacing w:line="267" w:lineRule="exact"/>
        <w:ind w:left="563"/>
      </w:pPr>
      <w:r>
        <w:rPr/>
        <w:t>Modellen forventes at have en nøjagtighed på</w:t>
      </w:r>
    </w:p>
    <w:p>
      <w:pPr>
        <w:pStyle w:val="BodyText"/>
        <w:spacing w:line="252" w:lineRule="auto" w:before="13"/>
        <w:ind w:left="329" w:right="1131"/>
        <w:jc w:val="both"/>
      </w:pPr>
      <w:r>
        <w:rPr/>
        <w:t>+/- 0,2 mm - 0,3 mm (RMSE) om året med </w:t>
      </w:r>
      <w:r>
        <w:rPr>
          <w:spacing w:val="-9"/>
        </w:rPr>
        <w:t>de </w:t>
      </w:r>
      <w:r>
        <w:rPr/>
        <w:t>største afvigelser i ”yderområder” som fx </w:t>
      </w:r>
      <w:r>
        <w:rPr>
          <w:spacing w:val="-4"/>
        </w:rPr>
        <w:t>Ska-</w:t>
      </w:r>
      <w:r>
        <w:rPr>
          <w:spacing w:val="52"/>
        </w:rPr>
        <w:t> </w:t>
      </w:r>
      <w:r>
        <w:rPr/>
        <w:t>gen,</w:t>
      </w:r>
      <w:r>
        <w:rPr>
          <w:spacing w:val="-9"/>
        </w:rPr>
        <w:t> </w:t>
      </w:r>
      <w:r>
        <w:rPr/>
        <w:t>Djursland,</w:t>
      </w:r>
      <w:r>
        <w:rPr>
          <w:spacing w:val="-8"/>
        </w:rPr>
        <w:t> </w:t>
      </w:r>
      <w:r>
        <w:rPr/>
        <w:t>Sydfyn</w:t>
      </w:r>
      <w:r>
        <w:rPr>
          <w:spacing w:val="-9"/>
        </w:rPr>
        <w:t> </w:t>
      </w:r>
      <w:r>
        <w:rPr/>
        <w:t>og</w:t>
      </w:r>
      <w:r>
        <w:rPr>
          <w:spacing w:val="-8"/>
        </w:rPr>
        <w:t> </w:t>
      </w:r>
      <w:r>
        <w:rPr/>
        <w:t>Lolland.</w:t>
      </w:r>
      <w:r>
        <w:rPr>
          <w:spacing w:val="-8"/>
        </w:rPr>
        <w:t> </w:t>
      </w:r>
      <w:r>
        <w:rPr/>
        <w:t>Modellen</w:t>
      </w:r>
      <w:r>
        <w:rPr>
          <w:spacing w:val="-8"/>
        </w:rPr>
        <w:t> </w:t>
      </w:r>
      <w:r>
        <w:rPr>
          <w:spacing w:val="-6"/>
        </w:rPr>
        <w:t>vil </w:t>
      </w:r>
      <w:r>
        <w:rPr/>
        <w:t>i</w:t>
      </w:r>
      <w:r>
        <w:rPr>
          <w:spacing w:val="-9"/>
        </w:rPr>
        <w:t> </w:t>
      </w:r>
      <w:r>
        <w:rPr/>
        <w:t>disse</w:t>
      </w:r>
      <w:r>
        <w:rPr>
          <w:spacing w:val="-8"/>
        </w:rPr>
        <w:t> </w:t>
      </w:r>
      <w:r>
        <w:rPr/>
        <w:t>områder</w:t>
      </w:r>
      <w:r>
        <w:rPr>
          <w:spacing w:val="-8"/>
        </w:rPr>
        <w:t> </w:t>
      </w:r>
      <w:r>
        <w:rPr/>
        <w:t>blive</w:t>
      </w:r>
      <w:r>
        <w:rPr>
          <w:spacing w:val="-8"/>
        </w:rPr>
        <w:t> </w:t>
      </w:r>
      <w:r>
        <w:rPr/>
        <w:t>forbedret</w:t>
      </w:r>
      <w:r>
        <w:rPr>
          <w:spacing w:val="-8"/>
        </w:rPr>
        <w:t> </w:t>
      </w:r>
      <w:r>
        <w:rPr/>
        <w:t>over</w:t>
      </w:r>
      <w:r>
        <w:rPr>
          <w:spacing w:val="-8"/>
        </w:rPr>
        <w:t> </w:t>
      </w:r>
      <w:r>
        <w:rPr/>
        <w:t>tid</w:t>
      </w:r>
      <w:r>
        <w:rPr>
          <w:spacing w:val="-8"/>
        </w:rPr>
        <w:t> </w:t>
      </w:r>
      <w:r>
        <w:rPr/>
        <w:t>med</w:t>
      </w:r>
      <w:r>
        <w:rPr>
          <w:spacing w:val="-8"/>
        </w:rPr>
        <w:t> </w:t>
      </w:r>
      <w:r>
        <w:rPr/>
        <w:t>sup- plerende nivellementer i kombination med </w:t>
      </w:r>
      <w:r>
        <w:rPr>
          <w:spacing w:val="-5"/>
        </w:rPr>
        <w:t>GPS </w:t>
      </w:r>
      <w:r>
        <w:rPr/>
        <w:t>kampagner. Størrelsen af eventuelle fremtidige korrektioner forventes dog at være</w:t>
      </w:r>
      <w:r>
        <w:rPr>
          <w:spacing w:val="-19"/>
        </w:rPr>
        <w:t> </w:t>
      </w:r>
      <w:r>
        <w:rPr/>
        <w:t>begrænset.</w:t>
      </w:r>
    </w:p>
    <w:p>
      <w:pPr>
        <w:pStyle w:val="BodyText"/>
        <w:spacing w:line="252" w:lineRule="auto"/>
        <w:ind w:left="329" w:right="926" w:firstLine="234"/>
      </w:pPr>
      <w:r>
        <w:rPr/>
        <w:t>I Thyborøn er den årlige absolutte landhæv- ning beregnet til 1 mm/år (figur </w:t>
      </w:r>
      <w:hyperlink w:history="true" w:anchor="_bookmark13">
        <w:r>
          <w:rPr>
            <w:color w:val="FF0000"/>
          </w:rPr>
          <w:t>4</w:t>
        </w:r>
      </w:hyperlink>
      <w:r>
        <w:rPr/>
        <w:t>).</w:t>
      </w:r>
    </w:p>
    <w:p>
      <w:pPr>
        <w:spacing w:after="0" w:line="252" w:lineRule="auto"/>
        <w:sectPr>
          <w:type w:val="continuous"/>
          <w:pgSz w:w="11910" w:h="16840"/>
          <w:pgMar w:top="0" w:bottom="280" w:left="460" w:right="0"/>
          <w:cols w:num="2" w:equalWidth="0">
            <w:col w:w="5309" w:space="40"/>
            <w:col w:w="6101"/>
          </w:cols>
        </w:sectPr>
      </w:pPr>
    </w:p>
    <w:p>
      <w:pPr>
        <w:pStyle w:val="BodyText"/>
        <w:spacing w:before="4"/>
        <w:rPr>
          <w:sz w:val="19"/>
        </w:rPr>
      </w:pPr>
    </w:p>
    <w:p>
      <w:pPr>
        <w:spacing w:before="103"/>
        <w:ind w:left="4602" w:right="5059" w:firstLine="0"/>
        <w:jc w:val="center"/>
        <w:rPr>
          <w:rFonts w:ascii="Arial"/>
          <w:sz w:val="22"/>
        </w:rPr>
      </w:pPr>
      <w:r>
        <w:rPr>
          <w:rFonts w:ascii="Arial"/>
          <w:sz w:val="22"/>
        </w:rPr>
        <w:t>13</w:t>
      </w:r>
    </w:p>
    <w:p>
      <w:pPr>
        <w:spacing w:after="0"/>
        <w:jc w:val="center"/>
        <w:rPr>
          <w:rFonts w:ascii="Arial"/>
          <w:sz w:val="22"/>
        </w:rPr>
        <w:sectPr>
          <w:type w:val="continuous"/>
          <w:pgSz w:w="11910" w:h="16840"/>
          <w:pgMar w:top="0" w:bottom="280" w:left="460" w:right="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  <w:sz w:val="16"/>
        </w:rPr>
      </w:pPr>
    </w:p>
    <w:p>
      <w:pPr>
        <w:pStyle w:val="BodyText"/>
        <w:ind w:left="1637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4860035" cy="6707124"/>
            <wp:effectExtent l="0" t="0" r="0" b="0"/>
            <wp:docPr id="19" name="image1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3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0035" cy="6707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BodyText"/>
        <w:spacing w:before="8"/>
        <w:rPr>
          <w:rFonts w:ascii="Arial"/>
          <w:sz w:val="14"/>
        </w:rPr>
      </w:pPr>
    </w:p>
    <w:p>
      <w:pPr>
        <w:spacing w:line="273" w:lineRule="auto" w:before="104"/>
        <w:ind w:left="673" w:right="1053" w:firstLine="0"/>
        <w:jc w:val="left"/>
        <w:rPr>
          <w:rFonts w:ascii="Arial" w:hAnsi="Arial"/>
          <w:sz w:val="22"/>
        </w:rPr>
      </w:pPr>
      <w:bookmarkStart w:name="_bookmark15" w:id="23"/>
      <w:bookmarkEnd w:id="23"/>
      <w:r>
        <w:rPr/>
      </w:r>
      <w:r>
        <w:rPr>
          <w:rFonts w:ascii="Arial" w:hAnsi="Arial"/>
          <w:sz w:val="22"/>
        </w:rPr>
        <w:t>Figur 5: Linjeføring for de motoriserede kvalitetsnivellementer fra Vestervig Kirke over Thyborøn til Hove Kirke. Sætningsmønster er skitseret (sorte linjer ud fra fikspunkter).</w:t>
      </w:r>
    </w:p>
    <w:p>
      <w:pPr>
        <w:spacing w:after="0" w:line="273" w:lineRule="auto"/>
        <w:jc w:val="left"/>
        <w:rPr>
          <w:rFonts w:ascii="Arial" w:hAnsi="Arial"/>
          <w:sz w:val="22"/>
        </w:rPr>
        <w:sectPr>
          <w:footerReference w:type="default" r:id="rId27"/>
          <w:pgSz w:w="11910" w:h="16840"/>
          <w:pgMar w:footer="546" w:header="0" w:top="1580" w:bottom="740" w:left="460" w:right="0"/>
          <w:pgNumType w:start="14"/>
        </w:sectPr>
      </w:pPr>
    </w:p>
    <w:p>
      <w:pPr>
        <w:pStyle w:val="BodyText"/>
        <w:ind w:left="1637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4892040" cy="3648646"/>
            <wp:effectExtent l="0" t="0" r="0" b="0"/>
            <wp:docPr id="21" name="image1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4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2040" cy="3648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BodyText"/>
        <w:spacing w:before="1"/>
        <w:rPr>
          <w:rFonts w:ascii="Arial"/>
          <w:sz w:val="8"/>
        </w:rPr>
      </w:pPr>
    </w:p>
    <w:p>
      <w:pPr>
        <w:spacing w:before="103"/>
        <w:ind w:left="1550" w:right="0" w:firstLine="0"/>
        <w:jc w:val="left"/>
        <w:rPr>
          <w:rFonts w:ascii="Arial" w:hAnsi="Arial"/>
          <w:sz w:val="22"/>
        </w:rPr>
      </w:pPr>
      <w:bookmarkStart w:name="_bookmark16" w:id="24"/>
      <w:bookmarkEnd w:id="24"/>
      <w:r>
        <w:rPr/>
      </w:r>
      <w:r>
        <w:rPr>
          <w:rFonts w:ascii="Arial" w:hAnsi="Arial"/>
          <w:sz w:val="22"/>
        </w:rPr>
        <w:t>Figur 6: Nivellementsbolt - den typiske etableringsform for fikspunkter i Thyborøn.</w:t>
      </w:r>
    </w:p>
    <w:p>
      <w:pPr>
        <w:pStyle w:val="BodyText"/>
        <w:spacing w:before="1"/>
        <w:rPr>
          <w:rFonts w:ascii="Arial"/>
        </w:rPr>
      </w:pPr>
    </w:p>
    <w:p>
      <w:pPr>
        <w:spacing w:after="0"/>
        <w:rPr>
          <w:rFonts w:ascii="Arial"/>
        </w:rPr>
        <w:sectPr>
          <w:pgSz w:w="11910" w:h="16840"/>
          <w:pgMar w:header="0" w:footer="546" w:top="1120" w:bottom="740" w:left="460" w:right="0"/>
        </w:sectPr>
      </w:pPr>
    </w:p>
    <w:p>
      <w:pPr>
        <w:pStyle w:val="Heading2"/>
        <w:numPr>
          <w:ilvl w:val="1"/>
          <w:numId w:val="3"/>
        </w:numPr>
        <w:tabs>
          <w:tab w:pos="1430" w:val="left" w:leader="none"/>
          <w:tab w:pos="1431" w:val="left" w:leader="none"/>
        </w:tabs>
        <w:spacing w:line="240" w:lineRule="auto" w:before="110" w:after="0"/>
        <w:ind w:left="1430" w:right="0" w:hanging="757"/>
        <w:jc w:val="left"/>
      </w:pPr>
      <w:bookmarkStart w:name="_bookmark17" w:id="25"/>
      <w:bookmarkEnd w:id="25"/>
      <w:r>
        <w:rPr>
          <w:b w:val="0"/>
        </w:rPr>
      </w:r>
      <w:bookmarkStart w:name="_bookmark17" w:id="26"/>
      <w:bookmarkEnd w:id="26"/>
      <w:r>
        <w:rPr/>
        <w:t>Fikspunkter</w:t>
      </w:r>
    </w:p>
    <w:p>
      <w:pPr>
        <w:pStyle w:val="BodyText"/>
        <w:spacing w:line="252" w:lineRule="auto" w:before="247"/>
        <w:ind w:left="673"/>
        <w:jc w:val="both"/>
      </w:pPr>
      <w:r>
        <w:rPr/>
        <w:t>Undersøgelsen af de vertikale landbevægelser </w:t>
      </w:r>
      <w:r>
        <w:rPr>
          <w:spacing w:val="-18"/>
        </w:rPr>
        <w:t>i </w:t>
      </w:r>
      <w:r>
        <w:rPr/>
        <w:t>Thyborøn er hovedsagligt baseret på tre </w:t>
      </w:r>
      <w:r>
        <w:rPr>
          <w:spacing w:val="-3"/>
        </w:rPr>
        <w:t>genera- </w:t>
      </w:r>
      <w:r>
        <w:rPr/>
        <w:t>tioner af motoriserede kvalitetsnivellementer </w:t>
      </w:r>
      <w:r>
        <w:rPr>
          <w:spacing w:val="-6"/>
        </w:rPr>
        <w:t>til </w:t>
      </w:r>
      <w:r>
        <w:rPr/>
        <w:t>en række fikspunkter på strækningen </w:t>
      </w:r>
      <w:r>
        <w:rPr>
          <w:spacing w:val="-5"/>
        </w:rPr>
        <w:t>Vestervig </w:t>
      </w:r>
      <w:r>
        <w:rPr/>
        <w:t>Kirke–Thyborøn–Hove Kirke (figur </w:t>
      </w:r>
      <w:hyperlink w:history="true" w:anchor="_bookmark15">
        <w:r>
          <w:rPr>
            <w:color w:val="FF0000"/>
          </w:rPr>
          <w:t>5</w:t>
        </w:r>
      </w:hyperlink>
      <w:r>
        <w:rPr/>
        <w:t>). De </w:t>
      </w:r>
      <w:r>
        <w:rPr>
          <w:spacing w:val="-5"/>
        </w:rPr>
        <w:t>tre </w:t>
      </w:r>
      <w:r>
        <w:rPr/>
        <w:t>sammenhængende nivellementer er gennemført i 2006, 2009 og 2012 suppleret med et </w:t>
      </w:r>
      <w:r>
        <w:rPr>
          <w:spacing w:val="-3"/>
        </w:rPr>
        <w:t>gensi- </w:t>
      </w:r>
      <w:r>
        <w:rPr/>
        <w:t>digt trigonometrisk nivellement over </w:t>
      </w:r>
      <w:r>
        <w:rPr>
          <w:spacing w:val="-3"/>
        </w:rPr>
        <w:t>Thyborøn </w:t>
      </w:r>
      <w:r>
        <w:rPr/>
        <w:t>Kanal.</w:t>
      </w:r>
    </w:p>
    <w:p>
      <w:pPr>
        <w:pStyle w:val="BodyText"/>
        <w:spacing w:before="2"/>
        <w:rPr>
          <w:sz w:val="32"/>
        </w:rPr>
      </w:pPr>
    </w:p>
    <w:p>
      <w:pPr>
        <w:pStyle w:val="Heading3"/>
        <w:ind w:left="673"/>
      </w:pPr>
      <w:r>
        <w:rPr/>
        <w:t>Punktstatus</w:t>
      </w:r>
    </w:p>
    <w:p>
      <w:pPr>
        <w:pStyle w:val="BodyText"/>
        <w:spacing w:line="252" w:lineRule="auto" w:before="171"/>
        <w:ind w:left="673"/>
        <w:jc w:val="both"/>
      </w:pPr>
      <w:r>
        <w:rPr/>
        <w:t>Som forberedelse til målingerne er der udført </w:t>
      </w:r>
      <w:r>
        <w:rPr>
          <w:spacing w:val="-8"/>
        </w:rPr>
        <w:t>en </w:t>
      </w:r>
      <w:r>
        <w:rPr/>
        <w:t>markgennemgang af samtlige registrerede</w:t>
      </w:r>
      <w:r>
        <w:rPr>
          <w:spacing w:val="-20"/>
        </w:rPr>
        <w:t> </w:t>
      </w:r>
      <w:r>
        <w:rPr>
          <w:spacing w:val="-3"/>
        </w:rPr>
        <w:t>punk- </w:t>
      </w:r>
      <w:r>
        <w:rPr/>
        <w:t>ter i den planlagte linjeføring, og alle fikspunkt- beskrivelser</w:t>
      </w:r>
      <w:r>
        <w:rPr>
          <w:spacing w:val="-18"/>
        </w:rPr>
        <w:t> </w:t>
      </w:r>
      <w:r>
        <w:rPr/>
        <w:t>er</w:t>
      </w:r>
      <w:r>
        <w:rPr>
          <w:spacing w:val="-18"/>
        </w:rPr>
        <w:t> </w:t>
      </w:r>
      <w:r>
        <w:rPr/>
        <w:t>ajourført</w:t>
      </w:r>
      <w:r>
        <w:rPr>
          <w:spacing w:val="-18"/>
        </w:rPr>
        <w:t> </w:t>
      </w:r>
      <w:r>
        <w:rPr/>
        <w:t>i</w:t>
      </w:r>
      <w:r>
        <w:rPr>
          <w:spacing w:val="-18"/>
        </w:rPr>
        <w:t> </w:t>
      </w:r>
      <w:r>
        <w:rPr/>
        <w:t>overensstemmelse</w:t>
      </w:r>
      <w:r>
        <w:rPr>
          <w:spacing w:val="-18"/>
        </w:rPr>
        <w:t> </w:t>
      </w:r>
      <w:r>
        <w:rPr>
          <w:spacing w:val="-6"/>
        </w:rPr>
        <w:t>med </w:t>
      </w:r>
      <w:r>
        <w:rPr/>
        <w:t>de faktiske forhold i</w:t>
      </w:r>
      <w:r>
        <w:rPr>
          <w:spacing w:val="-7"/>
        </w:rPr>
        <w:t> </w:t>
      </w:r>
      <w:r>
        <w:rPr/>
        <w:t>marken.</w:t>
      </w:r>
    </w:p>
    <w:p>
      <w:pPr>
        <w:pStyle w:val="BodyText"/>
        <w:spacing w:line="252" w:lineRule="auto"/>
        <w:ind w:left="673" w:firstLine="234"/>
        <w:jc w:val="both"/>
      </w:pPr>
      <w:r>
        <w:rPr/>
        <w:t>Strækningen indeholder flere forskellige </w:t>
      </w:r>
      <w:r>
        <w:rPr>
          <w:spacing w:val="-6"/>
        </w:rPr>
        <w:t>ty- </w:t>
      </w:r>
      <w:r>
        <w:rPr/>
        <w:t>per af fikspunkter, hvor viden om</w:t>
      </w:r>
      <w:r>
        <w:rPr>
          <w:spacing w:val="-38"/>
        </w:rPr>
        <w:t> </w:t>
      </w:r>
      <w:r>
        <w:rPr>
          <w:spacing w:val="-3"/>
        </w:rPr>
        <w:t>etableringsfor- </w:t>
      </w:r>
      <w:r>
        <w:rPr/>
        <w:t>men har stor betydning i forbindelse med </w:t>
      </w:r>
      <w:r>
        <w:rPr>
          <w:spacing w:val="-3"/>
        </w:rPr>
        <w:t>vurde- </w:t>
      </w:r>
      <w:r>
        <w:rPr/>
        <w:t>ring af eventuelle vertikale landbevægelser. </w:t>
      </w:r>
      <w:r>
        <w:rPr>
          <w:spacing w:val="-9"/>
        </w:rPr>
        <w:t>Ko- </w:t>
      </w:r>
      <w:r>
        <w:rPr/>
        <w:t>ter på fx nivellementskalotter (Ø 30 cm x </w:t>
      </w:r>
      <w:r>
        <w:rPr>
          <w:spacing w:val="-5"/>
        </w:rPr>
        <w:t>125 </w:t>
      </w:r>
      <w:r>
        <w:rPr/>
        <w:t>cm beton jordpunkter) og fikspunktbolte i </w:t>
      </w:r>
      <w:r>
        <w:rPr>
          <w:spacing w:val="-7"/>
        </w:rPr>
        <w:t>dår- </w:t>
      </w:r>
      <w:r>
        <w:rPr/>
        <w:t>ligt</w:t>
      </w:r>
      <w:r>
        <w:rPr>
          <w:spacing w:val="-13"/>
        </w:rPr>
        <w:t> </w:t>
      </w:r>
      <w:r>
        <w:rPr/>
        <w:t>funderede</w:t>
      </w:r>
      <w:r>
        <w:rPr>
          <w:spacing w:val="-12"/>
        </w:rPr>
        <w:t> </w:t>
      </w:r>
      <w:r>
        <w:rPr/>
        <w:t>bygninger</w:t>
      </w:r>
      <w:r>
        <w:rPr>
          <w:spacing w:val="-12"/>
        </w:rPr>
        <w:t> </w:t>
      </w:r>
      <w:r>
        <w:rPr/>
        <w:t>kan</w:t>
      </w:r>
      <w:r>
        <w:rPr>
          <w:spacing w:val="-12"/>
        </w:rPr>
        <w:t> </w:t>
      </w:r>
      <w:r>
        <w:rPr/>
        <w:t>være</w:t>
      </w:r>
      <w:r>
        <w:rPr>
          <w:spacing w:val="-12"/>
        </w:rPr>
        <w:t> </w:t>
      </w:r>
      <w:r>
        <w:rPr/>
        <w:t>direkte</w:t>
      </w:r>
      <w:r>
        <w:rPr>
          <w:spacing w:val="-12"/>
        </w:rPr>
        <w:t> </w:t>
      </w:r>
      <w:r>
        <w:rPr>
          <w:spacing w:val="-3"/>
        </w:rPr>
        <w:t>misvi-</w:t>
      </w:r>
    </w:p>
    <w:p>
      <w:pPr>
        <w:pStyle w:val="BodyText"/>
        <w:spacing w:line="206" w:lineRule="auto" w:before="21"/>
        <w:ind w:left="673"/>
        <w:jc w:val="both"/>
      </w:pPr>
      <w:r>
        <w:rPr/>
        <w:t>sende og dermed ikke repræsentative for de </w:t>
      </w:r>
      <w:r>
        <w:rPr>
          <w:spacing w:val="-5"/>
        </w:rPr>
        <w:t>fak- </w:t>
      </w:r>
      <w:r>
        <w:rPr/>
        <w:t>tiske</w:t>
      </w:r>
      <w:r>
        <w:rPr>
          <w:spacing w:val="22"/>
        </w:rPr>
        <w:t> </w:t>
      </w:r>
      <w:r>
        <w:rPr/>
        <w:t>vertikale</w:t>
      </w:r>
      <w:r>
        <w:rPr>
          <w:spacing w:val="22"/>
        </w:rPr>
        <w:t> </w:t>
      </w:r>
      <w:r>
        <w:rPr/>
        <w:t>terrænændringer.</w:t>
      </w:r>
      <w:r>
        <w:rPr>
          <w:spacing w:val="22"/>
        </w:rPr>
        <w:t> </w:t>
      </w:r>
      <w:r>
        <w:rPr/>
        <w:t>Der</w:t>
      </w:r>
      <w:r>
        <w:rPr>
          <w:spacing w:val="22"/>
        </w:rPr>
        <w:t> </w:t>
      </w:r>
      <w:r>
        <w:rPr/>
        <w:t>er</w:t>
      </w:r>
      <w:r>
        <w:rPr>
          <w:spacing w:val="22"/>
        </w:rPr>
        <w:t> </w:t>
      </w:r>
      <w:r>
        <w:rPr/>
        <w:t>derfor</w:t>
      </w:r>
      <w:r>
        <w:rPr>
          <w:spacing w:val="22"/>
        </w:rPr>
        <w:t> </w:t>
      </w:r>
      <w:r>
        <w:rPr>
          <w:spacing w:val="-16"/>
        </w:rPr>
        <w:t>i</w:t>
      </w:r>
    </w:p>
    <w:p>
      <w:pPr>
        <w:pStyle w:val="BodyText"/>
        <w:spacing w:line="252" w:lineRule="auto" w:before="177"/>
        <w:ind w:left="329" w:right="1131"/>
        <w:jc w:val="both"/>
      </w:pPr>
      <w:r>
        <w:rPr/>
        <w:br w:type="column"/>
      </w:r>
      <w:r>
        <w:rPr/>
        <w:t>videst muligt omfang anvendt fikspunkter i </w:t>
      </w:r>
      <w:r>
        <w:rPr>
          <w:spacing w:val="-3"/>
        </w:rPr>
        <w:t>soli- </w:t>
      </w:r>
      <w:r>
        <w:rPr/>
        <w:t>de</w:t>
      </w:r>
      <w:r>
        <w:rPr>
          <w:spacing w:val="-11"/>
        </w:rPr>
        <w:t> </w:t>
      </w:r>
      <w:r>
        <w:rPr/>
        <w:t>bygningsværker</w:t>
      </w:r>
      <w:r>
        <w:rPr>
          <w:spacing w:val="-10"/>
        </w:rPr>
        <w:t> </w:t>
      </w:r>
      <w:r>
        <w:rPr/>
        <w:t>(figur</w:t>
      </w:r>
      <w:r>
        <w:rPr>
          <w:spacing w:val="-10"/>
        </w:rPr>
        <w:t> </w:t>
      </w:r>
      <w:hyperlink w:history="true" w:anchor="_bookmark16">
        <w:r>
          <w:rPr>
            <w:color w:val="FF0000"/>
          </w:rPr>
          <w:t>6</w:t>
        </w:r>
      </w:hyperlink>
      <w:r>
        <w:rPr/>
        <w:t>)</w:t>
      </w:r>
      <w:r>
        <w:rPr>
          <w:spacing w:val="-10"/>
        </w:rPr>
        <w:t> </w:t>
      </w:r>
      <w:r>
        <w:rPr/>
        <w:t>og</w:t>
      </w:r>
      <w:r>
        <w:rPr>
          <w:spacing w:val="-10"/>
        </w:rPr>
        <w:t> </w:t>
      </w:r>
      <w:r>
        <w:rPr/>
        <w:t>skruepløkke</w:t>
      </w:r>
      <w:r>
        <w:rPr>
          <w:spacing w:val="-11"/>
        </w:rPr>
        <w:t> </w:t>
      </w:r>
      <w:r>
        <w:rPr>
          <w:spacing w:val="-4"/>
        </w:rPr>
        <w:t>som </w:t>
      </w:r>
      <w:r>
        <w:rPr/>
        <w:t>jordpunkter, da denne etableringsform over</w:t>
      </w:r>
      <w:r>
        <w:rPr>
          <w:spacing w:val="-36"/>
        </w:rPr>
        <w:t> </w:t>
      </w:r>
      <w:r>
        <w:rPr>
          <w:spacing w:val="-5"/>
        </w:rPr>
        <w:t>årer- </w:t>
      </w:r>
      <w:r>
        <w:rPr/>
        <w:t>ne har vist en tilfredsstillende stabilitet. </w:t>
      </w:r>
      <w:r>
        <w:rPr>
          <w:spacing w:val="-4"/>
        </w:rPr>
        <w:t>Nivelle- </w:t>
      </w:r>
      <w:r>
        <w:rPr/>
        <w:t>mentskalotter er dog af opmålingstekniske </w:t>
      </w:r>
      <w:r>
        <w:rPr>
          <w:spacing w:val="-3"/>
        </w:rPr>
        <w:t>årsa- </w:t>
      </w:r>
      <w:r>
        <w:rPr/>
        <w:t>ger anvendt på strækninger, hvor anden etable- ring ikke har været</w:t>
      </w:r>
      <w:r>
        <w:rPr>
          <w:spacing w:val="-6"/>
        </w:rPr>
        <w:t> </w:t>
      </w:r>
      <w:r>
        <w:rPr/>
        <w:t>mulig.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Punktgrundlaget i Thyborøn er gennem</w:t>
      </w:r>
      <w:r>
        <w:rPr>
          <w:spacing w:val="-43"/>
        </w:rPr>
        <w:t> </w:t>
      </w:r>
      <w:r>
        <w:rPr>
          <w:spacing w:val="-3"/>
        </w:rPr>
        <w:t>årerne </w:t>
      </w:r>
      <w:r>
        <w:rPr/>
        <w:t>udbygget til en tæthed på ca. 300 m for at </w:t>
      </w:r>
      <w:r>
        <w:rPr>
          <w:spacing w:val="-3"/>
        </w:rPr>
        <w:t>sikre </w:t>
      </w:r>
      <w:r>
        <w:rPr/>
        <w:t>en tilfredsstillende datamængde til at visualisere sætningernes</w:t>
      </w:r>
      <w:r>
        <w:rPr>
          <w:spacing w:val="-11"/>
        </w:rPr>
        <w:t> </w:t>
      </w:r>
      <w:r>
        <w:rPr/>
        <w:t>størrelse</w:t>
      </w:r>
      <w:r>
        <w:rPr>
          <w:spacing w:val="-11"/>
        </w:rPr>
        <w:t> </w:t>
      </w:r>
      <w:r>
        <w:rPr/>
        <w:t>og</w:t>
      </w:r>
      <w:r>
        <w:rPr>
          <w:spacing w:val="-11"/>
        </w:rPr>
        <w:t> </w:t>
      </w:r>
      <w:r>
        <w:rPr/>
        <w:t>omfang</w:t>
      </w:r>
      <w:r>
        <w:rPr>
          <w:spacing w:val="-11"/>
        </w:rPr>
        <w:t> </w:t>
      </w:r>
      <w:r>
        <w:rPr/>
        <w:t>(figur</w:t>
      </w:r>
      <w:r>
        <w:rPr>
          <w:spacing w:val="-11"/>
        </w:rPr>
        <w:t> </w:t>
      </w:r>
      <w:hyperlink w:history="true" w:anchor="_bookmark18">
        <w:r>
          <w:rPr>
            <w:color w:val="FF0000"/>
          </w:rPr>
          <w:t>7</w:t>
        </w:r>
      </w:hyperlink>
      <w:r>
        <w:rPr/>
        <w:t>).</w:t>
      </w:r>
      <w:r>
        <w:rPr>
          <w:spacing w:val="-10"/>
        </w:rPr>
        <w:t> </w:t>
      </w:r>
      <w:r>
        <w:rPr>
          <w:spacing w:val="-3"/>
        </w:rPr>
        <w:t>Fiks- </w:t>
      </w:r>
      <w:r>
        <w:rPr/>
        <w:t>punktnettet i  Thyborøn er yderligere  udbygget i forbindelse med opmålingskampagnen i </w:t>
      </w:r>
      <w:r>
        <w:rPr>
          <w:spacing w:val="-3"/>
        </w:rPr>
        <w:t>2012, </w:t>
      </w:r>
      <w:r>
        <w:rPr/>
        <w:t>og disse punkter vil indgå i nivellement planlagt i</w:t>
      </w:r>
      <w:r>
        <w:rPr>
          <w:spacing w:val="-2"/>
        </w:rPr>
        <w:t> </w:t>
      </w:r>
      <w:r>
        <w:rPr/>
        <w:t>2015.</w:t>
      </w:r>
    </w:p>
    <w:p>
      <w:pPr>
        <w:pStyle w:val="BodyText"/>
        <w:spacing w:before="7"/>
        <w:rPr>
          <w:sz w:val="33"/>
        </w:rPr>
      </w:pPr>
    </w:p>
    <w:p>
      <w:pPr>
        <w:pStyle w:val="Heading3"/>
      </w:pPr>
      <w:r>
        <w:rPr/>
        <w:t>Det geometriske nivellement</w:t>
      </w:r>
    </w:p>
    <w:p>
      <w:pPr>
        <w:pStyle w:val="BodyText"/>
        <w:spacing w:line="252" w:lineRule="auto" w:before="171"/>
        <w:ind w:left="329" w:right="1131"/>
        <w:jc w:val="both"/>
      </w:pPr>
      <w:r>
        <w:rPr/>
        <w:t>Nivellementet er udført som motoriseret </w:t>
      </w:r>
      <w:r>
        <w:rPr>
          <w:spacing w:val="-3"/>
        </w:rPr>
        <w:t>geome- </w:t>
      </w:r>
      <w:r>
        <w:rPr/>
        <w:t>trisk kvalitetsnivellement </w:t>
      </w:r>
      <w:r>
        <w:rPr>
          <w:spacing w:val="-4"/>
        </w:rPr>
        <w:t>(Vognsen, </w:t>
      </w:r>
      <w:r>
        <w:rPr/>
        <w:t>Jepsen </w:t>
      </w:r>
      <w:r>
        <w:rPr>
          <w:spacing w:val="-8"/>
        </w:rPr>
        <w:t>og </w:t>
      </w:r>
      <w:r>
        <w:rPr/>
        <w:t>Kokkendorff, 2013) suppleret med </w:t>
      </w:r>
      <w:r>
        <w:rPr>
          <w:spacing w:val="-3"/>
        </w:rPr>
        <w:t>fodnivelle- </w:t>
      </w:r>
      <w:r>
        <w:rPr/>
        <w:t>ment, hvor færdsel med bil ikke har været </w:t>
      </w:r>
      <w:r>
        <w:rPr>
          <w:spacing w:val="-3"/>
        </w:rPr>
        <w:t>mulig </w:t>
      </w:r>
      <w:r>
        <w:rPr/>
        <w:t>eller i forbindelse med tilknytning til fikspunk- </w:t>
      </w:r>
      <w:r>
        <w:rPr>
          <w:spacing w:val="-3"/>
        </w:rPr>
        <w:t>ter, </w:t>
      </w:r>
      <w:r>
        <w:rPr/>
        <w:t>hvor det vandrette sigte fra bilen er gået</w:t>
      </w:r>
      <w:r>
        <w:rPr>
          <w:spacing w:val="-35"/>
        </w:rPr>
        <w:t> </w:t>
      </w:r>
      <w:r>
        <w:rPr>
          <w:spacing w:val="-6"/>
        </w:rPr>
        <w:t>over </w:t>
      </w:r>
      <w:r>
        <w:rPr/>
        <w:t>eller under lægten (stadiet). Det geometriske </w:t>
      </w:r>
      <w:r>
        <w:rPr>
          <w:spacing w:val="-4"/>
        </w:rPr>
        <w:t>ni- </w:t>
      </w:r>
      <w:r>
        <w:rPr/>
        <w:t>vellement er udført med et Trimble DINI </w:t>
      </w:r>
      <w:r>
        <w:rPr>
          <w:spacing w:val="-5"/>
        </w:rPr>
        <w:t>003 </w:t>
      </w:r>
      <w:r>
        <w:rPr/>
        <w:t>stregkodeinstrument med kompensator og to</w:t>
      </w:r>
      <w:r>
        <w:rPr>
          <w:spacing w:val="-9"/>
        </w:rPr>
        <w:t> </w:t>
      </w:r>
      <w:r>
        <w:rPr>
          <w:spacing w:val="-4"/>
        </w:rPr>
        <w:t>3,5</w:t>
      </w:r>
    </w:p>
    <w:p>
      <w:pPr>
        <w:spacing w:after="0" w:line="252" w:lineRule="auto"/>
        <w:jc w:val="both"/>
        <w:sectPr>
          <w:type w:val="continuous"/>
          <w:pgSz w:w="11910" w:h="16840"/>
          <w:pgMar w:top="0" w:bottom="280" w:left="460" w:right="0"/>
          <w:cols w:num="2" w:equalWidth="0">
            <w:col w:w="5309" w:space="40"/>
            <w:col w:w="610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3"/>
        </w:rPr>
      </w:pPr>
    </w:p>
    <w:p>
      <w:pPr>
        <w:pStyle w:val="BodyText"/>
        <w:ind w:left="1637"/>
        <w:rPr>
          <w:sz w:val="20"/>
        </w:rPr>
      </w:pPr>
      <w:r>
        <w:rPr>
          <w:sz w:val="20"/>
        </w:rPr>
        <w:drawing>
          <wp:inline distT="0" distB="0" distL="0" distR="0">
            <wp:extent cx="4963191" cy="5456682"/>
            <wp:effectExtent l="0" t="0" r="0" b="0"/>
            <wp:docPr id="23" name="image1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5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3191" cy="5456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78"/>
        <w:ind w:left="3521" w:right="0" w:firstLine="0"/>
        <w:jc w:val="left"/>
        <w:rPr>
          <w:rFonts w:ascii="Arial" w:hAnsi="Arial"/>
          <w:sz w:val="22"/>
        </w:rPr>
      </w:pPr>
      <w:bookmarkStart w:name="_bookmark18" w:id="27"/>
      <w:bookmarkEnd w:id="27"/>
      <w:r>
        <w:rPr/>
      </w:r>
      <w:r>
        <w:rPr>
          <w:rFonts w:ascii="Arial" w:hAnsi="Arial"/>
          <w:sz w:val="22"/>
        </w:rPr>
        <w:t>Figur 7: Fikspunktgrundlaget i Thyborøn.</w:t>
      </w:r>
    </w:p>
    <w:p>
      <w:pPr>
        <w:spacing w:after="0"/>
        <w:jc w:val="left"/>
        <w:rPr>
          <w:rFonts w:ascii="Arial" w:hAnsi="Arial"/>
          <w:sz w:val="22"/>
        </w:rPr>
        <w:sectPr>
          <w:pgSz w:w="11910" w:h="16840"/>
          <w:pgMar w:header="0" w:footer="546" w:top="1580" w:bottom="740" w:left="460" w:right="0"/>
        </w:sectPr>
      </w:pPr>
    </w:p>
    <w:p>
      <w:pPr>
        <w:pStyle w:val="BodyText"/>
        <w:spacing w:line="252" w:lineRule="auto" w:before="71"/>
        <w:ind w:left="673"/>
        <w:jc w:val="both"/>
      </w:pPr>
      <w:r>
        <w:rPr/>
        <w:t>m Nedo </w:t>
      </w:r>
      <w:r>
        <w:rPr>
          <w:spacing w:val="-4"/>
        </w:rPr>
        <w:t>Invar </w:t>
      </w:r>
      <w:r>
        <w:rPr/>
        <w:t>lægter suppleret med en 2 m </w:t>
      </w:r>
      <w:r>
        <w:rPr>
          <w:spacing w:val="-9"/>
        </w:rPr>
        <w:t>og </w:t>
      </w:r>
      <w:r>
        <w:rPr/>
        <w:t>en 3 m NEDO </w:t>
      </w:r>
      <w:r>
        <w:rPr>
          <w:spacing w:val="-4"/>
        </w:rPr>
        <w:t>Invar </w:t>
      </w:r>
      <w:r>
        <w:rPr/>
        <w:t>lægte, som er anvendt </w:t>
      </w:r>
      <w:r>
        <w:rPr>
          <w:spacing w:val="-6"/>
        </w:rPr>
        <w:t>ved </w:t>
      </w:r>
      <w:r>
        <w:rPr/>
        <w:t>punkttilslutning, og i tilfælde hvor der har </w:t>
      </w:r>
      <w:r>
        <w:rPr>
          <w:spacing w:val="-4"/>
        </w:rPr>
        <w:t>været </w:t>
      </w:r>
      <w:r>
        <w:rPr/>
        <w:t>en begrænset frihøjde over fikspunktet. Figur </w:t>
      </w:r>
      <w:hyperlink w:history="true" w:anchor="_bookmark19">
        <w:r>
          <w:rPr>
            <w:color w:val="FF0000"/>
            <w:spacing w:val="-15"/>
          </w:rPr>
          <w:t>8</w:t>
        </w:r>
      </w:hyperlink>
      <w:r>
        <w:rPr>
          <w:color w:val="FF0000"/>
          <w:spacing w:val="-15"/>
        </w:rPr>
        <w:t> </w:t>
      </w:r>
      <w:r>
        <w:rPr/>
        <w:t>illustrerer det motoriserede geometriske </w:t>
      </w:r>
      <w:r>
        <w:rPr>
          <w:spacing w:val="-5"/>
        </w:rPr>
        <w:t>nivelle- </w:t>
      </w:r>
      <w:r>
        <w:rPr/>
        <w:t>ment i</w:t>
      </w:r>
      <w:r>
        <w:rPr>
          <w:spacing w:val="-3"/>
        </w:rPr>
        <w:t> </w:t>
      </w:r>
      <w:r>
        <w:rPr/>
        <w:t>praksis.</w:t>
      </w:r>
    </w:p>
    <w:p>
      <w:pPr>
        <w:pStyle w:val="BodyText"/>
        <w:spacing w:line="252" w:lineRule="auto"/>
        <w:ind w:left="673" w:firstLine="234"/>
        <w:jc w:val="both"/>
      </w:pPr>
      <w:r>
        <w:rPr/>
        <w:t>Aflæsningerne er registreret automatisk, </w:t>
      </w:r>
      <w:r>
        <w:rPr>
          <w:spacing w:val="-4"/>
        </w:rPr>
        <w:t>først </w:t>
      </w:r>
      <w:r>
        <w:rPr/>
        <w:t>med et tilbagesigte og derefter med et fremsig- te. Instrumentet tager i hvert sigte 3 </w:t>
      </w:r>
      <w:r>
        <w:rPr>
          <w:spacing w:val="-3"/>
        </w:rPr>
        <w:t>aflæsninger, </w:t>
      </w:r>
      <w:r>
        <w:rPr/>
        <w:t>hvor spredningen maksimalt må udgøre </w:t>
      </w:r>
      <w:r>
        <w:rPr>
          <w:spacing w:val="-3"/>
        </w:rPr>
        <w:t>12/100 </w:t>
      </w:r>
      <w:r>
        <w:rPr/>
        <w:t>mm.</w:t>
      </w:r>
      <w:r>
        <w:rPr>
          <w:spacing w:val="-15"/>
        </w:rPr>
        <w:t> </w:t>
      </w:r>
      <w:r>
        <w:rPr/>
        <w:t>Overstiges</w:t>
      </w:r>
      <w:r>
        <w:rPr>
          <w:spacing w:val="-15"/>
        </w:rPr>
        <w:t> </w:t>
      </w:r>
      <w:r>
        <w:rPr/>
        <w:t>denne</w:t>
      </w:r>
      <w:r>
        <w:rPr>
          <w:spacing w:val="-14"/>
        </w:rPr>
        <w:t> </w:t>
      </w:r>
      <w:r>
        <w:rPr/>
        <w:t>grænse</w:t>
      </w:r>
      <w:r>
        <w:rPr>
          <w:spacing w:val="-14"/>
        </w:rPr>
        <w:t> </w:t>
      </w:r>
      <w:r>
        <w:rPr/>
        <w:t>forkastes</w:t>
      </w:r>
      <w:r>
        <w:rPr>
          <w:spacing w:val="-14"/>
        </w:rPr>
        <w:t> </w:t>
      </w:r>
      <w:r>
        <w:rPr/>
        <w:t>alle</w:t>
      </w:r>
      <w:r>
        <w:rPr>
          <w:spacing w:val="-14"/>
        </w:rPr>
        <w:t> </w:t>
      </w:r>
      <w:r>
        <w:rPr/>
        <w:t>3</w:t>
      </w:r>
      <w:r>
        <w:rPr>
          <w:spacing w:val="-15"/>
        </w:rPr>
        <w:t> </w:t>
      </w:r>
      <w:r>
        <w:rPr>
          <w:spacing w:val="-5"/>
        </w:rPr>
        <w:t>af- </w:t>
      </w:r>
      <w:r>
        <w:rPr/>
        <w:t>læsninger, hvorefter der måles på</w:t>
      </w:r>
      <w:r>
        <w:rPr>
          <w:spacing w:val="-11"/>
        </w:rPr>
        <w:t> </w:t>
      </w:r>
      <w:r>
        <w:rPr>
          <w:spacing w:val="-7"/>
        </w:rPr>
        <w:t>ny.</w:t>
      </w:r>
    </w:p>
    <w:p>
      <w:pPr>
        <w:pStyle w:val="BodyText"/>
        <w:spacing w:line="252" w:lineRule="auto"/>
        <w:ind w:left="673" w:firstLine="234"/>
        <w:jc w:val="both"/>
      </w:pPr>
      <w:r>
        <w:rPr/>
        <w:t>Nivellementet er udført med lige lange </w:t>
      </w:r>
      <w:r>
        <w:rPr>
          <w:spacing w:val="-3"/>
        </w:rPr>
        <w:t>frem- </w:t>
      </w:r>
      <w:r>
        <w:rPr/>
        <w:t>og tilbagesigter for at minimere </w:t>
      </w:r>
      <w:r>
        <w:rPr>
          <w:spacing w:val="-3"/>
        </w:rPr>
        <w:t>systematiske </w:t>
      </w:r>
      <w:r>
        <w:rPr/>
        <w:t>fejl. I den enkelte opstilling er der opereret </w:t>
      </w:r>
      <w:r>
        <w:rPr>
          <w:spacing w:val="-6"/>
        </w:rPr>
        <w:t>med </w:t>
      </w:r>
      <w:r>
        <w:rPr/>
        <w:t>en størst tilladt forskel mellem fremsigte og </w:t>
      </w:r>
      <w:r>
        <w:rPr>
          <w:spacing w:val="-5"/>
        </w:rPr>
        <w:t>til- </w:t>
      </w:r>
      <w:r>
        <w:rPr/>
        <w:t>bagesigte på 4 m, som er søgt udlignet i den </w:t>
      </w:r>
      <w:r>
        <w:rPr>
          <w:spacing w:val="-5"/>
        </w:rPr>
        <w:t>ef- </w:t>
      </w:r>
      <w:r>
        <w:rPr/>
        <w:t>terfølgende opstilling. Summen af frem- og </w:t>
      </w:r>
      <w:r>
        <w:rPr>
          <w:spacing w:val="-4"/>
        </w:rPr>
        <w:t>til-</w:t>
      </w:r>
      <w:r>
        <w:rPr>
          <w:spacing w:val="52"/>
        </w:rPr>
        <w:t> </w:t>
      </w:r>
      <w:r>
        <w:rPr/>
        <w:t>bagesigter på en strækning mellem 2 </w:t>
      </w:r>
      <w:r>
        <w:rPr>
          <w:spacing w:val="-3"/>
        </w:rPr>
        <w:t>fikspunk- </w:t>
      </w:r>
      <w:r>
        <w:rPr/>
        <w:t>ter har haft en maksimal afvigelse på 2 m. </w:t>
      </w:r>
      <w:r>
        <w:rPr>
          <w:spacing w:val="-6"/>
        </w:rPr>
        <w:t>Den </w:t>
      </w:r>
      <w:r>
        <w:rPr/>
        <w:t>maksimale sigtelængde har været 50 m, og </w:t>
      </w:r>
      <w:r>
        <w:rPr>
          <w:spacing w:val="-7"/>
        </w:rPr>
        <w:t>for </w:t>
      </w:r>
      <w:r>
        <w:rPr/>
        <w:t>at begrænse indflydelsen af refraktion er opstil- lingerne planlagt således, at sigtelinjen på </w:t>
      </w:r>
      <w:r>
        <w:rPr>
          <w:spacing w:val="-4"/>
        </w:rPr>
        <w:t>intet</w:t>
      </w:r>
      <w:r>
        <w:rPr>
          <w:spacing w:val="52"/>
        </w:rPr>
        <w:t> </w:t>
      </w:r>
      <w:r>
        <w:rPr/>
        <w:t>tidspunkt har været nærmere terræn end 0,5</w:t>
      </w:r>
      <w:r>
        <w:rPr>
          <w:spacing w:val="-18"/>
        </w:rPr>
        <w:t> </w:t>
      </w:r>
      <w:r>
        <w:rPr/>
        <w:t>m.</w:t>
      </w:r>
    </w:p>
    <w:p>
      <w:pPr>
        <w:pStyle w:val="BodyText"/>
        <w:spacing w:line="252" w:lineRule="auto"/>
        <w:ind w:left="673" w:firstLine="234"/>
        <w:jc w:val="both"/>
      </w:pPr>
      <w:r>
        <w:rPr/>
        <w:pict>
          <v:shape style="position:absolute;margin-left:250.363998pt;margin-top:49.804836pt;width:2.4pt;height:20.75pt;mso-position-horizontal-relative:page;mso-position-vertical-relative:paragraph;z-index:-85552" type="#_x0000_t202" filled="false" stroked="false">
            <v:textbox inset="0,0,0,0">
              <w:txbxContent>
                <w:p>
                  <w:pPr>
                    <w:spacing w:line="236" w:lineRule="exact" w:before="0"/>
                    <w:ind w:left="0" w:right="0" w:firstLine="0"/>
                    <w:jc w:val="left"/>
                    <w:rPr>
                      <w:rFonts w:ascii="Verdana" w:hAnsi="Verdana"/>
                      <w:i/>
                      <w:sz w:val="24"/>
                    </w:rPr>
                  </w:pPr>
                  <w:r>
                    <w:rPr>
                      <w:rFonts w:ascii="Verdana" w:hAnsi="Verdana"/>
                      <w:i/>
                      <w:spacing w:val="-152"/>
                      <w:w w:val="101"/>
                      <w:sz w:val="24"/>
                    </w:rPr>
                    <w:t>√</w:t>
                  </w:r>
                </w:p>
              </w:txbxContent>
            </v:textbox>
            <w10:wrap type="none"/>
          </v:shape>
        </w:pict>
      </w:r>
      <w:r>
        <w:rPr/>
        <w:t>Alle nivellementsstrækninger er målt </w:t>
      </w:r>
      <w:r>
        <w:rPr>
          <w:spacing w:val="-6"/>
        </w:rPr>
        <w:t>som </w:t>
      </w:r>
      <w:r>
        <w:rPr/>
        <w:t>dobbeltnivellement, hvilket vil sige, at </w:t>
      </w:r>
      <w:r>
        <w:rPr>
          <w:spacing w:val="-5"/>
        </w:rPr>
        <w:t>alle </w:t>
      </w:r>
      <w:r>
        <w:rPr/>
        <w:t>strækninger</w:t>
      </w:r>
      <w:r>
        <w:rPr>
          <w:spacing w:val="-12"/>
        </w:rPr>
        <w:t> </w:t>
      </w:r>
      <w:r>
        <w:rPr/>
        <w:t>er</w:t>
      </w:r>
      <w:r>
        <w:rPr>
          <w:spacing w:val="-12"/>
        </w:rPr>
        <w:t> </w:t>
      </w:r>
      <w:r>
        <w:rPr/>
        <w:t>målt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gange</w:t>
      </w:r>
      <w:r>
        <w:rPr>
          <w:spacing w:val="-12"/>
        </w:rPr>
        <w:t> </w:t>
      </w:r>
      <w:r>
        <w:rPr/>
        <w:t>–</w:t>
      </w:r>
      <w:r>
        <w:rPr>
          <w:spacing w:val="-11"/>
        </w:rPr>
        <w:t> </w:t>
      </w:r>
      <w:r>
        <w:rPr/>
        <w:t>én</w:t>
      </w:r>
      <w:r>
        <w:rPr>
          <w:spacing w:val="-12"/>
        </w:rPr>
        <w:t> </w:t>
      </w:r>
      <w:r>
        <w:rPr/>
        <w:t>gang</w:t>
      </w:r>
      <w:r>
        <w:rPr>
          <w:spacing w:val="-12"/>
        </w:rPr>
        <w:t> </w:t>
      </w:r>
      <w:r>
        <w:rPr/>
        <w:t>i</w:t>
      </w:r>
      <w:r>
        <w:rPr>
          <w:spacing w:val="-12"/>
        </w:rPr>
        <w:t> </w:t>
      </w:r>
      <w:r>
        <w:rPr/>
        <w:t>hver</w:t>
      </w:r>
      <w:r>
        <w:rPr>
          <w:spacing w:val="-11"/>
        </w:rPr>
        <w:t> </w:t>
      </w:r>
      <w:r>
        <w:rPr>
          <w:spacing w:val="-3"/>
        </w:rPr>
        <w:t>ret- </w:t>
      </w:r>
      <w:r>
        <w:rPr/>
        <w:t>ning. Hvis de to målinger har afveget mer</w:t>
      </w:r>
      <w:r>
        <w:rPr>
          <w:u w:val="single"/>
        </w:rPr>
        <w:t>e</w:t>
      </w:r>
      <w:r>
        <w:rPr/>
        <w:t> </w:t>
      </w:r>
      <w:r>
        <w:rPr>
          <w:spacing w:val="-6"/>
        </w:rPr>
        <w:t>end </w:t>
      </w:r>
      <w:r>
        <w:rPr/>
        <w:t>det fastsatte forkastelseskriterium på 2</w:t>
      </w:r>
      <w:r>
        <w:rPr>
          <w:rFonts w:ascii="Arial" w:hAnsi="Arial"/>
          <w:i/>
        </w:rPr>
        <w:t>, </w:t>
      </w:r>
      <w:r>
        <w:rPr/>
        <w:t>5</w:t>
      </w:r>
      <w:r>
        <w:rPr>
          <w:spacing w:val="55"/>
        </w:rPr>
        <w:t> </w:t>
      </w:r>
      <w:r>
        <w:rPr>
          <w:i/>
        </w:rPr>
        <w:t>L </w:t>
      </w:r>
      <w:r>
        <w:rPr>
          <w:spacing w:val="-6"/>
        </w:rPr>
        <w:t>mm </w:t>
      </w:r>
      <w:r>
        <w:rPr/>
        <w:t>(hvor L er strækningens længde i km), er </w:t>
      </w:r>
      <w:r>
        <w:rPr>
          <w:spacing w:val="-4"/>
        </w:rPr>
        <w:t>begge </w:t>
      </w:r>
      <w:r>
        <w:rPr/>
        <w:t>målinger kasseret, og der er udført et nyt </w:t>
      </w:r>
      <w:r>
        <w:rPr>
          <w:spacing w:val="-3"/>
        </w:rPr>
        <w:t>dob- </w:t>
      </w:r>
      <w:r>
        <w:rPr/>
        <w:t>beltnivellement.</w:t>
      </w:r>
    </w:p>
    <w:p>
      <w:pPr>
        <w:pStyle w:val="BodyText"/>
        <w:spacing w:line="252" w:lineRule="auto"/>
        <w:ind w:left="673" w:firstLine="234"/>
        <w:jc w:val="both"/>
      </w:pPr>
      <w:r>
        <w:rPr/>
        <w:t>Instrumenter og lægter er regelmæssigt </w:t>
      </w:r>
      <w:r>
        <w:rPr>
          <w:spacing w:val="-5"/>
        </w:rPr>
        <w:t>ble- </w:t>
      </w:r>
      <w:r>
        <w:rPr/>
        <w:t>vet kontrolleret gennem observationsperioden. Der er foretaget kontrol af sigtelinjens </w:t>
      </w:r>
      <w:r>
        <w:rPr>
          <w:spacing w:val="-3"/>
        </w:rPr>
        <w:t>skævhed </w:t>
      </w:r>
      <w:r>
        <w:rPr/>
        <w:t>mindst en gang om ugen samt daglig kontrol </w:t>
      </w:r>
      <w:r>
        <w:rPr>
          <w:spacing w:val="-8"/>
        </w:rPr>
        <w:t>af </w:t>
      </w:r>
      <w:r>
        <w:rPr/>
        <w:t>lægternes libeller. Endvidere er </w:t>
      </w:r>
      <w:r>
        <w:rPr>
          <w:spacing w:val="-3"/>
        </w:rPr>
        <w:t>temperaturregi- </w:t>
      </w:r>
      <w:r>
        <w:rPr/>
        <w:t>streringer under opmålingen blevet anvendt </w:t>
      </w:r>
      <w:r>
        <w:rPr>
          <w:spacing w:val="-6"/>
        </w:rPr>
        <w:t>til </w:t>
      </w:r>
      <w:r>
        <w:rPr/>
        <w:t>at</w:t>
      </w:r>
      <w:r>
        <w:rPr>
          <w:spacing w:val="-15"/>
        </w:rPr>
        <w:t> </w:t>
      </w:r>
      <w:r>
        <w:rPr/>
        <w:t>korrigere</w:t>
      </w:r>
      <w:r>
        <w:rPr>
          <w:spacing w:val="-14"/>
        </w:rPr>
        <w:t> </w:t>
      </w:r>
      <w:r>
        <w:rPr/>
        <w:t>temperaturafhængige</w:t>
      </w:r>
      <w:r>
        <w:rPr>
          <w:spacing w:val="-15"/>
        </w:rPr>
        <w:t> </w:t>
      </w:r>
      <w:r>
        <w:rPr/>
        <w:t>fejl.</w:t>
      </w:r>
      <w:r>
        <w:rPr>
          <w:spacing w:val="-14"/>
        </w:rPr>
        <w:t> </w:t>
      </w:r>
      <w:r>
        <w:rPr/>
        <w:t>Endelig</w:t>
      </w:r>
      <w:r>
        <w:rPr>
          <w:spacing w:val="-14"/>
        </w:rPr>
        <w:t> </w:t>
      </w:r>
      <w:r>
        <w:rPr>
          <w:spacing w:val="-8"/>
        </w:rPr>
        <w:t>er </w:t>
      </w:r>
      <w:r>
        <w:rPr/>
        <w:t>de</w:t>
      </w:r>
      <w:r>
        <w:rPr>
          <w:spacing w:val="-14"/>
        </w:rPr>
        <w:t> </w:t>
      </w:r>
      <w:r>
        <w:rPr/>
        <w:t>anvendte</w:t>
      </w:r>
      <w:r>
        <w:rPr>
          <w:spacing w:val="-13"/>
        </w:rPr>
        <w:t> </w:t>
      </w:r>
      <w:r>
        <w:rPr/>
        <w:t>lægter</w:t>
      </w:r>
      <w:r>
        <w:rPr>
          <w:spacing w:val="-13"/>
        </w:rPr>
        <w:t> </w:t>
      </w:r>
      <w:r>
        <w:rPr/>
        <w:t>inden</w:t>
      </w:r>
      <w:r>
        <w:rPr>
          <w:spacing w:val="-13"/>
        </w:rPr>
        <w:t> </w:t>
      </w:r>
      <w:r>
        <w:rPr/>
        <w:t>for</w:t>
      </w:r>
      <w:r>
        <w:rPr>
          <w:spacing w:val="-13"/>
        </w:rPr>
        <w:t> </w:t>
      </w:r>
      <w:r>
        <w:rPr/>
        <w:t>det</w:t>
      </w:r>
      <w:r>
        <w:rPr>
          <w:spacing w:val="-13"/>
        </w:rPr>
        <w:t> </w:t>
      </w:r>
      <w:r>
        <w:rPr/>
        <w:t>seneste</w:t>
      </w:r>
      <w:r>
        <w:rPr>
          <w:spacing w:val="-13"/>
        </w:rPr>
        <w:t> </w:t>
      </w:r>
      <w:r>
        <w:rPr/>
        <w:t>år</w:t>
      </w:r>
      <w:r>
        <w:rPr>
          <w:spacing w:val="-13"/>
        </w:rPr>
        <w:t> </w:t>
      </w:r>
      <w:r>
        <w:rPr>
          <w:spacing w:val="-4"/>
        </w:rPr>
        <w:t>blevet </w:t>
      </w:r>
      <w:r>
        <w:rPr/>
        <w:t>kalibreret for nulpunktsfejl</w:t>
      </w:r>
      <w:r>
        <w:rPr>
          <w:spacing w:val="-4"/>
        </w:rPr>
        <w:t> </w:t>
      </w:r>
      <w:r>
        <w:rPr>
          <w:spacing w:val="-6"/>
        </w:rPr>
        <w:t>mv.</w:t>
      </w:r>
    </w:p>
    <w:p>
      <w:pPr>
        <w:pStyle w:val="BodyText"/>
        <w:spacing w:before="6"/>
        <w:rPr>
          <w:sz w:val="31"/>
        </w:rPr>
      </w:pPr>
    </w:p>
    <w:p>
      <w:pPr>
        <w:pStyle w:val="Heading3"/>
        <w:spacing w:line="288" w:lineRule="auto" w:before="1"/>
        <w:ind w:left="673"/>
        <w:jc w:val="both"/>
      </w:pPr>
      <w:r>
        <w:rPr/>
        <w:t>Det gensidige trigonometriske nivel- lement over Thyborøn Kanal</w:t>
      </w:r>
    </w:p>
    <w:p>
      <w:pPr>
        <w:pStyle w:val="BodyText"/>
        <w:spacing w:line="252" w:lineRule="auto" w:before="111"/>
        <w:ind w:left="673"/>
        <w:jc w:val="both"/>
      </w:pPr>
      <w:r>
        <w:rPr/>
        <w:t>Højdebestemmelsen over Thyborøn Kanal </w:t>
      </w:r>
      <w:r>
        <w:rPr>
          <w:spacing w:val="-7"/>
        </w:rPr>
        <w:t>er </w:t>
      </w:r>
      <w:r>
        <w:rPr/>
        <w:t>gennemført samtidig med de geometriske </w:t>
      </w:r>
      <w:r>
        <w:rPr>
          <w:spacing w:val="-5"/>
        </w:rPr>
        <w:t>ni- </w:t>
      </w:r>
      <w:r>
        <w:rPr/>
        <w:t>vellementer i 2006, 2009 og 2012. </w:t>
      </w:r>
      <w:r>
        <w:rPr>
          <w:spacing w:val="-3"/>
        </w:rPr>
        <w:t>Målinger-   </w:t>
      </w:r>
      <w:r>
        <w:rPr/>
        <w:t>ne er udført over den ca. 800 m lange </w:t>
      </w:r>
      <w:r>
        <w:rPr>
          <w:spacing w:val="-3"/>
        </w:rPr>
        <w:t>stræk- </w:t>
      </w:r>
      <w:r>
        <w:rPr/>
        <w:t>ning</w:t>
      </w:r>
      <w:r>
        <w:rPr>
          <w:spacing w:val="35"/>
        </w:rPr>
        <w:t> </w:t>
      </w:r>
      <w:r>
        <w:rPr/>
        <w:t>med</w:t>
      </w:r>
      <w:r>
        <w:rPr>
          <w:spacing w:val="36"/>
        </w:rPr>
        <w:t> </w:t>
      </w:r>
      <w:r>
        <w:rPr/>
        <w:t>gensidigt</w:t>
      </w:r>
      <w:r>
        <w:rPr>
          <w:spacing w:val="36"/>
        </w:rPr>
        <w:t> </w:t>
      </w:r>
      <w:r>
        <w:rPr/>
        <w:t>trigonometrisk</w:t>
      </w:r>
      <w:r>
        <w:rPr>
          <w:spacing w:val="35"/>
        </w:rPr>
        <w:t> </w:t>
      </w:r>
      <w:r>
        <w:rPr>
          <w:spacing w:val="-3"/>
        </w:rPr>
        <w:t>nivellement</w:t>
      </w:r>
    </w:p>
    <w:p>
      <w:pPr>
        <w:pStyle w:val="BodyText"/>
        <w:spacing w:line="252" w:lineRule="auto" w:before="71"/>
        <w:ind w:left="329" w:right="1131"/>
        <w:jc w:val="both"/>
      </w:pPr>
      <w:r>
        <w:rPr/>
        <w:br w:type="column"/>
      </w:r>
      <w:r>
        <w:rPr/>
        <w:t>med 2 </w:t>
      </w:r>
      <w:r>
        <w:rPr>
          <w:spacing w:val="-4"/>
        </w:rPr>
        <w:t>Topcon </w:t>
      </w:r>
      <w:r>
        <w:rPr>
          <w:spacing w:val="-3"/>
        </w:rPr>
        <w:t>GPT-3002N </w:t>
      </w:r>
      <w:r>
        <w:rPr/>
        <w:t>totalstationer.</w:t>
      </w:r>
      <w:r>
        <w:rPr>
          <w:spacing w:val="-25"/>
        </w:rPr>
        <w:t> </w:t>
      </w:r>
      <w:r>
        <w:rPr>
          <w:spacing w:val="-3"/>
        </w:rPr>
        <w:t>Målin- </w:t>
      </w:r>
      <w:r>
        <w:rPr/>
        <w:t>gerne er gennemført under gunstige </w:t>
      </w:r>
      <w:r>
        <w:rPr>
          <w:spacing w:val="-3"/>
        </w:rPr>
        <w:t>vejrforhold </w:t>
      </w:r>
      <w:r>
        <w:rPr/>
        <w:t>med</w:t>
      </w:r>
      <w:r>
        <w:rPr>
          <w:spacing w:val="-14"/>
        </w:rPr>
        <w:t> </w:t>
      </w:r>
      <w:r>
        <w:rPr/>
        <w:t>tilnærmelsesvis</w:t>
      </w:r>
      <w:r>
        <w:rPr>
          <w:spacing w:val="-13"/>
        </w:rPr>
        <w:t> </w:t>
      </w:r>
      <w:r>
        <w:rPr/>
        <w:t>ens</w:t>
      </w:r>
      <w:r>
        <w:rPr>
          <w:spacing w:val="-13"/>
        </w:rPr>
        <w:t> </w:t>
      </w:r>
      <w:r>
        <w:rPr/>
        <w:t>vand-</w:t>
      </w:r>
      <w:r>
        <w:rPr>
          <w:spacing w:val="-13"/>
        </w:rPr>
        <w:t> </w:t>
      </w:r>
      <w:r>
        <w:rPr/>
        <w:t>og</w:t>
      </w:r>
      <w:r>
        <w:rPr>
          <w:spacing w:val="-13"/>
        </w:rPr>
        <w:t> </w:t>
      </w:r>
      <w:r>
        <w:rPr/>
        <w:t>lufttemperatur i kombination med skyet eller delvis skyet </w:t>
      </w:r>
      <w:r>
        <w:rPr>
          <w:spacing w:val="-5"/>
        </w:rPr>
        <w:t>vejr </w:t>
      </w:r>
      <w:r>
        <w:rPr/>
        <w:t>og vindforhold på 6 m/s eller</w:t>
      </w:r>
      <w:r>
        <w:rPr>
          <w:spacing w:val="-14"/>
        </w:rPr>
        <w:t> </w:t>
      </w:r>
      <w:r>
        <w:rPr/>
        <w:t>derunder.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pict>
          <v:shape style="position:absolute;margin-left:473.705994pt;margin-top:223.154846pt;width:2.65pt;height:20.75pt;mso-position-horizontal-relative:page;mso-position-vertical-relative:paragraph;z-index:-85528" type="#_x0000_t202" filled="false" stroked="false">
            <v:textbox inset="0,0,0,0">
              <w:txbxContent>
                <w:p>
                  <w:pPr>
                    <w:spacing w:line="236" w:lineRule="exact" w:before="0"/>
                    <w:ind w:left="0" w:right="0" w:firstLine="0"/>
                    <w:jc w:val="left"/>
                    <w:rPr>
                      <w:rFonts w:ascii="Verdana" w:hAnsi="Verdana"/>
                      <w:i/>
                      <w:sz w:val="24"/>
                    </w:rPr>
                  </w:pPr>
                  <w:r>
                    <w:rPr>
                      <w:rFonts w:ascii="Verdana" w:hAnsi="Verdana"/>
                      <w:i/>
                      <w:spacing w:val="-147"/>
                      <w:w w:val="101"/>
                      <w:sz w:val="24"/>
                    </w:rPr>
                    <w:t>√</w:t>
                  </w:r>
                </w:p>
              </w:txbxContent>
            </v:textbox>
            <w10:wrap type="none"/>
          </v:shape>
        </w:pict>
      </w:r>
      <w:r>
        <w:rPr/>
        <w:t>Der er målt gensidige afstande mellem instru- menterne og middeltallet er anvendt i højdebe- stemmelsen sammen med de målte gensidige</w:t>
      </w:r>
      <w:r>
        <w:rPr>
          <w:spacing w:val="-43"/>
        </w:rPr>
        <w:t> </w:t>
      </w:r>
      <w:r>
        <w:rPr>
          <w:spacing w:val="-6"/>
        </w:rPr>
        <w:t>ze- </w:t>
      </w:r>
      <w:r>
        <w:rPr/>
        <w:t>nitdistancer. Målingerne omfatter 4 sæt gensidi- ge satsmålinger med 8 fulde satser i hvert </w:t>
      </w:r>
      <w:r>
        <w:rPr>
          <w:spacing w:val="-4"/>
        </w:rPr>
        <w:t>sæt, </w:t>
      </w:r>
      <w:r>
        <w:rPr/>
        <w:t>svarende til i alt 32 fulde satser inklusiv instru- mentbytte midtvejs for at eliminere </w:t>
      </w:r>
      <w:r>
        <w:rPr>
          <w:spacing w:val="-3"/>
        </w:rPr>
        <w:t>eventuelle </w:t>
      </w:r>
      <w:r>
        <w:rPr/>
        <w:t>kompensator-restfejl. Instrumenthøjderne er </w:t>
      </w:r>
      <w:r>
        <w:rPr>
          <w:spacing w:val="-5"/>
        </w:rPr>
        <w:t>be- </w:t>
      </w:r>
      <w:r>
        <w:rPr/>
        <w:t>stemt ved start/slut basis måling til de nærlig- gende geometrisk bestemte nivellementspunkter på begge sider af kanalen. Hver trigonometrisk bestemt højdeforskel, der er indgået som en </w:t>
      </w:r>
      <w:r>
        <w:rPr>
          <w:spacing w:val="-5"/>
        </w:rPr>
        <w:t>ob- </w:t>
      </w:r>
      <w:r>
        <w:rPr/>
        <w:t>servation i de efterfølgende beregninger, er </w:t>
      </w:r>
      <w:r>
        <w:rPr>
          <w:spacing w:val="-4"/>
        </w:rPr>
        <w:t>dan- </w:t>
      </w:r>
      <w:r>
        <w:rPr/>
        <w:t>net ud fra et middel af de 4 sæt gensidige sats- målinger udført fra hvert af de to instrumenter. Målingerne over kanalen indgår i d</w:t>
      </w:r>
      <w:r>
        <w:rPr>
          <w:u w:val="single"/>
        </w:rPr>
        <w:t>en</w:t>
      </w:r>
      <w:r>
        <w:rPr/>
        <w:t> endelige beregning med en vægtning på 2</w:t>
      </w:r>
      <w:r>
        <w:rPr>
          <w:rFonts w:ascii="Arial" w:hAnsi="Arial"/>
          <w:i/>
        </w:rPr>
        <w:t>, </w:t>
      </w:r>
      <w:r>
        <w:rPr/>
        <w:t>5 </w:t>
      </w:r>
      <w:r>
        <w:rPr>
          <w:i/>
        </w:rPr>
        <w:t>L</w:t>
      </w:r>
      <w:r>
        <w:rPr>
          <w:i/>
          <w:spacing w:val="-37"/>
        </w:rPr>
        <w:t> </w:t>
      </w:r>
      <w:r>
        <w:rPr/>
        <w:t>mm.</w:t>
      </w:r>
    </w:p>
    <w:p>
      <w:pPr>
        <w:pStyle w:val="BodyText"/>
        <w:spacing w:line="260" w:lineRule="exact"/>
        <w:ind w:left="563"/>
      </w:pPr>
      <w:r>
        <w:rPr/>
        <w:t>Forud for opmålingen er der udført en kon-</w:t>
      </w:r>
    </w:p>
    <w:p>
      <w:pPr>
        <w:pStyle w:val="BodyText"/>
        <w:spacing w:line="252" w:lineRule="auto" w:before="8"/>
        <w:ind w:left="329" w:right="1131"/>
        <w:jc w:val="both"/>
      </w:pPr>
      <w:r>
        <w:rPr/>
        <w:t>trol af instrumenter og lægter. Instrumentkon- trollen har omfattet verificering og kontrol </w:t>
      </w:r>
      <w:r>
        <w:rPr>
          <w:spacing w:val="-4"/>
        </w:rPr>
        <w:t>for </w:t>
      </w:r>
      <w:r>
        <w:rPr/>
        <w:t>sigtelinjens excentricitet, kredsexcentricitet,</w:t>
      </w:r>
      <w:r>
        <w:rPr>
          <w:spacing w:val="-36"/>
        </w:rPr>
        <w:t> </w:t>
      </w:r>
      <w:r>
        <w:rPr>
          <w:spacing w:val="-4"/>
        </w:rPr>
        <w:t>ind- </w:t>
      </w:r>
      <w:r>
        <w:rPr/>
        <w:t>delingsfejl, indeksfejl og libellefejl. Lægterne </w:t>
      </w:r>
      <w:r>
        <w:rPr>
          <w:spacing w:val="-8"/>
        </w:rPr>
        <w:t>er </w:t>
      </w:r>
      <w:r>
        <w:rPr/>
        <w:t>blevet</w:t>
      </w:r>
      <w:r>
        <w:rPr>
          <w:spacing w:val="-10"/>
        </w:rPr>
        <w:t> </w:t>
      </w:r>
      <w:r>
        <w:rPr/>
        <w:t>kontrolleret</w:t>
      </w:r>
      <w:r>
        <w:rPr>
          <w:spacing w:val="-10"/>
        </w:rPr>
        <w:t> </w:t>
      </w:r>
      <w:r>
        <w:rPr/>
        <w:t>som</w:t>
      </w:r>
      <w:r>
        <w:rPr>
          <w:spacing w:val="-9"/>
        </w:rPr>
        <w:t> </w:t>
      </w:r>
      <w:r>
        <w:rPr/>
        <w:t>beskrevet</w:t>
      </w:r>
      <w:r>
        <w:rPr>
          <w:spacing w:val="-10"/>
        </w:rPr>
        <w:t> </w:t>
      </w:r>
      <w:r>
        <w:rPr/>
        <w:t>for</w:t>
      </w:r>
      <w:r>
        <w:rPr>
          <w:spacing w:val="-10"/>
        </w:rPr>
        <w:t> </w:t>
      </w:r>
      <w:r>
        <w:rPr/>
        <w:t>det</w:t>
      </w:r>
      <w:r>
        <w:rPr>
          <w:spacing w:val="-9"/>
        </w:rPr>
        <w:t> </w:t>
      </w:r>
      <w:r>
        <w:rPr/>
        <w:t>geome- triske</w:t>
      </w:r>
      <w:r>
        <w:rPr>
          <w:spacing w:val="-2"/>
        </w:rPr>
        <w:t> </w:t>
      </w:r>
      <w:r>
        <w:rPr/>
        <w:t>nivellement.</w:t>
      </w:r>
    </w:p>
    <w:p>
      <w:pPr>
        <w:pStyle w:val="BodyText"/>
        <w:spacing w:before="4"/>
        <w:rPr>
          <w:sz w:val="34"/>
        </w:rPr>
      </w:pPr>
    </w:p>
    <w:p>
      <w:pPr>
        <w:pStyle w:val="Heading3"/>
      </w:pPr>
      <w:r>
        <w:rPr/>
        <w:t>Beregning 2006, 2009, 2012</w:t>
      </w:r>
    </w:p>
    <w:p>
      <w:pPr>
        <w:pStyle w:val="BodyText"/>
        <w:spacing w:line="252" w:lineRule="auto" w:before="171"/>
        <w:ind w:left="329" w:right="1131"/>
        <w:jc w:val="both"/>
      </w:pPr>
      <w:r>
        <w:rPr/>
        <w:t>De temperaturkorrigerede målinger er anvendt </w:t>
      </w:r>
      <w:r>
        <w:rPr>
          <w:spacing w:val="-12"/>
        </w:rPr>
        <w:t>i </w:t>
      </w:r>
      <w:r>
        <w:rPr/>
        <w:t>en foreløbig beregning for hvert af årene </w:t>
      </w:r>
      <w:r>
        <w:rPr>
          <w:spacing w:val="-3"/>
        </w:rPr>
        <w:t>2006, </w:t>
      </w:r>
      <w:r>
        <w:rPr/>
        <w:t>2009 og 2012, som skal sikre fejlfri og </w:t>
      </w:r>
      <w:r>
        <w:rPr>
          <w:spacing w:val="-4"/>
        </w:rPr>
        <w:t>sam- </w:t>
      </w:r>
      <w:r>
        <w:rPr/>
        <w:t>menhængende</w:t>
      </w:r>
      <w:r>
        <w:rPr>
          <w:spacing w:val="-18"/>
        </w:rPr>
        <w:t> </w:t>
      </w:r>
      <w:r>
        <w:rPr/>
        <w:t>observationer</w:t>
      </w:r>
      <w:r>
        <w:rPr>
          <w:spacing w:val="-18"/>
        </w:rPr>
        <w:t> </w:t>
      </w:r>
      <w:r>
        <w:rPr/>
        <w:t>med</w:t>
      </w:r>
      <w:r>
        <w:rPr>
          <w:spacing w:val="-17"/>
        </w:rPr>
        <w:t> </w:t>
      </w:r>
      <w:r>
        <w:rPr/>
        <w:t>korrekte</w:t>
      </w:r>
      <w:r>
        <w:rPr>
          <w:spacing w:val="-18"/>
        </w:rPr>
        <w:t> </w:t>
      </w:r>
      <w:r>
        <w:rPr>
          <w:spacing w:val="-3"/>
        </w:rPr>
        <w:t>punk- </w:t>
      </w:r>
      <w:r>
        <w:rPr/>
        <w:t>tnumre. Derudover skal den foreløbige </w:t>
      </w:r>
      <w:r>
        <w:rPr>
          <w:spacing w:val="-4"/>
        </w:rPr>
        <w:t>bereg- </w:t>
      </w:r>
      <w:r>
        <w:rPr/>
        <w:t>ning med et punkt fastholdt sikre, at de planlag- te endepunkter, som ønskes fastholdt i den </w:t>
      </w:r>
      <w:r>
        <w:rPr>
          <w:spacing w:val="-5"/>
        </w:rPr>
        <w:t>en- </w:t>
      </w:r>
      <w:r>
        <w:rPr/>
        <w:t>delige beregning, på </w:t>
      </w:r>
      <w:r>
        <w:rPr>
          <w:spacing w:val="-3"/>
        </w:rPr>
        <w:t>Vestervig </w:t>
      </w:r>
      <w:r>
        <w:rPr/>
        <w:t>Kirke og Hove Kirke er indbyrdes stabile indenfor den </w:t>
      </w:r>
      <w:r>
        <w:rPr>
          <w:spacing w:val="-3"/>
        </w:rPr>
        <w:t>forven- </w:t>
      </w:r>
      <w:r>
        <w:rPr/>
        <w:t>tede måleusikkerhed og beregnede</w:t>
      </w:r>
      <w:r>
        <w:rPr>
          <w:spacing w:val="-43"/>
        </w:rPr>
        <w:t> </w:t>
      </w:r>
      <w:r>
        <w:rPr>
          <w:spacing w:val="-2"/>
        </w:rPr>
        <w:t>landhævning. </w:t>
      </w:r>
      <w:r>
        <w:rPr/>
        <w:t>Begge punkter er tidligere konstateret </w:t>
      </w:r>
      <w:r>
        <w:rPr>
          <w:spacing w:val="-3"/>
        </w:rPr>
        <w:t>vertikalt </w:t>
      </w:r>
      <w:r>
        <w:rPr/>
        <w:t>stabile i forhold til underjordiske fikspunkter </w:t>
      </w:r>
      <w:r>
        <w:rPr>
          <w:spacing w:val="-14"/>
        </w:rPr>
        <w:t>i </w:t>
      </w:r>
      <w:r>
        <w:rPr/>
        <w:t>præcisionslinjen ved </w:t>
      </w:r>
      <w:r>
        <w:rPr>
          <w:spacing w:val="-3"/>
        </w:rPr>
        <w:t>Visby </w:t>
      </w:r>
      <w:r>
        <w:rPr/>
        <w:t>og</w:t>
      </w:r>
      <w:r>
        <w:rPr>
          <w:spacing w:val="-5"/>
        </w:rPr>
        <w:t> </w:t>
      </w:r>
      <w:r>
        <w:rPr/>
        <w:t>Humlum.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Resultatet af den foreløbige beregning til </w:t>
      </w:r>
      <w:r>
        <w:rPr>
          <w:spacing w:val="-5"/>
        </w:rPr>
        <w:t>Ho- </w:t>
      </w:r>
      <w:r>
        <w:rPr/>
        <w:t>ve Kirke (125-06-9026)  med  </w:t>
      </w:r>
      <w:r>
        <w:rPr>
          <w:spacing w:val="-3"/>
        </w:rPr>
        <w:t>Vestervig  </w:t>
      </w:r>
      <w:r>
        <w:rPr>
          <w:spacing w:val="-5"/>
        </w:rPr>
        <w:t>Kir-  </w:t>
      </w:r>
      <w:r>
        <w:rPr/>
        <w:t>ke (72-12-9021) fastholdt med DVR90 </w:t>
      </w:r>
      <w:r>
        <w:rPr>
          <w:spacing w:val="-4"/>
        </w:rPr>
        <w:t>koten </w:t>
      </w:r>
      <w:r>
        <w:rPr/>
        <w:t>28,684 m er gengivet i tabel</w:t>
      </w:r>
      <w:r>
        <w:rPr>
          <w:spacing w:val="-10"/>
        </w:rPr>
        <w:t> </w:t>
      </w:r>
      <w:hyperlink w:history="true" w:anchor="_bookmark22">
        <w:r>
          <w:rPr>
            <w:color w:val="FF0000"/>
          </w:rPr>
          <w:t>2</w:t>
        </w:r>
      </w:hyperlink>
      <w:r>
        <w:rPr/>
        <w:t>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Måleusikkerheden i forhold til det </w:t>
      </w:r>
      <w:r>
        <w:rPr>
          <w:spacing w:val="-3"/>
        </w:rPr>
        <w:t>fastholdte </w:t>
      </w:r>
      <w:r>
        <w:rPr/>
        <w:t>punkt</w:t>
      </w:r>
      <w:r>
        <w:rPr>
          <w:spacing w:val="-18"/>
        </w:rPr>
        <w:t> </w:t>
      </w:r>
      <w:r>
        <w:rPr/>
        <w:t>er</w:t>
      </w:r>
      <w:r>
        <w:rPr>
          <w:spacing w:val="-17"/>
        </w:rPr>
        <w:t> </w:t>
      </w:r>
      <w:r>
        <w:rPr/>
        <w:t>bestemt</w:t>
      </w:r>
      <w:r>
        <w:rPr>
          <w:spacing w:val="-17"/>
        </w:rPr>
        <w:t> </w:t>
      </w:r>
      <w:r>
        <w:rPr/>
        <w:t>ud</w:t>
      </w:r>
      <w:r>
        <w:rPr>
          <w:spacing w:val="-17"/>
        </w:rPr>
        <w:t> </w:t>
      </w:r>
      <w:r>
        <w:rPr/>
        <w:t>fra</w:t>
      </w:r>
      <w:r>
        <w:rPr>
          <w:spacing w:val="-16"/>
        </w:rPr>
        <w:t> </w:t>
      </w:r>
      <w:r>
        <w:rPr/>
        <w:t>den</w:t>
      </w:r>
      <w:r>
        <w:rPr>
          <w:spacing w:val="-17"/>
        </w:rPr>
        <w:t> </w:t>
      </w:r>
      <w:r>
        <w:rPr/>
        <w:t>beregnede</w:t>
      </w:r>
      <w:r>
        <w:rPr>
          <w:spacing w:val="-18"/>
        </w:rPr>
        <w:t> </w:t>
      </w:r>
      <w:r>
        <w:rPr/>
        <w:t>punktmid-</w:t>
      </w:r>
    </w:p>
    <w:p>
      <w:pPr>
        <w:spacing w:after="0" w:line="252" w:lineRule="auto"/>
        <w:jc w:val="both"/>
        <w:sectPr>
          <w:pgSz w:w="11910" w:h="16840"/>
          <w:pgMar w:header="0" w:footer="546" w:top="1060" w:bottom="740" w:left="460" w:right="0"/>
          <w:cols w:num="2" w:equalWidth="0">
            <w:col w:w="5309" w:space="40"/>
            <w:col w:w="6101"/>
          </w:cols>
        </w:sectPr>
      </w:pPr>
    </w:p>
    <w:p>
      <w:pPr>
        <w:pStyle w:val="BodyText"/>
        <w:spacing w:before="10"/>
        <w:rPr>
          <w:sz w:val="20"/>
        </w:rPr>
      </w:pPr>
    </w:p>
    <w:p>
      <w:pPr>
        <w:pStyle w:val="BodyText"/>
        <w:ind w:left="1155"/>
        <w:rPr>
          <w:sz w:val="20"/>
        </w:rPr>
      </w:pPr>
      <w:r>
        <w:rPr>
          <w:sz w:val="20"/>
        </w:rPr>
        <w:drawing>
          <wp:inline distT="0" distB="0" distL="0" distR="0">
            <wp:extent cx="5596127" cy="4197096"/>
            <wp:effectExtent l="0" t="0" r="0" b="0"/>
            <wp:docPr id="25" name="image1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6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6127" cy="4197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1">
            <wp:simplePos x="0" y="0"/>
            <wp:positionH relativeFrom="page">
              <wp:posOffset>1026020</wp:posOffset>
            </wp:positionH>
            <wp:positionV relativeFrom="paragraph">
              <wp:posOffset>161930</wp:posOffset>
            </wp:positionV>
            <wp:extent cx="5462016" cy="3657600"/>
            <wp:effectExtent l="0" t="0" r="0" b="0"/>
            <wp:wrapTopAndBottom/>
            <wp:docPr id="27" name="image1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7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2016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9"/>
        </w:rPr>
      </w:pPr>
    </w:p>
    <w:p>
      <w:pPr>
        <w:spacing w:before="104"/>
        <w:ind w:left="1345" w:right="0" w:firstLine="0"/>
        <w:jc w:val="left"/>
        <w:rPr>
          <w:rFonts w:ascii="Arial" w:hAnsi="Arial"/>
          <w:sz w:val="22"/>
        </w:rPr>
      </w:pPr>
      <w:bookmarkStart w:name="_bookmark19" w:id="28"/>
      <w:bookmarkEnd w:id="28"/>
      <w:r>
        <w:rPr/>
      </w:r>
      <w:r>
        <w:rPr>
          <w:rFonts w:ascii="Arial" w:hAnsi="Arial"/>
          <w:sz w:val="22"/>
        </w:rPr>
        <w:t>Figur 8: Øverst: Motoriseret nivellement under udførelse. Nederst: måling til fikspunkt.</w:t>
      </w:r>
    </w:p>
    <w:p>
      <w:pPr>
        <w:spacing w:after="0"/>
        <w:jc w:val="left"/>
        <w:rPr>
          <w:rFonts w:ascii="Arial" w:hAnsi="Arial"/>
          <w:sz w:val="22"/>
        </w:rPr>
        <w:sectPr>
          <w:pgSz w:w="11910" w:h="16840"/>
          <w:pgMar w:header="0" w:footer="546" w:top="1580" w:bottom="740" w:left="460" w:right="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5"/>
        <w:rPr>
          <w:rFonts w:ascii="Arial"/>
          <w:sz w:val="27"/>
        </w:rPr>
      </w:pPr>
    </w:p>
    <w:p>
      <w:pPr>
        <w:pStyle w:val="BodyText"/>
        <w:ind w:left="1637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4902993" cy="6208204"/>
            <wp:effectExtent l="0" t="0" r="0" b="0"/>
            <wp:docPr id="29" name="image1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8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2993" cy="6208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BodyText"/>
        <w:spacing w:before="8"/>
        <w:rPr>
          <w:rFonts w:ascii="Arial"/>
          <w:sz w:val="6"/>
        </w:rPr>
      </w:pPr>
    </w:p>
    <w:p>
      <w:pPr>
        <w:spacing w:before="104"/>
        <w:ind w:left="2183" w:right="0" w:firstLine="0"/>
        <w:jc w:val="left"/>
        <w:rPr>
          <w:rFonts w:ascii="Arial" w:hAnsi="Arial"/>
          <w:sz w:val="22"/>
        </w:rPr>
      </w:pPr>
      <w:bookmarkStart w:name="_bookmark20" w:id="29"/>
      <w:bookmarkEnd w:id="29"/>
      <w:r>
        <w:rPr/>
      </w:r>
      <w:r>
        <w:rPr>
          <w:rFonts w:ascii="Arial" w:hAnsi="Arial"/>
          <w:sz w:val="22"/>
        </w:rPr>
        <w:t>Figur 9: Oversigt over spildevandsbrønde, hvor der er udført nedstik.</w:t>
      </w:r>
    </w:p>
    <w:p>
      <w:pPr>
        <w:spacing w:after="0"/>
        <w:jc w:val="left"/>
        <w:rPr>
          <w:rFonts w:ascii="Arial" w:hAnsi="Arial"/>
          <w:sz w:val="22"/>
        </w:rPr>
        <w:sectPr>
          <w:pgSz w:w="11910" w:h="16840"/>
          <w:pgMar w:header="0" w:footer="546" w:top="1580" w:bottom="740" w:left="460" w:right="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"/>
        <w:rPr>
          <w:rFonts w:ascii="Arial"/>
          <w:sz w:val="23"/>
        </w:rPr>
      </w:pPr>
    </w:p>
    <w:p>
      <w:pPr>
        <w:pStyle w:val="BodyText"/>
        <w:ind w:left="1637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4828032" cy="6462522"/>
            <wp:effectExtent l="0" t="0" r="0" b="0"/>
            <wp:docPr id="31" name="image1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9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8032" cy="6462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BodyText"/>
        <w:spacing w:before="4"/>
        <w:rPr>
          <w:rFonts w:ascii="Arial"/>
          <w:sz w:val="20"/>
        </w:rPr>
      </w:pPr>
    </w:p>
    <w:p>
      <w:pPr>
        <w:spacing w:before="103"/>
        <w:ind w:left="808" w:right="0" w:firstLine="0"/>
        <w:jc w:val="left"/>
        <w:rPr>
          <w:rFonts w:ascii="Arial" w:hAnsi="Arial"/>
          <w:sz w:val="22"/>
        </w:rPr>
      </w:pPr>
      <w:bookmarkStart w:name="_bookmark21" w:id="30"/>
      <w:bookmarkEnd w:id="30"/>
      <w:r>
        <w:rPr/>
      </w:r>
      <w:r>
        <w:rPr>
          <w:rFonts w:ascii="Arial" w:hAnsi="Arial"/>
          <w:sz w:val="22"/>
        </w:rPr>
        <w:t>Figur 10: Der gøres forøg på at åbne et fastsiddende dæksel med mejselhammer og dækseljern.</w:t>
      </w:r>
    </w:p>
    <w:p>
      <w:pPr>
        <w:spacing w:after="0"/>
        <w:jc w:val="left"/>
        <w:rPr>
          <w:rFonts w:ascii="Arial" w:hAnsi="Arial"/>
          <w:sz w:val="22"/>
        </w:rPr>
        <w:sectPr>
          <w:pgSz w:w="11910" w:h="16840"/>
          <w:pgMar w:header="0" w:footer="546" w:top="1580" w:bottom="740" w:left="460" w:right="0"/>
        </w:sectPr>
      </w:pPr>
    </w:p>
    <w:p>
      <w:pPr>
        <w:spacing w:line="268" w:lineRule="auto" w:before="92"/>
        <w:ind w:left="673" w:right="0" w:firstLine="0"/>
        <w:jc w:val="both"/>
        <w:rPr>
          <w:rFonts w:ascii="Arial" w:hAnsi="Arial"/>
          <w:sz w:val="18"/>
        </w:rPr>
      </w:pPr>
      <w:bookmarkStart w:name="_bookmark22" w:id="31"/>
      <w:bookmarkEnd w:id="31"/>
      <w:r>
        <w:rPr/>
      </w:r>
      <w:r>
        <w:rPr>
          <w:rFonts w:ascii="Arial" w:hAnsi="Arial"/>
          <w:spacing w:val="-6"/>
          <w:sz w:val="22"/>
        </w:rPr>
        <w:t>Tabel </w:t>
      </w:r>
      <w:r>
        <w:rPr>
          <w:rFonts w:ascii="Arial" w:hAnsi="Arial"/>
          <w:sz w:val="22"/>
        </w:rPr>
        <w:t>2: </w:t>
      </w:r>
      <w:r>
        <w:rPr>
          <w:rFonts w:ascii="Arial" w:hAnsi="Arial"/>
          <w:sz w:val="18"/>
        </w:rPr>
        <w:t>Resultatet af den foreløbige beregning til </w:t>
      </w:r>
      <w:r>
        <w:rPr>
          <w:rFonts w:ascii="Arial" w:hAnsi="Arial"/>
          <w:spacing w:val="-4"/>
          <w:sz w:val="18"/>
        </w:rPr>
        <w:t>Ho-  </w:t>
      </w:r>
      <w:r>
        <w:rPr>
          <w:rFonts w:ascii="Arial" w:hAnsi="Arial"/>
          <w:spacing w:val="-3"/>
          <w:sz w:val="18"/>
        </w:rPr>
        <w:t>ve </w:t>
      </w:r>
      <w:r>
        <w:rPr>
          <w:rFonts w:ascii="Arial" w:hAnsi="Arial"/>
          <w:sz w:val="18"/>
        </w:rPr>
        <w:t>Kirke (125-06-9026) med Vestervig Kirke (72-12-9021) fastholdt med </w:t>
      </w:r>
      <w:r>
        <w:rPr>
          <w:rFonts w:ascii="Arial" w:hAnsi="Arial"/>
          <w:spacing w:val="-3"/>
          <w:sz w:val="18"/>
        </w:rPr>
        <w:t>DVR90 </w:t>
      </w:r>
      <w:r>
        <w:rPr>
          <w:rFonts w:ascii="Arial" w:hAnsi="Arial"/>
          <w:sz w:val="18"/>
        </w:rPr>
        <w:t>koten 28,684</w:t>
      </w:r>
      <w:r>
        <w:rPr>
          <w:rFonts w:ascii="Arial" w:hAnsi="Arial"/>
          <w:spacing w:val="8"/>
          <w:sz w:val="18"/>
        </w:rPr>
        <w:t> </w:t>
      </w:r>
      <w:r>
        <w:rPr>
          <w:rFonts w:ascii="Arial" w:hAnsi="Arial"/>
          <w:sz w:val="18"/>
        </w:rPr>
        <w:t>m.</w:t>
      </w:r>
    </w:p>
    <w:p>
      <w:pPr>
        <w:pStyle w:val="BodyText"/>
        <w:spacing w:before="8"/>
        <w:rPr>
          <w:rFonts w:ascii="Arial"/>
          <w:sz w:val="14"/>
        </w:rPr>
      </w:pPr>
      <w:r>
        <w:rPr/>
        <w:pict>
          <v:line style="position:absolute;mso-position-horizontal-relative:page;mso-position-vertical-relative:paragraph;z-index:-736;mso-wrap-distance-left:0;mso-wrap-distance-right:0" from="70.232002pt,10.625172pt" to="274.865002pt,10.625172pt" stroked="true" strokeweight=".398pt" strokecolor="#000000">
            <v:stroke dashstyle="solid"/>
            <w10:wrap type="topAndBottom"/>
          </v:line>
        </w:pict>
      </w:r>
    </w:p>
    <w:p>
      <w:pPr>
        <w:tabs>
          <w:tab w:pos="1932" w:val="left" w:leader="none"/>
          <w:tab w:pos="3092" w:val="left" w:leader="none"/>
          <w:tab w:pos="3327" w:val="left" w:leader="none"/>
          <w:tab w:pos="4035" w:val="left" w:leader="none"/>
          <w:tab w:pos="4459" w:val="left" w:leader="none"/>
        </w:tabs>
        <w:spacing w:line="278" w:lineRule="auto" w:before="0"/>
        <w:ind w:left="1780" w:right="388" w:hanging="717"/>
        <w:jc w:val="left"/>
        <w:rPr>
          <w:rFonts w:ascii="Arial" w:hAnsi="Arial"/>
          <w:sz w:val="18"/>
        </w:rPr>
      </w:pPr>
      <w:r>
        <w:rPr>
          <w:rFonts w:ascii="Arial" w:hAnsi="Arial"/>
          <w:sz w:val="18"/>
        </w:rPr>
        <w:t>År</w:t>
        <w:tab/>
        <w:tab/>
        <w:t>Difference</w:t>
      </w:r>
      <w:r>
        <w:rPr>
          <w:rFonts w:ascii="Arial" w:hAnsi="Arial"/>
          <w:spacing w:val="3"/>
          <w:sz w:val="18"/>
        </w:rPr>
        <w:t> </w:t>
      </w:r>
      <w:r>
        <w:rPr>
          <w:rFonts w:ascii="Arial" w:hAnsi="Arial"/>
          <w:sz w:val="18"/>
        </w:rPr>
        <w:t>i</w:t>
        <w:tab/>
        <w:tab/>
        <w:t>Land-</w:t>
        <w:tab/>
        <w:tab/>
      </w:r>
      <w:r>
        <w:rPr>
          <w:rFonts w:ascii="Arial" w:hAnsi="Arial"/>
          <w:spacing w:val="-4"/>
          <w:sz w:val="18"/>
        </w:rPr>
        <w:t>Måle- </w:t>
      </w:r>
      <w:r>
        <w:rPr>
          <w:rFonts w:ascii="Arial" w:hAnsi="Arial"/>
          <w:spacing w:val="-3"/>
          <w:sz w:val="18"/>
        </w:rPr>
        <w:t>DVR90</w:t>
      </w:r>
      <w:r>
        <w:rPr>
          <w:rFonts w:ascii="Arial" w:hAnsi="Arial"/>
          <w:spacing w:val="14"/>
          <w:sz w:val="18"/>
        </w:rPr>
        <w:t> </w:t>
      </w:r>
      <w:r>
        <w:rPr>
          <w:rFonts w:ascii="Arial" w:hAnsi="Arial"/>
          <w:sz w:val="18"/>
        </w:rPr>
        <w:t>koten</w:t>
        <w:tab/>
        <w:t>hævning</w:t>
        <w:tab/>
      </w:r>
      <w:r>
        <w:rPr>
          <w:rFonts w:ascii="Arial" w:hAnsi="Arial"/>
          <w:spacing w:val="-3"/>
          <w:sz w:val="18"/>
        </w:rPr>
        <w:t>usikkerhed</w:t>
      </w:r>
    </w:p>
    <w:p>
      <w:pPr>
        <w:tabs>
          <w:tab w:pos="1710" w:val="left" w:leader="none"/>
          <w:tab w:pos="5037" w:val="left" w:leader="none"/>
        </w:tabs>
        <w:spacing w:line="205" w:lineRule="exact" w:before="0"/>
        <w:ind w:left="944" w:right="0" w:firstLine="0"/>
        <w:jc w:val="left"/>
        <w:rPr>
          <w:rFonts w:ascii="Arial" w:hAnsi="Arial"/>
          <w:sz w:val="18"/>
        </w:rPr>
      </w:pPr>
      <w:r>
        <w:rPr>
          <w:w w:val="101"/>
          <w:sz w:val="18"/>
          <w:u w:val="single"/>
        </w:rPr>
        <w:t> </w:t>
      </w:r>
      <w:r>
        <w:rPr>
          <w:sz w:val="18"/>
          <w:u w:val="single"/>
        </w:rPr>
        <w:tab/>
      </w:r>
      <w:r>
        <w:rPr>
          <w:rFonts w:ascii="Arial" w:hAnsi="Arial"/>
          <w:sz w:val="18"/>
          <w:u w:val="single"/>
        </w:rPr>
        <w:t>på Hove</w:t>
      </w:r>
      <w:r>
        <w:rPr>
          <w:rFonts w:ascii="Arial" w:hAnsi="Arial"/>
          <w:spacing w:val="8"/>
          <w:sz w:val="18"/>
          <w:u w:val="single"/>
        </w:rPr>
        <w:t> </w:t>
      </w:r>
      <w:r>
        <w:rPr>
          <w:rFonts w:ascii="Arial" w:hAnsi="Arial"/>
          <w:sz w:val="18"/>
          <w:u w:val="single"/>
        </w:rPr>
        <w:t>Kirke</w:t>
        <w:tab/>
      </w:r>
    </w:p>
    <w:p>
      <w:pPr>
        <w:pStyle w:val="BodyText"/>
        <w:spacing w:before="11"/>
        <w:rPr>
          <w:rFonts w:ascii="Arial"/>
          <w:sz w:val="2"/>
        </w:rPr>
      </w:pPr>
    </w:p>
    <w:tbl>
      <w:tblPr>
        <w:tblW w:w="0" w:type="auto"/>
        <w:jc w:val="left"/>
        <w:tblInd w:w="95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08"/>
        <w:gridCol w:w="1188"/>
        <w:gridCol w:w="928"/>
        <w:gridCol w:w="1071"/>
      </w:tblGrid>
      <w:tr>
        <w:trPr>
          <w:trHeight w:val="233" w:hRule="atLeast"/>
        </w:trPr>
        <w:tc>
          <w:tcPr>
            <w:tcW w:w="908" w:type="dxa"/>
          </w:tcPr>
          <w:p>
            <w:pPr>
              <w:pStyle w:val="TableParagraph"/>
              <w:spacing w:line="240" w:lineRule="auto" w:before="6"/>
              <w:ind w:left="119"/>
              <w:jc w:val="left"/>
              <w:rPr>
                <w:rFonts w:ascii="Arial"/>
                <w:sz w:val="18"/>
              </w:rPr>
            </w:pPr>
            <w:r>
              <w:rPr>
                <w:rFonts w:ascii="Arial"/>
                <w:sz w:val="18"/>
              </w:rPr>
              <w:t>2006</w:t>
            </w:r>
          </w:p>
        </w:tc>
        <w:tc>
          <w:tcPr>
            <w:tcW w:w="1188" w:type="dxa"/>
          </w:tcPr>
          <w:p>
            <w:pPr>
              <w:pStyle w:val="TableParagraph"/>
              <w:spacing w:line="240" w:lineRule="auto" w:before="6"/>
              <w:ind w:right="184"/>
              <w:rPr>
                <w:rFonts w:ascii="Arial"/>
                <w:sz w:val="18"/>
              </w:rPr>
            </w:pPr>
            <w:r>
              <w:rPr>
                <w:rFonts w:ascii="Arial"/>
                <w:sz w:val="18"/>
              </w:rPr>
              <w:t>0 mm</w:t>
            </w:r>
          </w:p>
        </w:tc>
        <w:tc>
          <w:tcPr>
            <w:tcW w:w="928" w:type="dxa"/>
          </w:tcPr>
          <w:p>
            <w:pPr>
              <w:pStyle w:val="TableParagraph"/>
              <w:spacing w:line="240" w:lineRule="auto" w:before="6"/>
              <w:ind w:left="169" w:right="157"/>
              <w:jc w:val="center"/>
              <w:rPr>
                <w:rFonts w:ascii="Arial"/>
                <w:sz w:val="18"/>
              </w:rPr>
            </w:pPr>
            <w:r>
              <w:rPr>
                <w:rFonts w:ascii="Arial"/>
                <w:sz w:val="18"/>
              </w:rPr>
              <w:t>- 3 mm</w:t>
            </w:r>
          </w:p>
        </w:tc>
        <w:tc>
          <w:tcPr>
            <w:tcW w:w="1071" w:type="dxa"/>
          </w:tcPr>
          <w:p>
            <w:pPr>
              <w:pStyle w:val="TableParagraph"/>
              <w:spacing w:line="240" w:lineRule="auto" w:before="6"/>
              <w:ind w:left="156" w:right="108"/>
              <w:jc w:val="center"/>
              <w:rPr>
                <w:rFonts w:ascii="Arial"/>
                <w:sz w:val="18"/>
              </w:rPr>
            </w:pPr>
            <w:r>
              <w:rPr>
                <w:rFonts w:ascii="Arial"/>
                <w:sz w:val="18"/>
              </w:rPr>
              <w:t>+/-11 mm</w:t>
            </w:r>
          </w:p>
        </w:tc>
      </w:tr>
      <w:tr>
        <w:trPr>
          <w:trHeight w:val="239" w:hRule="atLeast"/>
        </w:trPr>
        <w:tc>
          <w:tcPr>
            <w:tcW w:w="908" w:type="dxa"/>
          </w:tcPr>
          <w:p>
            <w:pPr>
              <w:pStyle w:val="TableParagraph"/>
              <w:spacing w:line="240" w:lineRule="auto" w:before="12"/>
              <w:ind w:left="119"/>
              <w:jc w:val="left"/>
              <w:rPr>
                <w:rFonts w:ascii="Arial"/>
                <w:sz w:val="18"/>
              </w:rPr>
            </w:pPr>
            <w:r>
              <w:rPr>
                <w:rFonts w:ascii="Arial"/>
                <w:sz w:val="18"/>
              </w:rPr>
              <w:t>2009</w:t>
            </w:r>
          </w:p>
        </w:tc>
        <w:tc>
          <w:tcPr>
            <w:tcW w:w="1188" w:type="dxa"/>
          </w:tcPr>
          <w:p>
            <w:pPr>
              <w:pStyle w:val="TableParagraph"/>
              <w:spacing w:line="240" w:lineRule="auto" w:before="12"/>
              <w:ind w:right="184"/>
              <w:rPr>
                <w:rFonts w:ascii="Arial"/>
                <w:sz w:val="18"/>
              </w:rPr>
            </w:pPr>
            <w:r>
              <w:rPr>
                <w:rFonts w:ascii="Arial"/>
                <w:sz w:val="18"/>
              </w:rPr>
              <w:t>-5 mm</w:t>
            </w:r>
          </w:p>
        </w:tc>
        <w:tc>
          <w:tcPr>
            <w:tcW w:w="928" w:type="dxa"/>
          </w:tcPr>
          <w:p>
            <w:pPr>
              <w:pStyle w:val="TableParagraph"/>
              <w:spacing w:line="240" w:lineRule="auto" w:before="12"/>
              <w:ind w:left="170" w:right="107"/>
              <w:jc w:val="center"/>
              <w:rPr>
                <w:rFonts w:ascii="Arial"/>
                <w:sz w:val="18"/>
              </w:rPr>
            </w:pPr>
            <w:r>
              <w:rPr>
                <w:rFonts w:ascii="Arial"/>
                <w:sz w:val="18"/>
              </w:rPr>
              <w:t>-4 mm</w:t>
            </w:r>
          </w:p>
        </w:tc>
        <w:tc>
          <w:tcPr>
            <w:tcW w:w="1071" w:type="dxa"/>
          </w:tcPr>
          <w:p>
            <w:pPr>
              <w:pStyle w:val="TableParagraph"/>
              <w:spacing w:line="240" w:lineRule="auto" w:before="12"/>
              <w:ind w:left="156" w:right="108"/>
              <w:jc w:val="center"/>
              <w:rPr>
                <w:rFonts w:ascii="Arial"/>
                <w:sz w:val="18"/>
              </w:rPr>
            </w:pPr>
            <w:r>
              <w:rPr>
                <w:rFonts w:ascii="Arial"/>
                <w:sz w:val="18"/>
              </w:rPr>
              <w:t>+/-08 mm</w:t>
            </w:r>
          </w:p>
        </w:tc>
      </w:tr>
      <w:tr>
        <w:trPr>
          <w:trHeight w:val="251" w:hRule="atLeast"/>
        </w:trPr>
        <w:tc>
          <w:tcPr>
            <w:tcW w:w="90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40" w:lineRule="auto" w:before="12"/>
              <w:ind w:left="119"/>
              <w:jc w:val="left"/>
              <w:rPr>
                <w:rFonts w:ascii="Arial"/>
                <w:sz w:val="18"/>
              </w:rPr>
            </w:pPr>
            <w:r>
              <w:rPr>
                <w:rFonts w:ascii="Arial"/>
                <w:sz w:val="18"/>
              </w:rPr>
              <w:t>2012</w:t>
            </w:r>
          </w:p>
        </w:tc>
        <w:tc>
          <w:tcPr>
            <w:tcW w:w="118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40" w:lineRule="auto" w:before="12"/>
              <w:ind w:right="184"/>
              <w:rPr>
                <w:rFonts w:ascii="Arial"/>
                <w:sz w:val="18"/>
              </w:rPr>
            </w:pPr>
            <w:r>
              <w:rPr>
                <w:rFonts w:ascii="Arial"/>
                <w:sz w:val="18"/>
              </w:rPr>
              <w:t>-14 mm</w:t>
            </w:r>
          </w:p>
        </w:tc>
        <w:tc>
          <w:tcPr>
            <w:tcW w:w="92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40" w:lineRule="auto" w:before="12"/>
              <w:ind w:left="170" w:right="107"/>
              <w:jc w:val="center"/>
              <w:rPr>
                <w:rFonts w:ascii="Arial"/>
                <w:sz w:val="18"/>
              </w:rPr>
            </w:pPr>
            <w:r>
              <w:rPr>
                <w:rFonts w:ascii="Arial"/>
                <w:sz w:val="18"/>
              </w:rPr>
              <w:t>-5 mm</w:t>
            </w:r>
          </w:p>
        </w:tc>
        <w:tc>
          <w:tcPr>
            <w:tcW w:w="1071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40" w:lineRule="auto" w:before="12"/>
              <w:ind w:left="156" w:right="108"/>
              <w:jc w:val="center"/>
              <w:rPr>
                <w:rFonts w:ascii="Arial"/>
                <w:sz w:val="18"/>
              </w:rPr>
            </w:pPr>
            <w:r>
              <w:rPr>
                <w:rFonts w:ascii="Arial"/>
                <w:sz w:val="18"/>
              </w:rPr>
              <w:t>+/-10 mm</w:t>
            </w:r>
          </w:p>
        </w:tc>
      </w:tr>
    </w:tbl>
    <w:p>
      <w:pPr>
        <w:pStyle w:val="BodyText"/>
        <w:rPr>
          <w:rFonts w:ascii="Arial"/>
          <w:sz w:val="22"/>
        </w:rPr>
      </w:pPr>
    </w:p>
    <w:p>
      <w:pPr>
        <w:pStyle w:val="BodyText"/>
        <w:spacing w:line="252" w:lineRule="auto" w:before="138"/>
        <w:ind w:left="673"/>
        <w:jc w:val="both"/>
      </w:pPr>
      <w:r>
        <w:rPr/>
        <w:pict>
          <v:shape style="position:absolute;margin-left:90.274002pt;margin-top:8.837831pt;width:9.3pt;height:20.75pt;mso-position-horizontal-relative:page;mso-position-vertical-relative:paragraph;z-index:-85432" type="#_x0000_t202" filled="false" stroked="false">
            <v:textbox inset="0,0,0,0">
              <w:txbxContent>
                <w:p>
                  <w:pPr>
                    <w:spacing w:line="236" w:lineRule="exact" w:before="0"/>
                    <w:ind w:left="0" w:right="0" w:firstLine="0"/>
                    <w:jc w:val="left"/>
                    <w:rPr>
                      <w:rFonts w:ascii="Verdana" w:hAnsi="Verdana"/>
                      <w:i/>
                      <w:sz w:val="24"/>
                    </w:rPr>
                  </w:pPr>
                  <w:r>
                    <w:rPr>
                      <w:rFonts w:ascii="Verdana" w:hAnsi="Verdana"/>
                      <w:i/>
                      <w:w w:val="94"/>
                      <w:sz w:val="24"/>
                    </w:rPr>
                    <w:t>×</w:t>
                  </w:r>
                </w:p>
              </w:txbxContent>
            </v:textbox>
            <w10:wrap type="none"/>
          </v:shape>
        </w:pict>
      </w:r>
      <w:r>
        <w:rPr/>
        <w:t>delfejl 3 (R99). Landhævningen er ændringen fra</w:t>
      </w:r>
      <w:r>
        <w:rPr>
          <w:spacing w:val="-15"/>
        </w:rPr>
        <w:t> </w:t>
      </w:r>
      <w:r>
        <w:rPr>
          <w:spacing w:val="-3"/>
        </w:rPr>
        <w:t>Vestervig</w:t>
      </w:r>
      <w:r>
        <w:rPr>
          <w:spacing w:val="-15"/>
        </w:rPr>
        <w:t> </w:t>
      </w:r>
      <w:r>
        <w:rPr/>
        <w:t>Kirke</w:t>
      </w:r>
      <w:r>
        <w:rPr>
          <w:spacing w:val="-15"/>
        </w:rPr>
        <w:t> </w:t>
      </w:r>
      <w:r>
        <w:rPr/>
        <w:t>til</w:t>
      </w:r>
      <w:r>
        <w:rPr>
          <w:spacing w:val="-15"/>
        </w:rPr>
        <w:t> </w:t>
      </w:r>
      <w:r>
        <w:rPr/>
        <w:t>Hove</w:t>
      </w:r>
      <w:r>
        <w:rPr>
          <w:spacing w:val="-15"/>
        </w:rPr>
        <w:t> </w:t>
      </w:r>
      <w:r>
        <w:rPr/>
        <w:t>Kirke</w:t>
      </w:r>
      <w:r>
        <w:rPr>
          <w:spacing w:val="-14"/>
        </w:rPr>
        <w:t> </w:t>
      </w:r>
      <w:r>
        <w:rPr/>
        <w:t>fra</w:t>
      </w:r>
      <w:r>
        <w:rPr>
          <w:spacing w:val="-15"/>
        </w:rPr>
        <w:t> </w:t>
      </w:r>
      <w:r>
        <w:rPr/>
        <w:t>1990</w:t>
      </w:r>
      <w:r>
        <w:rPr>
          <w:spacing w:val="-15"/>
        </w:rPr>
        <w:t> </w:t>
      </w:r>
      <w:r>
        <w:rPr/>
        <w:t>til</w:t>
      </w:r>
      <w:r>
        <w:rPr>
          <w:spacing w:val="-15"/>
        </w:rPr>
        <w:t> </w:t>
      </w:r>
      <w:r>
        <w:rPr>
          <w:spacing w:val="-5"/>
        </w:rPr>
        <w:t>det </w:t>
      </w:r>
      <w:r>
        <w:rPr/>
        <w:t>pågældende års måling. Alle 3 årgange af </w:t>
      </w:r>
      <w:r>
        <w:rPr>
          <w:spacing w:val="-5"/>
        </w:rPr>
        <w:t>nivel- </w:t>
      </w:r>
      <w:r>
        <w:rPr/>
        <w:t>lementer er indenfor det fastsatte </w:t>
      </w:r>
      <w:r>
        <w:rPr>
          <w:spacing w:val="-4"/>
        </w:rPr>
        <w:t>kvalitetskrav,</w:t>
      </w:r>
      <w:r>
        <w:rPr>
          <w:spacing w:val="52"/>
        </w:rPr>
        <w:t> </w:t>
      </w:r>
      <w:r>
        <w:rPr/>
        <w:t>og derfor er begge punkter fastholdt i den </w:t>
      </w:r>
      <w:r>
        <w:rPr>
          <w:spacing w:val="-3"/>
        </w:rPr>
        <w:t>ende- </w:t>
      </w:r>
      <w:r>
        <w:rPr/>
        <w:t>lige beregning gengivet i tabel</w:t>
      </w:r>
      <w:r>
        <w:rPr>
          <w:spacing w:val="-9"/>
        </w:rPr>
        <w:t> </w:t>
      </w:r>
      <w:hyperlink w:history="true" w:anchor="_bookmark23">
        <w:r>
          <w:rPr>
            <w:color w:val="FF0000"/>
          </w:rPr>
          <w:t>3</w:t>
        </w:r>
      </w:hyperlink>
      <w:r>
        <w:rPr/>
        <w:t>.</w:t>
      </w:r>
    </w:p>
    <w:p>
      <w:pPr>
        <w:pStyle w:val="BodyText"/>
        <w:spacing w:line="249" w:lineRule="auto"/>
        <w:ind w:left="673" w:firstLine="234"/>
        <w:jc w:val="both"/>
      </w:pPr>
      <w:r>
        <w:rPr/>
        <w:t>Punktet 72-01-9064 er beliggende midt i</w:t>
      </w:r>
      <w:r>
        <w:rPr>
          <w:spacing w:val="-24"/>
        </w:rPr>
        <w:t> </w:t>
      </w:r>
      <w:r>
        <w:rPr>
          <w:spacing w:val="-5"/>
        </w:rPr>
        <w:t>Thy- </w:t>
      </w:r>
      <w:r>
        <w:rPr/>
        <w:t>borøn By og den beregnede punktmiddelfejl </w:t>
      </w:r>
      <w:r>
        <w:rPr>
          <w:spacing w:val="-7"/>
        </w:rPr>
        <w:t>er </w:t>
      </w:r>
      <w:r>
        <w:rPr/>
        <w:t>en omtrentlig middelværdi for alle punkterne </w:t>
      </w:r>
      <w:r>
        <w:rPr>
          <w:spacing w:val="-15"/>
        </w:rPr>
        <w:t>i </w:t>
      </w:r>
      <w:r>
        <w:rPr/>
        <w:t>Thyborøn. Et udtryk for kote usikkerheden </w:t>
      </w:r>
      <w:r>
        <w:rPr>
          <w:spacing w:val="-7"/>
        </w:rPr>
        <w:t>på </w:t>
      </w:r>
      <w:r>
        <w:rPr/>
        <w:t>72-01-9064 i forhold til de fastholdte punkter </w:t>
      </w:r>
      <w:r>
        <w:rPr>
          <w:spacing w:val="-7"/>
        </w:rPr>
        <w:t>på </w:t>
      </w:r>
      <w:r>
        <w:rPr>
          <w:spacing w:val="-3"/>
        </w:rPr>
        <w:t>Vestervig </w:t>
      </w:r>
      <w:r>
        <w:rPr/>
        <w:t>Kirke og Hove Kirke er </w:t>
      </w:r>
      <w:r>
        <w:rPr>
          <w:spacing w:val="-2"/>
        </w:rPr>
        <w:t>punktmiddel- </w:t>
      </w:r>
      <w:r>
        <w:rPr/>
        <w:t>fejlen</w:t>
      </w:r>
      <w:bookmarkStart w:name="_bookmark23" w:id="32"/>
      <w:bookmarkEnd w:id="32"/>
      <w:r>
        <w:rPr/>
      </w:r>
      <w:r>
        <w:rPr/>
        <w:t> </w:t>
      </w:r>
      <w:r>
        <w:rPr>
          <w:rFonts w:ascii="Verdana" w:hAnsi="Verdana"/>
          <w:i/>
        </w:rPr>
        <w:t>×</w:t>
      </w:r>
      <w:r>
        <w:rPr>
          <w:rFonts w:ascii="Verdana" w:hAnsi="Verdana"/>
          <w:i/>
          <w:spacing w:val="-48"/>
        </w:rPr>
        <w:t> </w:t>
      </w:r>
      <w:r>
        <w:rPr/>
        <w:t>2 (R95) svarende til ca. +/- 3 mm.</w:t>
      </w:r>
    </w:p>
    <w:p>
      <w:pPr>
        <w:tabs>
          <w:tab w:pos="1819" w:val="left" w:leader="none"/>
          <w:tab w:pos="2868" w:val="left" w:leader="none"/>
        </w:tabs>
        <w:spacing w:line="440" w:lineRule="atLeast" w:before="47"/>
        <w:ind w:left="1052" w:right="377" w:firstLine="0"/>
        <w:jc w:val="center"/>
        <w:rPr>
          <w:rFonts w:ascii="Arial" w:hAnsi="Arial"/>
          <w:sz w:val="18"/>
        </w:rPr>
      </w:pPr>
      <w:r>
        <w:rPr/>
        <w:pict>
          <v:line style="position:absolute;mso-position-horizontal-relative:page;mso-position-vertical-relative:paragraph;z-index:-85456" from="78.274002pt,35.766933pt" to="266.823002pt,35.766933pt" stroked="true" strokeweight=".398pt" strokecolor="#000000">
            <v:stroke dashstyle="solid"/>
            <w10:wrap type="none"/>
          </v:line>
        </w:pict>
      </w:r>
      <w:r>
        <w:rPr/>
        <w:pict>
          <v:shape style="position:absolute;margin-left:137.460999pt;margin-top:41.182919pt;width:5.05pt;height:17.3pt;mso-position-horizontal-relative:page;mso-position-vertical-relative:paragraph;z-index:-85408" type="#_x0000_t202" filled="false" stroked="false">
            <v:textbox inset="0,0,0,0">
              <w:txbxContent>
                <w:p>
                  <w:pPr>
                    <w:spacing w:line="196" w:lineRule="exact" w:before="0"/>
                    <w:ind w:left="0" w:right="0" w:firstLine="0"/>
                    <w:jc w:val="left"/>
                    <w:rPr>
                      <w:rFonts w:ascii="Verdana" w:hAnsi="Verdana"/>
                      <w:i/>
                      <w:sz w:val="20"/>
                    </w:rPr>
                  </w:pPr>
                  <w:r>
                    <w:rPr>
                      <w:rFonts w:ascii="Verdana" w:hAnsi="Verdana"/>
                      <w:i/>
                      <w:spacing w:val="-66"/>
                      <w:w w:val="101"/>
                      <w:sz w:val="20"/>
                    </w:rPr>
                    <w:t>√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spacing w:val="-6"/>
          <w:sz w:val="22"/>
        </w:rPr>
        <w:t>Tabel </w:t>
      </w:r>
      <w:r>
        <w:rPr>
          <w:rFonts w:ascii="Arial" w:hAnsi="Arial"/>
          <w:sz w:val="22"/>
        </w:rPr>
        <w:t>3: </w:t>
      </w:r>
      <w:r>
        <w:rPr>
          <w:rFonts w:ascii="Arial" w:hAnsi="Arial"/>
          <w:sz w:val="18"/>
        </w:rPr>
        <w:t>Resultatet af den endelige beregning. År</w:t>
        <w:tab/>
        <w:t>Midde</w:t>
      </w:r>
      <w:r>
        <w:rPr>
          <w:rFonts w:ascii="Arial" w:hAnsi="Arial"/>
          <w:sz w:val="18"/>
          <w:u w:val="single"/>
        </w:rPr>
        <w:t>lfe</w:t>
      </w:r>
      <w:r>
        <w:rPr>
          <w:rFonts w:ascii="Arial" w:hAnsi="Arial"/>
          <w:sz w:val="18"/>
        </w:rPr>
        <w:t>jl</w:t>
        <w:tab/>
        <w:t>Punktmiddelfejl</w:t>
      </w:r>
      <w:r>
        <w:rPr>
          <w:rFonts w:ascii="Arial" w:hAnsi="Arial"/>
          <w:spacing w:val="5"/>
          <w:sz w:val="18"/>
        </w:rPr>
        <w:t> </w:t>
      </w:r>
      <w:r>
        <w:rPr>
          <w:rFonts w:ascii="Arial" w:hAnsi="Arial"/>
          <w:sz w:val="18"/>
        </w:rPr>
        <w:t>(mm)</w:t>
      </w:r>
    </w:p>
    <w:p>
      <w:pPr>
        <w:tabs>
          <w:tab w:pos="2999" w:val="left" w:leader="none"/>
        </w:tabs>
        <w:spacing w:before="48"/>
        <w:ind w:left="1871" w:right="0" w:firstLine="0"/>
        <w:jc w:val="left"/>
        <w:rPr>
          <w:rFonts w:ascii="Arial" w:hAnsi="Arial"/>
          <w:sz w:val="18"/>
        </w:rPr>
      </w:pPr>
      <w:r>
        <w:rPr>
          <w:rFonts w:ascii="Arial" w:hAnsi="Arial"/>
          <w:sz w:val="18"/>
        </w:rPr>
        <w:t>(mm/  </w:t>
      </w:r>
      <w:r>
        <w:rPr>
          <w:rFonts w:ascii="Arial" w:hAnsi="Arial"/>
          <w:spacing w:val="23"/>
          <w:sz w:val="18"/>
        </w:rPr>
        <w:t> </w:t>
      </w:r>
      <w:r>
        <w:rPr>
          <w:rFonts w:ascii="Arial" w:hAnsi="Arial"/>
          <w:sz w:val="18"/>
        </w:rPr>
        <w:t>km)</w:t>
        <w:tab/>
        <w:t>72-01-9064</w:t>
      </w:r>
      <w:r>
        <w:rPr>
          <w:rFonts w:ascii="Arial" w:hAnsi="Arial"/>
          <w:spacing w:val="37"/>
          <w:sz w:val="18"/>
        </w:rPr>
        <w:t> </w:t>
      </w:r>
      <w:r>
        <w:rPr>
          <w:rFonts w:ascii="Arial" w:hAnsi="Arial"/>
          <w:spacing w:val="-3"/>
          <w:sz w:val="18"/>
        </w:rPr>
        <w:t>Thyborøn</w:t>
      </w:r>
    </w:p>
    <w:p>
      <w:pPr>
        <w:pStyle w:val="BodyText"/>
        <w:spacing w:line="252" w:lineRule="auto" w:before="111"/>
        <w:ind w:left="329" w:right="1131"/>
        <w:jc w:val="both"/>
      </w:pPr>
      <w:r>
        <w:rPr/>
        <w:br w:type="column"/>
      </w:r>
      <w:r>
        <w:rPr/>
        <w:t>lokale vertikale nøjagtighed af terrænmodellen fra</w:t>
      </w:r>
      <w:r>
        <w:rPr>
          <w:spacing w:val="-19"/>
        </w:rPr>
        <w:t> </w:t>
      </w:r>
      <w:r>
        <w:rPr/>
        <w:t>Danmarks</w:t>
      </w:r>
      <w:r>
        <w:rPr>
          <w:spacing w:val="-19"/>
        </w:rPr>
        <w:t> </w:t>
      </w:r>
      <w:r>
        <w:rPr/>
        <w:t>Højdemodel</w:t>
      </w:r>
      <w:r>
        <w:rPr>
          <w:spacing w:val="-19"/>
        </w:rPr>
        <w:t> </w:t>
      </w:r>
      <w:r>
        <w:rPr/>
        <w:t>(DHM/Terræn),</w:t>
      </w:r>
      <w:r>
        <w:rPr>
          <w:spacing w:val="-18"/>
        </w:rPr>
        <w:t> </w:t>
      </w:r>
      <w:r>
        <w:rPr/>
        <w:t>jf</w:t>
      </w:r>
      <w:r>
        <w:rPr>
          <w:spacing w:val="-19"/>
        </w:rPr>
        <w:t> </w:t>
      </w:r>
      <w:r>
        <w:rPr>
          <w:spacing w:val="-6"/>
        </w:rPr>
        <w:t>ne- </w:t>
      </w:r>
      <w:r>
        <w:rPr/>
        <w:t>denfor. I alt 349 af de 750 kloakdæksler var </w:t>
      </w:r>
      <w:r>
        <w:rPr>
          <w:spacing w:val="-4"/>
        </w:rPr>
        <w:t>pla- </w:t>
      </w:r>
      <w:r>
        <w:rPr/>
        <w:t>ceret i</w:t>
      </w:r>
      <w:r>
        <w:rPr>
          <w:spacing w:val="-3"/>
        </w:rPr>
        <w:t> </w:t>
      </w:r>
      <w:r>
        <w:rPr/>
        <w:t>vej.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Målingerne</w:t>
      </w:r>
      <w:r>
        <w:rPr>
          <w:spacing w:val="-10"/>
        </w:rPr>
        <w:t> </w:t>
      </w:r>
      <w:r>
        <w:rPr/>
        <w:t>er</w:t>
      </w:r>
      <w:r>
        <w:rPr>
          <w:spacing w:val="-10"/>
        </w:rPr>
        <w:t> </w:t>
      </w:r>
      <w:r>
        <w:rPr/>
        <w:t>gennemført</w:t>
      </w:r>
      <w:r>
        <w:rPr>
          <w:spacing w:val="-9"/>
        </w:rPr>
        <w:t> </w:t>
      </w:r>
      <w:r>
        <w:rPr/>
        <w:t>med</w:t>
      </w:r>
      <w:r>
        <w:rPr>
          <w:spacing w:val="-10"/>
        </w:rPr>
        <w:t> </w:t>
      </w:r>
      <w:r>
        <w:rPr/>
        <w:t>DINI</w:t>
      </w:r>
      <w:r>
        <w:rPr>
          <w:spacing w:val="-9"/>
        </w:rPr>
        <w:t> </w:t>
      </w:r>
      <w:r>
        <w:rPr/>
        <w:t>22</w:t>
      </w:r>
      <w:r>
        <w:rPr>
          <w:spacing w:val="-10"/>
        </w:rPr>
        <w:t> </w:t>
      </w:r>
      <w:r>
        <w:rPr>
          <w:spacing w:val="-4"/>
        </w:rPr>
        <w:t>streg- </w:t>
      </w:r>
      <w:r>
        <w:rPr/>
        <w:t>kodeinstrument med automatisk aflæsning </w:t>
      </w:r>
      <w:r>
        <w:rPr>
          <w:spacing w:val="-7"/>
        </w:rPr>
        <w:t>på </w:t>
      </w:r>
      <w:r>
        <w:rPr/>
        <w:t>stregkodestadie.</w:t>
      </w:r>
      <w:r>
        <w:rPr>
          <w:spacing w:val="-7"/>
        </w:rPr>
        <w:t> </w:t>
      </w:r>
      <w:r>
        <w:rPr/>
        <w:t>Der</w:t>
      </w:r>
      <w:r>
        <w:rPr>
          <w:spacing w:val="-7"/>
        </w:rPr>
        <w:t> </w:t>
      </w:r>
      <w:r>
        <w:rPr/>
        <w:t>er</w:t>
      </w:r>
      <w:r>
        <w:rPr>
          <w:spacing w:val="-7"/>
        </w:rPr>
        <w:t> </w:t>
      </w:r>
      <w:r>
        <w:rPr/>
        <w:t>målt</w:t>
      </w:r>
      <w:r>
        <w:rPr>
          <w:spacing w:val="-7"/>
        </w:rPr>
        <w:t> </w:t>
      </w:r>
      <w:r>
        <w:rPr/>
        <w:t>enkelt</w:t>
      </w:r>
      <w:r>
        <w:rPr>
          <w:spacing w:val="-6"/>
        </w:rPr>
        <w:t> </w:t>
      </w:r>
      <w:r>
        <w:rPr/>
        <w:t>i</w:t>
      </w:r>
      <w:r>
        <w:rPr>
          <w:spacing w:val="-7"/>
        </w:rPr>
        <w:t> </w:t>
      </w:r>
      <w:r>
        <w:rPr/>
        <w:t>lukkede</w:t>
      </w:r>
      <w:r>
        <w:rPr>
          <w:spacing w:val="-7"/>
        </w:rPr>
        <w:t> </w:t>
      </w:r>
      <w:r>
        <w:rPr>
          <w:spacing w:val="-4"/>
        </w:rPr>
        <w:t>po- </w:t>
      </w:r>
      <w:r>
        <w:rPr/>
        <w:t>lygoner</w:t>
      </w:r>
      <w:r>
        <w:rPr>
          <w:spacing w:val="-16"/>
        </w:rPr>
        <w:t> </w:t>
      </w:r>
      <w:r>
        <w:rPr/>
        <w:t>med</w:t>
      </w:r>
      <w:r>
        <w:rPr>
          <w:spacing w:val="-15"/>
        </w:rPr>
        <w:t> </w:t>
      </w:r>
      <w:r>
        <w:rPr/>
        <w:t>start</w:t>
      </w:r>
      <w:r>
        <w:rPr>
          <w:spacing w:val="-15"/>
        </w:rPr>
        <w:t> </w:t>
      </w:r>
      <w:r>
        <w:rPr/>
        <w:t>og</w:t>
      </w:r>
      <w:r>
        <w:rPr>
          <w:spacing w:val="-16"/>
        </w:rPr>
        <w:t> </w:t>
      </w:r>
      <w:r>
        <w:rPr/>
        <w:t>slut</w:t>
      </w:r>
      <w:r>
        <w:rPr>
          <w:spacing w:val="-15"/>
        </w:rPr>
        <w:t> </w:t>
      </w:r>
      <w:r>
        <w:rPr/>
        <w:t>i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nyberegnede</w:t>
      </w:r>
      <w:r>
        <w:rPr>
          <w:spacing w:val="-16"/>
        </w:rPr>
        <w:t> </w:t>
      </w:r>
      <w:r>
        <w:rPr>
          <w:spacing w:val="-3"/>
        </w:rPr>
        <w:t>højde- </w:t>
      </w:r>
      <w:r>
        <w:rPr/>
        <w:t>fikspunkter, og midten af kloakdækslerne er </w:t>
      </w:r>
      <w:r>
        <w:rPr>
          <w:spacing w:val="-5"/>
        </w:rPr>
        <w:t>an- </w:t>
      </w:r>
      <w:r>
        <w:rPr/>
        <w:t>vendt som</w:t>
      </w:r>
      <w:r>
        <w:rPr>
          <w:spacing w:val="-5"/>
        </w:rPr>
        <w:t> </w:t>
      </w:r>
      <w:r>
        <w:rPr/>
        <w:t>overgangspunkter.</w:t>
      </w:r>
    </w:p>
    <w:p>
      <w:pPr>
        <w:pStyle w:val="BodyText"/>
        <w:spacing w:line="228" w:lineRule="auto" w:before="2"/>
        <w:ind w:left="329" w:right="1131" w:firstLine="234"/>
        <w:jc w:val="both"/>
      </w:pPr>
      <w:r>
        <w:rPr/>
        <w:t>Der</w:t>
      </w:r>
      <w:r>
        <w:rPr>
          <w:spacing w:val="-17"/>
        </w:rPr>
        <w:t> </w:t>
      </w:r>
      <w:r>
        <w:rPr/>
        <w:t>er</w:t>
      </w:r>
      <w:r>
        <w:rPr>
          <w:spacing w:val="-18"/>
        </w:rPr>
        <w:t> </w:t>
      </w:r>
      <w:r>
        <w:rPr/>
        <w:t>målt</w:t>
      </w:r>
      <w:r>
        <w:rPr>
          <w:spacing w:val="-17"/>
        </w:rPr>
        <w:t> </w:t>
      </w:r>
      <w:r>
        <w:rPr/>
        <w:t>12</w:t>
      </w:r>
      <w:r>
        <w:rPr>
          <w:spacing w:val="-18"/>
        </w:rPr>
        <w:t> </w:t>
      </w:r>
      <w:r>
        <w:rPr/>
        <w:t>polygoner,</w:t>
      </w:r>
      <w:r>
        <w:rPr>
          <w:spacing w:val="-17"/>
        </w:rPr>
        <w:t> </w:t>
      </w:r>
      <w:r>
        <w:rPr/>
        <w:t>og</w:t>
      </w:r>
      <w:r>
        <w:rPr>
          <w:spacing w:val="-18"/>
        </w:rPr>
        <w:t> </w:t>
      </w:r>
      <w:r>
        <w:rPr/>
        <w:t>lukkefejlen</w:t>
      </w:r>
      <w:r>
        <w:rPr>
          <w:spacing w:val="-17"/>
        </w:rPr>
        <w:t> </w:t>
      </w:r>
      <w:r>
        <w:rPr/>
        <w:t>er</w:t>
      </w:r>
      <w:r>
        <w:rPr>
          <w:spacing w:val="-17"/>
        </w:rPr>
        <w:t> </w:t>
      </w:r>
      <w:r>
        <w:rPr>
          <w:spacing w:val="-5"/>
        </w:rPr>
        <w:t>be- </w:t>
      </w:r>
      <w:r>
        <w:rPr/>
        <w:t>regnet fra 3 - 7 mm. Dette har ikke givet anled- ning til en konkret udjævning af målingerne,</w:t>
      </w:r>
      <w:r>
        <w:rPr>
          <w:spacing w:val="1"/>
        </w:rPr>
        <w:t> </w:t>
      </w:r>
      <w:r>
        <w:rPr>
          <w:spacing w:val="-8"/>
        </w:rPr>
        <w:t>da</w:t>
      </w:r>
    </w:p>
    <w:p>
      <w:pPr>
        <w:pStyle w:val="BodyText"/>
        <w:spacing w:line="252" w:lineRule="auto" w:before="18"/>
        <w:ind w:left="329" w:right="1131"/>
        <w:jc w:val="both"/>
      </w:pPr>
      <w:r>
        <w:rPr/>
        <w:t>usikkerheden i at definere en dækselmidtes top- punkt er testet til at udgøre ca. +/- 3 mm, og bidraget fra en eventuel udjævning vil påvirke dækselkoten med maksimalt +/- 2 mm.</w:t>
      </w:r>
    </w:p>
    <w:p>
      <w:pPr>
        <w:pStyle w:val="BodyText"/>
        <w:spacing w:before="5"/>
        <w:rPr>
          <w:sz w:val="34"/>
        </w:rPr>
      </w:pPr>
    </w:p>
    <w:p>
      <w:pPr>
        <w:pStyle w:val="Heading3"/>
      </w:pPr>
      <w:r>
        <w:rPr/>
        <w:t>Nedstik</w:t>
      </w:r>
    </w:p>
    <w:p>
      <w:pPr>
        <w:pStyle w:val="BodyText"/>
        <w:spacing w:line="252" w:lineRule="auto" w:before="171"/>
        <w:ind w:left="329" w:right="1131"/>
        <w:jc w:val="both"/>
      </w:pPr>
      <w:r>
        <w:rPr/>
        <w:t>Der</w:t>
      </w:r>
      <w:r>
        <w:rPr>
          <w:spacing w:val="-17"/>
        </w:rPr>
        <w:t> </w:t>
      </w:r>
      <w:r>
        <w:rPr/>
        <w:t>er</w:t>
      </w:r>
      <w:r>
        <w:rPr>
          <w:spacing w:val="-16"/>
        </w:rPr>
        <w:t> </w:t>
      </w:r>
      <w:r>
        <w:rPr/>
        <w:t>målt</w:t>
      </w:r>
      <w:r>
        <w:rPr>
          <w:spacing w:val="-16"/>
        </w:rPr>
        <w:t> </w:t>
      </w:r>
      <w:r>
        <w:rPr/>
        <w:t>i</w:t>
      </w:r>
      <w:r>
        <w:rPr>
          <w:spacing w:val="-16"/>
        </w:rPr>
        <w:t> </w:t>
      </w:r>
      <w:r>
        <w:rPr/>
        <w:t>alt</w:t>
      </w:r>
      <w:r>
        <w:rPr>
          <w:spacing w:val="-16"/>
        </w:rPr>
        <w:t> </w:t>
      </w:r>
      <w:r>
        <w:rPr/>
        <w:t>57</w:t>
      </w:r>
      <w:r>
        <w:rPr>
          <w:spacing w:val="-16"/>
        </w:rPr>
        <w:t> </w:t>
      </w:r>
      <w:r>
        <w:rPr/>
        <w:t>nedstik</w:t>
      </w:r>
      <w:r>
        <w:rPr>
          <w:spacing w:val="-16"/>
        </w:rPr>
        <w:t> </w:t>
      </w:r>
      <w:r>
        <w:rPr/>
        <w:t>for</w:t>
      </w:r>
      <w:r>
        <w:rPr>
          <w:spacing w:val="-16"/>
        </w:rPr>
        <w:t> </w:t>
      </w:r>
      <w:r>
        <w:rPr/>
        <w:t>at</w:t>
      </w:r>
      <w:r>
        <w:rPr>
          <w:spacing w:val="-16"/>
        </w:rPr>
        <w:t> </w:t>
      </w:r>
      <w:r>
        <w:rPr/>
        <w:t>bestemme</w:t>
      </w:r>
      <w:r>
        <w:rPr>
          <w:spacing w:val="-16"/>
        </w:rPr>
        <w:t> </w:t>
      </w:r>
      <w:r>
        <w:rPr>
          <w:spacing w:val="-4"/>
        </w:rPr>
        <w:t>bund- </w:t>
      </w:r>
      <w:r>
        <w:rPr/>
        <w:t>kote i spildevandsbrønde, der udgør </w:t>
      </w:r>
      <w:r>
        <w:rPr>
          <w:spacing w:val="-3"/>
        </w:rPr>
        <w:t>strategisk </w:t>
      </w:r>
      <w:r>
        <w:rPr/>
        <w:t>vigtige knudepunkter i ledningsnettet (figur </w:t>
      </w:r>
      <w:hyperlink w:history="true" w:anchor="_bookmark20">
        <w:r>
          <w:rPr>
            <w:color w:val="FF0000"/>
            <w:spacing w:val="-6"/>
          </w:rPr>
          <w:t>9</w:t>
        </w:r>
      </w:hyperlink>
      <w:r>
        <w:rPr>
          <w:spacing w:val="-6"/>
        </w:rPr>
        <w:t>). </w:t>
      </w:r>
      <w:r>
        <w:rPr/>
        <w:t>Nedstikket er målt med stadie med dobbelt </w:t>
      </w:r>
      <w:r>
        <w:rPr>
          <w:spacing w:val="-5"/>
        </w:rPr>
        <w:t>li- </w:t>
      </w:r>
      <w:r>
        <w:rPr/>
        <w:t>belle og forskudt skala fra et bræt liggende </w:t>
      </w:r>
      <w:r>
        <w:rPr>
          <w:spacing w:val="-6"/>
        </w:rPr>
        <w:t>di- </w:t>
      </w:r>
      <w:r>
        <w:rPr/>
        <w:t>agonalt på brøndkarmen til midten af brøndens bundløb. </w:t>
      </w:r>
      <w:r>
        <w:rPr>
          <w:spacing w:val="-3"/>
        </w:rPr>
        <w:t>Til </w:t>
      </w:r>
      <w:r>
        <w:rPr/>
        <w:t>hvert nedstik er der udført 2</w:t>
      </w:r>
      <w:r>
        <w:rPr>
          <w:spacing w:val="1"/>
        </w:rPr>
        <w:t> </w:t>
      </w:r>
      <w:r>
        <w:rPr/>
        <w:t>aflæs-</w:t>
      </w:r>
    </w:p>
    <w:p>
      <w:pPr>
        <w:spacing w:after="0" w:line="252" w:lineRule="auto"/>
        <w:jc w:val="both"/>
        <w:sectPr>
          <w:pgSz w:w="11910" w:h="16840"/>
          <w:pgMar w:header="0" w:footer="546" w:top="1020" w:bottom="740" w:left="460" w:right="0"/>
          <w:cols w:num="2" w:equalWidth="0">
            <w:col w:w="5309" w:space="40"/>
            <w:col w:w="6101"/>
          </w:cols>
        </w:sectPr>
      </w:pPr>
    </w:p>
    <w:tbl>
      <w:tblPr>
        <w:tblW w:w="0" w:type="auto"/>
        <w:jc w:val="left"/>
        <w:tblInd w:w="11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64"/>
        <w:gridCol w:w="1562"/>
        <w:gridCol w:w="1245"/>
        <w:gridCol w:w="5485"/>
      </w:tblGrid>
      <w:tr>
        <w:trPr>
          <w:trHeight w:val="244" w:hRule="atLeast"/>
        </w:trPr>
        <w:tc>
          <w:tcPr>
            <w:tcW w:w="96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5" w:lineRule="exact"/>
              <w:ind w:left="119"/>
              <w:jc w:val="left"/>
              <w:rPr>
                <w:rFonts w:ascii="Arial"/>
                <w:sz w:val="18"/>
              </w:rPr>
            </w:pPr>
            <w:r>
              <w:rPr>
                <w:rFonts w:ascii="Arial"/>
                <w:sz w:val="18"/>
              </w:rPr>
              <w:t>2006</w:t>
            </w:r>
          </w:p>
        </w:tc>
        <w:tc>
          <w:tcPr>
            <w:tcW w:w="156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5" w:lineRule="exact"/>
              <w:ind w:left="436"/>
              <w:jc w:val="left"/>
              <w:rPr>
                <w:rFonts w:ascii="Arial"/>
                <w:sz w:val="18"/>
              </w:rPr>
            </w:pPr>
            <w:r>
              <w:rPr>
                <w:rFonts w:ascii="Arial"/>
                <w:sz w:val="18"/>
              </w:rPr>
              <w:t>0,8</w:t>
            </w:r>
          </w:p>
        </w:tc>
        <w:tc>
          <w:tcPr>
            <w:tcW w:w="124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5" w:lineRule="exact"/>
              <w:ind w:right="117"/>
              <w:rPr>
                <w:rFonts w:ascii="Arial"/>
                <w:sz w:val="18"/>
              </w:rPr>
            </w:pPr>
            <w:r>
              <w:rPr>
                <w:rFonts w:ascii="Arial"/>
                <w:sz w:val="18"/>
              </w:rPr>
              <w:t>1,7</w:t>
            </w:r>
          </w:p>
        </w:tc>
        <w:tc>
          <w:tcPr>
            <w:tcW w:w="5485" w:type="dxa"/>
          </w:tcPr>
          <w:p>
            <w:pPr>
              <w:pStyle w:val="TableParagraph"/>
              <w:spacing w:line="225" w:lineRule="exact"/>
              <w:ind w:right="47"/>
              <w:rPr>
                <w:sz w:val="24"/>
              </w:rPr>
            </w:pPr>
            <w:r>
              <w:rPr>
                <w:sz w:val="24"/>
              </w:rPr>
              <w:t>ninger i mm, en på hver skala. Usikkerheden på</w:t>
            </w:r>
          </w:p>
        </w:tc>
      </w:tr>
      <w:tr>
        <w:trPr>
          <w:trHeight w:val="212" w:hRule="atLeast"/>
        </w:trPr>
        <w:tc>
          <w:tcPr>
            <w:tcW w:w="964" w:type="dxa"/>
          </w:tcPr>
          <w:p>
            <w:pPr>
              <w:pStyle w:val="TableParagraph"/>
              <w:spacing w:line="193" w:lineRule="exact"/>
              <w:ind w:left="119"/>
              <w:jc w:val="left"/>
              <w:rPr>
                <w:rFonts w:ascii="Arial"/>
                <w:sz w:val="18"/>
              </w:rPr>
            </w:pPr>
            <w:r>
              <w:rPr>
                <w:rFonts w:ascii="Arial"/>
                <w:sz w:val="18"/>
              </w:rPr>
              <w:t>2009</w:t>
            </w:r>
          </w:p>
        </w:tc>
        <w:tc>
          <w:tcPr>
            <w:tcW w:w="1562" w:type="dxa"/>
          </w:tcPr>
          <w:p>
            <w:pPr>
              <w:pStyle w:val="TableParagraph"/>
              <w:spacing w:line="193" w:lineRule="exact"/>
              <w:ind w:left="436"/>
              <w:jc w:val="left"/>
              <w:rPr>
                <w:rFonts w:ascii="Arial"/>
                <w:sz w:val="18"/>
              </w:rPr>
            </w:pPr>
            <w:r>
              <w:rPr>
                <w:rFonts w:ascii="Arial"/>
                <w:sz w:val="18"/>
              </w:rPr>
              <w:t>0,6</w:t>
            </w:r>
          </w:p>
        </w:tc>
        <w:tc>
          <w:tcPr>
            <w:tcW w:w="1245" w:type="dxa"/>
          </w:tcPr>
          <w:p>
            <w:pPr>
              <w:pStyle w:val="TableParagraph"/>
              <w:spacing w:line="193" w:lineRule="exact"/>
              <w:ind w:right="117"/>
              <w:rPr>
                <w:rFonts w:ascii="Arial"/>
                <w:sz w:val="18"/>
              </w:rPr>
            </w:pPr>
            <w:r>
              <w:rPr>
                <w:rFonts w:ascii="Arial"/>
                <w:sz w:val="18"/>
              </w:rPr>
              <w:t>1,4</w:t>
            </w:r>
          </w:p>
        </w:tc>
        <w:tc>
          <w:tcPr>
            <w:tcW w:w="5485" w:type="dxa"/>
          </w:tcPr>
          <w:p>
            <w:pPr>
              <w:pStyle w:val="TableParagraph"/>
              <w:spacing w:line="181" w:lineRule="exact" w:before="11"/>
              <w:ind w:right="47"/>
              <w:rPr>
                <w:sz w:val="24"/>
              </w:rPr>
            </w:pPr>
            <w:r>
              <w:rPr>
                <w:sz w:val="24"/>
              </w:rPr>
              <w:t>nedstikket er testet til at være 1 cm eller derun-</w:t>
            </w:r>
          </w:p>
        </w:tc>
      </w:tr>
    </w:tbl>
    <w:p>
      <w:pPr>
        <w:spacing w:after="0" w:line="181" w:lineRule="exact"/>
        <w:rPr>
          <w:sz w:val="24"/>
        </w:rPr>
        <w:sectPr>
          <w:type w:val="continuous"/>
          <w:pgSz w:w="11910" w:h="16840"/>
          <w:pgMar w:top="0" w:bottom="280" w:left="460" w:right="0"/>
        </w:sectPr>
      </w:pPr>
    </w:p>
    <w:p>
      <w:pPr>
        <w:tabs>
          <w:tab w:pos="2505" w:val="left" w:leader="none"/>
          <w:tab w:pos="4502" w:val="left" w:leader="none"/>
        </w:tabs>
        <w:spacing w:before="40"/>
        <w:ind w:left="1105" w:right="0" w:firstLine="0"/>
        <w:jc w:val="left"/>
        <w:rPr>
          <w:rFonts w:ascii="Arial"/>
          <w:sz w:val="18"/>
        </w:rPr>
      </w:pPr>
      <w:r>
        <w:rPr>
          <w:w w:val="101"/>
          <w:sz w:val="18"/>
          <w:u w:val="single"/>
        </w:rPr>
        <w:t> </w:t>
      </w:r>
      <w:r>
        <w:rPr>
          <w:sz w:val="18"/>
          <w:u w:val="single"/>
        </w:rPr>
        <w:t> </w:t>
      </w:r>
      <w:r>
        <w:rPr>
          <w:spacing w:val="-17"/>
          <w:sz w:val="18"/>
          <w:u w:val="single"/>
        </w:rPr>
        <w:t> </w:t>
      </w:r>
      <w:r>
        <w:rPr>
          <w:rFonts w:ascii="Arial"/>
          <w:sz w:val="18"/>
          <w:u w:val="single"/>
        </w:rPr>
        <w:t>2012</w:t>
        <w:tab/>
        <w:t>0,7</w:t>
        <w:tab/>
        <w:t>1,6</w:t>
      </w:r>
      <w:r>
        <w:rPr>
          <w:rFonts w:ascii="Arial"/>
          <w:spacing w:val="19"/>
          <w:sz w:val="18"/>
          <w:u w:val="single"/>
        </w:rPr>
        <w:t> </w:t>
      </w: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spacing w:before="10"/>
        <w:rPr>
          <w:rFonts w:ascii="Arial"/>
          <w:sz w:val="22"/>
        </w:rPr>
      </w:pPr>
    </w:p>
    <w:p>
      <w:pPr>
        <w:pStyle w:val="Heading2"/>
        <w:numPr>
          <w:ilvl w:val="1"/>
          <w:numId w:val="3"/>
        </w:numPr>
        <w:tabs>
          <w:tab w:pos="1430" w:val="left" w:leader="none"/>
          <w:tab w:pos="1431" w:val="left" w:leader="none"/>
        </w:tabs>
        <w:spacing w:line="240" w:lineRule="auto" w:before="0" w:after="0"/>
        <w:ind w:left="1430" w:right="0" w:hanging="757"/>
        <w:jc w:val="left"/>
      </w:pPr>
      <w:bookmarkStart w:name="_bookmark24" w:id="33"/>
      <w:bookmarkEnd w:id="33"/>
      <w:r>
        <w:rPr>
          <w:b w:val="0"/>
        </w:rPr>
      </w:r>
      <w:bookmarkStart w:name="_bookmark24" w:id="34"/>
      <w:bookmarkEnd w:id="34"/>
      <w:r>
        <w:rPr/>
        <w:t>Kloaknettet</w:t>
      </w:r>
      <w:r>
        <w:rPr/>
        <w:t> i</w:t>
      </w:r>
      <w:r>
        <w:rPr>
          <w:spacing w:val="17"/>
        </w:rPr>
        <w:t> </w:t>
      </w:r>
      <w:r>
        <w:rPr/>
        <w:t>Thyborøn</w:t>
      </w:r>
    </w:p>
    <w:p>
      <w:pPr>
        <w:pStyle w:val="Heading3"/>
        <w:spacing w:before="297"/>
        <w:ind w:left="673"/>
      </w:pPr>
      <w:r>
        <w:rPr/>
        <w:t>Brønddæksler</w:t>
      </w:r>
    </w:p>
    <w:p>
      <w:pPr>
        <w:pStyle w:val="BodyText"/>
        <w:spacing w:line="252" w:lineRule="auto" w:before="171"/>
        <w:ind w:left="673"/>
        <w:jc w:val="both"/>
      </w:pPr>
      <w:r>
        <w:rPr/>
        <w:t>I forlængelse af fikspunktmålingerne er der ud- ført teknisk nivellement til 750 kloakdæksler i Thyborøn By med henblik på at vurdere den</w:t>
      </w:r>
    </w:p>
    <w:p>
      <w:pPr>
        <w:pStyle w:val="BodyText"/>
        <w:spacing w:line="252" w:lineRule="auto" w:before="109"/>
        <w:ind w:left="329" w:right="1131"/>
        <w:jc w:val="both"/>
      </w:pPr>
      <w:r>
        <w:rPr/>
        <w:br w:type="column"/>
      </w:r>
      <w:r>
        <w:rPr>
          <w:spacing w:val="-3"/>
        </w:rPr>
        <w:t>der,</w:t>
      </w:r>
      <w:r>
        <w:rPr>
          <w:spacing w:val="-10"/>
        </w:rPr>
        <w:t> </w:t>
      </w:r>
      <w:r>
        <w:rPr/>
        <w:t>hvilket</w:t>
      </w:r>
      <w:r>
        <w:rPr>
          <w:spacing w:val="-9"/>
        </w:rPr>
        <w:t> </w:t>
      </w:r>
      <w:r>
        <w:rPr/>
        <w:t>betyder,</w:t>
      </w:r>
      <w:r>
        <w:rPr>
          <w:spacing w:val="-10"/>
        </w:rPr>
        <w:t> </w:t>
      </w:r>
      <w:r>
        <w:rPr/>
        <w:t>at</w:t>
      </w:r>
      <w:r>
        <w:rPr>
          <w:spacing w:val="-9"/>
        </w:rPr>
        <w:t> </w:t>
      </w:r>
      <w:r>
        <w:rPr/>
        <w:t>bundkoten</w:t>
      </w:r>
      <w:r>
        <w:rPr>
          <w:spacing w:val="-9"/>
        </w:rPr>
        <w:t> </w:t>
      </w:r>
      <w:r>
        <w:rPr/>
        <w:t>med</w:t>
      </w:r>
      <w:r>
        <w:rPr>
          <w:spacing w:val="-10"/>
        </w:rPr>
        <w:t> </w:t>
      </w:r>
      <w:r>
        <w:rPr/>
        <w:t>bidrag</w:t>
      </w:r>
      <w:r>
        <w:rPr>
          <w:spacing w:val="-9"/>
        </w:rPr>
        <w:t> </w:t>
      </w:r>
      <w:r>
        <w:rPr>
          <w:spacing w:val="-5"/>
        </w:rPr>
        <w:t>fra </w:t>
      </w:r>
      <w:r>
        <w:rPr/>
        <w:t>måleusikkerhed på dæksel og nedstik er </w:t>
      </w:r>
      <w:r>
        <w:rPr>
          <w:spacing w:val="-3"/>
        </w:rPr>
        <w:t>bedre </w:t>
      </w:r>
      <w:r>
        <w:rPr/>
        <w:t>end +/- 1,3 cm. Usikkerheden ligger </w:t>
      </w:r>
      <w:r>
        <w:rPr>
          <w:spacing w:val="-3"/>
        </w:rPr>
        <w:t>hovedsag- </w:t>
      </w:r>
      <w:r>
        <w:rPr/>
        <w:t>ligt i at definere midten af bundløbet, som</w:t>
      </w:r>
      <w:r>
        <w:rPr>
          <w:spacing w:val="-40"/>
        </w:rPr>
        <w:t> </w:t>
      </w:r>
      <w:r>
        <w:rPr/>
        <w:t>ligger i en dybde på 2 - 4 m under</w:t>
      </w:r>
      <w:r>
        <w:rPr>
          <w:spacing w:val="-13"/>
        </w:rPr>
        <w:t> </w:t>
      </w:r>
      <w:r>
        <w:rPr/>
        <w:t>dækslet.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Den geografisk ujævne fordeling af nedstik skyldes, at der i Thyborøn NV og V er  an- vendt flydende dæksler, som ikke umiddelbart kan åbnes med dækseljern og lignende værktøj (figur </w:t>
      </w:r>
      <w:hyperlink w:history="true" w:anchor="_bookmark21">
        <w:r>
          <w:rPr>
            <w:color w:val="FF0000"/>
          </w:rPr>
          <w:t>10</w:t>
        </w:r>
      </w:hyperlink>
      <w:r>
        <w:rPr/>
        <w:t>).</w:t>
      </w:r>
    </w:p>
    <w:p>
      <w:pPr>
        <w:spacing w:after="0" w:line="252" w:lineRule="auto"/>
        <w:jc w:val="both"/>
        <w:sectPr>
          <w:type w:val="continuous"/>
          <w:pgSz w:w="11910" w:h="16840"/>
          <w:pgMar w:top="0" w:bottom="280" w:left="460" w:right="0"/>
          <w:cols w:num="2" w:equalWidth="0">
            <w:col w:w="5309" w:space="40"/>
            <w:col w:w="6101"/>
          </w:cols>
        </w:sectPr>
      </w:pPr>
    </w:p>
    <w:p>
      <w:pPr>
        <w:pStyle w:val="BodyText"/>
        <w:spacing w:before="10"/>
        <w:rPr>
          <w:sz w:val="28"/>
        </w:rPr>
      </w:pPr>
    </w:p>
    <w:p>
      <w:pPr>
        <w:spacing w:line="463" w:lineRule="auto" w:before="111"/>
        <w:ind w:left="673" w:right="6772" w:firstLine="0"/>
        <w:jc w:val="left"/>
        <w:rPr>
          <w:rFonts w:ascii="Arial"/>
          <w:b/>
          <w:sz w:val="45"/>
        </w:rPr>
      </w:pPr>
      <w:r>
        <w:rPr>
          <w:rFonts w:ascii="Arial"/>
          <w:b/>
          <w:sz w:val="45"/>
        </w:rPr>
        <w:t>Kapitel 3 Resultater</w:t>
      </w:r>
    </w:p>
    <w:p>
      <w:pPr>
        <w:pStyle w:val="BodyText"/>
        <w:spacing w:before="3"/>
        <w:rPr>
          <w:rFonts w:ascii="Arial"/>
          <w:b/>
          <w:sz w:val="12"/>
        </w:rPr>
      </w:pPr>
    </w:p>
    <w:p>
      <w:pPr>
        <w:spacing w:after="0"/>
        <w:rPr>
          <w:rFonts w:ascii="Arial"/>
          <w:sz w:val="12"/>
        </w:rPr>
        <w:sectPr>
          <w:footerReference w:type="default" r:id="rId35"/>
          <w:pgSz w:w="11910" w:h="16840"/>
          <w:pgMar w:footer="546" w:header="0" w:top="1580" w:bottom="740" w:left="460" w:right="0"/>
          <w:pgNumType w:start="22"/>
        </w:sectPr>
      </w:pPr>
    </w:p>
    <w:p>
      <w:pPr>
        <w:pStyle w:val="BodyText"/>
        <w:spacing w:line="252" w:lineRule="auto" w:before="97"/>
        <w:ind w:left="673" w:firstLine="234"/>
        <w:jc w:val="both"/>
      </w:pPr>
      <w:bookmarkStart w:name="_bookmark25" w:id="35"/>
      <w:bookmarkEnd w:id="35"/>
      <w:r>
        <w:rPr/>
      </w:r>
      <w:r>
        <w:rPr/>
        <w:t>De</w:t>
      </w:r>
      <w:r>
        <w:rPr>
          <w:spacing w:val="-17"/>
        </w:rPr>
        <w:t> </w:t>
      </w:r>
      <w:r>
        <w:rPr/>
        <w:t>foreliggende</w:t>
      </w:r>
      <w:r>
        <w:rPr>
          <w:spacing w:val="-18"/>
        </w:rPr>
        <w:t> </w:t>
      </w:r>
      <w:r>
        <w:rPr/>
        <w:t>data</w:t>
      </w:r>
      <w:r>
        <w:rPr>
          <w:spacing w:val="-16"/>
        </w:rPr>
        <w:t> </w:t>
      </w:r>
      <w:r>
        <w:rPr/>
        <w:t>vedrørende</w:t>
      </w:r>
      <w:r>
        <w:rPr>
          <w:spacing w:val="-17"/>
        </w:rPr>
        <w:t> </w:t>
      </w:r>
      <w:r>
        <w:rPr/>
        <w:t>vandstand</w:t>
      </w:r>
      <w:r>
        <w:rPr>
          <w:spacing w:val="-16"/>
        </w:rPr>
        <w:t> </w:t>
      </w:r>
      <w:r>
        <w:rPr>
          <w:spacing w:val="-9"/>
        </w:rPr>
        <w:t>og </w:t>
      </w:r>
      <w:r>
        <w:rPr/>
        <w:t>højvandsstatistik, DHM/Terræn, samt de </w:t>
      </w:r>
      <w:r>
        <w:rPr>
          <w:spacing w:val="-4"/>
        </w:rPr>
        <w:t>fore- </w:t>
      </w:r>
      <w:r>
        <w:rPr/>
        <w:t>tagne nivellementer og opmåling af brønddæks- ler</w:t>
      </w:r>
      <w:r>
        <w:rPr>
          <w:spacing w:val="-20"/>
        </w:rPr>
        <w:t> </w:t>
      </w:r>
      <w:r>
        <w:rPr/>
        <w:t>og</w:t>
      </w:r>
      <w:r>
        <w:rPr>
          <w:spacing w:val="-19"/>
        </w:rPr>
        <w:t> </w:t>
      </w:r>
      <w:r>
        <w:rPr/>
        <w:t>bundkoter</w:t>
      </w:r>
      <w:r>
        <w:rPr>
          <w:spacing w:val="-19"/>
        </w:rPr>
        <w:t> </w:t>
      </w:r>
      <w:r>
        <w:rPr/>
        <w:t>anvendes</w:t>
      </w:r>
      <w:r>
        <w:rPr>
          <w:spacing w:val="-19"/>
        </w:rPr>
        <w:t> </w:t>
      </w:r>
      <w:r>
        <w:rPr/>
        <w:t>til</w:t>
      </w:r>
      <w:r>
        <w:rPr>
          <w:spacing w:val="-19"/>
        </w:rPr>
        <w:t> </w:t>
      </w:r>
      <w:r>
        <w:rPr/>
        <w:t>en</w:t>
      </w:r>
      <w:r>
        <w:rPr>
          <w:spacing w:val="-19"/>
        </w:rPr>
        <w:t> </w:t>
      </w:r>
      <w:r>
        <w:rPr/>
        <w:t>vurdering</w:t>
      </w:r>
      <w:r>
        <w:rPr>
          <w:spacing w:val="-19"/>
        </w:rPr>
        <w:t> </w:t>
      </w:r>
      <w:r>
        <w:rPr/>
        <w:t>af</w:t>
      </w:r>
      <w:r>
        <w:rPr>
          <w:spacing w:val="-19"/>
        </w:rPr>
        <w:t> </w:t>
      </w:r>
      <w:r>
        <w:rPr>
          <w:spacing w:val="-4"/>
        </w:rPr>
        <w:t>sæt- </w:t>
      </w:r>
      <w:r>
        <w:rPr/>
        <w:t>ningsforhold og oversvømmelsesfaren i </w:t>
      </w:r>
      <w:r>
        <w:rPr>
          <w:spacing w:val="-4"/>
        </w:rPr>
        <w:t>Thybor- </w:t>
      </w:r>
      <w:r>
        <w:rPr/>
        <w:t>øn. Dækselmålinger anvendes først til justering af højdemodellen, hvorefter resultater fra </w:t>
      </w:r>
      <w:r>
        <w:rPr>
          <w:spacing w:val="-5"/>
        </w:rPr>
        <w:t>nivel- </w:t>
      </w:r>
      <w:r>
        <w:rPr/>
        <w:t>lementer </w:t>
      </w:r>
      <w:r>
        <w:rPr>
          <w:spacing w:val="-6"/>
        </w:rPr>
        <w:t>mv. </w:t>
      </w:r>
      <w:r>
        <w:rPr/>
        <w:t>præsenteres, relateres og</w:t>
      </w:r>
      <w:r>
        <w:rPr>
          <w:spacing w:val="-31"/>
        </w:rPr>
        <w:t> </w:t>
      </w:r>
      <w:r>
        <w:rPr/>
        <w:t>visualise- res</w:t>
      </w:r>
      <w:r>
        <w:rPr>
          <w:spacing w:val="-13"/>
        </w:rPr>
        <w:t> </w:t>
      </w:r>
      <w:r>
        <w:rPr/>
        <w:t>til</w:t>
      </w:r>
      <w:r>
        <w:rPr>
          <w:spacing w:val="-12"/>
        </w:rPr>
        <w:t> </w:t>
      </w:r>
      <w:r>
        <w:rPr/>
        <w:t>forholdene</w:t>
      </w:r>
      <w:r>
        <w:rPr>
          <w:spacing w:val="-12"/>
        </w:rPr>
        <w:t> </w:t>
      </w:r>
      <w:r>
        <w:rPr/>
        <w:t>i</w:t>
      </w:r>
      <w:r>
        <w:rPr>
          <w:spacing w:val="-12"/>
        </w:rPr>
        <w:t> </w:t>
      </w:r>
      <w:r>
        <w:rPr/>
        <w:t>Thyborøn</w:t>
      </w:r>
      <w:r>
        <w:rPr>
          <w:spacing w:val="-12"/>
        </w:rPr>
        <w:t> </w:t>
      </w:r>
      <w:r>
        <w:rPr/>
        <w:t>i</w:t>
      </w:r>
      <w:r>
        <w:rPr>
          <w:spacing w:val="-12"/>
        </w:rPr>
        <w:t> </w:t>
      </w:r>
      <w:r>
        <w:rPr/>
        <w:t>dag</w:t>
      </w:r>
      <w:r>
        <w:rPr>
          <w:spacing w:val="-12"/>
        </w:rPr>
        <w:t> </w:t>
      </w:r>
      <w:r>
        <w:rPr/>
        <w:t>og</w:t>
      </w:r>
      <w:r>
        <w:rPr>
          <w:spacing w:val="-12"/>
        </w:rPr>
        <w:t> </w:t>
      </w:r>
      <w:r>
        <w:rPr/>
        <w:t>i</w:t>
      </w:r>
      <w:r>
        <w:rPr>
          <w:spacing w:val="-12"/>
        </w:rPr>
        <w:t> </w:t>
      </w:r>
      <w:r>
        <w:rPr/>
        <w:t>fremtiden ved</w:t>
      </w:r>
      <w:r>
        <w:rPr>
          <w:spacing w:val="-11"/>
        </w:rPr>
        <w:t> </w:t>
      </w:r>
      <w:r>
        <w:rPr/>
        <w:t>at</w:t>
      </w:r>
      <w:r>
        <w:rPr>
          <w:spacing w:val="-11"/>
        </w:rPr>
        <w:t> </w:t>
      </w:r>
      <w:r>
        <w:rPr/>
        <w:t>modellere</w:t>
      </w:r>
      <w:r>
        <w:rPr>
          <w:spacing w:val="-10"/>
        </w:rPr>
        <w:t> </w:t>
      </w:r>
      <w:r>
        <w:rPr/>
        <w:t>disse</w:t>
      </w:r>
      <w:r>
        <w:rPr>
          <w:spacing w:val="-11"/>
        </w:rPr>
        <w:t> </w:t>
      </w:r>
      <w:r>
        <w:rPr/>
        <w:t>vha.</w:t>
      </w:r>
      <w:r>
        <w:rPr>
          <w:spacing w:val="-10"/>
        </w:rPr>
        <w:t> </w:t>
      </w:r>
      <w:r>
        <w:rPr/>
        <w:t>DHM/Terræn.</w:t>
      </w:r>
      <w:r>
        <w:rPr>
          <w:spacing w:val="-11"/>
        </w:rPr>
        <w:t> </w:t>
      </w:r>
      <w:r>
        <w:rPr/>
        <w:t>Da</w:t>
      </w:r>
      <w:r>
        <w:rPr>
          <w:spacing w:val="-11"/>
        </w:rPr>
        <w:t> </w:t>
      </w:r>
      <w:r>
        <w:rPr>
          <w:spacing w:val="-7"/>
        </w:rPr>
        <w:t>pi- </w:t>
      </w:r>
      <w:r>
        <w:rPr/>
        <w:t>lotstudiet har fokus på metodeudvikling, er </w:t>
      </w:r>
      <w:r>
        <w:rPr>
          <w:spacing w:val="-6"/>
        </w:rPr>
        <w:t>der </w:t>
      </w:r>
      <w:r>
        <w:rPr/>
        <w:t>ikke redegjort udtømmende for alle årsagssam- menhænge i præsentationen, ligesom der er </w:t>
      </w:r>
      <w:r>
        <w:rPr>
          <w:spacing w:val="-5"/>
        </w:rPr>
        <w:t>fo- </w:t>
      </w:r>
      <w:r>
        <w:rPr/>
        <w:t>retaget simplificerede antagelser i </w:t>
      </w:r>
      <w:r>
        <w:rPr>
          <w:spacing w:val="-3"/>
        </w:rPr>
        <w:t>fremskrivnin- </w:t>
      </w:r>
      <w:r>
        <w:rPr/>
        <w:t>gerne af aktuelle</w:t>
      </w:r>
      <w:r>
        <w:rPr>
          <w:spacing w:val="-5"/>
        </w:rPr>
        <w:t> </w:t>
      </w:r>
      <w:r>
        <w:rPr/>
        <w:t>ændringer.</w:t>
      </w:r>
    </w:p>
    <w:p>
      <w:pPr>
        <w:pStyle w:val="BodyText"/>
        <w:rPr>
          <w:sz w:val="37"/>
        </w:rPr>
      </w:pPr>
    </w:p>
    <w:p>
      <w:pPr>
        <w:pStyle w:val="Heading2"/>
        <w:numPr>
          <w:ilvl w:val="1"/>
          <w:numId w:val="4"/>
        </w:numPr>
        <w:tabs>
          <w:tab w:pos="1430" w:val="left" w:leader="none"/>
          <w:tab w:pos="1431" w:val="left" w:leader="none"/>
        </w:tabs>
        <w:spacing w:line="295" w:lineRule="auto" w:before="0" w:after="0"/>
        <w:ind w:left="1430" w:right="0" w:hanging="757"/>
        <w:jc w:val="left"/>
      </w:pPr>
      <w:bookmarkStart w:name="_bookmark26" w:id="36"/>
      <w:bookmarkEnd w:id="36"/>
      <w:r>
        <w:rPr>
          <w:b w:val="0"/>
        </w:rPr>
      </w:r>
      <w:bookmarkStart w:name="_bookmark26" w:id="37"/>
      <w:bookmarkEnd w:id="37"/>
      <w:r>
        <w:rPr/>
        <w:t>Lokal</w:t>
      </w:r>
      <w:r>
        <w:rPr/>
        <w:t> justering af </w:t>
      </w:r>
      <w:r>
        <w:rPr>
          <w:spacing w:val="-3"/>
        </w:rPr>
        <w:t>højde- </w:t>
      </w:r>
      <w:r>
        <w:rPr/>
        <w:t>modellen</w:t>
      </w:r>
    </w:p>
    <w:p>
      <w:pPr>
        <w:pStyle w:val="BodyText"/>
        <w:spacing w:line="252" w:lineRule="auto" w:before="164"/>
        <w:ind w:left="673"/>
        <w:jc w:val="both"/>
      </w:pPr>
      <w:r>
        <w:rPr/>
        <w:t>For at sikre det bedst mulige udgangspunkt </w:t>
      </w:r>
      <w:r>
        <w:rPr>
          <w:spacing w:val="-5"/>
        </w:rPr>
        <w:t>for </w:t>
      </w:r>
      <w:r>
        <w:rPr/>
        <w:t>de videre beregninger blev DHM/Terræn </w:t>
      </w:r>
      <w:r>
        <w:rPr>
          <w:spacing w:val="-4"/>
        </w:rPr>
        <w:t>sam-</w:t>
      </w:r>
      <w:r>
        <w:rPr>
          <w:spacing w:val="52"/>
        </w:rPr>
        <w:t> </w:t>
      </w:r>
      <w:r>
        <w:rPr/>
        <w:t>menholdt med de aktuelle koter for de </w:t>
      </w:r>
      <w:r>
        <w:rPr>
          <w:spacing w:val="-3"/>
        </w:rPr>
        <w:t>indmålte </w:t>
      </w:r>
      <w:r>
        <w:rPr/>
        <w:t>brønddæksler.</w:t>
      </w:r>
    </w:p>
    <w:p>
      <w:pPr>
        <w:pStyle w:val="BodyText"/>
        <w:spacing w:line="252" w:lineRule="auto"/>
        <w:ind w:left="673" w:firstLine="234"/>
        <w:jc w:val="both"/>
      </w:pPr>
      <w:r>
        <w:rPr/>
        <w:t>DHM/Terræn består af et grid med interpole- rede terrænhøjder for hver 1,6 meter i x,y </w:t>
      </w:r>
      <w:r>
        <w:rPr>
          <w:spacing w:val="-4"/>
        </w:rPr>
        <w:t>pla- </w:t>
      </w:r>
      <w:r>
        <w:rPr/>
        <w:t>net. Disse gridpunkter er ikke </w:t>
      </w:r>
      <w:r>
        <w:rPr>
          <w:spacing w:val="-3"/>
        </w:rPr>
        <w:t>sammenfalden-  </w:t>
      </w:r>
      <w:r>
        <w:rPr/>
        <w:t>de med punkterne opmålt på </w:t>
      </w:r>
      <w:r>
        <w:rPr>
          <w:spacing w:val="-2"/>
        </w:rPr>
        <w:t>brønddækslerne, </w:t>
      </w:r>
      <w:r>
        <w:rPr/>
        <w:t>hvilket komplicerer sammenligning af de to </w:t>
      </w:r>
      <w:r>
        <w:rPr>
          <w:spacing w:val="-5"/>
        </w:rPr>
        <w:t>da- </w:t>
      </w:r>
      <w:r>
        <w:rPr/>
        <w:t>tasæt. Målingerne på brønddækslerne er </w:t>
      </w:r>
      <w:r>
        <w:rPr>
          <w:spacing w:val="-4"/>
        </w:rPr>
        <w:t>punk- </w:t>
      </w:r>
      <w:r>
        <w:rPr/>
        <w:t>tmålinger, hvorimod gridværdierne i </w:t>
      </w:r>
      <w:r>
        <w:rPr>
          <w:spacing w:val="-6"/>
        </w:rPr>
        <w:t>DHM/Ter- </w:t>
      </w:r>
      <w:r>
        <w:rPr/>
        <w:t>ræn hver især repræsenterer gennemsnittet for </w:t>
      </w:r>
      <w:r>
        <w:rPr>
          <w:spacing w:val="-9"/>
        </w:rPr>
        <w:t>et </w:t>
      </w:r>
      <w:r>
        <w:rPr/>
        <w:t>areal på ca. 2,5 m2. For at sikre validiteten </w:t>
      </w:r>
      <w:r>
        <w:rPr>
          <w:spacing w:val="-7"/>
        </w:rPr>
        <w:t>er </w:t>
      </w:r>
      <w:r>
        <w:rPr/>
        <w:t>hældningen for hvert enkelt af de </w:t>
      </w:r>
      <w:r>
        <w:rPr>
          <w:spacing w:val="-3"/>
        </w:rPr>
        <w:t>gridpunkter, </w:t>
      </w:r>
      <w:r>
        <w:rPr/>
        <w:t>som er nærmest et brønddækselpunkt, </w:t>
      </w:r>
      <w:r>
        <w:rPr>
          <w:spacing w:val="-3"/>
        </w:rPr>
        <w:t>beregnet. </w:t>
      </w:r>
      <w:r>
        <w:rPr/>
        <w:t>Kun gridpunkter karakteriseret ved en</w:t>
      </w:r>
      <w:r>
        <w:rPr>
          <w:spacing w:val="33"/>
        </w:rPr>
        <w:t> </w:t>
      </w:r>
      <w:r>
        <w:rPr>
          <w:spacing w:val="-3"/>
        </w:rPr>
        <w:t>hældning</w:t>
      </w:r>
    </w:p>
    <w:p>
      <w:pPr>
        <w:pStyle w:val="BodyText"/>
        <w:spacing w:line="266" w:lineRule="exact"/>
        <w:ind w:left="673"/>
      </w:pPr>
      <w:r>
        <w:rPr/>
        <w:t>&lt; 0,7</w:t>
      </w:r>
      <w:r>
        <w:rPr>
          <w:rFonts w:ascii="Verdana" w:hAnsi="Verdana"/>
          <w:i/>
          <w:position w:val="9"/>
          <w:sz w:val="18"/>
        </w:rPr>
        <w:t>◦</w:t>
      </w:r>
      <w:r>
        <w:rPr/>
        <w:t>, typisk hvor brønddækslerne er</w:t>
      </w:r>
      <w:r>
        <w:rPr>
          <w:spacing w:val="43"/>
        </w:rPr>
        <w:t> </w:t>
      </w:r>
      <w:r>
        <w:rPr/>
        <w:t>beliggen-</w:t>
      </w:r>
    </w:p>
    <w:p>
      <w:pPr>
        <w:pStyle w:val="BodyText"/>
        <w:spacing w:line="252" w:lineRule="auto" w:before="10"/>
        <w:ind w:left="673"/>
        <w:jc w:val="both"/>
      </w:pPr>
      <w:r>
        <w:rPr/>
        <w:t>de midt i vejen, er anvendt i sammenligningen. Brønddæksler,  hvor for  eksempel kantsten</w:t>
      </w:r>
      <w:r>
        <w:rPr>
          <w:spacing w:val="34"/>
        </w:rPr>
        <w:t> </w:t>
      </w:r>
      <w:r>
        <w:rPr>
          <w:spacing w:val="-6"/>
        </w:rPr>
        <w:t>kan</w:t>
      </w:r>
    </w:p>
    <w:p>
      <w:pPr>
        <w:pStyle w:val="BodyText"/>
        <w:spacing w:line="252" w:lineRule="auto" w:before="97"/>
        <w:ind w:left="329" w:right="1131"/>
        <w:jc w:val="both"/>
      </w:pPr>
      <w:r>
        <w:rPr/>
        <w:br w:type="column"/>
      </w:r>
      <w:r>
        <w:rPr>
          <w:spacing w:val="-3"/>
        </w:rPr>
        <w:t>have </w:t>
      </w:r>
      <w:r>
        <w:rPr/>
        <w:t>indflydelse på gridværdien i </w:t>
      </w:r>
      <w:r>
        <w:rPr>
          <w:spacing w:val="-4"/>
        </w:rPr>
        <w:t>DHM/Terræn, </w:t>
      </w:r>
      <w:r>
        <w:rPr/>
        <w:t>er således frasorteret (figur </w:t>
      </w:r>
      <w:hyperlink w:history="true" w:anchor="_bookmark28">
        <w:r>
          <w:rPr>
            <w:color w:val="FF0000"/>
          </w:rPr>
          <w:t>11</w:t>
        </w:r>
      </w:hyperlink>
      <w:r>
        <w:rPr/>
        <w:t>).</w:t>
      </w:r>
    </w:p>
    <w:p>
      <w:pPr>
        <w:pStyle w:val="BodyText"/>
        <w:spacing w:line="230" w:lineRule="auto" w:before="8"/>
        <w:ind w:left="329" w:right="1131" w:firstLine="234"/>
        <w:jc w:val="both"/>
      </w:pPr>
      <w:r>
        <w:rPr/>
        <w:t>Frasortering af de brønddæksler, hvor </w:t>
      </w:r>
      <w:r>
        <w:rPr>
          <w:spacing w:val="-4"/>
        </w:rPr>
        <w:t>hæld-</w:t>
      </w:r>
      <w:r>
        <w:rPr>
          <w:spacing w:val="52"/>
        </w:rPr>
        <w:t> </w:t>
      </w:r>
      <w:r>
        <w:rPr/>
        <w:t>ningen af nærmeste DHM-gridpunkt er </w:t>
      </w:r>
      <w:r>
        <w:rPr>
          <w:spacing w:val="-3"/>
        </w:rPr>
        <w:t>større </w:t>
      </w:r>
      <w:r>
        <w:rPr/>
        <w:t>end 0,7</w:t>
      </w:r>
      <w:r>
        <w:rPr>
          <w:rFonts w:ascii="Verdana" w:hAnsi="Verdana"/>
          <w:i/>
          <w:position w:val="9"/>
          <w:sz w:val="18"/>
        </w:rPr>
        <w:t>◦</w:t>
      </w:r>
      <w:r>
        <w:rPr/>
        <w:t>, betyder, at fejl som følge af unøjag-</w:t>
      </w:r>
    </w:p>
    <w:p>
      <w:pPr>
        <w:pStyle w:val="BodyText"/>
        <w:spacing w:line="288" w:lineRule="exact" w:before="9"/>
        <w:ind w:left="329" w:right="1131"/>
        <w:jc w:val="both"/>
      </w:pPr>
      <w:r>
        <w:rPr/>
        <w:t>tigheder i positionsbestemmelsen af </w:t>
      </w:r>
      <w:r>
        <w:rPr>
          <w:spacing w:val="-5"/>
        </w:rPr>
        <w:t>DHM/Ter- </w:t>
      </w:r>
      <w:r>
        <w:rPr/>
        <w:t>ræn gridcellen maksimalt kan antage en størrel- se på 9 mm. I alt 136 ud af de oprindeligt 349 indmålte brønddæksler placeret i vej var </w:t>
      </w:r>
      <w:r>
        <w:rPr>
          <w:spacing w:val="-3"/>
        </w:rPr>
        <w:t>tilbage </w:t>
      </w:r>
      <w:r>
        <w:rPr/>
        <w:t>efter frasorteringen af punkter, hvor hældningen i DHM/Terræn kunne beregnes til 0,7</w:t>
      </w:r>
      <w:r>
        <w:rPr>
          <w:rFonts w:ascii="Verdana" w:hAnsi="Verdana"/>
          <w:i/>
          <w:position w:val="9"/>
          <w:sz w:val="18"/>
        </w:rPr>
        <w:t>◦ </w:t>
      </w:r>
      <w:r>
        <w:rPr/>
        <w:t>eller</w:t>
      </w:r>
      <w:r>
        <w:rPr>
          <w:spacing w:val="-39"/>
        </w:rPr>
        <w:t> </w:t>
      </w:r>
      <w:r>
        <w:rPr>
          <w:spacing w:val="-5"/>
        </w:rPr>
        <w:t>stør- </w:t>
      </w:r>
      <w:r>
        <w:rPr/>
        <w:t>re.</w:t>
      </w:r>
    </w:p>
    <w:p>
      <w:pPr>
        <w:pStyle w:val="BodyText"/>
        <w:spacing w:line="252" w:lineRule="auto" w:before="13"/>
        <w:ind w:left="329" w:right="1131" w:firstLine="234"/>
        <w:jc w:val="both"/>
      </w:pPr>
      <w:r>
        <w:rPr/>
        <w:t>Sammenligning</w:t>
      </w:r>
      <w:r>
        <w:rPr>
          <w:spacing w:val="-7"/>
        </w:rPr>
        <w:t> </w:t>
      </w:r>
      <w:r>
        <w:rPr/>
        <w:t>i</w:t>
      </w:r>
      <w:r>
        <w:rPr>
          <w:spacing w:val="-7"/>
        </w:rPr>
        <w:t> </w:t>
      </w:r>
      <w:r>
        <w:rPr/>
        <w:t>de</w:t>
      </w:r>
      <w:r>
        <w:rPr>
          <w:spacing w:val="-6"/>
        </w:rPr>
        <w:t> </w:t>
      </w:r>
      <w:r>
        <w:rPr/>
        <w:t>136</w:t>
      </w:r>
      <w:r>
        <w:rPr>
          <w:spacing w:val="-7"/>
        </w:rPr>
        <w:t> </w:t>
      </w:r>
      <w:r>
        <w:rPr/>
        <w:t>punkter</w:t>
      </w:r>
      <w:r>
        <w:rPr>
          <w:spacing w:val="-6"/>
        </w:rPr>
        <w:t> </w:t>
      </w:r>
      <w:r>
        <w:rPr/>
        <w:t>viser</w:t>
      </w:r>
      <w:r>
        <w:rPr>
          <w:spacing w:val="-7"/>
        </w:rPr>
        <w:t> </w:t>
      </w:r>
      <w:r>
        <w:rPr/>
        <w:t>en</w:t>
      </w:r>
      <w:r>
        <w:rPr>
          <w:spacing w:val="-6"/>
        </w:rPr>
        <w:t> </w:t>
      </w:r>
      <w:r>
        <w:rPr>
          <w:spacing w:val="-4"/>
        </w:rPr>
        <w:t>gen- </w:t>
      </w:r>
      <w:r>
        <w:rPr/>
        <w:t>nemsnitlig forskel på +2,3 cm mellem </w:t>
      </w:r>
      <w:r>
        <w:rPr>
          <w:spacing w:val="-3"/>
        </w:rPr>
        <w:t>brønd- </w:t>
      </w:r>
      <w:r>
        <w:rPr/>
        <w:t>dækselkote</w:t>
      </w:r>
      <w:r>
        <w:rPr>
          <w:spacing w:val="-15"/>
        </w:rPr>
        <w:t> </w:t>
      </w:r>
      <w:r>
        <w:rPr/>
        <w:t>og</w:t>
      </w:r>
      <w:r>
        <w:rPr>
          <w:spacing w:val="-16"/>
        </w:rPr>
        <w:t> </w:t>
      </w:r>
      <w:r>
        <w:rPr/>
        <w:t>nærmeste</w:t>
      </w:r>
      <w:r>
        <w:rPr>
          <w:spacing w:val="-14"/>
        </w:rPr>
        <w:t> </w:t>
      </w:r>
      <w:r>
        <w:rPr/>
        <w:t>DHM</w:t>
      </w:r>
      <w:r>
        <w:rPr>
          <w:spacing w:val="-16"/>
        </w:rPr>
        <w:t> </w:t>
      </w:r>
      <w:r>
        <w:rPr/>
        <w:t>kote</w:t>
      </w:r>
      <w:r>
        <w:rPr>
          <w:spacing w:val="-15"/>
        </w:rPr>
        <w:t> </w:t>
      </w:r>
      <w:r>
        <w:rPr/>
        <w:t>med</w:t>
      </w:r>
      <w:r>
        <w:rPr>
          <w:spacing w:val="-15"/>
        </w:rPr>
        <w:t> </w:t>
      </w:r>
      <w:r>
        <w:rPr/>
        <w:t>en</w:t>
      </w:r>
      <w:r>
        <w:rPr>
          <w:spacing w:val="-15"/>
        </w:rPr>
        <w:t> </w:t>
      </w:r>
      <w:r>
        <w:rPr>
          <w:spacing w:val="-3"/>
        </w:rPr>
        <w:t>stan- </w:t>
      </w:r>
      <w:r>
        <w:rPr/>
        <w:t>dardafvigelse på 4 mm. Der er ikke tegn på geo- grafisk betingede trends i de beregnede residu- alværdier.</w:t>
      </w:r>
      <w:r>
        <w:rPr>
          <w:spacing w:val="-12"/>
        </w:rPr>
        <w:t> </w:t>
      </w:r>
      <w:r>
        <w:rPr/>
        <w:t>Eftersom</w:t>
      </w:r>
      <w:r>
        <w:rPr>
          <w:spacing w:val="-12"/>
        </w:rPr>
        <w:t> </w:t>
      </w:r>
      <w:r>
        <w:rPr/>
        <w:t>afvigelsen</w:t>
      </w:r>
      <w:r>
        <w:rPr>
          <w:spacing w:val="-12"/>
        </w:rPr>
        <w:t> </w:t>
      </w:r>
      <w:r>
        <w:rPr/>
        <w:t>er</w:t>
      </w:r>
      <w:r>
        <w:rPr>
          <w:spacing w:val="-12"/>
        </w:rPr>
        <w:t> </w:t>
      </w:r>
      <w:r>
        <w:rPr/>
        <w:t>signifikant</w:t>
      </w:r>
      <w:r>
        <w:rPr>
          <w:spacing w:val="-12"/>
        </w:rPr>
        <w:t> </w:t>
      </w:r>
      <w:r>
        <w:rPr>
          <w:spacing w:val="-7"/>
        </w:rPr>
        <w:t>for- </w:t>
      </w:r>
      <w:r>
        <w:rPr/>
        <w:t>skellig fra nul, er DHM for lokalområdet </w:t>
      </w:r>
      <w:r>
        <w:rPr>
          <w:spacing w:val="-3"/>
        </w:rPr>
        <w:t>syste- </w:t>
      </w:r>
      <w:r>
        <w:rPr/>
        <w:t>matisk justeret med 2,3</w:t>
      </w:r>
      <w:r>
        <w:rPr>
          <w:spacing w:val="-5"/>
        </w:rPr>
        <w:t> </w:t>
      </w:r>
      <w:r>
        <w:rPr/>
        <w:t>cm.</w:t>
      </w:r>
    </w:p>
    <w:p>
      <w:pPr>
        <w:pStyle w:val="BodyText"/>
        <w:spacing w:before="4"/>
        <w:rPr>
          <w:sz w:val="39"/>
        </w:rPr>
      </w:pPr>
    </w:p>
    <w:p>
      <w:pPr>
        <w:pStyle w:val="Heading2"/>
        <w:numPr>
          <w:ilvl w:val="1"/>
          <w:numId w:val="4"/>
        </w:numPr>
        <w:tabs>
          <w:tab w:pos="1086" w:val="left" w:leader="none"/>
          <w:tab w:pos="1087" w:val="left" w:leader="none"/>
          <w:tab w:pos="2894" w:val="left" w:leader="none"/>
          <w:tab w:pos="3418" w:val="left" w:leader="none"/>
        </w:tabs>
        <w:spacing w:line="295" w:lineRule="auto" w:before="0" w:after="0"/>
        <w:ind w:left="1086" w:right="1131" w:hanging="757"/>
        <w:jc w:val="left"/>
      </w:pPr>
      <w:bookmarkStart w:name="_bookmark27" w:id="38"/>
      <w:bookmarkEnd w:id="38"/>
      <w:r>
        <w:rPr>
          <w:b w:val="0"/>
        </w:rPr>
      </w:r>
      <w:bookmarkStart w:name="_bookmark27" w:id="39"/>
      <w:bookmarkEnd w:id="39"/>
      <w:r>
        <w:rPr/>
        <w:t>Beregning</w:t>
      </w:r>
      <w:r>
        <w:rPr/>
        <w:tab/>
        <w:t>af</w:t>
        <w:tab/>
      </w:r>
      <w:r>
        <w:rPr>
          <w:spacing w:val="-3"/>
        </w:rPr>
        <w:t>havspejls- </w:t>
      </w:r>
      <w:r>
        <w:rPr/>
        <w:t>stigningsrate</w:t>
      </w:r>
    </w:p>
    <w:p>
      <w:pPr>
        <w:pStyle w:val="BodyText"/>
        <w:spacing w:line="252" w:lineRule="auto" w:before="165"/>
        <w:ind w:left="329" w:right="1131"/>
        <w:jc w:val="both"/>
      </w:pPr>
      <w:r>
        <w:rPr/>
        <w:t>Pilotstudiet søger ikke at vurdere om og i </w:t>
      </w:r>
      <w:r>
        <w:rPr>
          <w:spacing w:val="-3"/>
        </w:rPr>
        <w:t>hvil- </w:t>
      </w:r>
      <w:r>
        <w:rPr/>
        <w:t>ket omfang, vi oplever en accelereret havspejls- stigning ved Thyborøn; blot kan konkluderes, </w:t>
      </w:r>
      <w:r>
        <w:rPr>
          <w:spacing w:val="-7"/>
        </w:rPr>
        <w:t>at </w:t>
      </w:r>
      <w:r>
        <w:rPr/>
        <w:t>stigningsraten gennem de seneste 20 år tilsyne- ladende er større end i de forudgående </w:t>
      </w:r>
      <w:r>
        <w:rPr>
          <w:spacing w:val="-5"/>
        </w:rPr>
        <w:t>årtier.   </w:t>
      </w:r>
      <w:r>
        <w:rPr/>
        <w:t>Et kvalificeret skøn på havspejlsstigningen </w:t>
      </w:r>
      <w:r>
        <w:rPr>
          <w:spacing w:val="-8"/>
        </w:rPr>
        <w:t>ud </w:t>
      </w:r>
      <w:r>
        <w:rPr/>
        <w:t>fra tilgængelig viden om og prognoser for </w:t>
      </w:r>
      <w:r>
        <w:rPr>
          <w:spacing w:val="-4"/>
        </w:rPr>
        <w:t>kli- </w:t>
      </w:r>
      <w:r>
        <w:rPr/>
        <w:t>maændringer (DMI &amp; GEUS, 2012,</w:t>
      </w:r>
      <w:r>
        <w:rPr>
          <w:spacing w:val="-45"/>
        </w:rPr>
        <w:t> </w:t>
      </w:r>
      <w:r>
        <w:rPr>
          <w:spacing w:val="-2"/>
        </w:rPr>
        <w:t>Naturstyrel- </w:t>
      </w:r>
      <w:r>
        <w:rPr/>
        <w:t>sen 2012, Regeringen, 2012) </w:t>
      </w:r>
      <w:r>
        <w:rPr>
          <w:spacing w:val="-4"/>
        </w:rPr>
        <w:t>er, </w:t>
      </w:r>
      <w:r>
        <w:rPr/>
        <w:t>at </w:t>
      </w:r>
      <w:r>
        <w:rPr>
          <w:spacing w:val="-3"/>
        </w:rPr>
        <w:t>middelvand- </w:t>
      </w:r>
      <w:r>
        <w:rPr/>
        <w:t>standen i 2060 er steget med 30 cm og i 2100 </w:t>
      </w:r>
      <w:r>
        <w:rPr>
          <w:spacing w:val="-8"/>
        </w:rPr>
        <w:t>er </w:t>
      </w:r>
      <w:r>
        <w:rPr/>
        <w:t>steget med 80</w:t>
      </w:r>
      <w:r>
        <w:rPr>
          <w:spacing w:val="-4"/>
        </w:rPr>
        <w:t> </w:t>
      </w:r>
      <w:r>
        <w:rPr/>
        <w:t>cm.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Idet metoden i pilotstudiet relaterer til </w:t>
      </w:r>
      <w:r>
        <w:rPr>
          <w:spacing w:val="-3"/>
        </w:rPr>
        <w:t>abso- </w:t>
      </w:r>
      <w:r>
        <w:rPr/>
        <w:t>lutte ændringer i hav- og landniveauer, er </w:t>
      </w:r>
      <w:r>
        <w:rPr>
          <w:spacing w:val="-4"/>
        </w:rPr>
        <w:t>fast- </w:t>
      </w:r>
      <w:r>
        <w:rPr/>
        <w:t>læggelse af et år til reference for ændringerne</w:t>
      </w:r>
      <w:r>
        <w:rPr>
          <w:spacing w:val="-29"/>
        </w:rPr>
        <w:t> </w:t>
      </w:r>
      <w:r>
        <w:rPr>
          <w:spacing w:val="-9"/>
        </w:rPr>
        <w:t>en</w:t>
      </w:r>
    </w:p>
    <w:p>
      <w:pPr>
        <w:spacing w:after="0" w:line="252" w:lineRule="auto"/>
        <w:jc w:val="both"/>
        <w:sectPr>
          <w:type w:val="continuous"/>
          <w:pgSz w:w="11910" w:h="16840"/>
          <w:pgMar w:top="0" w:bottom="280" w:left="460" w:right="0"/>
          <w:cols w:num="2" w:equalWidth="0">
            <w:col w:w="5309" w:space="40"/>
            <w:col w:w="6101"/>
          </w:cols>
        </w:sectPr>
      </w:pPr>
    </w:p>
    <w:p>
      <w:pPr>
        <w:pStyle w:val="BodyText"/>
        <w:ind w:left="1637"/>
        <w:rPr>
          <w:sz w:val="20"/>
        </w:rPr>
      </w:pPr>
      <w:r>
        <w:rPr>
          <w:sz w:val="20"/>
        </w:rPr>
        <w:drawing>
          <wp:inline distT="0" distB="0" distL="0" distR="0">
            <wp:extent cx="4905755" cy="4184808"/>
            <wp:effectExtent l="0" t="0" r="0" b="0"/>
            <wp:docPr id="33" name="image2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0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5755" cy="418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sz w:val="6"/>
        </w:rPr>
      </w:pPr>
    </w:p>
    <w:p>
      <w:pPr>
        <w:spacing w:line="273" w:lineRule="auto" w:before="103"/>
        <w:ind w:left="673" w:right="1053" w:firstLine="0"/>
        <w:jc w:val="left"/>
        <w:rPr>
          <w:rFonts w:ascii="Arial" w:hAnsi="Arial"/>
          <w:sz w:val="22"/>
        </w:rPr>
      </w:pPr>
      <w:bookmarkStart w:name="_bookmark28" w:id="40"/>
      <w:bookmarkEnd w:id="40"/>
      <w:r>
        <w:rPr/>
      </w:r>
      <w:r>
        <w:rPr>
          <w:rFonts w:ascii="Arial" w:hAnsi="Arial"/>
          <w:sz w:val="22"/>
        </w:rPr>
        <w:t>Figur 11: Indmålte brønddæksler og hældningsberegning for DHM/Terræn. Små hældninger er an- givet i mørkegrønne nuancer.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14"/>
        </w:rPr>
      </w:pPr>
      <w:r>
        <w:rPr/>
        <w:drawing>
          <wp:anchor distT="0" distB="0" distL="0" distR="0" allowOverlap="1" layoutInCell="1" locked="0" behindDoc="0" simplePos="0" relativeHeight="16">
            <wp:simplePos x="0" y="0"/>
            <wp:positionH relativeFrom="page">
              <wp:posOffset>1331988</wp:posOffset>
            </wp:positionH>
            <wp:positionV relativeFrom="paragraph">
              <wp:posOffset>127125</wp:posOffset>
            </wp:positionV>
            <wp:extent cx="4867465" cy="3073336"/>
            <wp:effectExtent l="0" t="0" r="0" b="0"/>
            <wp:wrapTopAndBottom/>
            <wp:docPr id="35" name="image2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1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7465" cy="3073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rFonts w:ascii="Arial"/>
          <w:sz w:val="7"/>
        </w:rPr>
      </w:pPr>
    </w:p>
    <w:p>
      <w:pPr>
        <w:spacing w:line="273" w:lineRule="auto" w:before="104"/>
        <w:ind w:left="673" w:right="1075" w:firstLine="0"/>
        <w:jc w:val="left"/>
        <w:rPr>
          <w:rFonts w:ascii="Arial" w:hAnsi="Arial"/>
          <w:sz w:val="22"/>
        </w:rPr>
      </w:pPr>
      <w:bookmarkStart w:name="_bookmark29" w:id="41"/>
      <w:bookmarkEnd w:id="41"/>
      <w:r>
        <w:rPr/>
      </w:r>
      <w:r>
        <w:rPr>
          <w:rFonts w:ascii="Arial" w:hAnsi="Arial"/>
          <w:sz w:val="22"/>
        </w:rPr>
        <w:t>Figur 12: Forventede stormflodsscenarier ved henholdsvis 15 (år 2060; 3 mm/år), 30 (år 2060) og 80 cm (år 2100) havspejlsstigning i forhold til højvandsstatistikken i dag ved Thyborøn Havn.</w:t>
      </w:r>
    </w:p>
    <w:p>
      <w:pPr>
        <w:spacing w:after="0" w:line="273" w:lineRule="auto"/>
        <w:jc w:val="left"/>
        <w:rPr>
          <w:rFonts w:ascii="Arial" w:hAnsi="Arial"/>
          <w:sz w:val="22"/>
        </w:rPr>
        <w:sectPr>
          <w:pgSz w:w="11910" w:h="16840"/>
          <w:pgMar w:header="0" w:footer="546" w:top="1460" w:bottom="740" w:left="460" w:right="0"/>
        </w:sectPr>
      </w:pPr>
    </w:p>
    <w:p>
      <w:pPr>
        <w:spacing w:line="261" w:lineRule="auto" w:before="92"/>
        <w:ind w:left="673" w:right="0" w:firstLine="0"/>
        <w:jc w:val="both"/>
        <w:rPr>
          <w:rFonts w:ascii="Arial" w:hAnsi="Arial"/>
          <w:sz w:val="18"/>
        </w:rPr>
      </w:pPr>
      <w:bookmarkStart w:name="_bookmark30" w:id="42"/>
      <w:bookmarkEnd w:id="42"/>
      <w:r>
        <w:rPr/>
      </w:r>
      <w:r>
        <w:rPr>
          <w:rFonts w:ascii="Arial" w:hAnsi="Arial"/>
          <w:sz w:val="22"/>
        </w:rPr>
        <w:t>Tabel 4: </w:t>
      </w:r>
      <w:r>
        <w:rPr>
          <w:rFonts w:ascii="Arial" w:hAnsi="Arial"/>
          <w:sz w:val="18"/>
        </w:rPr>
        <w:t>Sætningsrater beregnet for hele perioden 1954–2012 og for perioden 2006–2012.</w:t>
      </w:r>
    </w:p>
    <w:p>
      <w:pPr>
        <w:pStyle w:val="BodyText"/>
        <w:spacing w:before="3"/>
        <w:rPr>
          <w:rFonts w:ascii="Arial"/>
          <w:sz w:val="15"/>
        </w:rPr>
      </w:pPr>
      <w:r>
        <w:rPr/>
        <w:pict>
          <v:line style="position:absolute;mso-position-horizontal-relative:page;mso-position-vertical-relative:paragraph;z-index:-616;mso-wrap-distance-left:0;mso-wrap-distance-right:0" from="62.429001pt,10.951129pt" to="282.667001pt,10.951129pt" stroked="true" strokeweight=".398pt" strokecolor="#000000">
            <v:stroke dashstyle="solid"/>
            <w10:wrap type="topAndBottom"/>
          </v:line>
        </w:pict>
      </w:r>
    </w:p>
    <w:p>
      <w:pPr>
        <w:tabs>
          <w:tab w:pos="1850" w:val="left" w:leader="none"/>
          <w:tab w:pos="3464" w:val="left" w:leader="none"/>
        </w:tabs>
        <w:spacing w:before="0"/>
        <w:ind w:left="673" w:right="0" w:firstLine="0"/>
        <w:jc w:val="center"/>
        <w:rPr>
          <w:rFonts w:ascii="Arial" w:hAnsi="Arial"/>
          <w:sz w:val="18"/>
        </w:rPr>
      </w:pPr>
      <w:r>
        <w:rPr>
          <w:rFonts w:ascii="Arial" w:hAnsi="Arial"/>
          <w:sz w:val="18"/>
        </w:rPr>
        <w:t>Punkt</w:t>
      </w:r>
      <w:r>
        <w:rPr>
          <w:rFonts w:ascii="Arial" w:hAnsi="Arial"/>
          <w:spacing w:val="4"/>
          <w:sz w:val="18"/>
        </w:rPr>
        <w:t> </w:t>
      </w:r>
      <w:r>
        <w:rPr>
          <w:rFonts w:ascii="Arial" w:hAnsi="Arial"/>
          <w:spacing w:val="-4"/>
          <w:sz w:val="18"/>
        </w:rPr>
        <w:t>Nr.</w:t>
        <w:tab/>
      </w:r>
      <w:r>
        <w:rPr>
          <w:rFonts w:ascii="Arial" w:hAnsi="Arial"/>
          <w:sz w:val="18"/>
        </w:rPr>
        <w:t>Sætning</w:t>
      </w:r>
      <w:r>
        <w:rPr>
          <w:rFonts w:ascii="Arial" w:hAnsi="Arial"/>
          <w:spacing w:val="8"/>
          <w:sz w:val="18"/>
        </w:rPr>
        <w:t> </w:t>
      </w:r>
      <w:r>
        <w:rPr>
          <w:rFonts w:ascii="Arial" w:hAnsi="Arial"/>
          <w:sz w:val="18"/>
        </w:rPr>
        <w:t>(mm/år)</w:t>
        <w:tab/>
        <w:t>Sætning</w:t>
      </w:r>
      <w:r>
        <w:rPr>
          <w:rFonts w:ascii="Arial" w:hAnsi="Arial"/>
          <w:spacing w:val="4"/>
          <w:sz w:val="18"/>
        </w:rPr>
        <w:t> </w:t>
      </w:r>
      <w:r>
        <w:rPr>
          <w:rFonts w:ascii="Arial" w:hAnsi="Arial"/>
          <w:sz w:val="18"/>
        </w:rPr>
        <w:t>(mm/år)</w:t>
      </w:r>
    </w:p>
    <w:p>
      <w:pPr>
        <w:tabs>
          <w:tab w:pos="2305" w:val="left" w:leader="none"/>
          <w:tab w:pos="3919" w:val="left" w:leader="none"/>
        </w:tabs>
        <w:spacing w:before="32"/>
        <w:ind w:left="673" w:right="0" w:firstLine="0"/>
        <w:jc w:val="center"/>
        <w:rPr>
          <w:rFonts w:ascii="Arial" w:hAnsi="Arial"/>
          <w:sz w:val="18"/>
        </w:rPr>
      </w:pPr>
      <w:r>
        <w:rPr>
          <w:w w:val="101"/>
          <w:sz w:val="18"/>
          <w:u w:val="single"/>
        </w:rPr>
        <w:t> </w:t>
      </w:r>
      <w:r>
        <w:rPr>
          <w:sz w:val="18"/>
          <w:u w:val="single"/>
        </w:rPr>
        <w:tab/>
      </w:r>
      <w:r>
        <w:rPr>
          <w:rFonts w:ascii="Arial" w:hAnsi="Arial"/>
          <w:sz w:val="18"/>
          <w:u w:val="single"/>
        </w:rPr>
        <w:t>(2006–2012)</w:t>
        <w:tab/>
        <w:t>(1954–2012)</w:t>
      </w:r>
      <w:r>
        <w:rPr>
          <w:rFonts w:ascii="Arial" w:hAnsi="Arial"/>
          <w:spacing w:val="19"/>
          <w:sz w:val="18"/>
          <w:u w:val="single"/>
        </w:rPr>
        <w:t> </w:t>
      </w:r>
    </w:p>
    <w:p>
      <w:pPr>
        <w:tabs>
          <w:tab w:pos="2970" w:val="left" w:leader="none"/>
          <w:tab w:pos="4584" w:val="left" w:leader="none"/>
        </w:tabs>
        <w:spacing w:before="40"/>
        <w:ind w:left="673" w:right="0" w:firstLine="0"/>
        <w:jc w:val="center"/>
        <w:rPr>
          <w:rFonts w:ascii="Arial"/>
          <w:sz w:val="18"/>
        </w:rPr>
      </w:pPr>
      <w:r>
        <w:rPr>
          <w:rFonts w:ascii="Arial"/>
          <w:sz w:val="18"/>
        </w:rPr>
        <w:t>72-01-9032</w:t>
        <w:tab/>
        <w:t>2,6</w:t>
        <w:tab/>
        <w:t>2,4</w:t>
      </w:r>
    </w:p>
    <w:p>
      <w:pPr>
        <w:tabs>
          <w:tab w:pos="2970" w:val="left" w:leader="none"/>
          <w:tab w:pos="4584" w:val="left" w:leader="none"/>
        </w:tabs>
        <w:spacing w:before="32"/>
        <w:ind w:left="673" w:right="0" w:firstLine="0"/>
        <w:jc w:val="center"/>
        <w:rPr>
          <w:rFonts w:ascii="Arial"/>
          <w:sz w:val="18"/>
        </w:rPr>
      </w:pPr>
      <w:r>
        <w:rPr>
          <w:rFonts w:ascii="Arial"/>
          <w:sz w:val="18"/>
        </w:rPr>
        <w:t>72-01-9034</w:t>
        <w:tab/>
        <w:t>3,2</w:t>
        <w:tab/>
        <w:t>3,3</w:t>
      </w:r>
    </w:p>
    <w:p>
      <w:pPr>
        <w:tabs>
          <w:tab w:pos="2970" w:val="left" w:leader="none"/>
          <w:tab w:pos="4584" w:val="left" w:leader="none"/>
        </w:tabs>
        <w:spacing w:before="32"/>
        <w:ind w:left="673" w:right="0" w:firstLine="0"/>
        <w:jc w:val="center"/>
        <w:rPr>
          <w:rFonts w:ascii="Arial"/>
          <w:sz w:val="18"/>
        </w:rPr>
      </w:pPr>
      <w:r>
        <w:rPr>
          <w:rFonts w:ascii="Arial"/>
          <w:sz w:val="18"/>
        </w:rPr>
        <w:t>72-01-9037</w:t>
        <w:tab/>
        <w:t>2,5</w:t>
        <w:tab/>
        <w:t>2,1</w:t>
      </w:r>
    </w:p>
    <w:p>
      <w:pPr>
        <w:tabs>
          <w:tab w:pos="3089" w:val="left" w:leader="none"/>
          <w:tab w:pos="4703" w:val="left" w:leader="none"/>
        </w:tabs>
        <w:spacing w:before="32"/>
        <w:ind w:left="673" w:right="0" w:firstLine="0"/>
        <w:jc w:val="center"/>
        <w:rPr>
          <w:rFonts w:ascii="Arial"/>
          <w:sz w:val="18"/>
        </w:rPr>
      </w:pPr>
      <w:r>
        <w:rPr>
          <w:w w:val="101"/>
          <w:sz w:val="18"/>
          <w:u w:val="single"/>
        </w:rPr>
        <w:t> </w:t>
      </w:r>
      <w:r>
        <w:rPr>
          <w:sz w:val="18"/>
          <w:u w:val="single"/>
        </w:rPr>
        <w:t> </w:t>
      </w:r>
      <w:r>
        <w:rPr>
          <w:spacing w:val="-17"/>
          <w:sz w:val="18"/>
          <w:u w:val="single"/>
        </w:rPr>
        <w:t> </w:t>
      </w:r>
      <w:r>
        <w:rPr>
          <w:rFonts w:ascii="Arial"/>
          <w:sz w:val="18"/>
          <w:u w:val="single"/>
        </w:rPr>
        <w:t>72-01-9039</w:t>
        <w:tab/>
        <w:t>3,2</w:t>
        <w:tab/>
        <w:t>3,0</w:t>
      </w:r>
      <w:r>
        <w:rPr>
          <w:rFonts w:ascii="Arial"/>
          <w:spacing w:val="19"/>
          <w:sz w:val="18"/>
          <w:u w:val="single"/>
        </w:rPr>
        <w:t> </w:t>
      </w:r>
    </w:p>
    <w:p>
      <w:pPr>
        <w:pStyle w:val="BodyText"/>
        <w:spacing w:before="8"/>
        <w:rPr>
          <w:rFonts w:ascii="Arial"/>
          <w:sz w:val="32"/>
        </w:rPr>
      </w:pPr>
    </w:p>
    <w:p>
      <w:pPr>
        <w:pStyle w:val="BodyText"/>
        <w:spacing w:line="252" w:lineRule="auto"/>
        <w:ind w:left="673"/>
        <w:jc w:val="both"/>
      </w:pPr>
      <w:r>
        <w:rPr/>
        <w:t>nødvendighed.</w:t>
      </w:r>
      <w:r>
        <w:rPr>
          <w:spacing w:val="-16"/>
        </w:rPr>
        <w:t> </w:t>
      </w:r>
      <w:r>
        <w:rPr/>
        <w:t>Her</w:t>
      </w:r>
      <w:r>
        <w:rPr>
          <w:spacing w:val="-16"/>
        </w:rPr>
        <w:t> </w:t>
      </w:r>
      <w:r>
        <w:rPr/>
        <w:t>anvendes</w:t>
      </w:r>
      <w:r>
        <w:rPr>
          <w:spacing w:val="-15"/>
        </w:rPr>
        <w:t> </w:t>
      </w:r>
      <w:r>
        <w:rPr/>
        <w:t>år</w:t>
      </w:r>
      <w:r>
        <w:rPr>
          <w:spacing w:val="-16"/>
        </w:rPr>
        <w:t> </w:t>
      </w:r>
      <w:r>
        <w:rPr/>
        <w:t>2060.</w:t>
      </w:r>
      <w:r>
        <w:rPr>
          <w:spacing w:val="-16"/>
        </w:rPr>
        <w:t> </w:t>
      </w:r>
      <w:r>
        <w:rPr>
          <w:spacing w:val="-3"/>
        </w:rPr>
        <w:t>Havspejls- </w:t>
      </w:r>
      <w:r>
        <w:rPr/>
        <w:t>stigningen regnes konservativt i eksemplerne med en konstant stigning på 3 mm/år frem til </w:t>
      </w:r>
      <w:r>
        <w:rPr>
          <w:spacing w:val="-7"/>
        </w:rPr>
        <w:t>år </w:t>
      </w:r>
      <w:r>
        <w:rPr/>
        <w:t>2060. Der ses bort fra potentielt mere </w:t>
      </w:r>
      <w:r>
        <w:rPr>
          <w:spacing w:val="-3"/>
        </w:rPr>
        <w:t>ekstremt </w:t>
      </w:r>
      <w:r>
        <w:rPr/>
        <w:t>vejr i perioden som følge af</w:t>
      </w:r>
      <w:r>
        <w:rPr>
          <w:spacing w:val="-30"/>
        </w:rPr>
        <w:t> </w:t>
      </w:r>
      <w:r>
        <w:rPr/>
        <w:t>klimaforandringer.</w:t>
      </w:r>
    </w:p>
    <w:p>
      <w:pPr>
        <w:pStyle w:val="BodyText"/>
        <w:spacing w:line="252" w:lineRule="auto"/>
        <w:ind w:left="673" w:firstLine="234"/>
        <w:jc w:val="both"/>
      </w:pPr>
      <w:r>
        <w:rPr/>
        <w:t>Havspejlsstigningen vil ikke i sig selv </w:t>
      </w:r>
      <w:r>
        <w:rPr>
          <w:spacing w:val="-3"/>
        </w:rPr>
        <w:t>udgø- </w:t>
      </w:r>
      <w:r>
        <w:rPr/>
        <w:t>re nogen umiddelbar fare i forhold til </w:t>
      </w:r>
      <w:r>
        <w:rPr>
          <w:spacing w:val="-4"/>
        </w:rPr>
        <w:t>oversvøm- </w:t>
      </w:r>
      <w:r>
        <w:rPr/>
        <w:t>melse, men har stor indflydelse på fremtidige stormflodsvandstande. Kraftige stormfloder </w:t>
      </w:r>
      <w:r>
        <w:rPr>
          <w:spacing w:val="-5"/>
        </w:rPr>
        <w:t>vil, </w:t>
      </w:r>
      <w:r>
        <w:rPr/>
        <w:t>alt andet lige, indtræffe hyppigere i fremtiden. Indenfor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usikkerheder,</w:t>
      </w:r>
      <w:r>
        <w:rPr>
          <w:spacing w:val="-7"/>
        </w:rPr>
        <w:t> </w:t>
      </w:r>
      <w:r>
        <w:rPr/>
        <w:t>der</w:t>
      </w:r>
      <w:r>
        <w:rPr>
          <w:spacing w:val="-7"/>
        </w:rPr>
        <w:t> </w:t>
      </w:r>
      <w:r>
        <w:rPr/>
        <w:t>er</w:t>
      </w:r>
      <w:r>
        <w:rPr>
          <w:spacing w:val="-6"/>
        </w:rPr>
        <w:t> </w:t>
      </w:r>
      <w:r>
        <w:rPr/>
        <w:t>i</w:t>
      </w:r>
      <w:r>
        <w:rPr>
          <w:spacing w:val="-7"/>
        </w:rPr>
        <w:t> </w:t>
      </w:r>
      <w:r>
        <w:rPr/>
        <w:t>vurderingen</w:t>
      </w:r>
      <w:r>
        <w:rPr>
          <w:spacing w:val="-7"/>
        </w:rPr>
        <w:t> af </w:t>
      </w:r>
      <w:r>
        <w:rPr/>
        <w:t>fremtidige</w:t>
      </w:r>
      <w:r>
        <w:rPr>
          <w:spacing w:val="-17"/>
        </w:rPr>
        <w:t> </w:t>
      </w:r>
      <w:r>
        <w:rPr/>
        <w:t>stormfloder,</w:t>
      </w:r>
      <w:r>
        <w:rPr>
          <w:spacing w:val="-17"/>
        </w:rPr>
        <w:t> </w:t>
      </w:r>
      <w:r>
        <w:rPr/>
        <w:t>synes</w:t>
      </w:r>
      <w:r>
        <w:rPr>
          <w:spacing w:val="-16"/>
        </w:rPr>
        <w:t> </w:t>
      </w:r>
      <w:r>
        <w:rPr/>
        <w:t>en</w:t>
      </w:r>
      <w:r>
        <w:rPr>
          <w:spacing w:val="-17"/>
        </w:rPr>
        <w:t> </w:t>
      </w:r>
      <w:r>
        <w:rPr/>
        <w:t>antagelse</w:t>
      </w:r>
      <w:r>
        <w:rPr>
          <w:spacing w:val="-16"/>
        </w:rPr>
        <w:t> </w:t>
      </w:r>
      <w:r>
        <w:rPr/>
        <w:t>om,</w:t>
      </w:r>
      <w:r>
        <w:rPr>
          <w:spacing w:val="-16"/>
        </w:rPr>
        <w:t> </w:t>
      </w:r>
      <w:r>
        <w:rPr>
          <w:spacing w:val="-8"/>
        </w:rPr>
        <w:t>at </w:t>
      </w:r>
      <w:r>
        <w:rPr/>
        <w:t>de målte stormflodshøjder i Thyborøn i </w:t>
      </w:r>
      <w:r>
        <w:rPr>
          <w:spacing w:val="-3"/>
        </w:rPr>
        <w:t>fremti- </w:t>
      </w:r>
      <w:r>
        <w:rPr/>
        <w:t>den vil følge udviklingen i middelvandstand </w:t>
      </w:r>
      <w:r>
        <w:rPr>
          <w:spacing w:val="-4"/>
        </w:rPr>
        <w:t>ret- </w:t>
      </w:r>
      <w:r>
        <w:rPr/>
        <w:t>færdiggjort. Der ses bort fra vertikal </w:t>
      </w:r>
      <w:r>
        <w:rPr>
          <w:spacing w:val="-3"/>
        </w:rPr>
        <w:t>landbevæ- </w:t>
      </w:r>
      <w:r>
        <w:rPr/>
        <w:t>gelse og fra betydningen af ændrede </w:t>
      </w:r>
      <w:r>
        <w:rPr>
          <w:spacing w:val="-3"/>
        </w:rPr>
        <w:t>hydrodyna- </w:t>
      </w:r>
      <w:r>
        <w:rPr/>
        <w:t>miske forhold, for eksempel at ændrede </w:t>
      </w:r>
      <w:r>
        <w:rPr>
          <w:spacing w:val="-3"/>
        </w:rPr>
        <w:t>bølge- </w:t>
      </w:r>
      <w:r>
        <w:rPr/>
        <w:t>forhold eller en øget vanddybde kan gøre </w:t>
      </w:r>
      <w:r>
        <w:rPr>
          <w:spacing w:val="-3"/>
        </w:rPr>
        <w:t>storm- </w:t>
      </w:r>
      <w:r>
        <w:rPr/>
        <w:t>floderne enten kraftigere eller svagere. Dette er</w:t>
      </w:r>
      <w:r>
        <w:rPr>
          <w:spacing w:val="-34"/>
        </w:rPr>
        <w:t> </w:t>
      </w:r>
      <w:r>
        <w:rPr>
          <w:spacing w:val="-14"/>
        </w:rPr>
        <w:t>i </w:t>
      </w:r>
      <w:r>
        <w:rPr/>
        <w:t>figur </w:t>
      </w:r>
      <w:hyperlink w:history="true" w:anchor="_bookmark29">
        <w:r>
          <w:rPr>
            <w:color w:val="FF0000"/>
          </w:rPr>
          <w:t>12 </w:t>
        </w:r>
      </w:hyperlink>
      <w:r>
        <w:rPr/>
        <w:t>vist ved, at linjen for højvandsstatistik- ken for Thyborøn Havn er forskudt opad </w:t>
      </w:r>
      <w:r>
        <w:rPr>
          <w:spacing w:val="-4"/>
        </w:rPr>
        <w:t>med </w:t>
      </w:r>
      <w:r>
        <w:rPr/>
        <w:t>henholdsvis</w:t>
      </w:r>
      <w:r>
        <w:rPr>
          <w:spacing w:val="20"/>
        </w:rPr>
        <w:t> </w:t>
      </w:r>
      <w:r>
        <w:rPr/>
        <w:t>15</w:t>
      </w:r>
      <w:r>
        <w:rPr>
          <w:spacing w:val="21"/>
        </w:rPr>
        <w:t> </w:t>
      </w:r>
      <w:r>
        <w:rPr/>
        <w:t>cm</w:t>
      </w:r>
      <w:r>
        <w:rPr>
          <w:spacing w:val="20"/>
        </w:rPr>
        <w:t> </w:t>
      </w:r>
      <w:r>
        <w:rPr/>
        <w:t>(2060;</w:t>
      </w:r>
      <w:r>
        <w:rPr>
          <w:spacing w:val="21"/>
        </w:rPr>
        <w:t> </w:t>
      </w:r>
      <w:r>
        <w:rPr/>
        <w:t>3</w:t>
      </w:r>
      <w:r>
        <w:rPr>
          <w:spacing w:val="20"/>
        </w:rPr>
        <w:t> </w:t>
      </w:r>
      <w:r>
        <w:rPr/>
        <w:t>mm/år),</w:t>
      </w:r>
      <w:r>
        <w:rPr>
          <w:spacing w:val="21"/>
        </w:rPr>
        <w:t> </w:t>
      </w:r>
      <w:r>
        <w:rPr/>
        <w:t>30</w:t>
      </w:r>
      <w:r>
        <w:rPr>
          <w:spacing w:val="20"/>
        </w:rPr>
        <w:t> </w:t>
      </w:r>
      <w:r>
        <w:rPr/>
        <w:t>cm</w:t>
      </w:r>
      <w:r>
        <w:rPr>
          <w:spacing w:val="21"/>
        </w:rPr>
        <w:t> </w:t>
      </w:r>
      <w:r>
        <w:rPr>
          <w:spacing w:val="-7"/>
        </w:rPr>
        <w:t>(år</w:t>
      </w:r>
    </w:p>
    <w:p>
      <w:pPr>
        <w:pStyle w:val="BodyText"/>
        <w:spacing w:line="252" w:lineRule="auto"/>
        <w:ind w:left="673"/>
        <w:jc w:val="both"/>
      </w:pPr>
      <w:r>
        <w:rPr/>
        <w:t>2060) og 80 cm (år 2100) svarende til </w:t>
      </w:r>
      <w:r>
        <w:rPr>
          <w:spacing w:val="-3"/>
        </w:rPr>
        <w:t>effekten </w:t>
      </w:r>
      <w:r>
        <w:rPr/>
        <w:t>af en stigning i middelvandstanden på de </w:t>
      </w:r>
      <w:r>
        <w:rPr>
          <w:spacing w:val="-7"/>
        </w:rPr>
        <w:t>for- </w:t>
      </w:r>
      <w:r>
        <w:rPr/>
        <w:t>modede stormflodshøjder. Konsekvensen </w:t>
      </w:r>
      <w:r>
        <w:rPr>
          <w:spacing w:val="-4"/>
        </w:rPr>
        <w:t>er, </w:t>
      </w:r>
      <w:r>
        <w:rPr>
          <w:spacing w:val="-7"/>
        </w:rPr>
        <w:t>at </w:t>
      </w:r>
      <w:r>
        <w:rPr/>
        <w:t>hændelser, der i dag er sjældne, vil </w:t>
      </w:r>
      <w:r>
        <w:rPr>
          <w:spacing w:val="-3"/>
        </w:rPr>
        <w:t>forekomme </w:t>
      </w:r>
      <w:r>
        <w:rPr/>
        <w:t>langt hyppigere i fremtiden. En 100-års </w:t>
      </w:r>
      <w:r>
        <w:rPr>
          <w:spacing w:val="-3"/>
        </w:rPr>
        <w:t>hændel- </w:t>
      </w:r>
      <w:r>
        <w:rPr/>
        <w:t>se i 2060 vil med en stigning i middelvandstand på 3 mm/år være 206 cm mod 191 cm i dag, </w:t>
      </w:r>
      <w:r>
        <w:rPr>
          <w:spacing w:val="-8"/>
        </w:rPr>
        <w:t>og </w:t>
      </w:r>
      <w:r>
        <w:rPr/>
        <w:t>det, der i dag er en 100-års hændelse, vil i </w:t>
      </w:r>
      <w:r>
        <w:rPr>
          <w:spacing w:val="-4"/>
        </w:rPr>
        <w:t>2060 </w:t>
      </w:r>
      <w:r>
        <w:rPr/>
        <w:t>være</w:t>
      </w:r>
      <w:r>
        <w:rPr>
          <w:spacing w:val="-14"/>
        </w:rPr>
        <w:t> </w:t>
      </w:r>
      <w:r>
        <w:rPr/>
        <w:t>en</w:t>
      </w:r>
      <w:r>
        <w:rPr>
          <w:spacing w:val="-13"/>
        </w:rPr>
        <w:t> </w:t>
      </w:r>
      <w:r>
        <w:rPr/>
        <w:t>18-års</w:t>
      </w:r>
      <w:r>
        <w:rPr>
          <w:spacing w:val="-14"/>
        </w:rPr>
        <w:t> </w:t>
      </w:r>
      <w:r>
        <w:rPr/>
        <w:t>hændelse.</w:t>
      </w:r>
      <w:r>
        <w:rPr>
          <w:spacing w:val="-14"/>
        </w:rPr>
        <w:t> </w:t>
      </w:r>
      <w:r>
        <w:rPr/>
        <w:t>Effekten</w:t>
      </w:r>
      <w:r>
        <w:rPr>
          <w:spacing w:val="-14"/>
        </w:rPr>
        <w:t> </w:t>
      </w:r>
      <w:r>
        <w:rPr/>
        <w:t>øges</w:t>
      </w:r>
      <w:r>
        <w:rPr>
          <w:spacing w:val="-12"/>
        </w:rPr>
        <w:t> </w:t>
      </w:r>
      <w:r>
        <w:rPr/>
        <w:t>naturlig- vis, jo mere vandstanden</w:t>
      </w:r>
      <w:r>
        <w:rPr>
          <w:spacing w:val="-8"/>
        </w:rPr>
        <w:t> </w:t>
      </w:r>
      <w:r>
        <w:rPr/>
        <w:t>stiger.</w:t>
      </w:r>
    </w:p>
    <w:p>
      <w:pPr>
        <w:pStyle w:val="BodyText"/>
        <w:spacing w:before="7"/>
        <w:rPr>
          <w:sz w:val="35"/>
        </w:rPr>
      </w:pPr>
    </w:p>
    <w:p>
      <w:pPr>
        <w:pStyle w:val="Heading2"/>
        <w:numPr>
          <w:ilvl w:val="1"/>
          <w:numId w:val="4"/>
        </w:numPr>
        <w:tabs>
          <w:tab w:pos="1430" w:val="left" w:leader="none"/>
          <w:tab w:pos="1431" w:val="left" w:leader="none"/>
        </w:tabs>
        <w:spacing w:line="295" w:lineRule="auto" w:before="1" w:after="0"/>
        <w:ind w:left="1430" w:right="0" w:hanging="757"/>
        <w:jc w:val="left"/>
      </w:pPr>
      <w:bookmarkStart w:name="_bookmark31" w:id="43"/>
      <w:bookmarkEnd w:id="43"/>
      <w:r>
        <w:rPr>
          <w:b w:val="0"/>
        </w:rPr>
      </w:r>
      <w:bookmarkStart w:name="_bookmark31" w:id="44"/>
      <w:bookmarkEnd w:id="44"/>
      <w:r>
        <w:rPr/>
        <w:t>Beregning</w:t>
      </w:r>
      <w:r>
        <w:rPr/>
        <w:t> af lokal </w:t>
      </w:r>
      <w:r>
        <w:rPr>
          <w:spacing w:val="-4"/>
        </w:rPr>
        <w:t>land- </w:t>
      </w:r>
      <w:r>
        <w:rPr/>
        <w:t>sætning</w:t>
      </w:r>
    </w:p>
    <w:p>
      <w:pPr>
        <w:pStyle w:val="BodyText"/>
        <w:spacing w:line="252" w:lineRule="auto" w:before="164"/>
        <w:ind w:left="673"/>
        <w:jc w:val="both"/>
      </w:pPr>
      <w:r>
        <w:rPr/>
        <w:t>I alt benyttes 66 fikspunkter indmålt med </w:t>
      </w:r>
      <w:r>
        <w:rPr>
          <w:spacing w:val="-3"/>
        </w:rPr>
        <w:t>præci- </w:t>
      </w:r>
      <w:r>
        <w:rPr/>
        <w:t>sionsnivellement</w:t>
      </w:r>
      <w:r>
        <w:rPr>
          <w:spacing w:val="-13"/>
        </w:rPr>
        <w:t> </w:t>
      </w:r>
      <w:r>
        <w:rPr/>
        <w:t>i</w:t>
      </w:r>
      <w:r>
        <w:rPr>
          <w:spacing w:val="-12"/>
        </w:rPr>
        <w:t> </w:t>
      </w:r>
      <w:r>
        <w:rPr/>
        <w:t>Thyborøn</w:t>
      </w:r>
      <w:r>
        <w:rPr>
          <w:spacing w:val="-12"/>
        </w:rPr>
        <w:t> </w:t>
      </w:r>
      <w:r>
        <w:rPr/>
        <w:t>i</w:t>
      </w:r>
      <w:r>
        <w:rPr>
          <w:spacing w:val="-12"/>
        </w:rPr>
        <w:t> </w:t>
      </w:r>
      <w:r>
        <w:rPr/>
        <w:t>henholdsvis</w:t>
      </w:r>
      <w:r>
        <w:rPr>
          <w:spacing w:val="-12"/>
        </w:rPr>
        <w:t> </w:t>
      </w:r>
      <w:r>
        <w:rPr>
          <w:spacing w:val="-3"/>
        </w:rPr>
        <w:t>2012, </w:t>
      </w:r>
      <w:r>
        <w:rPr/>
        <w:t>2009</w:t>
      </w:r>
      <w:r>
        <w:rPr>
          <w:spacing w:val="30"/>
        </w:rPr>
        <w:t> </w:t>
      </w:r>
      <w:r>
        <w:rPr/>
        <w:t>og</w:t>
      </w:r>
      <w:r>
        <w:rPr>
          <w:spacing w:val="31"/>
        </w:rPr>
        <w:t> </w:t>
      </w:r>
      <w:r>
        <w:rPr/>
        <w:t>2006,</w:t>
      </w:r>
      <w:r>
        <w:rPr>
          <w:spacing w:val="31"/>
        </w:rPr>
        <w:t> </w:t>
      </w:r>
      <w:r>
        <w:rPr/>
        <w:t>og</w:t>
      </w:r>
      <w:r>
        <w:rPr>
          <w:spacing w:val="31"/>
        </w:rPr>
        <w:t> </w:t>
      </w:r>
      <w:r>
        <w:rPr/>
        <w:t>omregnet</w:t>
      </w:r>
      <w:r>
        <w:rPr>
          <w:spacing w:val="31"/>
        </w:rPr>
        <w:t> </w:t>
      </w:r>
      <w:r>
        <w:rPr/>
        <w:t>til</w:t>
      </w:r>
      <w:r>
        <w:rPr>
          <w:spacing w:val="31"/>
        </w:rPr>
        <w:t> </w:t>
      </w:r>
      <w:r>
        <w:rPr/>
        <w:t>koter</w:t>
      </w:r>
      <w:r>
        <w:rPr>
          <w:spacing w:val="31"/>
        </w:rPr>
        <w:t> </w:t>
      </w:r>
      <w:r>
        <w:rPr/>
        <w:t>i</w:t>
      </w:r>
      <w:r>
        <w:rPr>
          <w:spacing w:val="31"/>
        </w:rPr>
        <w:t> </w:t>
      </w:r>
      <w:r>
        <w:rPr>
          <w:spacing w:val="-5"/>
        </w:rPr>
        <w:t>DVR90</w:t>
      </w:r>
    </w:p>
    <w:p>
      <w:pPr>
        <w:pStyle w:val="BodyText"/>
        <w:spacing w:line="252" w:lineRule="auto" w:before="111"/>
        <w:ind w:left="329" w:right="1131"/>
        <w:jc w:val="both"/>
      </w:pPr>
      <w:r>
        <w:rPr/>
        <w:br w:type="column"/>
      </w:r>
      <w:r>
        <w:rPr/>
        <w:t>(bilag A). Forklaringsgraden er beregnet </w:t>
      </w:r>
      <w:r>
        <w:rPr>
          <w:spacing w:val="-6"/>
        </w:rPr>
        <w:t>som </w:t>
      </w:r>
      <w:r>
        <w:rPr/>
        <w:t>kvadratet</w:t>
      </w:r>
      <w:r>
        <w:rPr>
          <w:spacing w:val="-24"/>
        </w:rPr>
        <w:t> </w:t>
      </w:r>
      <w:r>
        <w:rPr/>
        <w:t>af</w:t>
      </w:r>
      <w:r>
        <w:rPr>
          <w:spacing w:val="-23"/>
        </w:rPr>
        <w:t> </w:t>
      </w:r>
      <w:r>
        <w:rPr/>
        <w:t>Pearsons</w:t>
      </w:r>
      <w:r>
        <w:rPr>
          <w:spacing w:val="-23"/>
        </w:rPr>
        <w:t> </w:t>
      </w:r>
      <w:r>
        <w:rPr/>
        <w:t>regressionskoefficient</w:t>
      </w:r>
      <w:r>
        <w:rPr>
          <w:spacing w:val="-24"/>
        </w:rPr>
        <w:t> </w:t>
      </w:r>
      <w:r>
        <w:rPr>
          <w:spacing w:val="-4"/>
        </w:rPr>
        <w:t>(R2) </w:t>
      </w:r>
      <w:r>
        <w:rPr/>
        <w:t>med dato for målingen som den uafhængige </w:t>
      </w:r>
      <w:r>
        <w:rPr>
          <w:spacing w:val="-7"/>
        </w:rPr>
        <w:t>va- </w:t>
      </w:r>
      <w:r>
        <w:rPr/>
        <w:t>riabel.</w:t>
      </w:r>
      <w:r>
        <w:rPr>
          <w:spacing w:val="-15"/>
        </w:rPr>
        <w:t> </w:t>
      </w:r>
      <w:r>
        <w:rPr/>
        <w:t>For</w:t>
      </w:r>
      <w:r>
        <w:rPr>
          <w:spacing w:val="-14"/>
        </w:rPr>
        <w:t> </w:t>
      </w:r>
      <w:r>
        <w:rPr/>
        <w:t>65</w:t>
      </w:r>
      <w:r>
        <w:rPr>
          <w:spacing w:val="-15"/>
        </w:rPr>
        <w:t> </w:t>
      </w:r>
      <w:r>
        <w:rPr/>
        <w:t>af</w:t>
      </w:r>
      <w:r>
        <w:rPr>
          <w:spacing w:val="-14"/>
        </w:rPr>
        <w:t> </w:t>
      </w:r>
      <w:r>
        <w:rPr/>
        <w:t>de</w:t>
      </w:r>
      <w:r>
        <w:rPr>
          <w:spacing w:val="-15"/>
        </w:rPr>
        <w:t> </w:t>
      </w:r>
      <w:r>
        <w:rPr/>
        <w:t>i</w:t>
      </w:r>
      <w:r>
        <w:rPr>
          <w:spacing w:val="-14"/>
        </w:rPr>
        <w:t> </w:t>
      </w:r>
      <w:r>
        <w:rPr/>
        <w:t>alt</w:t>
      </w:r>
      <w:r>
        <w:rPr>
          <w:spacing w:val="-15"/>
        </w:rPr>
        <w:t> </w:t>
      </w:r>
      <w:r>
        <w:rPr/>
        <w:t>66</w:t>
      </w:r>
      <w:r>
        <w:rPr>
          <w:spacing w:val="-14"/>
        </w:rPr>
        <w:t> </w:t>
      </w:r>
      <w:r>
        <w:rPr/>
        <w:t>fikspunkter</w:t>
      </w:r>
      <w:r>
        <w:rPr>
          <w:spacing w:val="-15"/>
        </w:rPr>
        <w:t> </w:t>
      </w:r>
      <w:r>
        <w:rPr/>
        <w:t>havde</w:t>
      </w:r>
      <w:r>
        <w:rPr>
          <w:spacing w:val="-14"/>
        </w:rPr>
        <w:t> </w:t>
      </w:r>
      <w:r>
        <w:rPr>
          <w:spacing w:val="-5"/>
        </w:rPr>
        <w:t>må- </w:t>
      </w:r>
      <w:r>
        <w:rPr/>
        <w:t>letidspunktet en forklaringsgrad (R2) højere </w:t>
      </w:r>
      <w:r>
        <w:rPr>
          <w:spacing w:val="-5"/>
        </w:rPr>
        <w:t>end </w:t>
      </w:r>
      <w:r>
        <w:rPr/>
        <w:t>0,95 i forhold til den beregnede kote (figur </w:t>
      </w:r>
      <w:hyperlink w:history="true" w:anchor="_bookmark32">
        <w:r>
          <w:rPr>
            <w:color w:val="FF0000"/>
            <w:spacing w:val="-4"/>
          </w:rPr>
          <w:t>13</w:t>
        </w:r>
      </w:hyperlink>
      <w:r>
        <w:rPr>
          <w:spacing w:val="-4"/>
        </w:rPr>
        <w:t>). </w:t>
      </w:r>
      <w:r>
        <w:rPr/>
        <w:t>Koten for hvert af de 66 punkter er herefter </w:t>
      </w:r>
      <w:r>
        <w:rPr>
          <w:spacing w:val="-5"/>
        </w:rPr>
        <w:t>ek- </w:t>
      </w:r>
      <w:r>
        <w:rPr/>
        <w:t>strapoleret lineært til år 2060 ud fra den fundne relation imellem måletidspunkt og målt kote </w:t>
      </w:r>
      <w:r>
        <w:rPr>
          <w:spacing w:val="-4"/>
        </w:rPr>
        <w:t>(fi- </w:t>
      </w:r>
      <w:r>
        <w:rPr/>
        <w:t>gur</w:t>
      </w:r>
      <w:r>
        <w:rPr>
          <w:spacing w:val="-2"/>
        </w:rPr>
        <w:t> </w:t>
      </w:r>
      <w:hyperlink w:history="true" w:anchor="_bookmark33">
        <w:r>
          <w:rPr>
            <w:color w:val="FF0000"/>
          </w:rPr>
          <w:t>14</w:t>
        </w:r>
      </w:hyperlink>
      <w:r>
        <w:rPr/>
        <w:t>).</w:t>
      </w:r>
    </w:p>
    <w:p>
      <w:pPr>
        <w:pStyle w:val="BodyText"/>
        <w:spacing w:line="216" w:lineRule="exact"/>
        <w:ind w:left="563"/>
      </w:pPr>
      <w:r>
        <w:rPr/>
        <w:t>De lokale sætningsrater er beregnet til 1–7</w:t>
      </w:r>
    </w:p>
    <w:p>
      <w:pPr>
        <w:pStyle w:val="BodyText"/>
        <w:spacing w:line="252" w:lineRule="auto" w:before="13"/>
        <w:ind w:left="329" w:right="1131"/>
        <w:jc w:val="both"/>
      </w:pPr>
      <w:r>
        <w:rPr/>
        <w:t>mm/år, som i perioden fra 2012 og frem til </w:t>
      </w:r>
      <w:r>
        <w:rPr>
          <w:spacing w:val="-3"/>
        </w:rPr>
        <w:t>2060 </w:t>
      </w:r>
      <w:r>
        <w:rPr/>
        <w:t>vil medføre en total sætning på op til 35 cm.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Den</w:t>
      </w:r>
      <w:r>
        <w:rPr>
          <w:spacing w:val="-10"/>
        </w:rPr>
        <w:t> </w:t>
      </w:r>
      <w:r>
        <w:rPr/>
        <w:t>beregnede</w:t>
      </w:r>
      <w:r>
        <w:rPr>
          <w:spacing w:val="-9"/>
        </w:rPr>
        <w:t> </w:t>
      </w:r>
      <w:r>
        <w:rPr/>
        <w:t>sætningsfrekvens</w:t>
      </w:r>
      <w:r>
        <w:rPr>
          <w:spacing w:val="-9"/>
        </w:rPr>
        <w:t> </w:t>
      </w:r>
      <w:r>
        <w:rPr/>
        <w:t>er</w:t>
      </w:r>
      <w:r>
        <w:rPr>
          <w:spacing w:val="-9"/>
        </w:rPr>
        <w:t> </w:t>
      </w:r>
      <w:r>
        <w:rPr/>
        <w:t>baseret</w:t>
      </w:r>
      <w:r>
        <w:rPr>
          <w:spacing w:val="-9"/>
        </w:rPr>
        <w:t> </w:t>
      </w:r>
      <w:r>
        <w:rPr>
          <w:spacing w:val="-7"/>
        </w:rPr>
        <w:t>på </w:t>
      </w:r>
      <w:r>
        <w:rPr/>
        <w:t>en forholdsvis kort periode (2006–2012), </w:t>
      </w:r>
      <w:r>
        <w:rPr>
          <w:spacing w:val="-5"/>
        </w:rPr>
        <w:t>som </w:t>
      </w:r>
      <w:r>
        <w:rPr/>
        <w:t>skyldes at disse nivellementer er sammenhæn- gende</w:t>
      </w:r>
      <w:r>
        <w:rPr>
          <w:spacing w:val="-11"/>
        </w:rPr>
        <w:t> </w:t>
      </w:r>
      <w:r>
        <w:rPr/>
        <w:t>og</w:t>
      </w:r>
      <w:r>
        <w:rPr>
          <w:spacing w:val="-11"/>
        </w:rPr>
        <w:t> </w:t>
      </w:r>
      <w:r>
        <w:rPr/>
        <w:t>udført</w:t>
      </w:r>
      <w:r>
        <w:rPr>
          <w:spacing w:val="-10"/>
        </w:rPr>
        <w:t> </w:t>
      </w:r>
      <w:r>
        <w:rPr/>
        <w:t>med</w:t>
      </w:r>
      <w:r>
        <w:rPr>
          <w:spacing w:val="-11"/>
        </w:rPr>
        <w:t> </w:t>
      </w:r>
      <w:r>
        <w:rPr/>
        <w:t>samme</w:t>
      </w:r>
      <w:r>
        <w:rPr>
          <w:spacing w:val="-10"/>
        </w:rPr>
        <w:t> </w:t>
      </w:r>
      <w:r>
        <w:rPr/>
        <w:t>udstyr</w:t>
      </w:r>
      <w:r>
        <w:rPr>
          <w:spacing w:val="-11"/>
        </w:rPr>
        <w:t> </w:t>
      </w:r>
      <w:r>
        <w:rPr/>
        <w:t>og</w:t>
      </w:r>
      <w:r>
        <w:rPr>
          <w:spacing w:val="-11"/>
        </w:rPr>
        <w:t> </w:t>
      </w:r>
      <w:r>
        <w:rPr/>
        <w:t>efter</w:t>
      </w:r>
      <w:r>
        <w:rPr>
          <w:spacing w:val="-10"/>
        </w:rPr>
        <w:t> </w:t>
      </w:r>
      <w:r>
        <w:rPr>
          <w:spacing w:val="-4"/>
        </w:rPr>
        <w:t>sam- </w:t>
      </w:r>
      <w:r>
        <w:rPr/>
        <w:t>me guidelines og beregningsmetoder. Der </w:t>
      </w:r>
      <w:r>
        <w:rPr>
          <w:spacing w:val="-3"/>
        </w:rPr>
        <w:t>fore- </w:t>
      </w:r>
      <w:r>
        <w:rPr/>
        <w:t>ligger tidligere nivellementer og historiske </w:t>
      </w:r>
      <w:r>
        <w:rPr>
          <w:spacing w:val="-4"/>
        </w:rPr>
        <w:t>koter </w:t>
      </w:r>
      <w:r>
        <w:rPr/>
        <w:t>tilbage fra 1954, 1965, 1985 og 1995. De </w:t>
      </w:r>
      <w:r>
        <w:rPr>
          <w:spacing w:val="-7"/>
        </w:rPr>
        <w:t>før- </w:t>
      </w:r>
      <w:r>
        <w:rPr/>
        <w:t>ste to årgange foreligger analogt og er udført ef- ter ukendte beregningsprincipper og opmålings- metoder. De sidste to årgange foreligger digitalt og er udført med motoriseret detailnivellement, som</w:t>
      </w:r>
      <w:r>
        <w:rPr>
          <w:spacing w:val="-8"/>
        </w:rPr>
        <w:t> </w:t>
      </w:r>
      <w:r>
        <w:rPr/>
        <w:t>har</w:t>
      </w:r>
      <w:r>
        <w:rPr>
          <w:spacing w:val="-7"/>
        </w:rPr>
        <w:t> </w:t>
      </w:r>
      <w:r>
        <w:rPr/>
        <w:t>en</w:t>
      </w:r>
      <w:r>
        <w:rPr>
          <w:spacing w:val="-8"/>
        </w:rPr>
        <w:t> </w:t>
      </w:r>
      <w:r>
        <w:rPr/>
        <w:t>lidt</w:t>
      </w:r>
      <w:r>
        <w:rPr>
          <w:spacing w:val="-8"/>
        </w:rPr>
        <w:t> </w:t>
      </w:r>
      <w:r>
        <w:rPr/>
        <w:t>dårligere</w:t>
      </w:r>
      <w:r>
        <w:rPr>
          <w:spacing w:val="-7"/>
        </w:rPr>
        <w:t> </w:t>
      </w:r>
      <w:r>
        <w:rPr/>
        <w:t>kvalitet</w:t>
      </w:r>
      <w:r>
        <w:rPr>
          <w:spacing w:val="-8"/>
        </w:rPr>
        <w:t> </w:t>
      </w:r>
      <w:r>
        <w:rPr/>
        <w:t>end</w:t>
      </w:r>
      <w:r>
        <w:rPr>
          <w:spacing w:val="-7"/>
        </w:rPr>
        <w:t> </w:t>
      </w:r>
      <w:r>
        <w:rPr/>
        <w:t>målingerne i</w:t>
      </w:r>
      <w:r>
        <w:rPr>
          <w:spacing w:val="-2"/>
        </w:rPr>
        <w:t> </w:t>
      </w:r>
      <w:r>
        <w:rPr/>
        <w:t>2006–2012.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I alt 4 punkter i Thyborøn By </w:t>
      </w:r>
      <w:r>
        <w:rPr>
          <w:spacing w:val="-2"/>
        </w:rPr>
        <w:t>(72-01-9032, </w:t>
      </w:r>
      <w:r>
        <w:rPr/>
        <w:t>72-01-9034,</w:t>
      </w:r>
      <w:r>
        <w:rPr>
          <w:spacing w:val="-14"/>
        </w:rPr>
        <w:t> </w:t>
      </w:r>
      <w:r>
        <w:rPr/>
        <w:t>72-01-9037</w:t>
      </w:r>
      <w:r>
        <w:rPr>
          <w:spacing w:val="-14"/>
        </w:rPr>
        <w:t> </w:t>
      </w:r>
      <w:r>
        <w:rPr/>
        <w:t>og</w:t>
      </w:r>
      <w:r>
        <w:rPr>
          <w:spacing w:val="-14"/>
        </w:rPr>
        <w:t> </w:t>
      </w:r>
      <w:r>
        <w:rPr/>
        <w:t>72-01-9039)</w:t>
      </w:r>
      <w:r>
        <w:rPr>
          <w:spacing w:val="-14"/>
        </w:rPr>
        <w:t> </w:t>
      </w:r>
      <w:r>
        <w:rPr/>
        <w:t>har</w:t>
      </w:r>
      <w:r>
        <w:rPr>
          <w:spacing w:val="-14"/>
        </w:rPr>
        <w:t> </w:t>
      </w:r>
      <w:r>
        <w:rPr>
          <w:spacing w:val="-6"/>
        </w:rPr>
        <w:t>væ-</w:t>
      </w:r>
    </w:p>
    <w:p>
      <w:pPr>
        <w:pStyle w:val="BodyText"/>
        <w:spacing w:line="252" w:lineRule="auto"/>
        <w:ind w:left="329" w:right="1131"/>
        <w:jc w:val="both"/>
      </w:pPr>
      <w:r>
        <w:rPr/>
        <w:t>ret med i samtlige 7 årgange  af  </w:t>
      </w:r>
      <w:r>
        <w:rPr>
          <w:spacing w:val="-3"/>
        </w:rPr>
        <w:t>opmålinger, </w:t>
      </w:r>
      <w:r>
        <w:rPr/>
        <w:t>dog undtaget 72-01-9034 der ikke er medtaget   i</w:t>
      </w:r>
      <w:r>
        <w:rPr>
          <w:spacing w:val="-2"/>
        </w:rPr>
        <w:t> </w:t>
      </w:r>
      <w:r>
        <w:rPr/>
        <w:t>1995.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Efter en omregning af 1954 og 1965 </w:t>
      </w:r>
      <w:r>
        <w:rPr>
          <w:spacing w:val="-4"/>
        </w:rPr>
        <w:t>koter-</w:t>
      </w:r>
      <w:r>
        <w:rPr>
          <w:spacing w:val="52"/>
        </w:rPr>
        <w:t> </w:t>
      </w:r>
      <w:r>
        <w:rPr/>
        <w:t>ne fra højdesystem GM 1891 til </w:t>
      </w:r>
      <w:r>
        <w:rPr>
          <w:spacing w:val="-4"/>
        </w:rPr>
        <w:t>DVR </w:t>
      </w:r>
      <w:r>
        <w:rPr/>
        <w:t>90 er </w:t>
      </w:r>
      <w:r>
        <w:rPr>
          <w:spacing w:val="-5"/>
        </w:rPr>
        <w:t>der </w:t>
      </w:r>
      <w:r>
        <w:rPr/>
        <w:t>udført en sammenligning af det historiske </w:t>
      </w:r>
      <w:r>
        <w:rPr>
          <w:spacing w:val="-4"/>
        </w:rPr>
        <w:t>sæt- </w:t>
      </w:r>
      <w:r>
        <w:rPr/>
        <w:t>ningsforløb fra 1954–2012 i DVR90 med de </w:t>
      </w:r>
      <w:r>
        <w:rPr>
          <w:spacing w:val="-4"/>
        </w:rPr>
        <w:t>be- </w:t>
      </w:r>
      <w:r>
        <w:rPr/>
        <w:t>regnede sætningsrater for perioden 2006–2012. De beregnede koter for perioden 1954–2012 </w:t>
      </w:r>
      <w:r>
        <w:rPr>
          <w:spacing w:val="-5"/>
        </w:rPr>
        <w:t>for </w:t>
      </w:r>
      <w:r>
        <w:rPr/>
        <w:t>hvert af de 4 fikspunkter er vist i figur</w:t>
      </w:r>
      <w:r>
        <w:rPr>
          <w:spacing w:val="-29"/>
        </w:rPr>
        <w:t> </w:t>
      </w:r>
      <w:hyperlink w:history="true" w:anchor="_bookmark34">
        <w:r>
          <w:rPr>
            <w:color w:val="FF0000"/>
          </w:rPr>
          <w:t>15</w:t>
        </w:r>
      </w:hyperlink>
      <w:r>
        <w:rPr/>
        <w:t>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I perioden 1954–2012 har den ældre nordli- ge/østlige del af Thyborøn sat sig 12–20 </w:t>
      </w:r>
      <w:r>
        <w:rPr>
          <w:spacing w:val="-4"/>
        </w:rPr>
        <w:t>cm, </w:t>
      </w:r>
      <w:r>
        <w:rPr/>
        <w:t>hvilket bekræfter sætningstendensen for </w:t>
      </w:r>
      <w:r>
        <w:rPr>
          <w:spacing w:val="-3"/>
        </w:rPr>
        <w:t>2006– </w:t>
      </w:r>
      <w:r>
        <w:rPr/>
        <w:t>2012. Sætningsrater for hele perioden</w:t>
      </w:r>
      <w:r>
        <w:rPr>
          <w:spacing w:val="53"/>
        </w:rPr>
        <w:t> </w:t>
      </w:r>
      <w:r>
        <w:rPr>
          <w:spacing w:val="-3"/>
        </w:rPr>
        <w:t>1954–</w:t>
      </w:r>
    </w:p>
    <w:p>
      <w:pPr>
        <w:pStyle w:val="BodyText"/>
        <w:spacing w:line="252" w:lineRule="auto"/>
        <w:ind w:left="329" w:right="1131"/>
        <w:jc w:val="both"/>
      </w:pPr>
      <w:r>
        <w:rPr/>
        <w:t>2012 henholdsvis perioden 2006–2012 er </w:t>
      </w:r>
      <w:r>
        <w:rPr>
          <w:spacing w:val="-4"/>
        </w:rPr>
        <w:t>bereg- </w:t>
      </w:r>
      <w:r>
        <w:rPr/>
        <w:t>net og sammenlignet i tabel </w:t>
      </w:r>
      <w:hyperlink w:history="true" w:anchor="_bookmark30">
        <w:r>
          <w:rPr>
            <w:color w:val="FF0000"/>
          </w:rPr>
          <w:t>4</w:t>
        </w:r>
      </w:hyperlink>
      <w:r>
        <w:rPr/>
        <w:t>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Med forbehold for de gamle målingers </w:t>
      </w:r>
      <w:r>
        <w:rPr>
          <w:spacing w:val="-4"/>
        </w:rPr>
        <w:t>kvali- </w:t>
      </w:r>
      <w:r>
        <w:rPr/>
        <w:t>tet og beregningsmetoder er der en god </w:t>
      </w:r>
      <w:r>
        <w:rPr>
          <w:spacing w:val="-3"/>
        </w:rPr>
        <w:t>overens- </w:t>
      </w:r>
      <w:r>
        <w:rPr/>
        <w:t>stemmelse,</w:t>
      </w:r>
      <w:r>
        <w:rPr>
          <w:spacing w:val="-13"/>
        </w:rPr>
        <w:t> </w:t>
      </w:r>
      <w:r>
        <w:rPr/>
        <w:t>som</w:t>
      </w:r>
      <w:r>
        <w:rPr>
          <w:spacing w:val="-12"/>
        </w:rPr>
        <w:t> </w:t>
      </w:r>
      <w:r>
        <w:rPr/>
        <w:t>indikerer,</w:t>
      </w:r>
      <w:r>
        <w:rPr>
          <w:spacing w:val="-12"/>
        </w:rPr>
        <w:t> </w:t>
      </w:r>
      <w:r>
        <w:rPr/>
        <w:t>at</w:t>
      </w:r>
      <w:r>
        <w:rPr>
          <w:spacing w:val="-13"/>
        </w:rPr>
        <w:t> </w:t>
      </w:r>
      <w:r>
        <w:rPr/>
        <w:t>sætninger</w:t>
      </w:r>
      <w:r>
        <w:rPr>
          <w:spacing w:val="-12"/>
        </w:rPr>
        <w:t> </w:t>
      </w:r>
      <w:r>
        <w:rPr/>
        <w:t>i</w:t>
      </w:r>
      <w:r>
        <w:rPr>
          <w:spacing w:val="-12"/>
        </w:rPr>
        <w:t> </w:t>
      </w:r>
      <w:r>
        <w:rPr>
          <w:spacing w:val="-4"/>
        </w:rPr>
        <w:t>Thybor- </w:t>
      </w:r>
      <w:r>
        <w:rPr/>
        <w:t>øn ikke er et nyt</w:t>
      </w:r>
      <w:r>
        <w:rPr>
          <w:spacing w:val="-7"/>
        </w:rPr>
        <w:t> </w:t>
      </w:r>
      <w:r>
        <w:rPr/>
        <w:t>fænomen.</w:t>
      </w:r>
    </w:p>
    <w:p>
      <w:pPr>
        <w:spacing w:after="0" w:line="252" w:lineRule="auto"/>
        <w:jc w:val="both"/>
        <w:sectPr>
          <w:pgSz w:w="11910" w:h="16840"/>
          <w:pgMar w:header="0" w:footer="546" w:top="1020" w:bottom="740" w:left="460" w:right="0"/>
          <w:cols w:num="2" w:equalWidth="0">
            <w:col w:w="5309" w:space="40"/>
            <w:col w:w="610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8"/>
        </w:rPr>
      </w:pPr>
    </w:p>
    <w:p>
      <w:pPr>
        <w:spacing w:before="65"/>
        <w:ind w:left="2314" w:right="0" w:firstLine="0"/>
        <w:jc w:val="left"/>
        <w:rPr>
          <w:rFonts w:ascii="Calibri"/>
          <w:sz w:val="17"/>
        </w:rPr>
      </w:pPr>
      <w:r>
        <w:rPr/>
        <w:pict>
          <v:group style="position:absolute;margin-left:148.105896pt;margin-top:8.672872pt;width:333.25pt;height:101.2pt;mso-position-horizontal-relative:page;mso-position-vertical-relative:paragraph;z-index:1480" coordorigin="2962,173" coordsize="6665,2024">
            <v:shape style="position:absolute;left:2767;top:6163;width:12716;height:3099" coordorigin="2767,6163" coordsize="12716,3099" path="m3016,1990l9622,1990m3016,1789l9622,1789m3016,1587l9622,1587m3016,1387l9622,1387m3016,984l9622,984m3016,782l9622,782m3016,581l9622,581m3016,380l9622,380e" filled="false" stroked="true" strokeweight=".498749pt" strokecolor="#b7b7b7">
              <v:path arrowok="t"/>
              <v:stroke dashstyle="solid"/>
            </v:shape>
            <v:shape style="position:absolute;left:2767;top:5774;width:12716;height:1937" coordorigin="2767,5775" coordsize="12716,1937" path="m3016,1185l9622,1185m3016,178l9622,178e" filled="false" stroked="true" strokeweight=".498749pt" strokecolor="#858585">
              <v:path arrowok="t"/>
              <v:stroke dashstyle="solid"/>
            </v:shape>
            <v:rect style="position:absolute;left:3015;top:178;width:6606;height:2014" filled="false" stroked="true" strokeweight=".498749pt" strokecolor="#001f5f">
              <v:stroke dashstyle="solid"/>
            </v:rect>
            <v:line style="position:absolute" from="3066,180" to="3066,2192" stroked="true" strokeweight="1.246872pt" strokecolor="#4f81bc">
              <v:stroke dashstyle="solid"/>
            </v:line>
            <v:line style="position:absolute" from="3166,181" to="3166,2192" stroked="true" strokeweight="1.309216pt" strokecolor="#4f81bc">
              <v:stroke dashstyle="solid"/>
            </v:line>
            <v:line style="position:absolute" from="3266,187" to="3266,2192" stroked="true" strokeweight="1.246872pt" strokecolor="#4f81bc">
              <v:stroke dashstyle="solid"/>
            </v:line>
            <v:shape style="position:absolute;left:3366;top:189;width:100;height:2003" coordorigin="3366,190" coordsize="100,2003" path="m3366,190l3366,2192m3466,190l3466,2192e" filled="false" stroked="true" strokeweight="1.246872pt" strokecolor="#4f81bc">
              <v:path arrowok="t"/>
              <v:stroke dashstyle="solid"/>
            </v:shape>
            <v:shape style="position:absolute;left:3566;top:189;width:200;height:2003" coordorigin="3567,190" coordsize="200,2003" path="m3567,190l3567,2192m3667,190l3667,2192m3766,190l3766,2192e" filled="false" stroked="true" strokeweight="1.246872pt" strokecolor="#4f81bc">
              <v:path arrowok="t"/>
              <v:stroke dashstyle="solid"/>
            </v:shape>
            <v:shape style="position:absolute;left:3866;top:209;width:101;height:1983" coordorigin="3866,210" coordsize="101,1983" path="m3866,210l3866,2192m3967,237l3967,2192e" filled="false" stroked="true" strokeweight="1.246872pt" strokecolor="#4f81bc">
              <v:path arrowok="t"/>
              <v:stroke dashstyle="solid"/>
            </v:shape>
            <v:line style="position:absolute" from="4067,237" to="4067,2192" stroked="true" strokeweight="1.246872pt" strokecolor="#4f81bc">
              <v:stroke dashstyle="solid"/>
            </v:line>
            <v:line style="position:absolute" from="4167,237" to="4167,2192" stroked="true" strokeweight="1.246872pt" strokecolor="#4f81bc">
              <v:stroke dashstyle="solid"/>
            </v:line>
            <v:line style="position:absolute" from="4267,246" to="4267,2192" stroked="true" strokeweight="1.309216pt" strokecolor="#4f81bc">
              <v:stroke dashstyle="solid"/>
            </v:line>
            <v:shape style="position:absolute;left:4367;top:255;width:200;height:1937" coordorigin="4367,256" coordsize="200,1937" path="m4367,256l4367,2192m4467,256l4467,2192m4567,278l4567,2192e" filled="false" stroked="true" strokeweight="1.246872pt" strokecolor="#4f81bc">
              <v:path arrowok="t"/>
              <v:stroke dashstyle="solid"/>
            </v:shape>
            <v:shape style="position:absolute;left:4667;top:281;width:100;height:1911" coordorigin="4668,282" coordsize="100,1911" path="m4668,282l4668,2192m4768,283l4768,2192e" filled="false" stroked="true" strokeweight="1.246872pt" strokecolor="#4f81bc">
              <v:path arrowok="t"/>
              <v:stroke dashstyle="solid"/>
            </v:shape>
            <v:line style="position:absolute" from="4867,294" to="4867,2192" stroked="true" strokeweight="1.246872pt" strokecolor="#4f81bc">
              <v:stroke dashstyle="solid"/>
            </v:line>
            <v:shape style="position:absolute;left:4967;top:294;width:101;height:1898" coordorigin="4967,294" coordsize="101,1898" path="m4967,294l4967,2192m5068,294l5068,2192e" filled="false" stroked="true" strokeweight="1.246872pt" strokecolor="#4f81bc">
              <v:path arrowok="t"/>
              <v:stroke dashstyle="solid"/>
            </v:shape>
            <v:line style="position:absolute" from="5168,294" to="5168,2192" stroked="true" strokeweight="1.246872pt" strokecolor="#4f81bc">
              <v:stroke dashstyle="solid"/>
            </v:line>
            <v:line style="position:absolute" from="5268,294" to="5268,2192" stroked="true" strokeweight="1.246872pt" strokecolor="#4f81bc">
              <v:stroke dashstyle="solid"/>
            </v:line>
            <v:line style="position:absolute" from="5368,312" to="5368,2192" stroked="true" strokeweight="1.309216pt" strokecolor="#4f81bc">
              <v:stroke dashstyle="solid"/>
            </v:line>
            <v:shape style="position:absolute;left:5468;top:333;width:200;height:1860" coordorigin="5468,333" coordsize="200,1860" path="m5468,333l5468,2192m5568,333l5568,2192m5668,346l5668,2192e" filled="false" stroked="true" strokeweight="1.246872pt" strokecolor="#4f81bc">
              <v:path arrowok="t"/>
              <v:stroke dashstyle="solid"/>
            </v:shape>
            <v:shape style="position:absolute;left:5768;top:345;width:100;height:1847" coordorigin="5769,346" coordsize="100,1847" path="m5769,346l5769,2192m5869,352l5869,2192e" filled="false" stroked="true" strokeweight="1.246872pt" strokecolor="#4f81bc">
              <v:path arrowok="t"/>
              <v:stroke dashstyle="solid"/>
            </v:shape>
            <v:line style="position:absolute" from="5968,352" to="5968,2192" stroked="true" strokeweight="1.246872pt" strokecolor="#4f81bc">
              <v:stroke dashstyle="solid"/>
            </v:line>
            <v:shape style="position:absolute;left:6068;top:351;width:101;height:1841" coordorigin="6068,352" coordsize="101,1841" path="m6068,352l6068,2192m6169,362l6169,2192e" filled="false" stroked="true" strokeweight="1.246872pt" strokecolor="#4f81bc">
              <v:path arrowok="t"/>
              <v:stroke dashstyle="solid"/>
            </v:shape>
            <v:line style="position:absolute" from="6269,374" to="6269,2192" stroked="true" strokeweight="1.246872pt" strokecolor="#4f81bc">
              <v:stroke dashstyle="solid"/>
            </v:line>
            <v:shape style="position:absolute;left:6368;top:404;width:100;height:1789" coordorigin="6369,404" coordsize="100,1789" path="m6369,404l6369,2192m6468,404l6468,2192e" filled="false" stroked="true" strokeweight="1.246872pt" strokecolor="#4f81bc">
              <v:path arrowok="t"/>
              <v:stroke dashstyle="solid"/>
            </v:shape>
            <v:shape style="position:absolute;left:6569;top:404;width:100;height:1789" coordorigin="6569,404" coordsize="100,1789" path="m6569,404l6569,2192m6669,417l6669,2192e" filled="false" stroked="true" strokeweight="1.246872pt" strokecolor="#4f81bc">
              <v:path arrowok="t"/>
              <v:stroke dashstyle="solid"/>
            </v:shape>
            <v:shape style="position:absolute;left:6768;top:441;width:101;height:1751" coordorigin="6769,442" coordsize="101,1751" path="m6769,442l6769,2192m6870,442l6870,2192e" filled="false" stroked="true" strokeweight="1.246872pt" strokecolor="#4f81bc">
              <v:path arrowok="t"/>
              <v:stroke dashstyle="solid"/>
            </v:shape>
            <v:line style="position:absolute" from="6970,450" to="6970,2192" stroked="true" strokeweight="1.246872pt" strokecolor="#4f81bc">
              <v:stroke dashstyle="solid"/>
            </v:line>
            <v:line style="position:absolute" from="7069,465" to="7069,2192" stroked="true" strokeweight="1.246872pt" strokecolor="#4f81bc">
              <v:stroke dashstyle="solid"/>
            </v:line>
            <v:shape style="position:absolute;left:7169;top:492;width:101;height:1700" coordorigin="7169,493" coordsize="101,1700" path="m7169,493l7169,2192m7270,503l7270,2192e" filled="false" stroked="true" strokeweight="1.246872pt" strokecolor="#4f81bc">
              <v:path arrowok="t"/>
              <v:stroke dashstyle="solid"/>
            </v:shape>
            <v:line style="position:absolute" from="7370,530" to="7370,2192" stroked="true" strokeweight="1.246872pt" strokecolor="#4f81bc">
              <v:stroke dashstyle="solid"/>
            </v:line>
            <v:line style="position:absolute" from="7470,562" to="7470,2192" stroked="true" strokeweight="1.246872pt" strokecolor="#4f81bc">
              <v:stroke dashstyle="solid"/>
            </v:line>
            <v:line style="position:absolute" from="7569,562" to="7569,2192" stroked="true" strokeweight="1.246872pt" strokecolor="#4f81bc">
              <v:stroke dashstyle="solid"/>
            </v:line>
            <v:shape style="position:absolute;left:7670;top:562;width:100;height:1630" coordorigin="7670,562" coordsize="100,1630" path="m7670,562l7670,2192m7770,562l7770,2192e" filled="false" stroked="true" strokeweight="1.246872pt" strokecolor="#4f81bc">
              <v:path arrowok="t"/>
              <v:stroke dashstyle="solid"/>
            </v:shape>
            <v:line style="position:absolute" from="7870,562" to="7870,2192" stroked="true" strokeweight="1.246872pt" strokecolor="#4f81bc">
              <v:stroke dashstyle="solid"/>
            </v:line>
            <v:line style="position:absolute" from="7970,562" to="7970,2192" stroked="true" strokeweight="1.309216pt" strokecolor="#4f81bc">
              <v:stroke dashstyle="solid"/>
            </v:line>
            <v:line style="position:absolute" from="8071,596" to="8071,2192" stroked="true" strokeweight="1.246872pt" strokecolor="#4f81bc">
              <v:stroke dashstyle="solid"/>
            </v:line>
            <v:line style="position:absolute" from="8170,601" to="8170,2192" stroked="true" strokeweight="1.246872pt" strokecolor="#4f81bc">
              <v:stroke dashstyle="solid"/>
            </v:line>
            <v:line style="position:absolute" from="8270,609" to="8270,2192" stroked="true" strokeweight="1.246872pt" strokecolor="#4f81bc">
              <v:stroke dashstyle="solid"/>
            </v:line>
            <v:line style="position:absolute" from="8371,609" to="8371,2192" stroked="true" strokeweight="1.246872pt" strokecolor="#4f81bc">
              <v:stroke dashstyle="solid"/>
            </v:line>
            <v:line style="position:absolute" from="8471,616" to="8471,2192" stroked="true" strokeweight="1.246872pt" strokecolor="#4f81bc">
              <v:stroke dashstyle="solid"/>
            </v:line>
            <v:shape style="position:absolute;left:8570;top:618;width:201;height:1574" coordorigin="8571,619" coordsize="201,1574" path="m8571,619l8571,2192m8670,703l8670,2192m8771,735l8771,2192e" filled="false" stroked="true" strokeweight="1.246872pt" strokecolor="#4f81bc">
              <v:path arrowok="t"/>
              <v:stroke dashstyle="solid"/>
            </v:shape>
            <v:line style="position:absolute" from="8871,798" to="8871,2192" stroked="true" strokeweight="1.246872pt" strokecolor="#4f81bc">
              <v:stroke dashstyle="solid"/>
            </v:line>
            <v:line style="position:absolute" from="8971,894" to="8971,2192" stroked="true" strokeweight="1.246872pt" strokecolor="#4f81bc">
              <v:stroke dashstyle="solid"/>
            </v:line>
            <v:line style="position:absolute" from="9071,935" to="9071,2192" stroked="true" strokeweight="1.309216pt" strokecolor="#4f81bc">
              <v:stroke dashstyle="solid"/>
            </v:line>
            <v:line style="position:absolute" from="9172,990" to="9172,2192" stroked="true" strokeweight="1.246872pt" strokecolor="#4f81bc">
              <v:stroke dashstyle="solid"/>
            </v:line>
            <v:line style="position:absolute" from="9271,1085" to="9271,2192" stroked="true" strokeweight="1.246872pt" strokecolor="#4f81bc">
              <v:stroke dashstyle="solid"/>
            </v:line>
            <v:line style="position:absolute" from="9371,1085" to="9371,2192" stroked="true" strokeweight="1.246872pt" strokecolor="#4f81bc">
              <v:stroke dashstyle="solid"/>
            </v:line>
            <v:line style="position:absolute" from="9472,1085" to="9472,2192" stroked="true" strokeweight="1.246872pt" strokecolor="#4f81bc">
              <v:stroke dashstyle="solid"/>
            </v:line>
            <v:line style="position:absolute" from="9572,1417" to="9572,2192" stroked="true" strokeweight="1.246872pt" strokecolor="#4f81bc">
              <v:stroke dashstyle="solid"/>
            </v:line>
            <v:shape style="position:absolute;left:2664;top:5774;width:12819;height:3876" coordorigin="2664,5775" coordsize="12819,3876" path="m3016,2192l3016,178m2962,2192l3016,2192m2962,1185l3016,1185m2962,178l3016,178m3016,2192l9622,2192e" filled="false" stroked="true" strokeweight=".498749pt" strokecolor="#858585">
              <v:path arrowok="t"/>
              <v:stroke dashstyle="solid"/>
            </v:shape>
            <w10:wrap type="none"/>
          </v:group>
        </w:pict>
      </w:r>
      <w:bookmarkStart w:name="_bookmark32" w:id="45"/>
      <w:bookmarkEnd w:id="45"/>
      <w:r>
        <w:rPr/>
      </w:r>
      <w:r>
        <w:rPr>
          <w:rFonts w:ascii="Calibri"/>
          <w:w w:val="99"/>
          <w:sz w:val="17"/>
        </w:rPr>
        <w:t>1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2"/>
        <w:rPr>
          <w:rFonts w:ascii="Calibri"/>
          <w:sz w:val="20"/>
        </w:rPr>
      </w:pPr>
    </w:p>
    <w:p>
      <w:pPr>
        <w:spacing w:before="65"/>
        <w:ind w:left="2101" w:right="0" w:firstLine="0"/>
        <w:jc w:val="left"/>
        <w:rPr>
          <w:rFonts w:ascii="Calibri"/>
          <w:sz w:val="17"/>
        </w:rPr>
      </w:pPr>
      <w:r>
        <w:rPr/>
        <w:pict>
          <v:shape style="position:absolute;margin-left:113.752365pt;margin-top:6.307769pt;width:13.05pt;height:12.75pt;mso-position-horizontal-relative:page;mso-position-vertical-relative:paragraph;z-index:1504" type="#_x0000_t202" filled="false" stroked="false">
            <v:textbox inset="0,0,0,0" style="layout-flow:vertical;mso-layout-flow-alt:bottom-to-top">
              <w:txbxContent>
                <w:p>
                  <w:pPr>
                    <w:spacing w:before="17"/>
                    <w:ind w:left="20" w:right="0" w:firstLine="0"/>
                    <w:jc w:val="left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w w:val="105"/>
                      <w:position w:val="-5"/>
                      <w:sz w:val="19"/>
                    </w:rPr>
                    <w:t>R</w:t>
                  </w:r>
                  <w:r>
                    <w:rPr>
                      <w:rFonts w:ascii="Arial"/>
                      <w:w w:val="105"/>
                      <w:sz w:val="13"/>
                    </w:rPr>
                    <w:t>2</w:t>
                  </w:r>
                </w:p>
              </w:txbxContent>
            </v:textbox>
            <w10:wrap type="none"/>
          </v:shape>
        </w:pict>
      </w:r>
      <w:r>
        <w:rPr>
          <w:rFonts w:ascii="Calibri"/>
          <w:sz w:val="17"/>
        </w:rPr>
        <w:t>0,95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2"/>
        <w:rPr>
          <w:rFonts w:ascii="Calibri"/>
          <w:sz w:val="20"/>
        </w:rPr>
      </w:pPr>
    </w:p>
    <w:p>
      <w:pPr>
        <w:spacing w:before="65"/>
        <w:ind w:left="2186" w:right="0" w:firstLine="0"/>
        <w:jc w:val="left"/>
        <w:rPr>
          <w:rFonts w:ascii="Calibri"/>
          <w:sz w:val="17"/>
        </w:rPr>
      </w:pPr>
      <w:r>
        <w:rPr>
          <w:rFonts w:ascii="Calibri"/>
          <w:sz w:val="17"/>
        </w:rPr>
        <w:t>0,9</w:t>
      </w:r>
    </w:p>
    <w:p>
      <w:pPr>
        <w:tabs>
          <w:tab w:pos="3521" w:val="left" w:leader="none"/>
          <w:tab w:pos="4522" w:val="left" w:leader="none"/>
          <w:tab w:pos="5523" w:val="left" w:leader="none"/>
          <w:tab w:pos="6524" w:val="left" w:leader="none"/>
          <w:tab w:pos="7525" w:val="left" w:leader="none"/>
          <w:tab w:pos="8526" w:val="left" w:leader="none"/>
        </w:tabs>
        <w:spacing w:before="12"/>
        <w:ind w:left="2563" w:right="0" w:firstLine="0"/>
        <w:jc w:val="left"/>
        <w:rPr>
          <w:rFonts w:ascii="Calibri"/>
          <w:sz w:val="17"/>
        </w:rPr>
      </w:pPr>
      <w:r>
        <w:rPr>
          <w:rFonts w:ascii="Calibri"/>
          <w:sz w:val="17"/>
        </w:rPr>
        <w:t>1</w:t>
        <w:tab/>
        <w:t>11</w:t>
        <w:tab/>
        <w:t>21</w:t>
        <w:tab/>
        <w:t>31</w:t>
        <w:tab/>
        <w:t>41</w:t>
        <w:tab/>
        <w:t>51</w:t>
        <w:tab/>
        <w:t>61</w:t>
      </w:r>
    </w:p>
    <w:p>
      <w:pPr>
        <w:spacing w:before="48"/>
        <w:ind w:left="5330" w:right="5059" w:firstLine="0"/>
        <w:jc w:val="center"/>
        <w:rPr>
          <w:rFonts w:ascii="Arial"/>
          <w:sz w:val="19"/>
        </w:rPr>
      </w:pPr>
      <w:r>
        <w:rPr>
          <w:rFonts w:ascii="Arial"/>
          <w:w w:val="105"/>
          <w:sz w:val="19"/>
        </w:rPr>
        <w:t>Fikspunkt #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spacing w:before="221"/>
        <w:ind w:left="1663" w:right="0" w:firstLine="0"/>
        <w:jc w:val="left"/>
        <w:rPr>
          <w:rFonts w:ascii="Arial"/>
          <w:sz w:val="22"/>
        </w:rPr>
      </w:pPr>
      <w:r>
        <w:rPr>
          <w:rFonts w:ascii="Arial"/>
          <w:sz w:val="22"/>
        </w:rPr>
        <w:t>Figur 13: Distribution af beregnede forklaringsgrader (R</w:t>
      </w:r>
      <w:r>
        <w:rPr>
          <w:rFonts w:ascii="Microsoft Yi Baiti"/>
          <w:position w:val="9"/>
          <w:sz w:val="18"/>
        </w:rPr>
        <w:t>2</w:t>
      </w:r>
      <w:r>
        <w:rPr>
          <w:rFonts w:ascii="Arial"/>
          <w:sz w:val="22"/>
        </w:rPr>
        <w:t>) for de 66 fikspunkter.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0"/>
        <w:rPr>
          <w:rFonts w:ascii="Arial"/>
          <w:sz w:val="23"/>
        </w:rPr>
      </w:pPr>
      <w:r>
        <w:rPr/>
        <w:drawing>
          <wp:anchor distT="0" distB="0" distL="0" distR="0" allowOverlap="1" layoutInCell="1" locked="0" behindDoc="0" simplePos="0" relativeHeight="18">
            <wp:simplePos x="0" y="0"/>
            <wp:positionH relativeFrom="page">
              <wp:posOffset>1458767</wp:posOffset>
            </wp:positionH>
            <wp:positionV relativeFrom="paragraph">
              <wp:posOffset>199259</wp:posOffset>
            </wp:positionV>
            <wp:extent cx="4662582" cy="3222402"/>
            <wp:effectExtent l="0" t="0" r="0" b="0"/>
            <wp:wrapTopAndBottom/>
            <wp:docPr id="37" name="image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2582" cy="3222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sz w:val="23"/>
        </w:rPr>
      </w:pPr>
    </w:p>
    <w:p>
      <w:pPr>
        <w:spacing w:line="273" w:lineRule="auto" w:before="103"/>
        <w:ind w:left="673" w:right="1053" w:firstLine="0"/>
        <w:jc w:val="left"/>
        <w:rPr>
          <w:rFonts w:ascii="Arial" w:hAnsi="Arial"/>
          <w:sz w:val="22"/>
        </w:rPr>
      </w:pPr>
      <w:bookmarkStart w:name="_bookmark33" w:id="46"/>
      <w:bookmarkEnd w:id="46"/>
      <w:r>
        <w:rPr/>
      </w:r>
      <w:r>
        <w:rPr>
          <w:rFonts w:ascii="Arial" w:hAnsi="Arial"/>
          <w:sz w:val="22"/>
        </w:rPr>
        <w:t>Figur</w:t>
      </w:r>
      <w:r>
        <w:rPr>
          <w:rFonts w:ascii="Arial" w:hAnsi="Arial"/>
          <w:spacing w:val="-10"/>
          <w:sz w:val="22"/>
        </w:rPr>
        <w:t> </w:t>
      </w:r>
      <w:r>
        <w:rPr>
          <w:rFonts w:ascii="Arial" w:hAnsi="Arial"/>
          <w:sz w:val="22"/>
        </w:rPr>
        <w:t>14:</w:t>
      </w:r>
      <w:r>
        <w:rPr>
          <w:rFonts w:ascii="Arial" w:hAnsi="Arial"/>
          <w:spacing w:val="-10"/>
          <w:sz w:val="22"/>
        </w:rPr>
        <w:t> </w:t>
      </w:r>
      <w:r>
        <w:rPr>
          <w:rFonts w:ascii="Arial" w:hAnsi="Arial"/>
          <w:sz w:val="22"/>
        </w:rPr>
        <w:t>Fordeling</w:t>
      </w:r>
      <w:r>
        <w:rPr>
          <w:rFonts w:ascii="Arial" w:hAnsi="Arial"/>
          <w:spacing w:val="-10"/>
          <w:sz w:val="22"/>
        </w:rPr>
        <w:t> </w:t>
      </w:r>
      <w:r>
        <w:rPr>
          <w:rFonts w:ascii="Arial" w:hAnsi="Arial"/>
          <w:sz w:val="22"/>
        </w:rPr>
        <w:t>af</w:t>
      </w:r>
      <w:r>
        <w:rPr>
          <w:rFonts w:ascii="Arial" w:hAnsi="Arial"/>
          <w:spacing w:val="-10"/>
          <w:sz w:val="22"/>
        </w:rPr>
        <w:t> </w:t>
      </w:r>
      <w:r>
        <w:rPr>
          <w:rFonts w:ascii="Arial" w:hAnsi="Arial"/>
          <w:sz w:val="22"/>
        </w:rPr>
        <w:t>størrelsen</w:t>
      </w:r>
      <w:r>
        <w:rPr>
          <w:rFonts w:ascii="Arial" w:hAnsi="Arial"/>
          <w:spacing w:val="-10"/>
          <w:sz w:val="22"/>
        </w:rPr>
        <w:t> </w:t>
      </w:r>
      <w:r>
        <w:rPr>
          <w:rFonts w:ascii="Arial" w:hAnsi="Arial"/>
          <w:sz w:val="22"/>
        </w:rPr>
        <w:t>af</w:t>
      </w:r>
      <w:r>
        <w:rPr>
          <w:rFonts w:ascii="Arial" w:hAnsi="Arial"/>
          <w:spacing w:val="-10"/>
          <w:sz w:val="22"/>
        </w:rPr>
        <w:t> </w:t>
      </w:r>
      <w:r>
        <w:rPr>
          <w:rFonts w:ascii="Arial" w:hAnsi="Arial"/>
          <w:sz w:val="22"/>
        </w:rPr>
        <w:t>den</w:t>
      </w:r>
      <w:r>
        <w:rPr>
          <w:rFonts w:ascii="Arial" w:hAnsi="Arial"/>
          <w:spacing w:val="-10"/>
          <w:sz w:val="22"/>
        </w:rPr>
        <w:t> </w:t>
      </w:r>
      <w:r>
        <w:rPr>
          <w:rFonts w:ascii="Arial" w:hAnsi="Arial"/>
          <w:sz w:val="22"/>
        </w:rPr>
        <w:t>beregnede</w:t>
      </w:r>
      <w:r>
        <w:rPr>
          <w:rFonts w:ascii="Arial" w:hAnsi="Arial"/>
          <w:spacing w:val="-10"/>
          <w:sz w:val="22"/>
        </w:rPr>
        <w:t> </w:t>
      </w:r>
      <w:r>
        <w:rPr>
          <w:rFonts w:ascii="Arial" w:hAnsi="Arial"/>
          <w:sz w:val="22"/>
        </w:rPr>
        <w:t>landbevægelse</w:t>
      </w:r>
      <w:r>
        <w:rPr>
          <w:rFonts w:ascii="Arial" w:hAnsi="Arial"/>
          <w:spacing w:val="-10"/>
          <w:sz w:val="22"/>
        </w:rPr>
        <w:t> </w:t>
      </w:r>
      <w:r>
        <w:rPr>
          <w:rFonts w:ascii="Arial" w:hAnsi="Arial"/>
          <w:sz w:val="22"/>
        </w:rPr>
        <w:t>fra</w:t>
      </w:r>
      <w:r>
        <w:rPr>
          <w:rFonts w:ascii="Arial" w:hAnsi="Arial"/>
          <w:spacing w:val="-10"/>
          <w:sz w:val="22"/>
        </w:rPr>
        <w:t> </w:t>
      </w:r>
      <w:r>
        <w:rPr>
          <w:rFonts w:ascii="Arial" w:hAnsi="Arial"/>
          <w:sz w:val="22"/>
        </w:rPr>
        <w:t>2012-2060</w:t>
      </w:r>
      <w:r>
        <w:rPr>
          <w:rFonts w:ascii="Arial" w:hAnsi="Arial"/>
          <w:spacing w:val="-10"/>
          <w:sz w:val="22"/>
        </w:rPr>
        <w:t> </w:t>
      </w:r>
      <w:r>
        <w:rPr>
          <w:rFonts w:ascii="Arial" w:hAnsi="Arial"/>
          <w:spacing w:val="-3"/>
          <w:sz w:val="22"/>
        </w:rPr>
        <w:t>for</w:t>
      </w:r>
      <w:r>
        <w:rPr>
          <w:rFonts w:ascii="Arial" w:hAnsi="Arial"/>
          <w:spacing w:val="-10"/>
          <w:sz w:val="22"/>
        </w:rPr>
        <w:t> </w:t>
      </w:r>
      <w:r>
        <w:rPr>
          <w:rFonts w:ascii="Arial" w:hAnsi="Arial"/>
          <w:sz w:val="22"/>
        </w:rPr>
        <w:t>de</w:t>
      </w:r>
      <w:r>
        <w:rPr>
          <w:rFonts w:ascii="Arial" w:hAnsi="Arial"/>
          <w:spacing w:val="-10"/>
          <w:sz w:val="22"/>
        </w:rPr>
        <w:t> </w:t>
      </w:r>
      <w:r>
        <w:rPr>
          <w:rFonts w:ascii="Arial" w:hAnsi="Arial"/>
          <w:sz w:val="22"/>
        </w:rPr>
        <w:t>66</w:t>
      </w:r>
      <w:r>
        <w:rPr>
          <w:rFonts w:ascii="Arial" w:hAnsi="Arial"/>
          <w:spacing w:val="-10"/>
          <w:sz w:val="22"/>
        </w:rPr>
        <w:t> </w:t>
      </w:r>
      <w:r>
        <w:rPr>
          <w:rFonts w:ascii="Arial" w:hAnsi="Arial"/>
          <w:sz w:val="22"/>
        </w:rPr>
        <w:t>fikspunk- ter (Middelværdi: -17,5 cm. Medianværdi: -16,5</w:t>
      </w:r>
      <w:r>
        <w:rPr>
          <w:rFonts w:ascii="Arial" w:hAnsi="Arial"/>
          <w:spacing w:val="-1"/>
          <w:sz w:val="22"/>
        </w:rPr>
        <w:t> </w:t>
      </w:r>
      <w:r>
        <w:rPr>
          <w:rFonts w:ascii="Arial" w:hAnsi="Arial"/>
          <w:sz w:val="22"/>
        </w:rPr>
        <w:t>cm).</w:t>
      </w:r>
    </w:p>
    <w:p>
      <w:pPr>
        <w:spacing w:after="0" w:line="273" w:lineRule="auto"/>
        <w:jc w:val="left"/>
        <w:rPr>
          <w:rFonts w:ascii="Arial" w:hAnsi="Arial"/>
          <w:sz w:val="22"/>
        </w:rPr>
        <w:sectPr>
          <w:pgSz w:w="11910" w:h="16840"/>
          <w:pgMar w:header="0" w:footer="546" w:top="1580" w:bottom="740" w:left="460" w:right="0"/>
        </w:sectPr>
      </w:pPr>
    </w:p>
    <w:p>
      <w:pPr>
        <w:pStyle w:val="BodyText"/>
        <w:ind w:left="1876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4629149" cy="1995677"/>
            <wp:effectExtent l="0" t="0" r="0" b="0"/>
            <wp:docPr id="39" name="image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9149" cy="1995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BodyText"/>
        <w:rPr>
          <w:rFonts w:ascii="Arial"/>
          <w:sz w:val="20"/>
        </w:rPr>
      </w:pPr>
    </w:p>
    <w:p>
      <w:pPr>
        <w:spacing w:before="220"/>
        <w:ind w:left="673" w:right="0" w:firstLine="0"/>
        <w:jc w:val="left"/>
        <w:rPr>
          <w:rFonts w:ascii="Arial" w:hAnsi="Arial"/>
          <w:sz w:val="22"/>
        </w:rPr>
      </w:pPr>
      <w:bookmarkStart w:name="_bookmark34" w:id="47"/>
      <w:bookmarkEnd w:id="47"/>
      <w:r>
        <w:rPr/>
      </w:r>
      <w:r>
        <w:rPr>
          <w:rFonts w:ascii="Arial" w:hAnsi="Arial"/>
          <w:sz w:val="22"/>
        </w:rPr>
        <w:t>Figur 15: Beregnede koter for perioden 1954–2012 for fikspunkterne 72-01-9032, 72-01-9034, 72-</w:t>
      </w:r>
    </w:p>
    <w:p>
      <w:pPr>
        <w:spacing w:before="36"/>
        <w:ind w:left="673" w:right="0" w:firstLine="0"/>
        <w:jc w:val="left"/>
        <w:rPr>
          <w:rFonts w:ascii="Arial"/>
          <w:sz w:val="22"/>
        </w:rPr>
      </w:pPr>
      <w:r>
        <w:rPr>
          <w:rFonts w:ascii="Arial"/>
          <w:sz w:val="22"/>
        </w:rPr>
        <w:t>01-9037 og 72-01-9039.</w:t>
      </w:r>
    </w:p>
    <w:p>
      <w:pPr>
        <w:pStyle w:val="BodyText"/>
        <w:spacing w:before="1"/>
        <w:rPr>
          <w:rFonts w:ascii="Arial"/>
        </w:rPr>
      </w:pPr>
    </w:p>
    <w:p>
      <w:pPr>
        <w:spacing w:after="0"/>
        <w:rPr>
          <w:rFonts w:ascii="Arial"/>
        </w:rPr>
        <w:sectPr>
          <w:footerReference w:type="default" r:id="rId39"/>
          <w:pgSz w:w="11910" w:h="16840"/>
          <w:pgMar w:footer="466" w:header="0" w:top="1280" w:bottom="660" w:left="460" w:right="0"/>
          <w:pgNumType w:start="26"/>
        </w:sectPr>
      </w:pPr>
    </w:p>
    <w:p>
      <w:pPr>
        <w:pStyle w:val="Heading2"/>
        <w:numPr>
          <w:ilvl w:val="1"/>
          <w:numId w:val="4"/>
        </w:numPr>
        <w:tabs>
          <w:tab w:pos="1430" w:val="left" w:leader="none"/>
          <w:tab w:pos="1431" w:val="left" w:leader="none"/>
        </w:tabs>
        <w:spacing w:line="295" w:lineRule="auto" w:before="110" w:after="0"/>
        <w:ind w:left="1430" w:right="0" w:hanging="757"/>
        <w:jc w:val="left"/>
      </w:pPr>
      <w:bookmarkStart w:name="_bookmark35" w:id="48"/>
      <w:bookmarkEnd w:id="48"/>
      <w:r>
        <w:rPr>
          <w:b w:val="0"/>
        </w:rPr>
      </w:r>
      <w:bookmarkStart w:name="_bookmark35" w:id="49"/>
      <w:bookmarkEnd w:id="49"/>
      <w:r>
        <w:rPr/>
        <w:t>Rumlig</w:t>
      </w:r>
      <w:r>
        <w:rPr/>
        <w:t> interpolation af </w:t>
      </w:r>
      <w:r>
        <w:rPr>
          <w:spacing w:val="-7"/>
        </w:rPr>
        <w:t>lo- </w:t>
      </w:r>
      <w:r>
        <w:rPr/>
        <w:t>kale</w:t>
      </w:r>
      <w:r>
        <w:rPr>
          <w:spacing w:val="5"/>
        </w:rPr>
        <w:t> </w:t>
      </w:r>
      <w:r>
        <w:rPr/>
        <w:t>sætningsrater</w:t>
      </w:r>
    </w:p>
    <w:p>
      <w:pPr>
        <w:pStyle w:val="BodyText"/>
        <w:spacing w:line="252" w:lineRule="auto" w:before="164"/>
        <w:ind w:left="673"/>
        <w:jc w:val="both"/>
      </w:pPr>
      <w:r>
        <w:rPr/>
        <w:t>Et</w:t>
      </w:r>
      <w:r>
        <w:rPr>
          <w:spacing w:val="-10"/>
        </w:rPr>
        <w:t> </w:t>
      </w:r>
      <w:r>
        <w:rPr/>
        <w:t>kort</w:t>
      </w:r>
      <w:r>
        <w:rPr>
          <w:spacing w:val="-10"/>
        </w:rPr>
        <w:t> </w:t>
      </w:r>
      <w:r>
        <w:rPr/>
        <w:t>over</w:t>
      </w:r>
      <w:r>
        <w:rPr>
          <w:spacing w:val="-10"/>
        </w:rPr>
        <w:t> </w:t>
      </w:r>
      <w:r>
        <w:rPr/>
        <w:t>sætningsrater</w:t>
      </w:r>
      <w:r>
        <w:rPr>
          <w:spacing w:val="-9"/>
        </w:rPr>
        <w:t> </w:t>
      </w:r>
      <w:r>
        <w:rPr/>
        <w:t>kan</w:t>
      </w:r>
      <w:r>
        <w:rPr>
          <w:spacing w:val="-10"/>
        </w:rPr>
        <w:t> </w:t>
      </w:r>
      <w:r>
        <w:rPr/>
        <w:t>fremstilles</w:t>
      </w:r>
      <w:r>
        <w:rPr>
          <w:spacing w:val="-10"/>
        </w:rPr>
        <w:t> </w:t>
      </w:r>
      <w:r>
        <w:rPr/>
        <w:t>ved</w:t>
      </w:r>
      <w:r>
        <w:rPr>
          <w:spacing w:val="-9"/>
        </w:rPr>
        <w:t> </w:t>
      </w:r>
      <w:r>
        <w:rPr>
          <w:spacing w:val="-5"/>
        </w:rPr>
        <w:t>in- </w:t>
      </w:r>
      <w:r>
        <w:rPr/>
        <w:t>terpolation ud fra de beregnede sætningsrater </w:t>
      </w:r>
      <w:r>
        <w:rPr>
          <w:spacing w:val="-17"/>
        </w:rPr>
        <w:t>i </w:t>
      </w:r>
      <w:r>
        <w:rPr/>
        <w:t>de 65 fikspunkter. </w:t>
      </w:r>
      <w:r>
        <w:rPr>
          <w:spacing w:val="-5"/>
        </w:rPr>
        <w:t>Valget </w:t>
      </w:r>
      <w:r>
        <w:rPr/>
        <w:t>af interpolationsmeto- de afhænger af formål såvel som kvalitet og </w:t>
      </w:r>
      <w:r>
        <w:rPr>
          <w:spacing w:val="-8"/>
        </w:rPr>
        <w:t>for- </w:t>
      </w:r>
      <w:r>
        <w:rPr/>
        <w:t>deling af</w:t>
      </w:r>
      <w:r>
        <w:rPr>
          <w:spacing w:val="-3"/>
        </w:rPr>
        <w:t> </w:t>
      </w:r>
      <w:r>
        <w:rPr/>
        <w:t>inputdata.</w:t>
      </w:r>
    </w:p>
    <w:p>
      <w:pPr>
        <w:pStyle w:val="BodyText"/>
        <w:spacing w:line="252" w:lineRule="auto"/>
        <w:ind w:left="673" w:firstLine="234"/>
        <w:jc w:val="both"/>
      </w:pPr>
      <w:r>
        <w:rPr/>
        <w:t>I dette studie er metoden “ordinær kriging” valgt. Kriging er en meget fleksibel interpola- tionsmetode</w:t>
      </w:r>
      <w:r>
        <w:rPr>
          <w:spacing w:val="-18"/>
        </w:rPr>
        <w:t> </w:t>
      </w:r>
      <w:r>
        <w:rPr/>
        <w:t>og</w:t>
      </w:r>
      <w:r>
        <w:rPr>
          <w:spacing w:val="-17"/>
        </w:rPr>
        <w:t> </w:t>
      </w:r>
      <w:r>
        <w:rPr/>
        <w:t>kan</w:t>
      </w:r>
      <w:r>
        <w:rPr>
          <w:spacing w:val="-17"/>
        </w:rPr>
        <w:t> </w:t>
      </w:r>
      <w:r>
        <w:rPr/>
        <w:t>derfor</w:t>
      </w:r>
      <w:r>
        <w:rPr>
          <w:spacing w:val="-17"/>
        </w:rPr>
        <w:t> </w:t>
      </w:r>
      <w:r>
        <w:rPr/>
        <w:t>kræve</w:t>
      </w:r>
      <w:r>
        <w:rPr>
          <w:spacing w:val="-18"/>
        </w:rPr>
        <w:t> </w:t>
      </w:r>
      <w:r>
        <w:rPr/>
        <w:t>en</w:t>
      </w:r>
      <w:r>
        <w:rPr>
          <w:spacing w:val="-16"/>
        </w:rPr>
        <w:t> </w:t>
      </w:r>
      <w:r>
        <w:rPr/>
        <w:t>anseelig</w:t>
      </w:r>
      <w:r>
        <w:rPr>
          <w:spacing w:val="-17"/>
        </w:rPr>
        <w:t> </w:t>
      </w:r>
      <w:r>
        <w:rPr>
          <w:spacing w:val="-4"/>
        </w:rPr>
        <w:t>ind- </w:t>
      </w:r>
      <w:r>
        <w:rPr/>
        <w:t>sats med hensyn til optimering i indstillingen </w:t>
      </w:r>
      <w:r>
        <w:rPr>
          <w:spacing w:val="-9"/>
        </w:rPr>
        <w:t>af </w:t>
      </w:r>
      <w:r>
        <w:rPr/>
        <w:t>interpolationsparametrene. Metoden er </w:t>
      </w:r>
      <w:r>
        <w:rPr>
          <w:spacing w:val="-3"/>
        </w:rPr>
        <w:t>velkendt </w:t>
      </w:r>
      <w:r>
        <w:rPr/>
        <w:t>og anvendes ofte til  at  </w:t>
      </w:r>
      <w:r>
        <w:rPr>
          <w:spacing w:val="-3"/>
        </w:rPr>
        <w:t>give  </w:t>
      </w:r>
      <w:r>
        <w:rPr/>
        <w:t>et  første  bud</w:t>
      </w:r>
      <w:r>
        <w:rPr>
          <w:spacing w:val="29"/>
        </w:rPr>
        <w:t> </w:t>
      </w:r>
      <w:r>
        <w:rPr>
          <w:spacing w:val="-7"/>
        </w:rPr>
        <w:t>på </w:t>
      </w:r>
      <w:r>
        <w:rPr/>
        <w:t>et fladedækkende estimat. I dette studie er </w:t>
      </w:r>
      <w:r>
        <w:rPr>
          <w:spacing w:val="-6"/>
        </w:rPr>
        <w:t>au- </w:t>
      </w:r>
      <w:r>
        <w:rPr/>
        <w:t>tokorrelationen beskrevet med en sfærisk </w:t>
      </w:r>
      <w:r>
        <w:rPr>
          <w:spacing w:val="-4"/>
        </w:rPr>
        <w:t>semi- </w:t>
      </w:r>
      <w:r>
        <w:rPr/>
        <w:t>variogrammodel med variabel søgeradius og </w:t>
      </w:r>
      <w:r>
        <w:rPr>
          <w:spacing w:val="-9"/>
        </w:rPr>
        <w:t>de </w:t>
      </w:r>
      <w:r>
        <w:rPr/>
        <w:t>20 nærmeste punkter som inputparametre. </w:t>
      </w:r>
      <w:r>
        <w:rPr>
          <w:spacing w:val="-11"/>
        </w:rPr>
        <w:t>Valg </w:t>
      </w:r>
      <w:r>
        <w:rPr/>
        <w:t>af interpolationsmetode og parameteropsætning bør i fremtidige studier underkastes nøjere </w:t>
      </w:r>
      <w:r>
        <w:rPr>
          <w:spacing w:val="-7"/>
        </w:rPr>
        <w:t>over- </w:t>
      </w:r>
      <w:r>
        <w:rPr/>
        <w:t>vejelser.</w:t>
      </w:r>
    </w:p>
    <w:p>
      <w:pPr>
        <w:pStyle w:val="BodyText"/>
        <w:spacing w:line="252" w:lineRule="auto"/>
        <w:ind w:left="673" w:firstLine="234"/>
        <w:jc w:val="both"/>
      </w:pPr>
      <w:r>
        <w:rPr/>
        <w:t>Resultatet af den rumlige interpolation </w:t>
      </w:r>
      <w:r>
        <w:rPr>
          <w:spacing w:val="-6"/>
        </w:rPr>
        <w:t>viser, </w:t>
      </w:r>
      <w:r>
        <w:rPr/>
        <w:t>at især områder i den sydlige og østlige del </w:t>
      </w:r>
      <w:r>
        <w:rPr>
          <w:spacing w:val="-6"/>
        </w:rPr>
        <w:t>af </w:t>
      </w:r>
      <w:r>
        <w:rPr/>
        <w:t>Thyborøn</w:t>
      </w:r>
      <w:r>
        <w:rPr>
          <w:spacing w:val="-19"/>
        </w:rPr>
        <w:t> </w:t>
      </w:r>
      <w:r>
        <w:rPr/>
        <w:t>fremadrettet</w:t>
      </w:r>
      <w:r>
        <w:rPr>
          <w:spacing w:val="-19"/>
        </w:rPr>
        <w:t> </w:t>
      </w:r>
      <w:r>
        <w:rPr/>
        <w:t>vil</w:t>
      </w:r>
      <w:r>
        <w:rPr>
          <w:spacing w:val="-19"/>
        </w:rPr>
        <w:t> </w:t>
      </w:r>
      <w:r>
        <w:rPr/>
        <w:t>opleve</w:t>
      </w:r>
      <w:r>
        <w:rPr>
          <w:spacing w:val="-18"/>
        </w:rPr>
        <w:t> </w:t>
      </w:r>
      <w:r>
        <w:rPr/>
        <w:t>store</w:t>
      </w:r>
      <w:r>
        <w:rPr>
          <w:spacing w:val="-19"/>
        </w:rPr>
        <w:t> </w:t>
      </w:r>
      <w:r>
        <w:rPr/>
        <w:t>sætninger (figur</w:t>
      </w:r>
      <w:r>
        <w:rPr>
          <w:spacing w:val="-2"/>
        </w:rPr>
        <w:t> </w:t>
      </w:r>
      <w:hyperlink w:history="true" w:anchor="_bookmark37">
        <w:r>
          <w:rPr>
            <w:color w:val="FF0000"/>
          </w:rPr>
          <w:t>16</w:t>
        </w:r>
      </w:hyperlink>
      <w:r>
        <w:rPr/>
        <w:t>).</w:t>
      </w:r>
    </w:p>
    <w:p>
      <w:pPr>
        <w:pStyle w:val="BodyText"/>
        <w:spacing w:before="5"/>
        <w:rPr>
          <w:sz w:val="36"/>
        </w:rPr>
      </w:pPr>
    </w:p>
    <w:p>
      <w:pPr>
        <w:pStyle w:val="Heading2"/>
        <w:numPr>
          <w:ilvl w:val="1"/>
          <w:numId w:val="4"/>
        </w:numPr>
        <w:tabs>
          <w:tab w:pos="1430" w:val="left" w:leader="none"/>
          <w:tab w:pos="1431" w:val="left" w:leader="none"/>
        </w:tabs>
        <w:spacing w:line="295" w:lineRule="auto" w:before="0" w:after="0"/>
        <w:ind w:left="1430" w:right="0" w:hanging="757"/>
        <w:jc w:val="left"/>
      </w:pPr>
      <w:bookmarkStart w:name="_bookmark36" w:id="50"/>
      <w:bookmarkEnd w:id="50"/>
      <w:r>
        <w:rPr>
          <w:b w:val="0"/>
        </w:rPr>
      </w:r>
      <w:bookmarkStart w:name="_bookmark36" w:id="51"/>
      <w:bookmarkEnd w:id="51"/>
      <w:r>
        <w:rPr/>
        <w:t>K</w:t>
      </w:r>
      <w:r>
        <w:rPr/>
        <w:t>ortlægning af </w:t>
      </w:r>
      <w:r>
        <w:rPr>
          <w:spacing w:val="-5"/>
        </w:rPr>
        <w:t>oversvøm- </w:t>
      </w:r>
      <w:r>
        <w:rPr/>
        <w:t>melsestruede</w:t>
      </w:r>
      <w:r>
        <w:rPr>
          <w:spacing w:val="11"/>
        </w:rPr>
        <w:t> </w:t>
      </w:r>
      <w:r>
        <w:rPr/>
        <w:t>områder</w:t>
      </w:r>
    </w:p>
    <w:p>
      <w:pPr>
        <w:pStyle w:val="BodyText"/>
        <w:spacing w:line="252" w:lineRule="auto" w:before="165"/>
        <w:ind w:left="673"/>
        <w:jc w:val="both"/>
      </w:pPr>
      <w:r>
        <w:rPr/>
        <w:t>En kortlægning af områder, som kan </w:t>
      </w:r>
      <w:r>
        <w:rPr>
          <w:spacing w:val="-4"/>
        </w:rPr>
        <w:t>oversvøm- </w:t>
      </w:r>
      <w:r>
        <w:rPr/>
        <w:t>mes ved en 100-års stormflodshændelse i dag</w:t>
      </w:r>
      <w:r>
        <w:rPr>
          <w:spacing w:val="-38"/>
        </w:rPr>
        <w:t> </w:t>
      </w:r>
      <w:r>
        <w:rPr>
          <w:spacing w:val="-9"/>
        </w:rPr>
        <w:t>og </w:t>
      </w:r>
      <w:r>
        <w:rPr/>
        <w:t>i</w:t>
      </w:r>
      <w:r>
        <w:rPr>
          <w:spacing w:val="-17"/>
        </w:rPr>
        <w:t> </w:t>
      </w:r>
      <w:r>
        <w:rPr/>
        <w:t>2060,</w:t>
      </w:r>
      <w:r>
        <w:rPr>
          <w:spacing w:val="-17"/>
        </w:rPr>
        <w:t> </w:t>
      </w:r>
      <w:r>
        <w:rPr/>
        <w:t>kan</w:t>
      </w:r>
      <w:r>
        <w:rPr>
          <w:spacing w:val="-17"/>
        </w:rPr>
        <w:t> </w:t>
      </w:r>
      <w:r>
        <w:rPr/>
        <w:t>beregnes</w:t>
      </w:r>
      <w:r>
        <w:rPr>
          <w:spacing w:val="-17"/>
        </w:rPr>
        <w:t> </w:t>
      </w:r>
      <w:r>
        <w:rPr/>
        <w:t>ved</w:t>
      </w:r>
      <w:r>
        <w:rPr>
          <w:spacing w:val="-17"/>
        </w:rPr>
        <w:t> </w:t>
      </w:r>
      <w:r>
        <w:rPr/>
        <w:t>en</w:t>
      </w:r>
      <w:r>
        <w:rPr>
          <w:spacing w:val="-16"/>
        </w:rPr>
        <w:t> </w:t>
      </w:r>
      <w:r>
        <w:rPr/>
        <w:t>computersimulation,</w:t>
      </w:r>
    </w:p>
    <w:p>
      <w:pPr>
        <w:pStyle w:val="BodyText"/>
        <w:spacing w:line="252" w:lineRule="auto" w:before="176"/>
        <w:ind w:left="329" w:right="1131"/>
        <w:jc w:val="both"/>
      </w:pPr>
      <w:r>
        <w:rPr/>
        <w:br w:type="column"/>
      </w:r>
      <w:r>
        <w:rPr/>
        <w:t>hvor</w:t>
      </w:r>
      <w:r>
        <w:rPr>
          <w:spacing w:val="-14"/>
        </w:rPr>
        <w:t> </w:t>
      </w:r>
      <w:r>
        <w:rPr/>
        <w:t>vandstanden</w:t>
      </w:r>
      <w:r>
        <w:rPr>
          <w:spacing w:val="-13"/>
        </w:rPr>
        <w:t> </w:t>
      </w:r>
      <w:r>
        <w:rPr/>
        <w:t>i</w:t>
      </w:r>
      <w:r>
        <w:rPr>
          <w:spacing w:val="-14"/>
        </w:rPr>
        <w:t> </w:t>
      </w:r>
      <w:r>
        <w:rPr/>
        <w:t>havet</w:t>
      </w:r>
      <w:r>
        <w:rPr>
          <w:spacing w:val="-12"/>
        </w:rPr>
        <w:t> </w:t>
      </w:r>
      <w:r>
        <w:rPr/>
        <w:t>er</w:t>
      </w:r>
      <w:r>
        <w:rPr>
          <w:spacing w:val="-14"/>
        </w:rPr>
        <w:t> </w:t>
      </w:r>
      <w:r>
        <w:rPr/>
        <w:t>191</w:t>
      </w:r>
      <w:r>
        <w:rPr>
          <w:spacing w:val="-13"/>
        </w:rPr>
        <w:t> </w:t>
      </w:r>
      <w:r>
        <w:rPr/>
        <w:t>cm</w:t>
      </w:r>
      <w:r>
        <w:rPr>
          <w:spacing w:val="-13"/>
        </w:rPr>
        <w:t> </w:t>
      </w:r>
      <w:r>
        <w:rPr/>
        <w:t>i</w:t>
      </w:r>
      <w:r>
        <w:rPr>
          <w:spacing w:val="-14"/>
        </w:rPr>
        <w:t> </w:t>
      </w:r>
      <w:r>
        <w:rPr/>
        <w:t>dag</w:t>
      </w:r>
      <w:r>
        <w:rPr>
          <w:spacing w:val="-12"/>
        </w:rPr>
        <w:t> </w:t>
      </w:r>
      <w:r>
        <w:rPr/>
        <w:t>og</w:t>
      </w:r>
      <w:r>
        <w:rPr>
          <w:spacing w:val="-14"/>
        </w:rPr>
        <w:t> </w:t>
      </w:r>
      <w:r>
        <w:rPr/>
        <w:t>øges til 206 cm svarende til den beregnede </w:t>
      </w:r>
      <w:r>
        <w:rPr>
          <w:spacing w:val="-3"/>
        </w:rPr>
        <w:t>vandstand </w:t>
      </w:r>
      <w:r>
        <w:rPr/>
        <w:t>for en 100-års hændelse i år 2060 (figur </w:t>
      </w:r>
      <w:hyperlink w:history="true" w:anchor="_bookmark38">
        <w:r>
          <w:rPr>
            <w:color w:val="FF0000"/>
          </w:rPr>
          <w:t>17 </w:t>
        </w:r>
      </w:hyperlink>
      <w:r>
        <w:rPr>
          <w:spacing w:val="-8"/>
        </w:rPr>
        <w:t>og </w:t>
      </w:r>
      <w:hyperlink w:history="true" w:anchor="_bookmark39">
        <w:r>
          <w:rPr>
            <w:color w:val="FF0000"/>
          </w:rPr>
          <w:t>18</w:t>
        </w:r>
      </w:hyperlink>
      <w:r>
        <w:rPr/>
        <w:t>). Metoden er ikke begrænset af tid og </w:t>
      </w:r>
      <w:r>
        <w:rPr>
          <w:spacing w:val="-5"/>
        </w:rPr>
        <w:t>vand- </w:t>
      </w:r>
      <w:r>
        <w:rPr/>
        <w:t>mængde,</w:t>
      </w:r>
      <w:r>
        <w:rPr>
          <w:spacing w:val="-19"/>
        </w:rPr>
        <w:t> </w:t>
      </w:r>
      <w:r>
        <w:rPr/>
        <w:t>og</w:t>
      </w:r>
      <w:r>
        <w:rPr>
          <w:spacing w:val="-19"/>
        </w:rPr>
        <w:t> </w:t>
      </w:r>
      <w:r>
        <w:rPr/>
        <w:t>alle</w:t>
      </w:r>
      <w:r>
        <w:rPr>
          <w:spacing w:val="-19"/>
        </w:rPr>
        <w:t> </w:t>
      </w:r>
      <w:r>
        <w:rPr/>
        <w:t>områder,</w:t>
      </w:r>
      <w:r>
        <w:rPr>
          <w:spacing w:val="-19"/>
        </w:rPr>
        <w:t> </w:t>
      </w:r>
      <w:r>
        <w:rPr/>
        <w:t>der</w:t>
      </w:r>
      <w:r>
        <w:rPr>
          <w:spacing w:val="-19"/>
        </w:rPr>
        <w:t> </w:t>
      </w:r>
      <w:r>
        <w:rPr/>
        <w:t>ligger</w:t>
      </w:r>
      <w:r>
        <w:rPr>
          <w:spacing w:val="-19"/>
        </w:rPr>
        <w:t> </w:t>
      </w:r>
      <w:r>
        <w:rPr/>
        <w:t>i</w:t>
      </w:r>
      <w:r>
        <w:rPr>
          <w:spacing w:val="-19"/>
        </w:rPr>
        <w:t> </w:t>
      </w:r>
      <w:r>
        <w:rPr/>
        <w:t>forbindelse med havet ved en given vandstand, bliver </w:t>
      </w:r>
      <w:r>
        <w:rPr>
          <w:spacing w:val="-6"/>
        </w:rPr>
        <w:t>over- </w:t>
      </w:r>
      <w:r>
        <w:rPr/>
        <w:t>svømmet.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Resultatet </w:t>
      </w:r>
      <w:r>
        <w:rPr>
          <w:spacing w:val="-4"/>
        </w:rPr>
        <w:t>er, </w:t>
      </w:r>
      <w:r>
        <w:rPr/>
        <w:t>at en del af Thyborøn potenti- elt oversvømmes allerede i dag og med et </w:t>
      </w:r>
      <w:r>
        <w:rPr>
          <w:spacing w:val="-4"/>
        </w:rPr>
        <w:t>øget </w:t>
      </w:r>
      <w:r>
        <w:rPr/>
        <w:t>omfang i 2060, hvis der ikke er foretaget </w:t>
      </w:r>
      <w:r>
        <w:rPr>
          <w:spacing w:val="-4"/>
        </w:rPr>
        <w:t>mod-</w:t>
      </w:r>
      <w:r>
        <w:rPr>
          <w:spacing w:val="52"/>
        </w:rPr>
        <w:t> </w:t>
      </w:r>
      <w:r>
        <w:rPr/>
        <w:t>foranstaltninger inden. Denne tilgang tager </w:t>
      </w:r>
      <w:r>
        <w:rPr>
          <w:spacing w:val="-4"/>
        </w:rPr>
        <w:t>høj- </w:t>
      </w:r>
      <w:r>
        <w:rPr/>
        <w:t>de for en havspejlsstigning på 3mm/år, men </w:t>
      </w:r>
      <w:r>
        <w:rPr>
          <w:spacing w:val="-8"/>
        </w:rPr>
        <w:t>er </w:t>
      </w:r>
      <w:r>
        <w:rPr/>
        <w:t>foretaget uden hensyntagen til forventede </w:t>
      </w:r>
      <w:r>
        <w:rPr>
          <w:spacing w:val="-3"/>
        </w:rPr>
        <w:t>lokale </w:t>
      </w:r>
      <w:r>
        <w:rPr/>
        <w:t>landbevægelser.</w:t>
      </w:r>
    </w:p>
    <w:p>
      <w:pPr>
        <w:pStyle w:val="BodyText"/>
        <w:spacing w:line="252" w:lineRule="auto"/>
        <w:ind w:left="329" w:right="1131" w:firstLine="234"/>
        <w:jc w:val="both"/>
      </w:pPr>
      <w:r>
        <w:rPr>
          <w:spacing w:val="-9"/>
        </w:rPr>
        <w:t>Ved </w:t>
      </w:r>
      <w:r>
        <w:rPr/>
        <w:t>en ekstremhændelse i 2011 i </w:t>
      </w:r>
      <w:r>
        <w:rPr>
          <w:spacing w:val="-3"/>
        </w:rPr>
        <w:t>Thyborøn </w:t>
      </w:r>
      <w:r>
        <w:rPr/>
        <w:t>svarende til en 100-års hændelse, skete der </w:t>
      </w:r>
      <w:r>
        <w:rPr>
          <w:spacing w:val="-5"/>
        </w:rPr>
        <w:t>ik- </w:t>
      </w:r>
      <w:r>
        <w:rPr/>
        <w:t>ke oversvømmelse i det skitserede omfang. </w:t>
      </w:r>
      <w:r>
        <w:rPr>
          <w:spacing w:val="-4"/>
        </w:rPr>
        <w:t>Der </w:t>
      </w:r>
      <w:r>
        <w:rPr/>
        <w:t>kan således være unøjagtigheder i</w:t>
      </w:r>
      <w:r>
        <w:rPr>
          <w:spacing w:val="-31"/>
        </w:rPr>
        <w:t> </w:t>
      </w:r>
      <w:r>
        <w:rPr>
          <w:spacing w:val="-4"/>
        </w:rPr>
        <w:t>DHM/Terræn, </w:t>
      </w:r>
      <w:r>
        <w:rPr/>
        <w:t>som der ikke er taget højde for </w:t>
      </w:r>
      <w:r>
        <w:rPr>
          <w:spacing w:val="-3"/>
        </w:rPr>
        <w:t>her, </w:t>
      </w:r>
      <w:r>
        <w:rPr/>
        <w:t>men </w:t>
      </w:r>
      <w:r>
        <w:rPr>
          <w:spacing w:val="-4"/>
        </w:rPr>
        <w:t>bereg- </w:t>
      </w:r>
      <w:r>
        <w:rPr/>
        <w:t>ningerne tyder på, at der er en tærskel i</w:t>
      </w:r>
      <w:r>
        <w:rPr>
          <w:spacing w:val="-40"/>
        </w:rPr>
        <w:t> </w:t>
      </w:r>
      <w:r>
        <w:rPr/>
        <w:t>terrænet, som</w:t>
      </w:r>
      <w:r>
        <w:rPr>
          <w:spacing w:val="-19"/>
        </w:rPr>
        <w:t> </w:t>
      </w:r>
      <w:r>
        <w:rPr/>
        <w:t>giver</w:t>
      </w:r>
      <w:r>
        <w:rPr>
          <w:spacing w:val="-19"/>
        </w:rPr>
        <w:t> </w:t>
      </w:r>
      <w:r>
        <w:rPr/>
        <w:t>anledning</w:t>
      </w:r>
      <w:r>
        <w:rPr>
          <w:spacing w:val="-19"/>
        </w:rPr>
        <w:t> </w:t>
      </w:r>
      <w:r>
        <w:rPr/>
        <w:t>til</w:t>
      </w:r>
      <w:r>
        <w:rPr>
          <w:spacing w:val="-18"/>
        </w:rPr>
        <w:t> </w:t>
      </w:r>
      <w:r>
        <w:rPr/>
        <w:t>opmærksomhed</w:t>
      </w:r>
      <w:r>
        <w:rPr>
          <w:spacing w:val="-19"/>
        </w:rPr>
        <w:t> </w:t>
      </w:r>
      <w:r>
        <w:rPr/>
        <w:t>i</w:t>
      </w:r>
      <w:r>
        <w:rPr>
          <w:spacing w:val="-19"/>
        </w:rPr>
        <w:t> </w:t>
      </w:r>
      <w:r>
        <w:rPr/>
        <w:t>relation til oversvømmelsesbeskyttelse af</w:t>
      </w:r>
      <w:r>
        <w:rPr>
          <w:spacing w:val="-8"/>
        </w:rPr>
        <w:t> </w:t>
      </w:r>
      <w:r>
        <w:rPr/>
        <w:t>byen.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Effekten af de lokale sætninger er betydelig. Figur </w:t>
      </w:r>
      <w:hyperlink w:history="true" w:anchor="_bookmark40">
        <w:r>
          <w:rPr>
            <w:color w:val="FF0000"/>
          </w:rPr>
          <w:t>19</w:t>
        </w:r>
      </w:hyperlink>
      <w:r>
        <w:rPr>
          <w:color w:val="FF0000"/>
        </w:rPr>
        <w:t> </w:t>
      </w:r>
      <w:r>
        <w:rPr/>
        <w:t>viser en simulering, hvor de </w:t>
      </w:r>
      <w:r>
        <w:rPr>
          <w:spacing w:val="-3"/>
        </w:rPr>
        <w:t>samle- </w:t>
      </w:r>
      <w:r>
        <w:rPr>
          <w:spacing w:val="54"/>
        </w:rPr>
        <w:t> </w:t>
      </w:r>
      <w:r>
        <w:rPr/>
        <w:t>de bidrag fra sætninger og vandstandsstigning er medtaget for en 100-års stormflodshændelse </w:t>
      </w:r>
      <w:r>
        <w:rPr>
          <w:spacing w:val="-16"/>
        </w:rPr>
        <w:t>i </w:t>
      </w:r>
      <w:r>
        <w:rPr/>
        <w:t>2060.</w:t>
      </w:r>
      <w:r>
        <w:rPr>
          <w:spacing w:val="-13"/>
        </w:rPr>
        <w:t> </w:t>
      </w:r>
      <w:r>
        <w:rPr/>
        <w:t>Størstedelen</w:t>
      </w:r>
      <w:r>
        <w:rPr>
          <w:spacing w:val="-13"/>
        </w:rPr>
        <w:t> </w:t>
      </w:r>
      <w:r>
        <w:rPr/>
        <w:t>af</w:t>
      </w:r>
      <w:r>
        <w:rPr>
          <w:spacing w:val="-12"/>
        </w:rPr>
        <w:t> </w:t>
      </w:r>
      <w:r>
        <w:rPr/>
        <w:t>Thyborøn</w:t>
      </w:r>
      <w:r>
        <w:rPr>
          <w:spacing w:val="-12"/>
        </w:rPr>
        <w:t> </w:t>
      </w:r>
      <w:r>
        <w:rPr/>
        <w:t>vil</w:t>
      </w:r>
      <w:r>
        <w:rPr>
          <w:spacing w:val="-13"/>
        </w:rPr>
        <w:t> </w:t>
      </w:r>
      <w:r>
        <w:rPr/>
        <w:t>da</w:t>
      </w:r>
      <w:r>
        <w:rPr>
          <w:spacing w:val="-12"/>
        </w:rPr>
        <w:t> </w:t>
      </w:r>
      <w:r>
        <w:rPr/>
        <w:t>være</w:t>
      </w:r>
      <w:r>
        <w:rPr>
          <w:spacing w:val="-12"/>
        </w:rPr>
        <w:t> </w:t>
      </w:r>
      <w:r>
        <w:rPr>
          <w:spacing w:val="-6"/>
        </w:rPr>
        <w:t>over- </w:t>
      </w:r>
      <w:r>
        <w:rPr/>
        <w:t>svømmelsestruet.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Sammenligning</w:t>
      </w:r>
      <w:r>
        <w:rPr>
          <w:spacing w:val="-14"/>
        </w:rPr>
        <w:t> </w:t>
      </w:r>
      <w:r>
        <w:rPr/>
        <w:t>af</w:t>
      </w:r>
      <w:r>
        <w:rPr>
          <w:spacing w:val="-14"/>
        </w:rPr>
        <w:t> </w:t>
      </w:r>
      <w:r>
        <w:rPr/>
        <w:t>figurerne</w:t>
      </w:r>
      <w:r>
        <w:rPr>
          <w:spacing w:val="-14"/>
        </w:rPr>
        <w:t> </w:t>
      </w:r>
      <w:hyperlink w:history="true" w:anchor="_bookmark37">
        <w:r>
          <w:rPr>
            <w:color w:val="FF0000"/>
          </w:rPr>
          <w:t>16</w:t>
        </w:r>
      </w:hyperlink>
      <w:r>
        <w:rPr/>
        <w:t>–</w:t>
      </w:r>
      <w:hyperlink w:history="true" w:anchor="_bookmark40">
        <w:r>
          <w:rPr>
            <w:color w:val="FF0000"/>
          </w:rPr>
          <w:t>19</w:t>
        </w:r>
        <w:r>
          <w:rPr>
            <w:color w:val="FF0000"/>
            <w:spacing w:val="-13"/>
          </w:rPr>
          <w:t> </w:t>
        </w:r>
      </w:hyperlink>
      <w:r>
        <w:rPr>
          <w:spacing w:val="-3"/>
        </w:rPr>
        <w:t>tydeliggør, </w:t>
      </w:r>
      <w:r>
        <w:rPr/>
        <w:t>at</w:t>
      </w:r>
      <w:r>
        <w:rPr>
          <w:spacing w:val="-8"/>
        </w:rPr>
        <w:t> </w:t>
      </w:r>
      <w:r>
        <w:rPr/>
        <w:t>lokale</w:t>
      </w:r>
      <w:r>
        <w:rPr>
          <w:spacing w:val="-7"/>
        </w:rPr>
        <w:t> </w:t>
      </w:r>
      <w:r>
        <w:rPr/>
        <w:t>sætninger</w:t>
      </w:r>
      <w:r>
        <w:rPr>
          <w:spacing w:val="-7"/>
        </w:rPr>
        <w:t> </w:t>
      </w:r>
      <w:r>
        <w:rPr/>
        <w:t>i</w:t>
      </w:r>
      <w:r>
        <w:rPr>
          <w:spacing w:val="-7"/>
        </w:rPr>
        <w:t> </w:t>
      </w:r>
      <w:r>
        <w:rPr/>
        <w:t>Thyborøn</w:t>
      </w:r>
      <w:r>
        <w:rPr>
          <w:spacing w:val="-7"/>
        </w:rPr>
        <w:t> </w:t>
      </w:r>
      <w:r>
        <w:rPr/>
        <w:t>i</w:t>
      </w:r>
      <w:r>
        <w:rPr>
          <w:spacing w:val="-7"/>
        </w:rPr>
        <w:t> </w:t>
      </w:r>
      <w:r>
        <w:rPr/>
        <w:t>absolutte</w:t>
      </w:r>
      <w:r>
        <w:rPr>
          <w:spacing w:val="-7"/>
        </w:rPr>
        <w:t> </w:t>
      </w:r>
      <w:r>
        <w:rPr>
          <w:spacing w:val="-3"/>
        </w:rPr>
        <w:t>værdi- </w:t>
      </w:r>
      <w:r>
        <w:rPr/>
        <w:t>er har større betydning end havspejlsstigningen, når det gælder det potentielle oversvømmelses- omfang.</w:t>
      </w:r>
    </w:p>
    <w:p>
      <w:pPr>
        <w:spacing w:after="0" w:line="252" w:lineRule="auto"/>
        <w:jc w:val="both"/>
        <w:sectPr>
          <w:type w:val="continuous"/>
          <w:pgSz w:w="11910" w:h="16840"/>
          <w:pgMar w:top="0" w:bottom="280" w:left="460" w:right="0"/>
          <w:cols w:num="2" w:equalWidth="0">
            <w:col w:w="5309" w:space="40"/>
            <w:col w:w="610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 w:after="1"/>
        <w:rPr>
          <w:sz w:val="15"/>
        </w:rPr>
      </w:pPr>
    </w:p>
    <w:p>
      <w:pPr>
        <w:pStyle w:val="BodyText"/>
        <w:ind w:left="1637"/>
        <w:rPr>
          <w:sz w:val="20"/>
        </w:rPr>
      </w:pPr>
      <w:r>
        <w:rPr>
          <w:sz w:val="20"/>
        </w:rPr>
        <w:drawing>
          <wp:inline distT="0" distB="0" distL="0" distR="0">
            <wp:extent cx="4884610" cy="5880735"/>
            <wp:effectExtent l="0" t="0" r="0" b="0"/>
            <wp:docPr id="41" name="image2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4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4610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9"/>
        </w:rPr>
      </w:pPr>
    </w:p>
    <w:p>
      <w:pPr>
        <w:spacing w:line="273" w:lineRule="auto" w:before="104"/>
        <w:ind w:left="673" w:right="1053" w:firstLine="0"/>
        <w:jc w:val="left"/>
        <w:rPr>
          <w:rFonts w:ascii="Arial" w:hAnsi="Arial"/>
          <w:sz w:val="22"/>
        </w:rPr>
      </w:pPr>
      <w:bookmarkStart w:name="_bookmark37" w:id="52"/>
      <w:bookmarkEnd w:id="52"/>
      <w:r>
        <w:rPr/>
      </w:r>
      <w:r>
        <w:rPr>
          <w:rFonts w:ascii="Arial" w:hAnsi="Arial"/>
          <w:sz w:val="22"/>
        </w:rPr>
        <w:t>Figur 16: Den fremskrevne lokale vertikale landbevægelse i 2060 beregnet ud fra de 65 fikspunkter med ordinær kriging interpolationsmetoden.</w:t>
      </w:r>
    </w:p>
    <w:p>
      <w:pPr>
        <w:spacing w:after="0" w:line="273" w:lineRule="auto"/>
        <w:jc w:val="left"/>
        <w:rPr>
          <w:rFonts w:ascii="Arial" w:hAnsi="Arial"/>
          <w:sz w:val="22"/>
        </w:rPr>
        <w:sectPr>
          <w:pgSz w:w="11910" w:h="16840"/>
          <w:pgMar w:header="0" w:footer="466" w:top="1580" w:bottom="740" w:left="460" w:right="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after="1"/>
        <w:rPr>
          <w:rFonts w:ascii="Arial"/>
          <w:sz w:val="27"/>
        </w:rPr>
      </w:pPr>
    </w:p>
    <w:p>
      <w:pPr>
        <w:pStyle w:val="BodyText"/>
        <w:ind w:left="1637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4866608" cy="5694711"/>
            <wp:effectExtent l="0" t="0" r="0" b="0"/>
            <wp:docPr id="43" name="image2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5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6608" cy="5694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BodyText"/>
        <w:spacing w:before="7"/>
        <w:rPr>
          <w:rFonts w:ascii="Arial"/>
          <w:sz w:val="12"/>
        </w:rPr>
      </w:pPr>
    </w:p>
    <w:p>
      <w:pPr>
        <w:spacing w:line="273" w:lineRule="auto" w:before="103"/>
        <w:ind w:left="673" w:right="1053" w:firstLine="0"/>
        <w:jc w:val="left"/>
        <w:rPr>
          <w:rFonts w:ascii="Arial" w:hAnsi="Arial"/>
          <w:sz w:val="22"/>
        </w:rPr>
      </w:pPr>
      <w:bookmarkStart w:name="_bookmark38" w:id="53"/>
      <w:bookmarkEnd w:id="53"/>
      <w:r>
        <w:rPr/>
      </w:r>
      <w:r>
        <w:rPr>
          <w:rFonts w:ascii="Arial" w:hAnsi="Arial"/>
          <w:sz w:val="22"/>
        </w:rPr>
        <w:t>Figur 17: Det maksimale udbredelsesområde af oversvømmelse af Thyborøn ved en 100-års hæn- delse i dag.</w:t>
      </w:r>
    </w:p>
    <w:p>
      <w:pPr>
        <w:spacing w:after="0" w:line="273" w:lineRule="auto"/>
        <w:jc w:val="left"/>
        <w:rPr>
          <w:rFonts w:ascii="Arial" w:hAnsi="Arial"/>
          <w:sz w:val="22"/>
        </w:rPr>
        <w:sectPr>
          <w:pgSz w:w="11910" w:h="16840"/>
          <w:pgMar w:header="0" w:footer="466" w:top="1580" w:bottom="740" w:left="460" w:right="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"/>
        <w:rPr>
          <w:rFonts w:ascii="Arial"/>
          <w:sz w:val="28"/>
        </w:rPr>
      </w:pPr>
    </w:p>
    <w:p>
      <w:pPr>
        <w:pStyle w:val="BodyText"/>
        <w:ind w:left="1637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4884610" cy="5700712"/>
            <wp:effectExtent l="0" t="0" r="0" b="0"/>
            <wp:docPr id="45" name="image2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6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4610" cy="570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BodyText"/>
        <w:spacing w:before="8"/>
        <w:rPr>
          <w:rFonts w:ascii="Arial"/>
          <w:sz w:val="9"/>
        </w:rPr>
      </w:pPr>
    </w:p>
    <w:p>
      <w:pPr>
        <w:spacing w:line="273" w:lineRule="auto" w:before="104"/>
        <w:ind w:left="673" w:right="1053" w:firstLine="0"/>
        <w:jc w:val="left"/>
        <w:rPr>
          <w:rFonts w:ascii="Arial" w:hAnsi="Arial"/>
          <w:sz w:val="22"/>
        </w:rPr>
      </w:pPr>
      <w:bookmarkStart w:name="_bookmark39" w:id="54"/>
      <w:bookmarkEnd w:id="54"/>
      <w:r>
        <w:rPr/>
      </w:r>
      <w:r>
        <w:rPr>
          <w:rFonts w:ascii="Arial" w:hAnsi="Arial"/>
          <w:sz w:val="22"/>
        </w:rPr>
        <w:t>Figur 18: Det maksimale udbredelsesområde af oversvømmelse af Thyborøn ved en 100-års hæn- delse i 2060 uden hensyntagen til lokal vertikal landbevægelse.</w:t>
      </w:r>
    </w:p>
    <w:p>
      <w:pPr>
        <w:spacing w:after="0" w:line="273" w:lineRule="auto"/>
        <w:jc w:val="left"/>
        <w:rPr>
          <w:rFonts w:ascii="Arial" w:hAnsi="Arial"/>
          <w:sz w:val="22"/>
        </w:rPr>
        <w:sectPr>
          <w:pgSz w:w="11910" w:h="16840"/>
          <w:pgMar w:header="0" w:footer="466" w:top="1580" w:bottom="740" w:left="460" w:right="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  <w:sz w:val="19"/>
        </w:rPr>
      </w:pPr>
    </w:p>
    <w:p>
      <w:pPr>
        <w:pStyle w:val="BodyText"/>
        <w:ind w:left="1637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4897278" cy="5838348"/>
            <wp:effectExtent l="0" t="0" r="0" b="0"/>
            <wp:docPr id="47" name="image2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7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7278" cy="5838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BodyText"/>
        <w:spacing w:before="8"/>
        <w:rPr>
          <w:rFonts w:ascii="Arial"/>
          <w:sz w:val="7"/>
        </w:rPr>
      </w:pPr>
    </w:p>
    <w:p>
      <w:pPr>
        <w:spacing w:line="273" w:lineRule="auto" w:before="103"/>
        <w:ind w:left="673" w:right="1053" w:firstLine="0"/>
        <w:jc w:val="left"/>
        <w:rPr>
          <w:rFonts w:ascii="Arial" w:hAnsi="Arial"/>
          <w:sz w:val="22"/>
        </w:rPr>
      </w:pPr>
      <w:bookmarkStart w:name="_bookmark40" w:id="55"/>
      <w:bookmarkEnd w:id="55"/>
      <w:r>
        <w:rPr/>
      </w:r>
      <w:r>
        <w:rPr>
          <w:rFonts w:ascii="Arial" w:hAnsi="Arial"/>
          <w:sz w:val="22"/>
        </w:rPr>
        <w:t>Figur 19: Det maksimale udbredelsesområde af oversvømmelse af Thyborøn ved en 100-års hæn- delse i 2060 under hensyntagen til vertikale landbevægelser og havspejlsstigning.</w:t>
      </w:r>
    </w:p>
    <w:p>
      <w:pPr>
        <w:spacing w:after="0" w:line="273" w:lineRule="auto"/>
        <w:jc w:val="left"/>
        <w:rPr>
          <w:rFonts w:ascii="Arial" w:hAnsi="Arial"/>
          <w:sz w:val="22"/>
        </w:rPr>
        <w:sectPr>
          <w:pgSz w:w="11910" w:h="16840"/>
          <w:pgMar w:header="0" w:footer="466" w:top="1580" w:bottom="740" w:left="460" w:right="0"/>
        </w:sectPr>
      </w:pPr>
    </w:p>
    <w:p>
      <w:pPr>
        <w:pStyle w:val="Heading2"/>
        <w:numPr>
          <w:ilvl w:val="1"/>
          <w:numId w:val="4"/>
        </w:numPr>
        <w:tabs>
          <w:tab w:pos="1430" w:val="left" w:leader="none"/>
          <w:tab w:pos="1431" w:val="left" w:leader="none"/>
        </w:tabs>
        <w:spacing w:line="295" w:lineRule="auto" w:before="84" w:after="0"/>
        <w:ind w:left="1430" w:right="0" w:hanging="757"/>
        <w:jc w:val="left"/>
      </w:pPr>
      <w:bookmarkStart w:name="_bookmark41" w:id="56"/>
      <w:bookmarkEnd w:id="56"/>
      <w:r>
        <w:rPr>
          <w:b w:val="0"/>
        </w:rPr>
      </w:r>
      <w:bookmarkStart w:name="_bookmark41" w:id="57"/>
      <w:bookmarkEnd w:id="57"/>
      <w:r>
        <w:rPr/>
        <w:t>Bund</w:t>
      </w:r>
      <w:r>
        <w:rPr/>
        <w:t>koter i </w:t>
      </w:r>
      <w:r>
        <w:rPr>
          <w:spacing w:val="-3"/>
        </w:rPr>
        <w:t>spildevands- </w:t>
      </w:r>
      <w:r>
        <w:rPr/>
        <w:t>systemet</w:t>
      </w:r>
    </w:p>
    <w:p>
      <w:pPr>
        <w:pStyle w:val="BodyText"/>
        <w:spacing w:line="252" w:lineRule="auto" w:before="165"/>
        <w:ind w:left="673"/>
        <w:jc w:val="both"/>
      </w:pPr>
      <w:r>
        <w:rPr/>
        <w:t>Beregningen af de nye bundkoter viser </w:t>
      </w:r>
      <w:r>
        <w:rPr>
          <w:spacing w:val="-3"/>
        </w:rPr>
        <w:t>forskelle </w:t>
      </w:r>
      <w:r>
        <w:rPr/>
        <w:t>på op til ca. - 40 cm i forhold til de gamle </w:t>
      </w:r>
      <w:r>
        <w:rPr>
          <w:spacing w:val="-6"/>
        </w:rPr>
        <w:t>koter, </w:t>
      </w:r>
      <w:r>
        <w:rPr/>
        <w:t>som</w:t>
      </w:r>
      <w:r>
        <w:rPr>
          <w:spacing w:val="-7"/>
        </w:rPr>
        <w:t> </w:t>
      </w:r>
      <w:r>
        <w:rPr/>
        <w:t>er</w:t>
      </w:r>
      <w:r>
        <w:rPr>
          <w:spacing w:val="-5"/>
        </w:rPr>
        <w:t> </w:t>
      </w:r>
      <w:r>
        <w:rPr/>
        <w:t>målt</w:t>
      </w:r>
      <w:r>
        <w:rPr>
          <w:spacing w:val="-6"/>
        </w:rPr>
        <w:t> </w:t>
      </w:r>
      <w:r>
        <w:rPr/>
        <w:t>i</w:t>
      </w:r>
      <w:r>
        <w:rPr>
          <w:spacing w:val="-6"/>
        </w:rPr>
        <w:t> </w:t>
      </w:r>
      <w:r>
        <w:rPr/>
        <w:t>perioden</w:t>
      </w:r>
      <w:r>
        <w:rPr>
          <w:spacing w:val="-6"/>
        </w:rPr>
        <w:t> </w:t>
      </w:r>
      <w:r>
        <w:rPr/>
        <w:t>ca.</w:t>
      </w:r>
      <w:r>
        <w:rPr>
          <w:spacing w:val="-5"/>
        </w:rPr>
        <w:t> </w:t>
      </w:r>
      <w:r>
        <w:rPr/>
        <w:t>1980–1990</w:t>
      </w:r>
      <w:r>
        <w:rPr>
          <w:spacing w:val="-7"/>
        </w:rPr>
        <w:t> </w:t>
      </w:r>
      <w:r>
        <w:rPr/>
        <w:t>(figur</w:t>
      </w:r>
      <w:r>
        <w:rPr>
          <w:spacing w:val="-5"/>
        </w:rPr>
        <w:t> </w:t>
      </w:r>
      <w:hyperlink w:history="true" w:anchor="_bookmark42">
        <w:r>
          <w:rPr>
            <w:color w:val="FF0000"/>
            <w:spacing w:val="-4"/>
          </w:rPr>
          <w:t>20</w:t>
        </w:r>
      </w:hyperlink>
      <w:r>
        <w:rPr>
          <w:spacing w:val="-4"/>
        </w:rPr>
        <w:t>). </w:t>
      </w:r>
      <w:r>
        <w:rPr/>
        <w:t>Sætningernes omfang følger i store træk de </w:t>
      </w:r>
      <w:r>
        <w:rPr>
          <w:spacing w:val="-5"/>
        </w:rPr>
        <w:t>nu- </w:t>
      </w:r>
      <w:r>
        <w:rPr/>
        <w:t>værende og fremskrevne sætningsrater i </w:t>
      </w:r>
      <w:r>
        <w:rPr>
          <w:spacing w:val="-3"/>
        </w:rPr>
        <w:t>terræ- </w:t>
      </w:r>
      <w:r>
        <w:rPr/>
        <w:t>net.</w:t>
      </w:r>
    </w:p>
    <w:p>
      <w:pPr>
        <w:pStyle w:val="BodyText"/>
        <w:spacing w:line="252" w:lineRule="auto"/>
        <w:ind w:left="673" w:firstLine="234"/>
        <w:jc w:val="both"/>
      </w:pPr>
      <w:r>
        <w:rPr/>
        <w:t>De forholdsvis store sætninger i Thyborøn</w:t>
      </w:r>
      <w:r>
        <w:rPr>
          <w:spacing w:val="-40"/>
        </w:rPr>
        <w:t> </w:t>
      </w:r>
      <w:r>
        <w:rPr>
          <w:spacing w:val="-6"/>
        </w:rPr>
        <w:t>har </w:t>
      </w:r>
      <w:r>
        <w:rPr/>
        <w:t>allerede</w:t>
      </w:r>
      <w:r>
        <w:rPr>
          <w:spacing w:val="-12"/>
        </w:rPr>
        <w:t> </w:t>
      </w:r>
      <w:r>
        <w:rPr/>
        <w:t>eller</w:t>
      </w:r>
      <w:r>
        <w:rPr>
          <w:spacing w:val="-12"/>
        </w:rPr>
        <w:t> </w:t>
      </w:r>
      <w:r>
        <w:rPr/>
        <w:t>vil</w:t>
      </w:r>
      <w:r>
        <w:rPr>
          <w:spacing w:val="-12"/>
        </w:rPr>
        <w:t> </w:t>
      </w:r>
      <w:r>
        <w:rPr/>
        <w:t>over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kommende</w:t>
      </w:r>
      <w:r>
        <w:rPr>
          <w:spacing w:val="-11"/>
        </w:rPr>
        <w:t> </w:t>
      </w:r>
      <w:r>
        <w:rPr/>
        <w:t>år</w:t>
      </w:r>
      <w:r>
        <w:rPr>
          <w:spacing w:val="-12"/>
        </w:rPr>
        <w:t> </w:t>
      </w:r>
      <w:r>
        <w:rPr/>
        <w:t>få</w:t>
      </w:r>
      <w:r>
        <w:rPr>
          <w:spacing w:val="-12"/>
        </w:rPr>
        <w:t> </w:t>
      </w:r>
      <w:r>
        <w:rPr/>
        <w:t>stor</w:t>
      </w:r>
      <w:r>
        <w:rPr>
          <w:spacing w:val="-12"/>
        </w:rPr>
        <w:t> </w:t>
      </w:r>
      <w:r>
        <w:rPr>
          <w:spacing w:val="-5"/>
        </w:rPr>
        <w:t>be- </w:t>
      </w:r>
      <w:r>
        <w:rPr/>
        <w:t>tydning</w:t>
      </w:r>
      <w:r>
        <w:rPr>
          <w:spacing w:val="-7"/>
        </w:rPr>
        <w:t> </w:t>
      </w:r>
      <w:r>
        <w:rPr/>
        <w:t>for</w:t>
      </w:r>
      <w:r>
        <w:rPr>
          <w:spacing w:val="-6"/>
        </w:rPr>
        <w:t> </w:t>
      </w:r>
      <w:r>
        <w:rPr/>
        <w:t>dele</w:t>
      </w:r>
      <w:r>
        <w:rPr>
          <w:spacing w:val="-6"/>
        </w:rPr>
        <w:t> </w:t>
      </w:r>
      <w:r>
        <w:rPr/>
        <w:t>af</w:t>
      </w:r>
      <w:r>
        <w:rPr>
          <w:spacing w:val="-7"/>
        </w:rPr>
        <w:t> </w:t>
      </w:r>
      <w:r>
        <w:rPr/>
        <w:t>kloaknettet,</w:t>
      </w:r>
      <w:r>
        <w:rPr>
          <w:spacing w:val="-6"/>
        </w:rPr>
        <w:t> </w:t>
      </w:r>
      <w:r>
        <w:rPr/>
        <w:t>da</w:t>
      </w:r>
      <w:r>
        <w:rPr>
          <w:spacing w:val="-6"/>
        </w:rPr>
        <w:t> </w:t>
      </w:r>
      <w:r>
        <w:rPr/>
        <w:t>de</w:t>
      </w:r>
      <w:r>
        <w:rPr>
          <w:spacing w:val="-7"/>
        </w:rPr>
        <w:t> </w:t>
      </w:r>
      <w:r>
        <w:rPr/>
        <w:t>målte</w:t>
      </w:r>
      <w:r>
        <w:rPr>
          <w:spacing w:val="-6"/>
        </w:rPr>
        <w:t> </w:t>
      </w:r>
      <w:r>
        <w:rPr>
          <w:spacing w:val="-7"/>
        </w:rPr>
        <w:t>over- </w:t>
      </w:r>
      <w:r>
        <w:rPr/>
        <w:t>fladesætninger forplanter sig videre til </w:t>
      </w:r>
      <w:r>
        <w:rPr>
          <w:spacing w:val="-4"/>
        </w:rPr>
        <w:t>kloakker- </w:t>
      </w:r>
      <w:r>
        <w:rPr/>
        <w:t>ne og deres</w:t>
      </w:r>
      <w:r>
        <w:rPr>
          <w:spacing w:val="-5"/>
        </w:rPr>
        <w:t> </w:t>
      </w:r>
      <w:r>
        <w:rPr/>
        <w:t>bundløb.</w:t>
      </w:r>
    </w:p>
    <w:p>
      <w:pPr>
        <w:pStyle w:val="BodyText"/>
        <w:spacing w:line="252" w:lineRule="auto"/>
        <w:ind w:left="673" w:firstLine="234"/>
        <w:jc w:val="both"/>
      </w:pPr>
      <w:r>
        <w:rPr/>
        <w:t>I forbindelse med nedstikskampagnen er der konstateret stillestående vand og større slamaf- lejringer i en række brønde; især i brønde hvor</w:t>
      </w:r>
    </w:p>
    <w:p>
      <w:pPr>
        <w:pStyle w:val="BodyText"/>
        <w:spacing w:line="252" w:lineRule="auto" w:before="151"/>
        <w:ind w:left="329" w:right="926"/>
      </w:pPr>
      <w:r>
        <w:rPr/>
        <w:br w:type="column"/>
      </w:r>
      <w:r>
        <w:rPr/>
        <w:t>spildevandet afledes fra S mod N over en længe- re strækning (figur </w:t>
      </w:r>
      <w:hyperlink w:history="true" w:anchor="_bookmark43">
        <w:r>
          <w:rPr>
            <w:color w:val="FF0000"/>
          </w:rPr>
          <w:t>21</w:t>
        </w:r>
      </w:hyperlink>
      <w:r>
        <w:rPr/>
        <w:t>).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Det er desuden konstateret at brønde, hvor spildevandet løber fra N mod S generelt er rene og derfor har en uændret eller måske bedre af- ledningsevne over længere strækninger grundet de lokale sætninger.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For at vurdere kloaknettets nuværende </w:t>
      </w:r>
      <w:r>
        <w:rPr>
          <w:spacing w:val="-5"/>
        </w:rPr>
        <w:t>af- </w:t>
      </w:r>
      <w:r>
        <w:rPr/>
        <w:t>strømningsevne, herunder at beregne </w:t>
      </w:r>
      <w:r>
        <w:rPr>
          <w:spacing w:val="-4"/>
        </w:rPr>
        <w:t>relative </w:t>
      </w:r>
      <w:r>
        <w:rPr/>
        <w:t>fald mellem nabobrønde, vil det være </w:t>
      </w:r>
      <w:r>
        <w:rPr>
          <w:spacing w:val="-3"/>
        </w:rPr>
        <w:t>nødven- </w:t>
      </w:r>
      <w:r>
        <w:rPr/>
        <w:t>digt at </w:t>
      </w:r>
      <w:r>
        <w:rPr>
          <w:spacing w:val="-3"/>
        </w:rPr>
        <w:t>lave </w:t>
      </w:r>
      <w:r>
        <w:rPr/>
        <w:t>nedstik i alle kloakker, hvortil der </w:t>
      </w:r>
      <w:r>
        <w:rPr>
          <w:spacing w:val="-6"/>
        </w:rPr>
        <w:t>er </w:t>
      </w:r>
      <w:r>
        <w:rPr/>
        <w:t>målt dækselkoter i 2012/2013. Resultaterne </w:t>
      </w:r>
      <w:r>
        <w:rPr>
          <w:spacing w:val="-7"/>
        </w:rPr>
        <w:t>her- </w:t>
      </w:r>
      <w:r>
        <w:rPr/>
        <w:t>fra</w:t>
      </w:r>
      <w:r>
        <w:rPr>
          <w:spacing w:val="-15"/>
        </w:rPr>
        <w:t> </w:t>
      </w:r>
      <w:r>
        <w:rPr/>
        <w:t>vil</w:t>
      </w:r>
      <w:r>
        <w:rPr>
          <w:spacing w:val="-15"/>
        </w:rPr>
        <w:t> </w:t>
      </w:r>
      <w:r>
        <w:rPr/>
        <w:t>kunne</w:t>
      </w:r>
      <w:r>
        <w:rPr>
          <w:spacing w:val="-14"/>
        </w:rPr>
        <w:t> </w:t>
      </w:r>
      <w:r>
        <w:rPr/>
        <w:t>anvendes</w:t>
      </w:r>
      <w:r>
        <w:rPr>
          <w:spacing w:val="-15"/>
        </w:rPr>
        <w:t> </w:t>
      </w:r>
      <w:r>
        <w:rPr/>
        <w:t>til</w:t>
      </w:r>
      <w:r>
        <w:rPr>
          <w:spacing w:val="-15"/>
        </w:rPr>
        <w:t> </w:t>
      </w:r>
      <w:r>
        <w:rPr/>
        <w:t>en</w:t>
      </w:r>
      <w:r>
        <w:rPr>
          <w:spacing w:val="-15"/>
        </w:rPr>
        <w:t> </w:t>
      </w:r>
      <w:r>
        <w:rPr/>
        <w:t>mere</w:t>
      </w:r>
      <w:r>
        <w:rPr>
          <w:spacing w:val="-14"/>
        </w:rPr>
        <w:t> </w:t>
      </w:r>
      <w:r>
        <w:rPr/>
        <w:t>detaljeret</w:t>
      </w:r>
      <w:r>
        <w:rPr>
          <w:spacing w:val="-14"/>
        </w:rPr>
        <w:t> </w:t>
      </w:r>
      <w:r>
        <w:rPr/>
        <w:t>kort- lægning af strækninger med manglende og </w:t>
      </w:r>
      <w:r>
        <w:rPr>
          <w:spacing w:val="-4"/>
        </w:rPr>
        <w:t>util- </w:t>
      </w:r>
      <w:r>
        <w:rPr/>
        <w:t>strækkeligt fald og til at simulere </w:t>
      </w:r>
      <w:r>
        <w:rPr>
          <w:spacing w:val="-2"/>
        </w:rPr>
        <w:t>fremtidssce- </w:t>
      </w:r>
      <w:r>
        <w:rPr/>
        <w:t>narier, for eksempel til vurdering af hvilken </w:t>
      </w:r>
      <w:r>
        <w:rPr>
          <w:spacing w:val="-7"/>
        </w:rPr>
        <w:t>vej </w:t>
      </w:r>
      <w:r>
        <w:rPr/>
        <w:t>vandet kan forventes at løbe om 20</w:t>
      </w:r>
      <w:r>
        <w:rPr>
          <w:spacing w:val="-14"/>
        </w:rPr>
        <w:t> </w:t>
      </w:r>
      <w:r>
        <w:rPr>
          <w:spacing w:val="-5"/>
        </w:rPr>
        <w:t>år.</w:t>
      </w:r>
    </w:p>
    <w:p>
      <w:pPr>
        <w:spacing w:after="0" w:line="252" w:lineRule="auto"/>
        <w:jc w:val="both"/>
        <w:sectPr>
          <w:pgSz w:w="11910" w:h="16840"/>
          <w:pgMar w:header="0" w:footer="466" w:top="980" w:bottom="740" w:left="460" w:right="0"/>
          <w:cols w:num="2" w:equalWidth="0">
            <w:col w:w="5309" w:space="40"/>
            <w:col w:w="610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after="1"/>
        <w:rPr>
          <w:sz w:val="28"/>
        </w:rPr>
      </w:pPr>
    </w:p>
    <w:p>
      <w:pPr>
        <w:pStyle w:val="BodyText"/>
        <w:ind w:left="1637"/>
        <w:rPr>
          <w:sz w:val="20"/>
        </w:rPr>
      </w:pPr>
      <w:r>
        <w:rPr>
          <w:sz w:val="20"/>
        </w:rPr>
        <w:drawing>
          <wp:inline distT="0" distB="0" distL="0" distR="0">
            <wp:extent cx="4866608" cy="5970746"/>
            <wp:effectExtent l="0" t="0" r="0" b="0"/>
            <wp:docPr id="49" name="image2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8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6608" cy="5970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sz w:val="12"/>
        </w:rPr>
      </w:pPr>
    </w:p>
    <w:p>
      <w:pPr>
        <w:spacing w:line="273" w:lineRule="auto" w:before="103"/>
        <w:ind w:left="673" w:right="1053" w:firstLine="0"/>
        <w:jc w:val="left"/>
        <w:rPr>
          <w:rFonts w:ascii="Arial" w:hAnsi="Arial"/>
          <w:sz w:val="22"/>
        </w:rPr>
      </w:pPr>
      <w:bookmarkStart w:name="_bookmark42" w:id="58"/>
      <w:bookmarkEnd w:id="58"/>
      <w:r>
        <w:rPr/>
      </w:r>
      <w:r>
        <w:rPr>
          <w:rFonts w:ascii="Arial" w:hAnsi="Arial"/>
          <w:sz w:val="22"/>
        </w:rPr>
        <w:t>Figur 20: Differensen mellem nyberegnede og gamle bundkoter i kloaksystemet vist i kombination med de beregnede sætningsrater.</w:t>
      </w:r>
    </w:p>
    <w:p>
      <w:pPr>
        <w:spacing w:after="0" w:line="273" w:lineRule="auto"/>
        <w:jc w:val="left"/>
        <w:rPr>
          <w:rFonts w:ascii="Arial" w:hAnsi="Arial"/>
          <w:sz w:val="22"/>
        </w:rPr>
        <w:sectPr>
          <w:pgSz w:w="11910" w:h="16840"/>
          <w:pgMar w:header="0" w:footer="466" w:top="1580" w:bottom="740" w:left="460" w:right="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5" w:after="1"/>
        <w:rPr>
          <w:rFonts w:ascii="Arial"/>
          <w:sz w:val="21"/>
        </w:rPr>
      </w:pPr>
    </w:p>
    <w:p>
      <w:pPr>
        <w:pStyle w:val="BodyText"/>
        <w:ind w:left="1637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4895850" cy="3657600"/>
            <wp:effectExtent l="0" t="0" r="0" b="0"/>
            <wp:docPr id="51" name="image2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9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585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BodyText"/>
        <w:spacing w:before="11"/>
        <w:rPr>
          <w:rFonts w:ascii="Arial"/>
          <w:sz w:val="7"/>
        </w:rPr>
      </w:pPr>
    </w:p>
    <w:p>
      <w:pPr>
        <w:spacing w:before="103"/>
        <w:ind w:left="1916" w:right="0" w:firstLine="0"/>
        <w:jc w:val="left"/>
        <w:rPr>
          <w:rFonts w:ascii="Arial" w:hAnsi="Arial"/>
          <w:sz w:val="22"/>
        </w:rPr>
      </w:pPr>
      <w:bookmarkStart w:name="_bookmark43" w:id="59"/>
      <w:bookmarkEnd w:id="59"/>
      <w:r>
        <w:rPr/>
      </w:r>
      <w:r>
        <w:rPr>
          <w:rFonts w:ascii="Arial" w:hAnsi="Arial"/>
          <w:sz w:val="22"/>
        </w:rPr>
        <w:t>Figur 21: Måling af bundkote i brønd med kraftig slamaflejring i bundløbet.</w:t>
      </w:r>
    </w:p>
    <w:p>
      <w:pPr>
        <w:spacing w:after="0"/>
        <w:jc w:val="left"/>
        <w:rPr>
          <w:rFonts w:ascii="Arial" w:hAnsi="Arial"/>
          <w:sz w:val="22"/>
        </w:rPr>
        <w:sectPr>
          <w:pgSz w:w="11910" w:h="16840"/>
          <w:pgMar w:header="0" w:footer="466" w:top="1580" w:bottom="740" w:left="460" w:right="0"/>
        </w:sectPr>
      </w:pPr>
    </w:p>
    <w:p>
      <w:pPr>
        <w:pStyle w:val="BodyText"/>
        <w:spacing w:before="10"/>
        <w:rPr>
          <w:rFonts w:ascii="Arial"/>
          <w:sz w:val="28"/>
        </w:rPr>
      </w:pPr>
    </w:p>
    <w:p>
      <w:pPr>
        <w:spacing w:before="111"/>
        <w:ind w:left="673" w:right="0" w:firstLine="0"/>
        <w:jc w:val="left"/>
        <w:rPr>
          <w:rFonts w:ascii="Arial"/>
          <w:b/>
          <w:sz w:val="45"/>
        </w:rPr>
      </w:pPr>
      <w:r>
        <w:rPr>
          <w:rFonts w:ascii="Arial"/>
          <w:b/>
          <w:sz w:val="45"/>
        </w:rPr>
        <w:t>Kapitel 4</w:t>
      </w:r>
    </w:p>
    <w:p>
      <w:pPr>
        <w:spacing w:before="478"/>
        <w:ind w:left="673" w:right="0" w:firstLine="0"/>
        <w:jc w:val="left"/>
        <w:rPr>
          <w:rFonts w:ascii="Arial"/>
          <w:b/>
          <w:sz w:val="45"/>
        </w:rPr>
      </w:pPr>
      <w:r>
        <w:rPr>
          <w:rFonts w:ascii="Arial"/>
          <w:b/>
          <w:sz w:val="45"/>
        </w:rPr>
        <w:t>Anvendelser af metoden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6"/>
        <w:rPr>
          <w:rFonts w:ascii="Arial"/>
          <w:b/>
          <w:sz w:val="27"/>
        </w:rPr>
      </w:pPr>
    </w:p>
    <w:p>
      <w:pPr>
        <w:spacing w:after="0"/>
        <w:rPr>
          <w:rFonts w:ascii="Arial"/>
          <w:sz w:val="27"/>
        </w:rPr>
        <w:sectPr>
          <w:pgSz w:w="11910" w:h="16840"/>
          <w:pgMar w:header="0" w:footer="466" w:top="1580" w:bottom="660" w:left="460" w:right="0"/>
        </w:sectPr>
      </w:pPr>
    </w:p>
    <w:p>
      <w:pPr>
        <w:pStyle w:val="Heading2"/>
        <w:numPr>
          <w:ilvl w:val="1"/>
          <w:numId w:val="5"/>
        </w:numPr>
        <w:tabs>
          <w:tab w:pos="1430" w:val="left" w:leader="none"/>
          <w:tab w:pos="1431" w:val="left" w:leader="none"/>
        </w:tabs>
        <w:spacing w:line="295" w:lineRule="auto" w:before="110" w:after="0"/>
        <w:ind w:left="1430" w:right="0" w:hanging="757"/>
        <w:jc w:val="left"/>
      </w:pPr>
      <w:bookmarkStart w:name="_bookmark44" w:id="60"/>
      <w:bookmarkEnd w:id="60"/>
      <w:r>
        <w:rPr>
          <w:b w:val="0"/>
        </w:rPr>
      </w:r>
      <w:bookmarkStart w:name="_bookmark44" w:id="61"/>
      <w:bookmarkEnd w:id="61"/>
      <w:r>
        <w:rPr>
          <w:spacing w:val="-3"/>
        </w:rPr>
        <w:t>K</w:t>
      </w:r>
      <w:r>
        <w:rPr>
          <w:spacing w:val="-3"/>
        </w:rPr>
        <w:t>yst- </w:t>
      </w:r>
      <w:r>
        <w:rPr/>
        <w:t>og </w:t>
      </w:r>
      <w:r>
        <w:rPr>
          <w:spacing w:val="-3"/>
        </w:rPr>
        <w:t>havnebeskyttel- </w:t>
      </w:r>
      <w:r>
        <w:rPr/>
        <w:t>se</w:t>
      </w:r>
    </w:p>
    <w:p>
      <w:pPr>
        <w:pStyle w:val="BodyText"/>
        <w:spacing w:line="252" w:lineRule="auto" w:before="164"/>
        <w:ind w:left="673"/>
        <w:jc w:val="both"/>
      </w:pPr>
      <w:r>
        <w:rPr/>
        <w:t>Relativt store lokale sætningsrater og den </w:t>
      </w:r>
      <w:r>
        <w:rPr>
          <w:spacing w:val="-3"/>
        </w:rPr>
        <w:t>rumli- </w:t>
      </w:r>
      <w:r>
        <w:rPr/>
        <w:t>ge</w:t>
      </w:r>
      <w:r>
        <w:rPr>
          <w:spacing w:val="-7"/>
        </w:rPr>
        <w:t> </w:t>
      </w:r>
      <w:r>
        <w:rPr/>
        <w:t>variation</w:t>
      </w:r>
      <w:r>
        <w:rPr>
          <w:spacing w:val="-7"/>
        </w:rPr>
        <w:t> </w:t>
      </w:r>
      <w:r>
        <w:rPr/>
        <w:t>af</w:t>
      </w:r>
      <w:r>
        <w:rPr>
          <w:spacing w:val="-6"/>
        </w:rPr>
        <w:t> </w:t>
      </w:r>
      <w:r>
        <w:rPr/>
        <w:t>disse</w:t>
      </w:r>
      <w:r>
        <w:rPr>
          <w:spacing w:val="-7"/>
        </w:rPr>
        <w:t> </w:t>
      </w:r>
      <w:r>
        <w:rPr>
          <w:spacing w:val="-3"/>
        </w:rPr>
        <w:t>gør,</w:t>
      </w:r>
      <w:r>
        <w:rPr>
          <w:spacing w:val="-6"/>
        </w:rPr>
        <w:t> </w:t>
      </w:r>
      <w:r>
        <w:rPr/>
        <w:t>at</w:t>
      </w:r>
      <w:r>
        <w:rPr>
          <w:spacing w:val="-7"/>
        </w:rPr>
        <w:t> </w:t>
      </w:r>
      <w:r>
        <w:rPr/>
        <w:t>det</w:t>
      </w:r>
      <w:r>
        <w:rPr>
          <w:spacing w:val="-6"/>
        </w:rPr>
        <w:t> </w:t>
      </w:r>
      <w:r>
        <w:rPr/>
        <w:t>allerede</w:t>
      </w:r>
      <w:r>
        <w:rPr>
          <w:spacing w:val="-7"/>
        </w:rPr>
        <w:t> </w:t>
      </w:r>
      <w:r>
        <w:rPr/>
        <w:t>i</w:t>
      </w:r>
      <w:r>
        <w:rPr>
          <w:spacing w:val="-7"/>
        </w:rPr>
        <w:t> </w:t>
      </w:r>
      <w:r>
        <w:rPr/>
        <w:t>dag</w:t>
      </w:r>
      <w:r>
        <w:rPr>
          <w:spacing w:val="-6"/>
        </w:rPr>
        <w:t> kan </w:t>
      </w:r>
      <w:r>
        <w:rPr/>
        <w:t>være nødvendigt at revurdere sikkerheden </w:t>
      </w:r>
      <w:r>
        <w:rPr>
          <w:spacing w:val="-6"/>
        </w:rPr>
        <w:t>mod </w:t>
      </w:r>
      <w:r>
        <w:rPr/>
        <w:t>oversvømmelser mange steder, som eksemplet fra Thyborøn </w:t>
      </w:r>
      <w:r>
        <w:rPr>
          <w:spacing w:val="-3"/>
        </w:rPr>
        <w:t>viser. </w:t>
      </w:r>
      <w:r>
        <w:rPr/>
        <w:t>Sikkerhedsniveauer </w:t>
      </w:r>
      <w:r>
        <w:rPr>
          <w:spacing w:val="-5"/>
        </w:rPr>
        <w:t>overfor </w:t>
      </w:r>
      <w:r>
        <w:rPr/>
        <w:t>oversvømmelse på f.eks. diger og andre </w:t>
      </w:r>
      <w:r>
        <w:rPr>
          <w:spacing w:val="-3"/>
        </w:rPr>
        <w:t>tærsk- </w:t>
      </w:r>
      <w:r>
        <w:rPr/>
        <w:t>ler i terrænet, hvor havspejlsstigningen </w:t>
      </w:r>
      <w:r>
        <w:rPr>
          <w:spacing w:val="-3"/>
        </w:rPr>
        <w:t>løbende </w:t>
      </w:r>
      <w:r>
        <w:rPr/>
        <w:t>har kunnet indregnes, mindskes yderligere, </w:t>
      </w:r>
      <w:r>
        <w:rPr>
          <w:spacing w:val="-6"/>
        </w:rPr>
        <w:t>når </w:t>
      </w:r>
      <w:r>
        <w:rPr/>
        <w:t>lokale de sætninger inddrages. Her vil faren </w:t>
      </w:r>
      <w:r>
        <w:rPr>
          <w:spacing w:val="-6"/>
        </w:rPr>
        <w:t>for </w:t>
      </w:r>
      <w:r>
        <w:rPr/>
        <w:t>oversvømmelse under stormfloder øges, når </w:t>
      </w:r>
      <w:r>
        <w:rPr>
          <w:spacing w:val="-6"/>
        </w:rPr>
        <w:t>den </w:t>
      </w:r>
      <w:r>
        <w:rPr/>
        <w:t>naturlige forskel mellem havoverfladen og </w:t>
      </w:r>
      <w:r>
        <w:rPr>
          <w:spacing w:val="-4"/>
        </w:rPr>
        <w:t>land- </w:t>
      </w:r>
      <w:r>
        <w:rPr/>
        <w:t>niveauet</w:t>
      </w:r>
      <w:r>
        <w:rPr>
          <w:spacing w:val="-2"/>
        </w:rPr>
        <w:t> </w:t>
      </w:r>
      <w:r>
        <w:rPr/>
        <w:t>mindskes.</w:t>
      </w:r>
    </w:p>
    <w:p>
      <w:pPr>
        <w:pStyle w:val="BodyText"/>
        <w:spacing w:line="252" w:lineRule="auto"/>
        <w:ind w:left="673" w:firstLine="234"/>
        <w:jc w:val="both"/>
      </w:pPr>
      <w:r>
        <w:rPr/>
        <w:t>I</w:t>
      </w:r>
      <w:r>
        <w:rPr>
          <w:spacing w:val="-15"/>
        </w:rPr>
        <w:t> </w:t>
      </w:r>
      <w:r>
        <w:rPr/>
        <w:t>pilotstudiet</w:t>
      </w:r>
      <w:r>
        <w:rPr>
          <w:spacing w:val="-13"/>
        </w:rPr>
        <w:t> </w:t>
      </w:r>
      <w:r>
        <w:rPr/>
        <w:t>er</w:t>
      </w:r>
      <w:r>
        <w:rPr>
          <w:spacing w:val="-14"/>
        </w:rPr>
        <w:t> </w:t>
      </w:r>
      <w:r>
        <w:rPr/>
        <w:t>der</w:t>
      </w:r>
      <w:r>
        <w:rPr>
          <w:spacing w:val="-13"/>
        </w:rPr>
        <w:t> </w:t>
      </w:r>
      <w:r>
        <w:rPr/>
        <w:t>gjort</w:t>
      </w:r>
      <w:r>
        <w:rPr>
          <w:spacing w:val="-14"/>
        </w:rPr>
        <w:t> </w:t>
      </w:r>
      <w:r>
        <w:rPr/>
        <w:t>forskellige</w:t>
      </w:r>
      <w:r>
        <w:rPr>
          <w:spacing w:val="-13"/>
        </w:rPr>
        <w:t> </w:t>
      </w:r>
      <w:r>
        <w:rPr/>
        <w:t>antagelser om</w:t>
      </w:r>
      <w:r>
        <w:rPr>
          <w:spacing w:val="-10"/>
        </w:rPr>
        <w:t> </w:t>
      </w:r>
      <w:r>
        <w:rPr/>
        <w:t>den</w:t>
      </w:r>
      <w:r>
        <w:rPr>
          <w:spacing w:val="-9"/>
        </w:rPr>
        <w:t> </w:t>
      </w:r>
      <w:r>
        <w:rPr/>
        <w:t>fremtidige</w:t>
      </w:r>
      <w:r>
        <w:rPr>
          <w:spacing w:val="-10"/>
        </w:rPr>
        <w:t> </w:t>
      </w:r>
      <w:r>
        <w:rPr/>
        <w:t>udvikling</w:t>
      </w:r>
      <w:r>
        <w:rPr>
          <w:spacing w:val="-10"/>
        </w:rPr>
        <w:t> </w:t>
      </w:r>
      <w:r>
        <w:rPr/>
        <w:t>i</w:t>
      </w:r>
      <w:r>
        <w:rPr>
          <w:spacing w:val="-9"/>
        </w:rPr>
        <w:t> </w:t>
      </w:r>
      <w:r>
        <w:rPr/>
        <w:t>middel</w:t>
      </w:r>
      <w:r>
        <w:rPr>
          <w:spacing w:val="-9"/>
        </w:rPr>
        <w:t> </w:t>
      </w:r>
      <w:r>
        <w:rPr>
          <w:spacing w:val="-4"/>
        </w:rPr>
        <w:t>havniveau, </w:t>
      </w:r>
      <w:r>
        <w:rPr/>
        <w:t>ekstremvandstande, landhævning og lokale </w:t>
      </w:r>
      <w:r>
        <w:rPr>
          <w:spacing w:val="-5"/>
        </w:rPr>
        <w:t>sæt- </w:t>
      </w:r>
      <w:r>
        <w:rPr/>
        <w:t>ninger. Selvom hver af disse antagelser</w:t>
      </w:r>
      <w:r>
        <w:rPr>
          <w:spacing w:val="-41"/>
        </w:rPr>
        <w:t> </w:t>
      </w:r>
      <w:r>
        <w:rPr/>
        <w:t>naturlig- vis kan gøres til genstand for yderligere og</w:t>
      </w:r>
      <w:r>
        <w:rPr>
          <w:spacing w:val="-21"/>
        </w:rPr>
        <w:t> </w:t>
      </w:r>
      <w:r>
        <w:rPr>
          <w:spacing w:val="-4"/>
        </w:rPr>
        <w:t>mere </w:t>
      </w:r>
      <w:r>
        <w:rPr/>
        <w:t>detaljerede studier, viser pilotstudiet effekten </w:t>
      </w:r>
      <w:r>
        <w:rPr>
          <w:spacing w:val="-10"/>
        </w:rPr>
        <w:t>af </w:t>
      </w:r>
      <w:r>
        <w:rPr/>
        <w:t>disse</w:t>
      </w:r>
      <w:r>
        <w:rPr>
          <w:spacing w:val="-17"/>
        </w:rPr>
        <w:t> </w:t>
      </w:r>
      <w:r>
        <w:rPr/>
        <w:t>og</w:t>
      </w:r>
      <w:r>
        <w:rPr>
          <w:spacing w:val="-16"/>
        </w:rPr>
        <w:t> </w:t>
      </w:r>
      <w:r>
        <w:rPr/>
        <w:t>metodens</w:t>
      </w:r>
      <w:r>
        <w:rPr>
          <w:spacing w:val="-16"/>
        </w:rPr>
        <w:t> </w:t>
      </w:r>
      <w:r>
        <w:rPr/>
        <w:t>anvendelse</w:t>
      </w:r>
      <w:r>
        <w:rPr>
          <w:spacing w:val="-16"/>
        </w:rPr>
        <w:t> </w:t>
      </w:r>
      <w:r>
        <w:rPr/>
        <w:t>til</w:t>
      </w:r>
      <w:r>
        <w:rPr>
          <w:spacing w:val="-16"/>
        </w:rPr>
        <w:t> </w:t>
      </w:r>
      <w:r>
        <w:rPr/>
        <w:t>klimatilpasning mod</w:t>
      </w:r>
      <w:r>
        <w:rPr>
          <w:spacing w:val="-26"/>
        </w:rPr>
        <w:t> </w:t>
      </w:r>
      <w:r>
        <w:rPr/>
        <w:t>fremtidige</w:t>
      </w:r>
      <w:r>
        <w:rPr>
          <w:spacing w:val="-26"/>
        </w:rPr>
        <w:t> </w:t>
      </w:r>
      <w:r>
        <w:rPr/>
        <w:t>potentielle</w:t>
      </w:r>
      <w:r>
        <w:rPr>
          <w:spacing w:val="-27"/>
        </w:rPr>
        <w:t> </w:t>
      </w:r>
      <w:r>
        <w:rPr/>
        <w:t>oversvømmelseshæn- delser. </w:t>
      </w:r>
      <w:r>
        <w:rPr>
          <w:spacing w:val="-10"/>
        </w:rPr>
        <w:t>To </w:t>
      </w:r>
      <w:r>
        <w:rPr/>
        <w:t>af de antagelser, der er gjort, er </w:t>
      </w:r>
      <w:r>
        <w:rPr>
          <w:spacing w:val="-4"/>
        </w:rPr>
        <w:t>den </w:t>
      </w:r>
      <w:r>
        <w:rPr/>
        <w:t>rumlige</w:t>
      </w:r>
      <w:r>
        <w:rPr>
          <w:spacing w:val="-13"/>
        </w:rPr>
        <w:t> </w:t>
      </w:r>
      <w:r>
        <w:rPr/>
        <w:t>interpolation</w:t>
      </w:r>
      <w:r>
        <w:rPr>
          <w:spacing w:val="-12"/>
        </w:rPr>
        <w:t> </w:t>
      </w:r>
      <w:r>
        <w:rPr/>
        <w:t>af</w:t>
      </w:r>
      <w:r>
        <w:rPr>
          <w:spacing w:val="-13"/>
        </w:rPr>
        <w:t> </w:t>
      </w:r>
      <w:r>
        <w:rPr/>
        <w:t>sætningerne</w:t>
      </w:r>
      <w:r>
        <w:rPr>
          <w:spacing w:val="-12"/>
        </w:rPr>
        <w:t> </w:t>
      </w:r>
      <w:r>
        <w:rPr/>
        <w:t>og</w:t>
      </w:r>
      <w:r>
        <w:rPr>
          <w:spacing w:val="-12"/>
        </w:rPr>
        <w:t> </w:t>
      </w:r>
      <w:r>
        <w:rPr/>
        <w:t>den</w:t>
      </w:r>
      <w:r>
        <w:rPr>
          <w:spacing w:val="-13"/>
        </w:rPr>
        <w:t> </w:t>
      </w:r>
      <w:r>
        <w:rPr>
          <w:spacing w:val="-3"/>
        </w:rPr>
        <w:t>line- </w:t>
      </w:r>
      <w:r>
        <w:rPr/>
        <w:t>ære fremskrivning af disse. Her kan der </w:t>
      </w:r>
      <w:r>
        <w:rPr>
          <w:spacing w:val="-3"/>
        </w:rPr>
        <w:t>selvføl- </w:t>
      </w:r>
      <w:r>
        <w:rPr/>
        <w:t>gelig, afhængigt af lokalitet og de sætninger </w:t>
      </w:r>
      <w:r>
        <w:rPr>
          <w:spacing w:val="-6"/>
        </w:rPr>
        <w:t>der </w:t>
      </w:r>
      <w:r>
        <w:rPr/>
        <w:t>påvises, være forskelle i den tidslige udvikling, i årsagssammenhænge og på, om det er de </w:t>
      </w:r>
      <w:r>
        <w:rPr>
          <w:spacing w:val="-5"/>
        </w:rPr>
        <w:t>en- </w:t>
      </w:r>
      <w:r>
        <w:rPr/>
        <w:t>kelte ejendomme, der sætter sig, eller om et </w:t>
      </w:r>
      <w:r>
        <w:rPr>
          <w:spacing w:val="-4"/>
        </w:rPr>
        <w:t>helt </w:t>
      </w:r>
      <w:r>
        <w:rPr/>
        <w:t>område sætter sig sammen med</w:t>
      </w:r>
      <w:r>
        <w:rPr>
          <w:spacing w:val="-15"/>
        </w:rPr>
        <w:t> </w:t>
      </w:r>
      <w:r>
        <w:rPr/>
        <w:t>ejendommene.</w:t>
      </w:r>
    </w:p>
    <w:p>
      <w:pPr>
        <w:pStyle w:val="BodyText"/>
        <w:spacing w:line="252" w:lineRule="auto"/>
        <w:ind w:left="673" w:firstLine="234"/>
        <w:jc w:val="both"/>
      </w:pPr>
      <w:r>
        <w:rPr/>
        <w:t>Der er ikke set på den tidslige udbredelse </w:t>
      </w:r>
      <w:r>
        <w:rPr>
          <w:spacing w:val="-8"/>
        </w:rPr>
        <w:t>af </w:t>
      </w:r>
      <w:r>
        <w:rPr/>
        <w:t>oversvømmelser,</w:t>
      </w:r>
      <w:r>
        <w:rPr>
          <w:spacing w:val="-12"/>
        </w:rPr>
        <w:t> </w:t>
      </w:r>
      <w:r>
        <w:rPr/>
        <w:t>hvilket</w:t>
      </w:r>
      <w:r>
        <w:rPr>
          <w:spacing w:val="-12"/>
        </w:rPr>
        <w:t> </w:t>
      </w:r>
      <w:r>
        <w:rPr/>
        <w:t>selvfølgelig</w:t>
      </w:r>
      <w:r>
        <w:rPr>
          <w:spacing w:val="-11"/>
        </w:rPr>
        <w:t> </w:t>
      </w:r>
      <w:r>
        <w:rPr/>
        <w:t>vil</w:t>
      </w:r>
      <w:r>
        <w:rPr>
          <w:spacing w:val="-12"/>
        </w:rPr>
        <w:t> </w:t>
      </w:r>
      <w:r>
        <w:rPr/>
        <w:t>være</w:t>
      </w:r>
      <w:r>
        <w:rPr>
          <w:spacing w:val="-12"/>
        </w:rPr>
        <w:t> </w:t>
      </w:r>
      <w:r>
        <w:rPr>
          <w:spacing w:val="-8"/>
        </w:rPr>
        <w:t>en </w:t>
      </w:r>
      <w:r>
        <w:rPr/>
        <w:t>forudsætning for en realistisk vurdering af </w:t>
      </w:r>
      <w:r>
        <w:rPr>
          <w:spacing w:val="-8"/>
        </w:rPr>
        <w:t>over- </w:t>
      </w:r>
      <w:r>
        <w:rPr/>
        <w:t>svømmelsesomfanget under en fremtidig </w:t>
      </w:r>
      <w:r>
        <w:rPr>
          <w:spacing w:val="-3"/>
        </w:rPr>
        <w:t>storm- </w:t>
      </w:r>
      <w:r>
        <w:rPr/>
        <w:t>flodshændelse.</w:t>
      </w:r>
      <w:r>
        <w:rPr>
          <w:spacing w:val="-8"/>
        </w:rPr>
        <w:t> </w:t>
      </w:r>
      <w:r>
        <w:rPr/>
        <w:t>Studiet</w:t>
      </w:r>
      <w:r>
        <w:rPr>
          <w:spacing w:val="-7"/>
        </w:rPr>
        <w:t> </w:t>
      </w:r>
      <w:r>
        <w:rPr/>
        <w:t>viser</w:t>
      </w:r>
      <w:r>
        <w:rPr>
          <w:spacing w:val="-8"/>
        </w:rPr>
        <w:t> </w:t>
      </w:r>
      <w:r>
        <w:rPr/>
        <w:t>imidlertid,</w:t>
      </w:r>
      <w:r>
        <w:rPr>
          <w:spacing w:val="-7"/>
        </w:rPr>
        <w:t> </w:t>
      </w:r>
      <w:r>
        <w:rPr/>
        <w:t>at</w:t>
      </w:r>
      <w:r>
        <w:rPr>
          <w:spacing w:val="-8"/>
        </w:rPr>
        <w:t> </w:t>
      </w:r>
      <w:r>
        <w:rPr/>
        <w:t>det</w:t>
      </w:r>
      <w:r>
        <w:rPr>
          <w:spacing w:val="-7"/>
        </w:rPr>
        <w:t> </w:t>
      </w:r>
      <w:r>
        <w:rPr>
          <w:spacing w:val="-6"/>
        </w:rPr>
        <w:t>ik- </w:t>
      </w:r>
      <w:r>
        <w:rPr/>
        <w:t>ke</w:t>
      </w:r>
      <w:r>
        <w:rPr>
          <w:spacing w:val="-13"/>
        </w:rPr>
        <w:t> </w:t>
      </w:r>
      <w:r>
        <w:rPr/>
        <w:t>kun</w:t>
      </w:r>
      <w:r>
        <w:rPr>
          <w:spacing w:val="-12"/>
        </w:rPr>
        <w:t> </w:t>
      </w:r>
      <w:r>
        <w:rPr/>
        <w:t>er</w:t>
      </w:r>
      <w:r>
        <w:rPr>
          <w:spacing w:val="-13"/>
        </w:rPr>
        <w:t> </w:t>
      </w:r>
      <w:r>
        <w:rPr/>
        <w:t>i</w:t>
      </w:r>
      <w:r>
        <w:rPr>
          <w:spacing w:val="-12"/>
        </w:rPr>
        <w:t> </w:t>
      </w:r>
      <w:r>
        <w:rPr/>
        <w:t>direkte</w:t>
      </w:r>
      <w:r>
        <w:rPr>
          <w:spacing w:val="-12"/>
        </w:rPr>
        <w:t> </w:t>
      </w:r>
      <w:r>
        <w:rPr/>
        <w:t>tilknytning</w:t>
      </w:r>
      <w:r>
        <w:rPr>
          <w:spacing w:val="-13"/>
        </w:rPr>
        <w:t> </w:t>
      </w:r>
      <w:r>
        <w:rPr/>
        <w:t>til</w:t>
      </w:r>
      <w:r>
        <w:rPr>
          <w:spacing w:val="-12"/>
        </w:rPr>
        <w:t> </w:t>
      </w:r>
      <w:r>
        <w:rPr/>
        <w:t>kysten,</w:t>
      </w:r>
      <w:r>
        <w:rPr>
          <w:spacing w:val="-13"/>
        </w:rPr>
        <w:t> </w:t>
      </w:r>
      <w:r>
        <w:rPr/>
        <w:t>at</w:t>
      </w:r>
      <w:r>
        <w:rPr>
          <w:spacing w:val="-12"/>
        </w:rPr>
        <w:t> </w:t>
      </w:r>
      <w:r>
        <w:rPr>
          <w:spacing w:val="-3"/>
        </w:rPr>
        <w:t>lokale </w:t>
      </w:r>
      <w:r>
        <w:rPr/>
        <w:t>sætninger kan være af betydning i forhold til </w:t>
      </w:r>
      <w:r>
        <w:rPr>
          <w:spacing w:val="-5"/>
        </w:rPr>
        <w:t>ri- </w:t>
      </w:r>
      <w:r>
        <w:rPr/>
        <w:t>sikoen</w:t>
      </w:r>
      <w:r>
        <w:rPr>
          <w:spacing w:val="-19"/>
        </w:rPr>
        <w:t> </w:t>
      </w:r>
      <w:r>
        <w:rPr/>
        <w:t>ved</w:t>
      </w:r>
      <w:r>
        <w:rPr>
          <w:spacing w:val="-18"/>
        </w:rPr>
        <w:t> </w:t>
      </w:r>
      <w:r>
        <w:rPr/>
        <w:t>oversvømmelse.</w:t>
      </w:r>
      <w:r>
        <w:rPr>
          <w:spacing w:val="-18"/>
        </w:rPr>
        <w:t> </w:t>
      </w:r>
      <w:r>
        <w:rPr/>
        <w:t>Her</w:t>
      </w:r>
      <w:r>
        <w:rPr>
          <w:spacing w:val="-18"/>
        </w:rPr>
        <w:t> </w:t>
      </w:r>
      <w:r>
        <w:rPr/>
        <w:t>anskues</w:t>
      </w:r>
      <w:r>
        <w:rPr>
          <w:spacing w:val="-18"/>
        </w:rPr>
        <w:t> </w:t>
      </w:r>
      <w:r>
        <w:rPr>
          <w:spacing w:val="-3"/>
        </w:rPr>
        <w:t>risikoen</w:t>
      </w:r>
    </w:p>
    <w:p>
      <w:pPr>
        <w:pStyle w:val="BodyText"/>
        <w:spacing w:line="252" w:lineRule="auto" w:before="176"/>
        <w:ind w:left="329" w:right="1131"/>
        <w:jc w:val="both"/>
      </w:pPr>
      <w:r>
        <w:rPr/>
        <w:br w:type="column"/>
      </w:r>
      <w:r>
        <w:rPr/>
        <w:t>som</w:t>
      </w:r>
      <w:r>
        <w:rPr>
          <w:spacing w:val="-9"/>
        </w:rPr>
        <w:t> </w:t>
      </w:r>
      <w:r>
        <w:rPr/>
        <w:t>kombination</w:t>
      </w:r>
      <w:r>
        <w:rPr>
          <w:spacing w:val="-7"/>
        </w:rPr>
        <w:t> </w:t>
      </w:r>
      <w:r>
        <w:rPr/>
        <w:t>af</w:t>
      </w:r>
      <w:r>
        <w:rPr>
          <w:spacing w:val="-9"/>
        </w:rPr>
        <w:t> </w:t>
      </w:r>
      <w:r>
        <w:rPr/>
        <w:t>faren</w:t>
      </w:r>
      <w:r>
        <w:rPr>
          <w:spacing w:val="-7"/>
        </w:rPr>
        <w:t> </w:t>
      </w:r>
      <w:r>
        <w:rPr/>
        <w:t>for</w:t>
      </w:r>
      <w:r>
        <w:rPr>
          <w:spacing w:val="-8"/>
        </w:rPr>
        <w:t> </w:t>
      </w:r>
      <w:r>
        <w:rPr/>
        <w:t>oversvømmelse</w:t>
      </w:r>
      <w:r>
        <w:rPr>
          <w:spacing w:val="-8"/>
        </w:rPr>
        <w:t> </w:t>
      </w:r>
      <w:r>
        <w:rPr>
          <w:spacing w:val="-6"/>
        </w:rPr>
        <w:t>og </w:t>
      </w:r>
      <w:r>
        <w:rPr/>
        <w:t>oversvømmelsens</w:t>
      </w:r>
      <w:r>
        <w:rPr>
          <w:spacing w:val="-3"/>
        </w:rPr>
        <w:t> </w:t>
      </w:r>
      <w:r>
        <w:rPr/>
        <w:t>konsekvenser.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Centrale koter i forhold til vurdering af </w:t>
      </w:r>
      <w:r>
        <w:rPr>
          <w:spacing w:val="-3"/>
        </w:rPr>
        <w:t>over- </w:t>
      </w:r>
      <w:r>
        <w:rPr/>
        <w:t>svømmelser fremgår af figur </w:t>
      </w:r>
      <w:hyperlink w:history="true" w:anchor="_bookmark45">
        <w:r>
          <w:rPr>
            <w:color w:val="FF0000"/>
          </w:rPr>
          <w:t>22</w:t>
        </w:r>
      </w:hyperlink>
      <w:r>
        <w:rPr/>
        <w:t>. En 50-års </w:t>
      </w:r>
      <w:r>
        <w:rPr>
          <w:spacing w:val="-3"/>
        </w:rPr>
        <w:t>eller </w:t>
      </w:r>
      <w:r>
        <w:rPr/>
        <w:t>100-års stormflodshændelse vil betyde, at </w:t>
      </w:r>
      <w:r>
        <w:rPr>
          <w:spacing w:val="-3"/>
        </w:rPr>
        <w:t>kajer </w:t>
      </w:r>
      <w:r>
        <w:rPr/>
        <w:t>og havneområder sættes under vand. Effekten </w:t>
      </w:r>
      <w:r>
        <w:rPr>
          <w:spacing w:val="-7"/>
        </w:rPr>
        <w:t>af </w:t>
      </w:r>
      <w:r>
        <w:rPr/>
        <w:t>stormfloder øges fremadrettet, når </w:t>
      </w:r>
      <w:r>
        <w:rPr>
          <w:spacing w:val="-3"/>
        </w:rPr>
        <w:t>vandstands- </w:t>
      </w:r>
      <w:r>
        <w:rPr/>
        <w:t>stigninger og landsænkninger indregnes. </w:t>
      </w:r>
      <w:r>
        <w:rPr>
          <w:spacing w:val="-4"/>
        </w:rPr>
        <w:t>Hvis </w:t>
      </w:r>
      <w:r>
        <w:rPr/>
        <w:t>der er et dige eller anden permanent </w:t>
      </w:r>
      <w:r>
        <w:rPr>
          <w:spacing w:val="-4"/>
        </w:rPr>
        <w:t>oversvøm-</w:t>
      </w:r>
      <w:r>
        <w:rPr>
          <w:spacing w:val="52"/>
        </w:rPr>
        <w:t> </w:t>
      </w:r>
      <w:r>
        <w:rPr/>
        <w:t>melsesbeskyttelse, vil sikkerheden af disse </w:t>
      </w:r>
      <w:r>
        <w:rPr>
          <w:spacing w:val="-3"/>
        </w:rPr>
        <w:t>skul- </w:t>
      </w:r>
      <w:r>
        <w:rPr/>
        <w:t>le</w:t>
      </w:r>
      <w:r>
        <w:rPr>
          <w:spacing w:val="-14"/>
        </w:rPr>
        <w:t> </w:t>
      </w:r>
      <w:r>
        <w:rPr/>
        <w:t>vurderes</w:t>
      </w:r>
      <w:r>
        <w:rPr>
          <w:spacing w:val="-13"/>
        </w:rPr>
        <w:t> </w:t>
      </w:r>
      <w:r>
        <w:rPr/>
        <w:t>ud</w:t>
      </w:r>
      <w:r>
        <w:rPr>
          <w:spacing w:val="-14"/>
        </w:rPr>
        <w:t> </w:t>
      </w:r>
      <w:r>
        <w:rPr/>
        <w:t>fra</w:t>
      </w:r>
      <w:r>
        <w:rPr>
          <w:spacing w:val="-13"/>
        </w:rPr>
        <w:t> </w:t>
      </w:r>
      <w:r>
        <w:rPr/>
        <w:t>summen</w:t>
      </w:r>
      <w:r>
        <w:rPr>
          <w:spacing w:val="-13"/>
        </w:rPr>
        <w:t> </w:t>
      </w:r>
      <w:r>
        <w:rPr/>
        <w:t>af</w:t>
      </w:r>
      <w:r>
        <w:rPr>
          <w:spacing w:val="-13"/>
        </w:rPr>
        <w:t> </w:t>
      </w:r>
      <w:r>
        <w:rPr/>
        <w:t>samtlige</w:t>
      </w:r>
      <w:r>
        <w:rPr>
          <w:spacing w:val="-13"/>
        </w:rPr>
        <w:t> </w:t>
      </w:r>
      <w:r>
        <w:rPr/>
        <w:t>ændringer i land- og havniveau. I eksemplet skitseret på </w:t>
      </w:r>
      <w:r>
        <w:rPr>
          <w:spacing w:val="-4"/>
        </w:rPr>
        <w:t>fi- </w:t>
      </w:r>
      <w:r>
        <w:rPr/>
        <w:t>gur </w:t>
      </w:r>
      <w:hyperlink w:history="true" w:anchor="_bookmark45">
        <w:r>
          <w:rPr>
            <w:color w:val="FF0000"/>
          </w:rPr>
          <w:t>22 </w:t>
        </w:r>
      </w:hyperlink>
      <w:r>
        <w:rPr/>
        <w:t>er digets højde, digekronen, angivet </w:t>
      </w:r>
      <w:r>
        <w:rPr>
          <w:spacing w:val="-5"/>
        </w:rPr>
        <w:t>som </w:t>
      </w:r>
      <w:r>
        <w:rPr/>
        <w:t>niveauet</w:t>
      </w:r>
      <w:r>
        <w:rPr>
          <w:spacing w:val="-16"/>
        </w:rPr>
        <w:t> </w:t>
      </w:r>
      <w:r>
        <w:rPr/>
        <w:t>over</w:t>
      </w:r>
      <w:r>
        <w:rPr>
          <w:spacing w:val="-15"/>
        </w:rPr>
        <w:t> </w:t>
      </w:r>
      <w:r>
        <w:rPr/>
        <w:t>hvilket,</w:t>
      </w:r>
      <w:r>
        <w:rPr>
          <w:spacing w:val="-15"/>
        </w:rPr>
        <w:t> </w:t>
      </w:r>
      <w:r>
        <w:rPr/>
        <w:t>der</w:t>
      </w:r>
      <w:r>
        <w:rPr>
          <w:spacing w:val="-15"/>
        </w:rPr>
        <w:t> </w:t>
      </w:r>
      <w:r>
        <w:rPr/>
        <w:t>vil</w:t>
      </w:r>
      <w:r>
        <w:rPr>
          <w:spacing w:val="-15"/>
        </w:rPr>
        <w:t> </w:t>
      </w:r>
      <w:r>
        <w:rPr/>
        <w:t>ske</w:t>
      </w:r>
      <w:r>
        <w:rPr>
          <w:spacing w:val="-15"/>
        </w:rPr>
        <w:t> </w:t>
      </w:r>
      <w:r>
        <w:rPr/>
        <w:t>oversvømmelse af baglandet (her ses bort fra andre parametre </w:t>
      </w:r>
      <w:r>
        <w:rPr>
          <w:spacing w:val="-6"/>
        </w:rPr>
        <w:t>af </w:t>
      </w:r>
      <w:r>
        <w:rPr/>
        <w:t>betydning</w:t>
      </w:r>
      <w:r>
        <w:rPr>
          <w:spacing w:val="-9"/>
        </w:rPr>
        <w:t> </w:t>
      </w:r>
      <w:r>
        <w:rPr/>
        <w:t>for</w:t>
      </w:r>
      <w:r>
        <w:rPr>
          <w:spacing w:val="-7"/>
        </w:rPr>
        <w:t> </w:t>
      </w:r>
      <w:r>
        <w:rPr/>
        <w:t>digets</w:t>
      </w:r>
      <w:r>
        <w:rPr>
          <w:spacing w:val="-9"/>
        </w:rPr>
        <w:t> </w:t>
      </w:r>
      <w:r>
        <w:rPr/>
        <w:t>sikkerhed).</w:t>
      </w:r>
      <w:r>
        <w:rPr>
          <w:spacing w:val="-7"/>
        </w:rPr>
        <w:t> </w:t>
      </w:r>
      <w:r>
        <w:rPr/>
        <w:t>Hvis</w:t>
      </w:r>
      <w:r>
        <w:rPr>
          <w:spacing w:val="-8"/>
        </w:rPr>
        <w:t> </w:t>
      </w:r>
      <w:r>
        <w:rPr/>
        <w:t>denne</w:t>
      </w:r>
      <w:r>
        <w:rPr>
          <w:spacing w:val="-8"/>
        </w:rPr>
        <w:t> </w:t>
      </w:r>
      <w:r>
        <w:rPr>
          <w:spacing w:val="-5"/>
        </w:rPr>
        <w:t>kote </w:t>
      </w:r>
      <w:r>
        <w:rPr/>
        <w:t>overgås, vil baglandet blive oversvømmet. </w:t>
      </w:r>
      <w:r>
        <w:rPr>
          <w:spacing w:val="-3"/>
        </w:rPr>
        <w:t>Sæt- </w:t>
      </w:r>
      <w:r>
        <w:rPr/>
        <w:t>ninger i diger er et velkendt fænomen og </w:t>
      </w:r>
      <w:r>
        <w:rPr>
          <w:spacing w:val="-3"/>
        </w:rPr>
        <w:t>genop- </w:t>
      </w:r>
      <w:r>
        <w:rPr/>
        <w:t>måling af digekroner foretages, eller bør foreta- ges, med regelmæssige intervaller og med </w:t>
      </w:r>
      <w:r>
        <w:rPr>
          <w:spacing w:val="-3"/>
        </w:rPr>
        <w:t>refe- </w:t>
      </w:r>
      <w:r>
        <w:rPr/>
        <w:t>rence til et stabilt</w:t>
      </w:r>
      <w:r>
        <w:rPr>
          <w:spacing w:val="-5"/>
        </w:rPr>
        <w:t> </w:t>
      </w:r>
      <w:r>
        <w:rPr/>
        <w:t>punkt.</w:t>
      </w:r>
    </w:p>
    <w:p>
      <w:pPr>
        <w:pStyle w:val="BodyText"/>
        <w:spacing w:line="260" w:lineRule="exact"/>
        <w:ind w:left="563"/>
      </w:pPr>
      <w:r>
        <w:rPr/>
        <w:t>Udover betydningen af oversvømmelsens</w:t>
      </w:r>
      <w:r>
        <w:rPr>
          <w:spacing w:val="52"/>
        </w:rPr>
        <w:t> </w:t>
      </w:r>
      <w:r>
        <w:rPr/>
        <w:t>ud-</w:t>
      </w:r>
    </w:p>
    <w:p>
      <w:pPr>
        <w:pStyle w:val="BodyText"/>
        <w:spacing w:line="252" w:lineRule="auto" w:before="12"/>
        <w:ind w:left="329" w:right="1131"/>
        <w:jc w:val="both"/>
      </w:pPr>
      <w:r>
        <w:rPr/>
        <w:t>bredelse, dvs. hvor stort et område, der </w:t>
      </w:r>
      <w:r>
        <w:rPr>
          <w:spacing w:val="-7"/>
        </w:rPr>
        <w:t>over- </w:t>
      </w:r>
      <w:r>
        <w:rPr/>
        <w:t>svømmes, har oversvømmelsesdybden stor </w:t>
      </w:r>
      <w:r>
        <w:rPr>
          <w:spacing w:val="-5"/>
        </w:rPr>
        <w:t>be- </w:t>
      </w:r>
      <w:r>
        <w:rPr/>
        <w:t>tydning for skadesomfanget. Hvis et </w:t>
      </w:r>
      <w:r>
        <w:rPr>
          <w:spacing w:val="-3"/>
        </w:rPr>
        <w:t>område </w:t>
      </w:r>
      <w:r>
        <w:rPr/>
        <w:t>oversvømmes</w:t>
      </w:r>
      <w:r>
        <w:rPr>
          <w:spacing w:val="-11"/>
        </w:rPr>
        <w:t> </w:t>
      </w:r>
      <w:r>
        <w:rPr/>
        <w:t>med</w:t>
      </w:r>
      <w:r>
        <w:rPr>
          <w:spacing w:val="-11"/>
        </w:rPr>
        <w:t> </w:t>
      </w:r>
      <w:r>
        <w:rPr/>
        <w:t>få</w:t>
      </w:r>
      <w:r>
        <w:rPr>
          <w:spacing w:val="-10"/>
        </w:rPr>
        <w:t> </w:t>
      </w:r>
      <w:r>
        <w:rPr/>
        <w:t>centimeter</w:t>
      </w:r>
      <w:r>
        <w:rPr>
          <w:spacing w:val="-11"/>
        </w:rPr>
        <w:t> </w:t>
      </w:r>
      <w:r>
        <w:rPr/>
        <w:t>vand,</w:t>
      </w:r>
      <w:r>
        <w:rPr>
          <w:spacing w:val="-10"/>
        </w:rPr>
        <w:t> </w:t>
      </w:r>
      <w:r>
        <w:rPr/>
        <w:t>vil</w:t>
      </w:r>
      <w:r>
        <w:rPr>
          <w:spacing w:val="-11"/>
        </w:rPr>
        <w:t> </w:t>
      </w:r>
      <w:r>
        <w:rPr/>
        <w:t>det</w:t>
      </w:r>
      <w:r>
        <w:rPr>
          <w:spacing w:val="-10"/>
        </w:rPr>
        <w:t> </w:t>
      </w:r>
      <w:r>
        <w:rPr>
          <w:spacing w:val="-4"/>
        </w:rPr>
        <w:t>ik- </w:t>
      </w:r>
      <w:r>
        <w:rPr/>
        <w:t>ke betyde alverden i forhold til skader på </w:t>
      </w:r>
      <w:r>
        <w:rPr>
          <w:spacing w:val="-4"/>
        </w:rPr>
        <w:t>huse </w:t>
      </w:r>
      <w:r>
        <w:rPr/>
        <w:t>(uden</w:t>
      </w:r>
      <w:r>
        <w:rPr>
          <w:spacing w:val="-11"/>
        </w:rPr>
        <w:t> </w:t>
      </w:r>
      <w:r>
        <w:rPr/>
        <w:t>kælder),</w:t>
      </w:r>
      <w:r>
        <w:rPr>
          <w:spacing w:val="-9"/>
        </w:rPr>
        <w:t> </w:t>
      </w:r>
      <w:r>
        <w:rPr/>
        <w:t>mens</w:t>
      </w:r>
      <w:r>
        <w:rPr>
          <w:spacing w:val="-10"/>
        </w:rPr>
        <w:t> </w:t>
      </w:r>
      <w:r>
        <w:rPr/>
        <w:t>en</w:t>
      </w:r>
      <w:r>
        <w:rPr>
          <w:spacing w:val="-10"/>
        </w:rPr>
        <w:t> </w:t>
      </w:r>
      <w:r>
        <w:rPr/>
        <w:t>vandstand</w:t>
      </w:r>
      <w:r>
        <w:rPr>
          <w:spacing w:val="-10"/>
        </w:rPr>
        <w:t> </w:t>
      </w:r>
      <w:r>
        <w:rPr/>
        <w:t>på</w:t>
      </w:r>
      <w:r>
        <w:rPr>
          <w:spacing w:val="-9"/>
        </w:rPr>
        <w:t> </w:t>
      </w:r>
      <w:r>
        <w:rPr/>
        <w:t>20</w:t>
      </w:r>
      <w:r>
        <w:rPr>
          <w:spacing w:val="-11"/>
        </w:rPr>
        <w:t> </w:t>
      </w:r>
      <w:r>
        <w:rPr/>
        <w:t>cm</w:t>
      </w:r>
      <w:r>
        <w:rPr>
          <w:spacing w:val="-9"/>
        </w:rPr>
        <w:t> </w:t>
      </w:r>
      <w:r>
        <w:rPr>
          <w:spacing w:val="-3"/>
        </w:rPr>
        <w:t>eller </w:t>
      </w:r>
      <w:r>
        <w:rPr/>
        <w:t>derover ofte betyder, at vandet trænger ind i </w:t>
      </w:r>
      <w:r>
        <w:rPr>
          <w:spacing w:val="-5"/>
        </w:rPr>
        <w:t>hu- </w:t>
      </w:r>
      <w:r>
        <w:rPr/>
        <w:t>sene. Skadesomfanget vil herefter generelt </w:t>
      </w:r>
      <w:r>
        <w:rPr>
          <w:spacing w:val="-4"/>
        </w:rPr>
        <w:t>øges </w:t>
      </w:r>
      <w:r>
        <w:rPr/>
        <w:t>med større oversvømmelsesdybde. </w:t>
      </w:r>
      <w:r>
        <w:rPr>
          <w:spacing w:val="-9"/>
        </w:rPr>
        <w:t>Ved </w:t>
      </w:r>
      <w:r>
        <w:rPr>
          <w:spacing w:val="-4"/>
        </w:rPr>
        <w:t>nybyg- </w:t>
      </w:r>
      <w:r>
        <w:rPr/>
        <w:t>geri, i lokalplaner og vurdering af </w:t>
      </w:r>
      <w:r>
        <w:rPr>
          <w:spacing w:val="-4"/>
        </w:rPr>
        <w:t>oversvømmel- </w:t>
      </w:r>
      <w:r>
        <w:rPr/>
        <w:t>sesfare anbefales derfor ofte en minimumskote. Udover eventuelle bestemmelser vedrørende</w:t>
      </w:r>
      <w:r>
        <w:rPr>
          <w:spacing w:val="-37"/>
        </w:rPr>
        <w:t> </w:t>
      </w:r>
      <w:r>
        <w:rPr>
          <w:spacing w:val="-6"/>
        </w:rPr>
        <w:t>ter- </w:t>
      </w:r>
      <w:r>
        <w:rPr/>
        <w:t>rænkoter,</w:t>
      </w:r>
      <w:r>
        <w:rPr>
          <w:spacing w:val="-9"/>
        </w:rPr>
        <w:t> </w:t>
      </w:r>
      <w:r>
        <w:rPr/>
        <w:t>fokuseres</w:t>
      </w:r>
      <w:r>
        <w:rPr>
          <w:spacing w:val="-9"/>
        </w:rPr>
        <w:t> </w:t>
      </w:r>
      <w:r>
        <w:rPr/>
        <w:t>der</w:t>
      </w:r>
      <w:r>
        <w:rPr>
          <w:spacing w:val="-8"/>
        </w:rPr>
        <w:t> </w:t>
      </w:r>
      <w:r>
        <w:rPr/>
        <w:t>ofte</w:t>
      </w:r>
      <w:r>
        <w:rPr>
          <w:spacing w:val="-9"/>
        </w:rPr>
        <w:t> </w:t>
      </w:r>
      <w:r>
        <w:rPr/>
        <w:t>på</w:t>
      </w:r>
      <w:r>
        <w:rPr>
          <w:spacing w:val="-8"/>
        </w:rPr>
        <w:t> </w:t>
      </w:r>
      <w:r>
        <w:rPr/>
        <w:t>sokkelkoten</w:t>
      </w:r>
      <w:r>
        <w:rPr>
          <w:spacing w:val="-8"/>
        </w:rPr>
        <w:t> </w:t>
      </w:r>
      <w:r>
        <w:rPr>
          <w:spacing w:val="-3"/>
        </w:rPr>
        <w:t>eller </w:t>
      </w:r>
      <w:r>
        <w:rPr/>
        <w:t>gulvkoten.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Hvad enten et betragtet lavtliggende </w:t>
      </w:r>
      <w:r>
        <w:rPr>
          <w:spacing w:val="-3"/>
        </w:rPr>
        <w:t>kystnært </w:t>
      </w:r>
      <w:r>
        <w:rPr/>
        <w:t>område er digebeskyttet eller ej, kan lokale </w:t>
      </w:r>
      <w:r>
        <w:rPr>
          <w:spacing w:val="-3"/>
        </w:rPr>
        <w:t>sæt- </w:t>
      </w:r>
      <w:r>
        <w:rPr/>
        <w:t>ninger</w:t>
      </w:r>
      <w:r>
        <w:rPr>
          <w:spacing w:val="-14"/>
        </w:rPr>
        <w:t> </w:t>
      </w:r>
      <w:r>
        <w:rPr/>
        <w:t>således</w:t>
      </w:r>
      <w:r>
        <w:rPr>
          <w:spacing w:val="-13"/>
        </w:rPr>
        <w:t> </w:t>
      </w:r>
      <w:r>
        <w:rPr>
          <w:spacing w:val="-3"/>
        </w:rPr>
        <w:t>have</w:t>
      </w:r>
      <w:r>
        <w:rPr>
          <w:spacing w:val="-13"/>
        </w:rPr>
        <w:t> </w:t>
      </w:r>
      <w:r>
        <w:rPr/>
        <w:t>stor</w:t>
      </w:r>
      <w:r>
        <w:rPr>
          <w:spacing w:val="-14"/>
        </w:rPr>
        <w:t> </w:t>
      </w:r>
      <w:r>
        <w:rPr/>
        <w:t>betydning</w:t>
      </w:r>
      <w:r>
        <w:rPr>
          <w:spacing w:val="-13"/>
        </w:rPr>
        <w:t> </w:t>
      </w:r>
      <w:r>
        <w:rPr/>
        <w:t>for</w:t>
      </w:r>
      <w:r>
        <w:rPr>
          <w:spacing w:val="-13"/>
        </w:rPr>
        <w:t> </w:t>
      </w:r>
      <w:r>
        <w:rPr>
          <w:spacing w:val="-4"/>
        </w:rPr>
        <w:t>oversvøm- </w:t>
      </w:r>
      <w:r>
        <w:rPr/>
        <w:t>melsesrisikoen.</w:t>
      </w:r>
      <w:r>
        <w:rPr>
          <w:spacing w:val="-9"/>
        </w:rPr>
        <w:t> </w:t>
      </w:r>
      <w:r>
        <w:rPr/>
        <w:t>Som</w:t>
      </w:r>
      <w:r>
        <w:rPr>
          <w:spacing w:val="-10"/>
        </w:rPr>
        <w:t> </w:t>
      </w:r>
      <w:r>
        <w:rPr/>
        <w:t>eksemplet</w:t>
      </w:r>
      <w:r>
        <w:rPr>
          <w:spacing w:val="-9"/>
        </w:rPr>
        <w:t> </w:t>
      </w:r>
      <w:r>
        <w:rPr/>
        <w:t>fra</w:t>
      </w:r>
      <w:r>
        <w:rPr>
          <w:spacing w:val="-9"/>
        </w:rPr>
        <w:t> </w:t>
      </w:r>
      <w:r>
        <w:rPr/>
        <w:t>Thyborøn</w:t>
      </w:r>
      <w:r>
        <w:rPr>
          <w:spacing w:val="-9"/>
        </w:rPr>
        <w:t> </w:t>
      </w:r>
      <w:r>
        <w:rPr>
          <w:spacing w:val="-5"/>
        </w:rPr>
        <w:t>vi-</w:t>
      </w:r>
    </w:p>
    <w:p>
      <w:pPr>
        <w:spacing w:after="0" w:line="252" w:lineRule="auto"/>
        <w:jc w:val="both"/>
        <w:sectPr>
          <w:type w:val="continuous"/>
          <w:pgSz w:w="11910" w:h="16840"/>
          <w:pgMar w:top="0" w:bottom="280" w:left="460" w:right="0"/>
          <w:cols w:num="2" w:equalWidth="0">
            <w:col w:w="5309" w:space="40"/>
            <w:col w:w="6101"/>
          </w:cols>
        </w:sectPr>
      </w:pPr>
    </w:p>
    <w:p>
      <w:pPr>
        <w:pStyle w:val="BodyText"/>
        <w:ind w:left="1637"/>
        <w:rPr>
          <w:sz w:val="20"/>
        </w:rPr>
      </w:pPr>
      <w:r>
        <w:rPr>
          <w:sz w:val="20"/>
        </w:rPr>
        <w:drawing>
          <wp:inline distT="0" distB="0" distL="0" distR="0">
            <wp:extent cx="4888611" cy="1422749"/>
            <wp:effectExtent l="0" t="0" r="0" b="0"/>
            <wp:docPr id="53" name="image3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30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8611" cy="1422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sz w:val="7"/>
        </w:rPr>
      </w:pPr>
    </w:p>
    <w:p>
      <w:pPr>
        <w:spacing w:before="103"/>
        <w:ind w:left="3009" w:right="0" w:firstLine="0"/>
        <w:jc w:val="left"/>
        <w:rPr>
          <w:rFonts w:ascii="Arial" w:hAnsi="Arial"/>
          <w:sz w:val="22"/>
        </w:rPr>
      </w:pPr>
      <w:bookmarkStart w:name="_bookmark45" w:id="62"/>
      <w:bookmarkEnd w:id="62"/>
      <w:r>
        <w:rPr/>
      </w:r>
      <w:r>
        <w:rPr>
          <w:rFonts w:ascii="Arial" w:hAnsi="Arial"/>
          <w:sz w:val="22"/>
        </w:rPr>
        <w:t>Figur 22: Koter i relation til kystnær klimatilpasning.</w:t>
      </w:r>
    </w:p>
    <w:p>
      <w:pPr>
        <w:pStyle w:val="BodyText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footerReference w:type="default" r:id="rId47"/>
          <w:pgSz w:w="11910" w:h="16840"/>
          <w:pgMar w:footer="0" w:header="0" w:top="1120" w:bottom="280" w:left="460" w:right="0"/>
        </w:sectPr>
      </w:pPr>
    </w:p>
    <w:p>
      <w:pPr>
        <w:pStyle w:val="BodyText"/>
        <w:spacing w:line="252" w:lineRule="auto" w:before="224"/>
        <w:ind w:left="673"/>
        <w:jc w:val="both"/>
      </w:pPr>
      <w:r>
        <w:rPr>
          <w:spacing w:val="-3"/>
        </w:rPr>
        <w:t>ser, </w:t>
      </w:r>
      <w:r>
        <w:rPr/>
        <w:t>vil de lokale sætninger være af større </w:t>
      </w:r>
      <w:r>
        <w:rPr>
          <w:spacing w:val="-5"/>
        </w:rPr>
        <w:t>be- </w:t>
      </w:r>
      <w:r>
        <w:rPr/>
        <w:t>tydning end havspejlsstigningen over en </w:t>
      </w:r>
      <w:r>
        <w:rPr>
          <w:spacing w:val="-3"/>
        </w:rPr>
        <w:t>50-årig </w:t>
      </w:r>
      <w:r>
        <w:rPr/>
        <w:t>tidshorisont. En del steder i landet vil der </w:t>
      </w:r>
      <w:r>
        <w:rPr>
          <w:spacing w:val="-7"/>
        </w:rPr>
        <w:t>ikke </w:t>
      </w:r>
      <w:r>
        <w:rPr/>
        <w:t>ske nævneværdige sætninger, nogle steder </w:t>
      </w:r>
      <w:r>
        <w:rPr>
          <w:spacing w:val="-6"/>
        </w:rPr>
        <w:t>kan </w:t>
      </w:r>
      <w:r>
        <w:rPr/>
        <w:t>sætninger være begrænset til enkelte og </w:t>
      </w:r>
      <w:r>
        <w:rPr>
          <w:spacing w:val="-3"/>
        </w:rPr>
        <w:t>dårligt </w:t>
      </w:r>
      <w:r>
        <w:rPr/>
        <w:t>funderede huse, og andre steder kan sætninger forekomme over større områder. </w:t>
      </w:r>
      <w:r>
        <w:rPr>
          <w:spacing w:val="-9"/>
        </w:rPr>
        <w:t>Ved </w:t>
      </w:r>
      <w:r>
        <w:rPr/>
        <w:t>den </w:t>
      </w:r>
      <w:r>
        <w:rPr>
          <w:spacing w:val="-4"/>
        </w:rPr>
        <w:t>an- </w:t>
      </w:r>
      <w:r>
        <w:rPr/>
        <w:t>vendte metode kan viden om lokale (formodede eller målte) sætninger med fordel inddrages, </w:t>
      </w:r>
      <w:r>
        <w:rPr>
          <w:spacing w:val="-6"/>
        </w:rPr>
        <w:t>bå- </w:t>
      </w:r>
      <w:r>
        <w:rPr/>
        <w:t>de når der planlægges for nybyggeri og i</w:t>
      </w:r>
      <w:r>
        <w:rPr>
          <w:spacing w:val="-29"/>
        </w:rPr>
        <w:t> </w:t>
      </w:r>
      <w:r>
        <w:rPr>
          <w:spacing w:val="-3"/>
        </w:rPr>
        <w:t>forhold </w:t>
      </w:r>
      <w:r>
        <w:rPr/>
        <w:t>til klimatilpasning af eksisterende </w:t>
      </w:r>
      <w:r>
        <w:rPr>
          <w:spacing w:val="-2"/>
        </w:rPr>
        <w:t>infrastruktur </w:t>
      </w:r>
      <w:r>
        <w:rPr/>
        <w:t>og ejendomme. Heri udgør den tilpassede </w:t>
      </w:r>
      <w:r>
        <w:rPr>
          <w:spacing w:val="-4"/>
        </w:rPr>
        <w:t>høj- </w:t>
      </w:r>
      <w:r>
        <w:rPr/>
        <w:t>demodel, der inddrager de fremtidige </w:t>
      </w:r>
      <w:r>
        <w:rPr>
          <w:spacing w:val="-3"/>
        </w:rPr>
        <w:t>landbevæ- </w:t>
      </w:r>
      <w:r>
        <w:rPr/>
        <w:t>gelser,</w:t>
      </w:r>
      <w:r>
        <w:rPr>
          <w:spacing w:val="-18"/>
        </w:rPr>
        <w:t> </w:t>
      </w:r>
      <w:r>
        <w:rPr/>
        <w:t>et</w:t>
      </w:r>
      <w:r>
        <w:rPr>
          <w:spacing w:val="-18"/>
        </w:rPr>
        <w:t> </w:t>
      </w:r>
      <w:r>
        <w:rPr/>
        <w:t>både</w:t>
      </w:r>
      <w:r>
        <w:rPr>
          <w:spacing w:val="-18"/>
        </w:rPr>
        <w:t> </w:t>
      </w:r>
      <w:r>
        <w:rPr/>
        <w:t>dynamisk</w:t>
      </w:r>
      <w:r>
        <w:rPr>
          <w:spacing w:val="-18"/>
        </w:rPr>
        <w:t> </w:t>
      </w:r>
      <w:r>
        <w:rPr/>
        <w:t>og</w:t>
      </w:r>
      <w:r>
        <w:rPr>
          <w:spacing w:val="-18"/>
        </w:rPr>
        <w:t> </w:t>
      </w:r>
      <w:r>
        <w:rPr/>
        <w:t>lettilgængeligt</w:t>
      </w:r>
      <w:r>
        <w:rPr>
          <w:spacing w:val="-18"/>
        </w:rPr>
        <w:t> </w:t>
      </w:r>
      <w:r>
        <w:rPr>
          <w:spacing w:val="-3"/>
        </w:rPr>
        <w:t>værk- </w:t>
      </w:r>
      <w:r>
        <w:rPr/>
        <w:t>tøj til screening og vurdering af det potentielle fremtidige</w:t>
      </w:r>
      <w:r>
        <w:rPr>
          <w:spacing w:val="-17"/>
        </w:rPr>
        <w:t> </w:t>
      </w:r>
      <w:r>
        <w:rPr/>
        <w:t>oversvømmelsesomfang</w:t>
      </w:r>
      <w:r>
        <w:rPr>
          <w:spacing w:val="-16"/>
        </w:rPr>
        <w:t> </w:t>
      </w:r>
      <w:r>
        <w:rPr/>
        <w:t>under</w:t>
      </w:r>
      <w:r>
        <w:rPr>
          <w:spacing w:val="-16"/>
        </w:rPr>
        <w:t> </w:t>
      </w:r>
      <w:r>
        <w:rPr>
          <w:spacing w:val="-3"/>
        </w:rPr>
        <w:t>storm- </w:t>
      </w:r>
      <w:r>
        <w:rPr/>
        <w:t>floder. I dette studie er 2060 anvendt som </w:t>
      </w:r>
      <w:r>
        <w:rPr>
          <w:spacing w:val="-4"/>
        </w:rPr>
        <w:t>refe-</w:t>
      </w:r>
      <w:r>
        <w:rPr>
          <w:spacing w:val="52"/>
        </w:rPr>
        <w:t> </w:t>
      </w:r>
      <w:r>
        <w:rPr/>
        <w:t>rence, men DHM kan naturligvis fremskrives </w:t>
      </w:r>
      <w:r>
        <w:rPr>
          <w:spacing w:val="-5"/>
        </w:rPr>
        <w:t>til </w:t>
      </w:r>
      <w:r>
        <w:rPr/>
        <w:t>et</w:t>
      </w:r>
      <w:r>
        <w:rPr>
          <w:spacing w:val="-15"/>
        </w:rPr>
        <w:t> </w:t>
      </w:r>
      <w:r>
        <w:rPr/>
        <w:t>hvilket</w:t>
      </w:r>
      <w:r>
        <w:rPr>
          <w:spacing w:val="-14"/>
        </w:rPr>
        <w:t> </w:t>
      </w:r>
      <w:r>
        <w:rPr/>
        <w:t>som</w:t>
      </w:r>
      <w:r>
        <w:rPr>
          <w:spacing w:val="-14"/>
        </w:rPr>
        <w:t> </w:t>
      </w:r>
      <w:r>
        <w:rPr/>
        <w:t>helst</w:t>
      </w:r>
      <w:r>
        <w:rPr>
          <w:spacing w:val="-15"/>
        </w:rPr>
        <w:t> </w:t>
      </w:r>
      <w:r>
        <w:rPr/>
        <w:t>år</w:t>
      </w:r>
      <w:r>
        <w:rPr>
          <w:spacing w:val="-14"/>
        </w:rPr>
        <w:t> </w:t>
      </w:r>
      <w:r>
        <w:rPr/>
        <w:t>ud</w:t>
      </w:r>
      <w:r>
        <w:rPr>
          <w:spacing w:val="-14"/>
        </w:rPr>
        <w:t> </w:t>
      </w:r>
      <w:r>
        <w:rPr/>
        <w:t>i</w:t>
      </w:r>
      <w:r>
        <w:rPr>
          <w:spacing w:val="-15"/>
        </w:rPr>
        <w:t> </w:t>
      </w:r>
      <w:r>
        <w:rPr/>
        <w:t>fremtiden</w:t>
      </w:r>
      <w:r>
        <w:rPr>
          <w:spacing w:val="-14"/>
        </w:rPr>
        <w:t> </w:t>
      </w:r>
      <w:r>
        <w:rPr/>
        <w:t>med</w:t>
      </w:r>
      <w:r>
        <w:rPr>
          <w:spacing w:val="-14"/>
        </w:rPr>
        <w:t> </w:t>
      </w:r>
      <w:r>
        <w:rPr>
          <w:spacing w:val="-3"/>
        </w:rPr>
        <w:t>inddra- </w:t>
      </w:r>
      <w:r>
        <w:rPr/>
        <w:t>gelse af viden om lokale forhold og </w:t>
      </w:r>
      <w:r>
        <w:rPr>
          <w:spacing w:val="-2"/>
        </w:rPr>
        <w:t>projektioner </w:t>
      </w:r>
      <w:r>
        <w:rPr/>
        <w:t>af</w:t>
      </w:r>
      <w:r>
        <w:rPr>
          <w:spacing w:val="-2"/>
        </w:rPr>
        <w:t> </w:t>
      </w:r>
      <w:r>
        <w:rPr/>
        <w:t>havspejlsstigningen.</w:t>
      </w:r>
    </w:p>
    <w:p>
      <w:pPr>
        <w:pStyle w:val="BodyText"/>
        <w:spacing w:line="258" w:lineRule="exact"/>
        <w:ind w:left="907"/>
      </w:pPr>
      <w:r>
        <w:rPr/>
        <w:t>Tilsvarende vil den mere korrekte, </w:t>
      </w:r>
      <w:r>
        <w:rPr>
          <w:spacing w:val="-3"/>
        </w:rPr>
        <w:t>fremskrev-</w:t>
      </w:r>
    </w:p>
    <w:p>
      <w:pPr>
        <w:pStyle w:val="BodyText"/>
        <w:spacing w:line="252" w:lineRule="auto" w:before="13"/>
        <w:ind w:left="673"/>
        <w:jc w:val="both"/>
      </w:pPr>
      <w:r>
        <w:rPr/>
        <w:t>ne</w:t>
      </w:r>
      <w:r>
        <w:rPr>
          <w:spacing w:val="-14"/>
        </w:rPr>
        <w:t> </w:t>
      </w:r>
      <w:r>
        <w:rPr/>
        <w:t>terrænmodel</w:t>
      </w:r>
      <w:r>
        <w:rPr>
          <w:spacing w:val="-14"/>
        </w:rPr>
        <w:t> </w:t>
      </w:r>
      <w:r>
        <w:rPr/>
        <w:t>kunne</w:t>
      </w:r>
      <w:r>
        <w:rPr>
          <w:spacing w:val="-13"/>
        </w:rPr>
        <w:t> </w:t>
      </w:r>
      <w:r>
        <w:rPr/>
        <w:t>danne</w:t>
      </w:r>
      <w:r>
        <w:rPr>
          <w:spacing w:val="-14"/>
        </w:rPr>
        <w:t> </w:t>
      </w:r>
      <w:r>
        <w:rPr/>
        <w:t>grundlag</w:t>
      </w:r>
      <w:r>
        <w:rPr>
          <w:spacing w:val="-13"/>
        </w:rPr>
        <w:t> </w:t>
      </w:r>
      <w:r>
        <w:rPr/>
        <w:t>for</w:t>
      </w:r>
      <w:r>
        <w:rPr>
          <w:spacing w:val="-14"/>
        </w:rPr>
        <w:t> </w:t>
      </w:r>
      <w:r>
        <w:rPr/>
        <w:t>en</w:t>
      </w:r>
      <w:r>
        <w:rPr>
          <w:spacing w:val="-13"/>
        </w:rPr>
        <w:t> </w:t>
      </w:r>
      <w:r>
        <w:rPr>
          <w:spacing w:val="-8"/>
        </w:rPr>
        <w:t>for- </w:t>
      </w:r>
      <w:r>
        <w:rPr/>
        <w:t>bedret hydrodynamisk numerisk modellering </w:t>
      </w:r>
      <w:r>
        <w:rPr>
          <w:spacing w:val="-8"/>
        </w:rPr>
        <w:t>af </w:t>
      </w:r>
      <w:r>
        <w:rPr/>
        <w:t>stormfloder, hvor det tidsmæssige perspektiv </w:t>
      </w:r>
      <w:r>
        <w:rPr>
          <w:spacing w:val="-16"/>
        </w:rPr>
        <w:t>i </w:t>
      </w:r>
      <w:r>
        <w:rPr/>
        <w:t>oversvømmelsesudbredelsen</w:t>
      </w:r>
      <w:r>
        <w:rPr>
          <w:spacing w:val="-3"/>
        </w:rPr>
        <w:t> </w:t>
      </w:r>
      <w:r>
        <w:rPr/>
        <w:t>inddrages.</w:t>
      </w:r>
    </w:p>
    <w:p>
      <w:pPr>
        <w:pStyle w:val="BodyText"/>
        <w:spacing w:before="9"/>
        <w:rPr>
          <w:sz w:val="37"/>
        </w:rPr>
      </w:pPr>
    </w:p>
    <w:p>
      <w:pPr>
        <w:pStyle w:val="Heading2"/>
        <w:numPr>
          <w:ilvl w:val="1"/>
          <w:numId w:val="5"/>
        </w:numPr>
        <w:tabs>
          <w:tab w:pos="1431" w:val="left" w:leader="none"/>
        </w:tabs>
        <w:spacing w:line="240" w:lineRule="auto" w:before="0" w:after="0"/>
        <w:ind w:left="1430" w:right="0" w:hanging="757"/>
        <w:jc w:val="both"/>
      </w:pPr>
      <w:bookmarkStart w:name="_bookmark46" w:id="63"/>
      <w:bookmarkEnd w:id="63"/>
      <w:r>
        <w:rPr>
          <w:b w:val="0"/>
        </w:rPr>
      </w:r>
      <w:bookmarkStart w:name="_bookmark46" w:id="64"/>
      <w:bookmarkEnd w:id="64"/>
      <w:r>
        <w:rPr/>
        <w:t>Ren</w:t>
      </w:r>
      <w:r>
        <w:rPr/>
        <w:t>overing af</w:t>
      </w:r>
      <w:r>
        <w:rPr>
          <w:spacing w:val="21"/>
        </w:rPr>
        <w:t> </w:t>
      </w:r>
      <w:r>
        <w:rPr/>
        <w:t>kloaknet</w:t>
      </w:r>
    </w:p>
    <w:p>
      <w:pPr>
        <w:pStyle w:val="BodyText"/>
        <w:spacing w:line="252" w:lineRule="auto" w:before="246"/>
        <w:ind w:left="673"/>
        <w:jc w:val="both"/>
      </w:pPr>
      <w:r>
        <w:rPr/>
        <w:t>Mange kommuner står i dag overfor store </w:t>
      </w:r>
      <w:r>
        <w:rPr>
          <w:spacing w:val="-7"/>
        </w:rPr>
        <w:t>inve- </w:t>
      </w:r>
      <w:r>
        <w:rPr/>
        <w:t>steringer i forbindelse med renovering og</w:t>
      </w:r>
      <w:r>
        <w:rPr>
          <w:spacing w:val="-31"/>
        </w:rPr>
        <w:t> </w:t>
      </w:r>
      <w:r>
        <w:rPr>
          <w:spacing w:val="-3"/>
        </w:rPr>
        <w:t>klima- </w:t>
      </w:r>
      <w:r>
        <w:rPr/>
        <w:t>tilpasning</w:t>
      </w:r>
      <w:r>
        <w:rPr>
          <w:spacing w:val="-20"/>
        </w:rPr>
        <w:t> </w:t>
      </w:r>
      <w:r>
        <w:rPr/>
        <w:t>af</w:t>
      </w:r>
      <w:r>
        <w:rPr>
          <w:spacing w:val="-19"/>
        </w:rPr>
        <w:t> </w:t>
      </w:r>
      <w:r>
        <w:rPr/>
        <w:t>spildevands-</w:t>
      </w:r>
      <w:r>
        <w:rPr>
          <w:spacing w:val="-19"/>
        </w:rPr>
        <w:t> </w:t>
      </w:r>
      <w:r>
        <w:rPr/>
        <w:t>og</w:t>
      </w:r>
      <w:r>
        <w:rPr>
          <w:spacing w:val="-19"/>
        </w:rPr>
        <w:t> </w:t>
      </w:r>
      <w:r>
        <w:rPr/>
        <w:t>kloaksystemer.</w:t>
      </w:r>
      <w:r>
        <w:rPr>
          <w:spacing w:val="-20"/>
        </w:rPr>
        <w:t> </w:t>
      </w:r>
      <w:r>
        <w:rPr>
          <w:spacing w:val="-6"/>
        </w:rPr>
        <w:t>Me- </w:t>
      </w:r>
      <w:r>
        <w:rPr/>
        <w:t>toden kan i den forbindelse anvendes til en vur- dering af, om tilløbsforholdene til de </w:t>
      </w:r>
      <w:r>
        <w:rPr>
          <w:spacing w:val="-3"/>
        </w:rPr>
        <w:t>forskelli- </w:t>
      </w:r>
      <w:r>
        <w:rPr/>
        <w:t>ge segmenter af kommunens kloaksystemer </w:t>
      </w:r>
      <w:r>
        <w:rPr>
          <w:spacing w:val="-6"/>
        </w:rPr>
        <w:t>har </w:t>
      </w:r>
      <w:r>
        <w:rPr/>
        <w:t>ændret</w:t>
      </w:r>
      <w:r>
        <w:rPr>
          <w:spacing w:val="42"/>
        </w:rPr>
        <w:t> </w:t>
      </w:r>
      <w:r>
        <w:rPr/>
        <w:t>sig,</w:t>
      </w:r>
      <w:r>
        <w:rPr>
          <w:spacing w:val="43"/>
        </w:rPr>
        <w:t> </w:t>
      </w:r>
      <w:r>
        <w:rPr/>
        <w:t>eller</w:t>
      </w:r>
      <w:r>
        <w:rPr>
          <w:spacing w:val="43"/>
        </w:rPr>
        <w:t> </w:t>
      </w:r>
      <w:r>
        <w:rPr/>
        <w:t>om</w:t>
      </w:r>
      <w:r>
        <w:rPr>
          <w:spacing w:val="43"/>
        </w:rPr>
        <w:t> </w:t>
      </w:r>
      <w:r>
        <w:rPr/>
        <w:t>de</w:t>
      </w:r>
      <w:r>
        <w:rPr>
          <w:spacing w:val="42"/>
        </w:rPr>
        <w:t> </w:t>
      </w:r>
      <w:r>
        <w:rPr/>
        <w:t>forventes</w:t>
      </w:r>
      <w:r>
        <w:rPr>
          <w:spacing w:val="43"/>
        </w:rPr>
        <w:t> </w:t>
      </w:r>
      <w:r>
        <w:rPr/>
        <w:t>at</w:t>
      </w:r>
      <w:r>
        <w:rPr>
          <w:spacing w:val="43"/>
        </w:rPr>
        <w:t> </w:t>
      </w:r>
      <w:r>
        <w:rPr/>
        <w:t>ville</w:t>
      </w:r>
      <w:r>
        <w:rPr>
          <w:spacing w:val="43"/>
        </w:rPr>
        <w:t> </w:t>
      </w:r>
      <w:r>
        <w:rPr>
          <w:spacing w:val="-4"/>
        </w:rPr>
        <w:t>æn-</w:t>
      </w:r>
    </w:p>
    <w:p>
      <w:pPr>
        <w:pStyle w:val="BodyText"/>
        <w:spacing w:line="252" w:lineRule="auto" w:before="224"/>
        <w:ind w:left="329" w:right="1131"/>
        <w:jc w:val="both"/>
      </w:pPr>
      <w:r>
        <w:rPr/>
        <w:br w:type="column"/>
      </w:r>
      <w:r>
        <w:rPr/>
        <w:t>dre sig over tid. Endvidere vil det være særdeles værdifuldt</w:t>
      </w:r>
      <w:r>
        <w:rPr>
          <w:spacing w:val="22"/>
        </w:rPr>
        <w:t> </w:t>
      </w:r>
      <w:r>
        <w:rPr/>
        <w:t>at</w:t>
      </w:r>
      <w:r>
        <w:rPr>
          <w:spacing w:val="22"/>
        </w:rPr>
        <w:t> </w:t>
      </w:r>
      <w:r>
        <w:rPr/>
        <w:t>kunne</w:t>
      </w:r>
      <w:r>
        <w:rPr>
          <w:spacing w:val="22"/>
        </w:rPr>
        <w:t> </w:t>
      </w:r>
      <w:r>
        <w:rPr/>
        <w:t>inddrage</w:t>
      </w:r>
      <w:r>
        <w:rPr>
          <w:spacing w:val="22"/>
        </w:rPr>
        <w:t> </w:t>
      </w:r>
      <w:r>
        <w:rPr/>
        <w:t>viden</w:t>
      </w:r>
      <w:r>
        <w:rPr>
          <w:spacing w:val="22"/>
        </w:rPr>
        <w:t> </w:t>
      </w:r>
      <w:r>
        <w:rPr/>
        <w:t>om</w:t>
      </w:r>
      <w:r>
        <w:rPr>
          <w:spacing w:val="22"/>
        </w:rPr>
        <w:t> </w:t>
      </w:r>
      <w:r>
        <w:rPr>
          <w:spacing w:val="-3"/>
        </w:rPr>
        <w:t>forven-</w:t>
      </w:r>
    </w:p>
    <w:p>
      <w:pPr>
        <w:pStyle w:val="BodyText"/>
        <w:spacing w:line="228" w:lineRule="auto" w:before="9"/>
        <w:ind w:left="329" w:right="1131"/>
        <w:jc w:val="both"/>
      </w:pPr>
      <w:r>
        <w:rPr/>
        <w:t>tede lokale sætningsforhold ved projektering </w:t>
      </w:r>
      <w:r>
        <w:rPr>
          <w:spacing w:val="-7"/>
        </w:rPr>
        <w:t>af </w:t>
      </w:r>
      <w:r>
        <w:rPr/>
        <w:t>nye</w:t>
      </w:r>
      <w:r>
        <w:rPr>
          <w:spacing w:val="-11"/>
        </w:rPr>
        <w:t> </w:t>
      </w:r>
      <w:r>
        <w:rPr/>
        <w:t>kloaksystemer</w:t>
      </w:r>
      <w:r>
        <w:rPr>
          <w:spacing w:val="-10"/>
        </w:rPr>
        <w:t> </w:t>
      </w:r>
      <w:r>
        <w:rPr/>
        <w:t>for</w:t>
      </w:r>
      <w:r>
        <w:rPr>
          <w:spacing w:val="-10"/>
        </w:rPr>
        <w:t> </w:t>
      </w:r>
      <w:r>
        <w:rPr/>
        <w:t>at</w:t>
      </w:r>
      <w:r>
        <w:rPr>
          <w:spacing w:val="-10"/>
        </w:rPr>
        <w:t> </w:t>
      </w:r>
      <w:r>
        <w:rPr/>
        <w:t>sikre,</w:t>
      </w:r>
      <w:r>
        <w:rPr>
          <w:spacing w:val="-10"/>
        </w:rPr>
        <w:t> </w:t>
      </w:r>
      <w:r>
        <w:rPr/>
        <w:t>at</w:t>
      </w:r>
      <w:r>
        <w:rPr>
          <w:spacing w:val="-10"/>
        </w:rPr>
        <w:t> </w:t>
      </w:r>
      <w:r>
        <w:rPr/>
        <w:t>det</w:t>
      </w:r>
      <w:r>
        <w:rPr>
          <w:spacing w:val="-10"/>
        </w:rPr>
        <w:t> </w:t>
      </w:r>
      <w:r>
        <w:rPr>
          <w:spacing w:val="-3"/>
        </w:rPr>
        <w:t>nødvendige </w:t>
      </w:r>
      <w:r>
        <w:rPr/>
        <w:t>minimumsfald på alle segmenter af</w:t>
      </w:r>
      <w:r>
        <w:rPr>
          <w:spacing w:val="-18"/>
        </w:rPr>
        <w:t> </w:t>
      </w:r>
      <w:r>
        <w:rPr>
          <w:spacing w:val="-2"/>
        </w:rPr>
        <w:t>kloaklednin-</w:t>
      </w:r>
    </w:p>
    <w:p>
      <w:pPr>
        <w:pStyle w:val="BodyText"/>
        <w:spacing w:line="252" w:lineRule="auto" w:before="18"/>
        <w:ind w:left="329" w:right="1131"/>
        <w:jc w:val="both"/>
      </w:pPr>
      <w:r>
        <w:rPr/>
        <w:t>gen</w:t>
      </w:r>
      <w:r>
        <w:rPr>
          <w:spacing w:val="-8"/>
        </w:rPr>
        <w:t> </w:t>
      </w:r>
      <w:r>
        <w:rPr/>
        <w:t>vil</w:t>
      </w:r>
      <w:r>
        <w:rPr>
          <w:spacing w:val="-9"/>
        </w:rPr>
        <w:t> </w:t>
      </w:r>
      <w:r>
        <w:rPr/>
        <w:t>bestå</w:t>
      </w:r>
      <w:r>
        <w:rPr>
          <w:spacing w:val="-8"/>
        </w:rPr>
        <w:t> </w:t>
      </w:r>
      <w:r>
        <w:rPr/>
        <w:t>i</w:t>
      </w:r>
      <w:r>
        <w:rPr>
          <w:spacing w:val="-8"/>
        </w:rPr>
        <w:t> </w:t>
      </w:r>
      <w:r>
        <w:rPr/>
        <w:t>hele</w:t>
      </w:r>
      <w:r>
        <w:rPr>
          <w:spacing w:val="-9"/>
        </w:rPr>
        <w:t> </w:t>
      </w:r>
      <w:r>
        <w:rPr/>
        <w:t>kloakledningens</w:t>
      </w:r>
      <w:r>
        <w:rPr>
          <w:spacing w:val="-8"/>
        </w:rPr>
        <w:t> </w:t>
      </w:r>
      <w:r>
        <w:rPr>
          <w:spacing w:val="-2"/>
        </w:rPr>
        <w:t>projekterede </w:t>
      </w:r>
      <w:r>
        <w:rPr/>
        <w:t>levetid.</w:t>
      </w:r>
    </w:p>
    <w:p>
      <w:pPr>
        <w:pStyle w:val="BodyText"/>
        <w:spacing w:before="9"/>
        <w:rPr>
          <w:sz w:val="39"/>
        </w:rPr>
      </w:pPr>
    </w:p>
    <w:p>
      <w:pPr>
        <w:pStyle w:val="Heading2"/>
        <w:numPr>
          <w:ilvl w:val="1"/>
          <w:numId w:val="5"/>
        </w:numPr>
        <w:tabs>
          <w:tab w:pos="1086" w:val="left" w:leader="none"/>
          <w:tab w:pos="1087" w:val="left" w:leader="none"/>
        </w:tabs>
        <w:spacing w:line="240" w:lineRule="auto" w:before="0" w:after="0"/>
        <w:ind w:left="1086" w:right="0" w:hanging="757"/>
        <w:jc w:val="left"/>
      </w:pPr>
      <w:bookmarkStart w:name="_bookmark47" w:id="65"/>
      <w:bookmarkEnd w:id="65"/>
      <w:r>
        <w:rPr>
          <w:b w:val="0"/>
        </w:rPr>
      </w:r>
      <w:bookmarkStart w:name="_bookmark47" w:id="66"/>
      <w:bookmarkEnd w:id="66"/>
      <w:r>
        <w:rPr/>
        <w:t>Klimatilpasning</w:t>
      </w:r>
      <w:r>
        <w:rPr>
          <w:spacing w:val="5"/>
        </w:rPr>
        <w:t> </w:t>
      </w:r>
      <w:r>
        <w:rPr/>
        <w:t>generelt</w:t>
      </w:r>
    </w:p>
    <w:p>
      <w:pPr>
        <w:pStyle w:val="BodyText"/>
        <w:spacing w:line="252" w:lineRule="auto" w:before="246"/>
        <w:ind w:left="329" w:right="1131"/>
        <w:jc w:val="both"/>
      </w:pPr>
      <w:r>
        <w:rPr/>
        <w:t>Detaljeret viden om vertikale landbevægelser </w:t>
      </w:r>
      <w:r>
        <w:rPr>
          <w:spacing w:val="-7"/>
        </w:rPr>
        <w:t>på </w:t>
      </w:r>
      <w:r>
        <w:rPr/>
        <w:t>lokal</w:t>
      </w:r>
      <w:r>
        <w:rPr>
          <w:spacing w:val="-8"/>
        </w:rPr>
        <w:t> </w:t>
      </w:r>
      <w:r>
        <w:rPr/>
        <w:t>skala</w:t>
      </w:r>
      <w:r>
        <w:rPr>
          <w:spacing w:val="-7"/>
        </w:rPr>
        <w:t> </w:t>
      </w:r>
      <w:r>
        <w:rPr/>
        <w:t>kan</w:t>
      </w:r>
      <w:r>
        <w:rPr>
          <w:spacing w:val="-7"/>
        </w:rPr>
        <w:t> </w:t>
      </w:r>
      <w:r>
        <w:rPr>
          <w:spacing w:val="-3"/>
        </w:rPr>
        <w:t>give</w:t>
      </w:r>
      <w:r>
        <w:rPr>
          <w:spacing w:val="-7"/>
        </w:rPr>
        <w:t> </w:t>
      </w:r>
      <w:r>
        <w:rPr/>
        <w:t>et</w:t>
      </w:r>
      <w:r>
        <w:rPr>
          <w:spacing w:val="-8"/>
        </w:rPr>
        <w:t> </w:t>
      </w:r>
      <w:r>
        <w:rPr/>
        <w:t>værdifuldt</w:t>
      </w:r>
      <w:r>
        <w:rPr>
          <w:spacing w:val="-7"/>
        </w:rPr>
        <w:t> </w:t>
      </w:r>
      <w:r>
        <w:rPr/>
        <w:t>input</w:t>
      </w:r>
      <w:r>
        <w:rPr>
          <w:spacing w:val="-7"/>
        </w:rPr>
        <w:t> </w:t>
      </w:r>
      <w:r>
        <w:rPr/>
        <w:t>til</w:t>
      </w:r>
      <w:r>
        <w:rPr>
          <w:spacing w:val="-7"/>
        </w:rPr>
        <w:t> </w:t>
      </w:r>
      <w:r>
        <w:rPr>
          <w:spacing w:val="-3"/>
        </w:rPr>
        <w:t>klima- </w:t>
      </w:r>
      <w:r>
        <w:rPr/>
        <w:t>tilpasningsindsatsen i kommunerne og kan </w:t>
      </w:r>
      <w:r>
        <w:rPr>
          <w:spacing w:val="-8"/>
        </w:rPr>
        <w:t>have </w:t>
      </w:r>
      <w:r>
        <w:rPr/>
        <w:t>betydning for planlægning af bygge- og </w:t>
      </w:r>
      <w:r>
        <w:rPr>
          <w:spacing w:val="-3"/>
        </w:rPr>
        <w:t>anlægs- </w:t>
      </w:r>
      <w:r>
        <w:rPr/>
        <w:t>arbejder</w:t>
      </w:r>
      <w:r>
        <w:rPr>
          <w:spacing w:val="-2"/>
        </w:rPr>
        <w:t> </w:t>
      </w:r>
      <w:r>
        <w:rPr/>
        <w:t>generelt.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Metoden, som er beskrevet </w:t>
      </w:r>
      <w:r>
        <w:rPr>
          <w:spacing w:val="-3"/>
        </w:rPr>
        <w:t>her, </w:t>
      </w:r>
      <w:r>
        <w:rPr/>
        <w:t>kan </w:t>
      </w:r>
      <w:r>
        <w:rPr>
          <w:spacing w:val="-4"/>
        </w:rPr>
        <w:t>anvendes </w:t>
      </w:r>
      <w:r>
        <w:rPr/>
        <w:t>til beregning af bluespot kort og overjordiske</w:t>
      </w:r>
      <w:r>
        <w:rPr>
          <w:spacing w:val="-39"/>
        </w:rPr>
        <w:t> </w:t>
      </w:r>
      <w:r>
        <w:rPr>
          <w:spacing w:val="-5"/>
        </w:rPr>
        <w:t>re- </w:t>
      </w:r>
      <w:r>
        <w:rPr/>
        <w:t>servoirdybder til et givent tidspunkt i fremtiden, og kan på den måde </w:t>
      </w:r>
      <w:r>
        <w:rPr>
          <w:spacing w:val="-3"/>
        </w:rPr>
        <w:t>give </w:t>
      </w:r>
      <w:r>
        <w:rPr/>
        <w:t>et billede af dynamik- ken i landskabet mht. vandets strømningsveje</w:t>
      </w:r>
      <w:r>
        <w:rPr>
          <w:spacing w:val="-38"/>
        </w:rPr>
        <w:t> </w:t>
      </w:r>
      <w:r>
        <w:rPr>
          <w:spacing w:val="-8"/>
        </w:rPr>
        <w:t>og </w:t>
      </w:r>
      <w:r>
        <w:rPr/>
        <w:t>opstuvning. For at få et mere nøjagtigt billede</w:t>
      </w:r>
      <w:r>
        <w:rPr>
          <w:spacing w:val="-19"/>
        </w:rPr>
        <w:t> </w:t>
      </w:r>
      <w:r>
        <w:rPr/>
        <w:t>af disse forhold bør en højdemodel fremskrevet </w:t>
      </w:r>
      <w:r>
        <w:rPr>
          <w:spacing w:val="-5"/>
        </w:rPr>
        <w:t>til </w:t>
      </w:r>
      <w:r>
        <w:rPr/>
        <w:t>et givent årstal i fremtiden kobles med informa- tion om eksisterende og planlagte hydrologiske elementer i landskabet, som har betydning </w:t>
      </w:r>
      <w:r>
        <w:rPr>
          <w:spacing w:val="-5"/>
        </w:rPr>
        <w:t>for </w:t>
      </w:r>
      <w:r>
        <w:rPr/>
        <w:t>vandets strømningsmønstre på overfladen, </w:t>
      </w:r>
      <w:r>
        <w:rPr>
          <w:spacing w:val="-3"/>
        </w:rPr>
        <w:t>f.eks. </w:t>
      </w:r>
      <w:r>
        <w:rPr/>
        <w:t>rørunderføringer, pumpestationer </w:t>
      </w:r>
      <w:r>
        <w:rPr>
          <w:spacing w:val="-6"/>
        </w:rPr>
        <w:t>mv. </w:t>
      </w:r>
      <w:r>
        <w:rPr/>
        <w:t>På </w:t>
      </w:r>
      <w:r>
        <w:rPr>
          <w:spacing w:val="-3"/>
        </w:rPr>
        <w:t>denne </w:t>
      </w:r>
      <w:r>
        <w:rPr/>
        <w:t>måde kan metoden samt viden om lokal </w:t>
      </w:r>
      <w:r>
        <w:rPr>
          <w:spacing w:val="-3"/>
        </w:rPr>
        <w:t>land- </w:t>
      </w:r>
      <w:r>
        <w:rPr/>
        <w:t>hævning </w:t>
      </w:r>
      <w:r>
        <w:rPr>
          <w:spacing w:val="-3"/>
        </w:rPr>
        <w:t>give </w:t>
      </w:r>
      <w:r>
        <w:rPr/>
        <w:t>et værdifuldt input til planlægning af klimatilpasningsindsatsen på lang</w:t>
      </w:r>
      <w:r>
        <w:rPr>
          <w:spacing w:val="-8"/>
        </w:rPr>
        <w:t> </w:t>
      </w:r>
      <w:r>
        <w:rPr/>
        <w:t>sigt.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Informationer om kendte vandstandsende </w:t>
      </w:r>
      <w:r>
        <w:rPr>
          <w:spacing w:val="-8"/>
        </w:rPr>
        <w:t>og </w:t>
      </w:r>
      <w:r>
        <w:rPr/>
        <w:t>vandførende elementer på overfladen er </w:t>
      </w:r>
      <w:r>
        <w:rPr>
          <w:spacing w:val="-4"/>
        </w:rPr>
        <w:t>blevet </w:t>
      </w:r>
      <w:r>
        <w:rPr/>
        <w:t>etableret og er i September 2013 blevet </w:t>
      </w:r>
      <w:r>
        <w:rPr>
          <w:spacing w:val="-3"/>
        </w:rPr>
        <w:t>frigi- </w:t>
      </w:r>
      <w:r>
        <w:rPr/>
        <w:t>vet</w:t>
      </w:r>
      <w:r>
        <w:rPr>
          <w:spacing w:val="-19"/>
        </w:rPr>
        <w:t> </w:t>
      </w:r>
      <w:r>
        <w:rPr/>
        <w:t>sammen</w:t>
      </w:r>
      <w:r>
        <w:rPr>
          <w:spacing w:val="-17"/>
        </w:rPr>
        <w:t> </w:t>
      </w:r>
      <w:r>
        <w:rPr/>
        <w:t>med</w:t>
      </w:r>
      <w:r>
        <w:rPr>
          <w:spacing w:val="-18"/>
        </w:rPr>
        <w:t> </w:t>
      </w:r>
      <w:r>
        <w:rPr/>
        <w:t>en</w:t>
      </w:r>
      <w:r>
        <w:rPr>
          <w:spacing w:val="-19"/>
        </w:rPr>
        <w:t> </w:t>
      </w:r>
      <w:r>
        <w:rPr/>
        <w:t>hydrologisk</w:t>
      </w:r>
      <w:r>
        <w:rPr>
          <w:spacing w:val="-18"/>
        </w:rPr>
        <w:t> </w:t>
      </w:r>
      <w:r>
        <w:rPr/>
        <w:t>højdemodel,</w:t>
      </w:r>
      <w:r>
        <w:rPr>
          <w:spacing w:val="-17"/>
        </w:rPr>
        <w:t> </w:t>
      </w:r>
      <w:r>
        <w:rPr>
          <w:spacing w:val="-4"/>
        </w:rPr>
        <w:t>der </w:t>
      </w:r>
      <w:r>
        <w:rPr/>
        <w:t>kan benyttes som grundlag for beregninger </w:t>
      </w:r>
      <w:r>
        <w:rPr>
          <w:spacing w:val="-8"/>
        </w:rPr>
        <w:t>af </w:t>
      </w:r>
      <w:r>
        <w:rPr/>
        <w:t>vandets veje på</w:t>
      </w:r>
      <w:r>
        <w:rPr>
          <w:spacing w:val="-7"/>
        </w:rPr>
        <w:t> </w:t>
      </w:r>
      <w:r>
        <w:rPr/>
        <w:t>overfladen.</w:t>
      </w:r>
    </w:p>
    <w:p>
      <w:pPr>
        <w:spacing w:after="0" w:line="252" w:lineRule="auto"/>
        <w:jc w:val="both"/>
        <w:sectPr>
          <w:type w:val="continuous"/>
          <w:pgSz w:w="11910" w:h="16840"/>
          <w:pgMar w:top="0" w:bottom="280" w:left="460" w:right="0"/>
          <w:cols w:num="2" w:equalWidth="0">
            <w:col w:w="5309" w:space="40"/>
            <w:col w:w="6101"/>
          </w:cols>
        </w:sectPr>
      </w:pPr>
    </w:p>
    <w:p>
      <w:pPr>
        <w:pStyle w:val="BodyText"/>
        <w:spacing w:before="9"/>
        <w:rPr>
          <w:sz w:val="20"/>
        </w:rPr>
      </w:pPr>
    </w:p>
    <w:p>
      <w:pPr>
        <w:spacing w:before="104"/>
        <w:ind w:left="4602" w:right="5059" w:firstLine="0"/>
        <w:jc w:val="center"/>
        <w:rPr>
          <w:rFonts w:ascii="Arial"/>
          <w:sz w:val="22"/>
        </w:rPr>
      </w:pPr>
      <w:r>
        <w:rPr>
          <w:rFonts w:ascii="Arial"/>
          <w:sz w:val="22"/>
        </w:rPr>
        <w:t>35</w:t>
      </w:r>
    </w:p>
    <w:p>
      <w:pPr>
        <w:spacing w:after="0"/>
        <w:jc w:val="center"/>
        <w:rPr>
          <w:rFonts w:ascii="Arial"/>
          <w:sz w:val="22"/>
        </w:rPr>
        <w:sectPr>
          <w:type w:val="continuous"/>
          <w:pgSz w:w="11910" w:h="16840"/>
          <w:pgMar w:top="0" w:bottom="280" w:left="460" w:right="0"/>
        </w:sectPr>
      </w:pPr>
    </w:p>
    <w:p>
      <w:pPr>
        <w:pStyle w:val="BodyText"/>
        <w:spacing w:before="10"/>
        <w:rPr>
          <w:rFonts w:ascii="Arial"/>
          <w:sz w:val="28"/>
        </w:rPr>
      </w:pPr>
    </w:p>
    <w:p>
      <w:pPr>
        <w:spacing w:line="463" w:lineRule="auto" w:before="111"/>
        <w:ind w:left="673" w:right="6772" w:firstLine="0"/>
        <w:jc w:val="left"/>
        <w:rPr>
          <w:rFonts w:ascii="Arial"/>
          <w:b/>
          <w:sz w:val="45"/>
        </w:rPr>
      </w:pPr>
      <w:r>
        <w:rPr>
          <w:rFonts w:ascii="Arial"/>
          <w:b/>
          <w:sz w:val="45"/>
        </w:rPr>
        <w:t>Kapitel 5 Afrunding</w:t>
      </w:r>
    </w:p>
    <w:p>
      <w:pPr>
        <w:pStyle w:val="BodyText"/>
        <w:spacing w:before="8"/>
        <w:rPr>
          <w:rFonts w:ascii="Arial"/>
          <w:b/>
          <w:sz w:val="13"/>
        </w:rPr>
      </w:pPr>
    </w:p>
    <w:p>
      <w:pPr>
        <w:spacing w:after="0"/>
        <w:rPr>
          <w:rFonts w:ascii="Arial"/>
          <w:sz w:val="13"/>
        </w:rPr>
        <w:sectPr>
          <w:footerReference w:type="default" r:id="rId49"/>
          <w:pgSz w:w="11910" w:h="16840"/>
          <w:pgMar w:footer="0" w:header="0" w:top="1580" w:bottom="280" w:left="460" w:right="0"/>
        </w:sectPr>
      </w:pPr>
    </w:p>
    <w:p>
      <w:pPr>
        <w:pStyle w:val="Heading2"/>
        <w:numPr>
          <w:ilvl w:val="1"/>
          <w:numId w:val="6"/>
        </w:numPr>
        <w:tabs>
          <w:tab w:pos="1430" w:val="left" w:leader="none"/>
          <w:tab w:pos="1431" w:val="left" w:leader="none"/>
          <w:tab w:pos="3533" w:val="left" w:leader="none"/>
        </w:tabs>
        <w:spacing w:line="295" w:lineRule="auto" w:before="110" w:after="0"/>
        <w:ind w:left="1430" w:right="0" w:hanging="757"/>
        <w:jc w:val="left"/>
      </w:pPr>
      <w:bookmarkStart w:name="_bookmark48" w:id="67"/>
      <w:bookmarkEnd w:id="67"/>
      <w:r>
        <w:rPr>
          <w:b w:val="0"/>
        </w:rPr>
      </w:r>
      <w:bookmarkStart w:name="_bookmark48" w:id="68"/>
      <w:bookmarkEnd w:id="68"/>
      <w:r>
        <w:rPr/>
        <w:t>P</w:t>
      </w:r>
      <w:r>
        <w:rPr/>
        <w:t>erspektiv:</w:t>
        <w:tab/>
      </w:r>
      <w:r>
        <w:rPr>
          <w:spacing w:val="-3"/>
        </w:rPr>
        <w:t>inddragelse </w:t>
      </w:r>
      <w:r>
        <w:rPr/>
        <w:t>af</w:t>
      </w:r>
      <w:r>
        <w:rPr>
          <w:spacing w:val="5"/>
        </w:rPr>
        <w:t> </w:t>
      </w:r>
      <w:r>
        <w:rPr/>
        <w:t>indikatordatasæt</w:t>
      </w:r>
    </w:p>
    <w:p>
      <w:pPr>
        <w:pStyle w:val="BodyText"/>
        <w:spacing w:line="252" w:lineRule="auto" w:before="165"/>
        <w:ind w:left="673"/>
        <w:jc w:val="both"/>
      </w:pPr>
      <w:r>
        <w:rPr/>
        <w:t>De postglaciale isostatiske forhold, som </w:t>
      </w:r>
      <w:r>
        <w:rPr>
          <w:spacing w:val="-3"/>
        </w:rPr>
        <w:t>betin- </w:t>
      </w:r>
      <w:r>
        <w:rPr/>
        <w:t>ger den generelle absolutte landhævning, er </w:t>
      </w:r>
      <w:r>
        <w:rPr>
          <w:spacing w:val="-8"/>
        </w:rPr>
        <w:t>for- </w:t>
      </w:r>
      <w:r>
        <w:rPr/>
        <w:t>holdsvis veldokumenterede, og der har været </w:t>
      </w:r>
      <w:r>
        <w:rPr>
          <w:spacing w:val="-10"/>
        </w:rPr>
        <w:t>ar- </w:t>
      </w:r>
      <w:r>
        <w:rPr/>
        <w:t>bejdet med modelberegninger af isostatisk </w:t>
      </w:r>
      <w:r>
        <w:rPr>
          <w:spacing w:val="-3"/>
        </w:rPr>
        <w:t>land- </w:t>
      </w:r>
      <w:r>
        <w:rPr/>
        <w:t>hævning</w:t>
      </w:r>
      <w:r>
        <w:rPr>
          <w:spacing w:val="-12"/>
        </w:rPr>
        <w:t> </w:t>
      </w:r>
      <w:r>
        <w:rPr/>
        <w:t>igennem</w:t>
      </w:r>
      <w:r>
        <w:rPr>
          <w:spacing w:val="-11"/>
        </w:rPr>
        <w:t> </w:t>
      </w:r>
      <w:r>
        <w:rPr/>
        <w:t>en</w:t>
      </w:r>
      <w:r>
        <w:rPr>
          <w:spacing w:val="-12"/>
        </w:rPr>
        <w:t> </w:t>
      </w:r>
      <w:r>
        <w:rPr/>
        <w:t>årrække,</w:t>
      </w:r>
      <w:r>
        <w:rPr>
          <w:spacing w:val="-11"/>
        </w:rPr>
        <w:t> </w:t>
      </w:r>
      <w:r>
        <w:rPr/>
        <w:t>hvilket</w:t>
      </w:r>
      <w:r>
        <w:rPr>
          <w:spacing w:val="-12"/>
        </w:rPr>
        <w:t> </w:t>
      </w:r>
      <w:r>
        <w:rPr/>
        <w:t>har</w:t>
      </w:r>
      <w:r>
        <w:rPr>
          <w:spacing w:val="-11"/>
        </w:rPr>
        <w:t> </w:t>
      </w:r>
      <w:r>
        <w:rPr/>
        <w:t>ført</w:t>
      </w:r>
      <w:r>
        <w:rPr>
          <w:spacing w:val="-12"/>
        </w:rPr>
        <w:t> </w:t>
      </w:r>
      <w:r>
        <w:rPr>
          <w:spacing w:val="-4"/>
        </w:rPr>
        <w:t>til, </w:t>
      </w:r>
      <w:r>
        <w:rPr/>
        <w:t>at der i dag eksisterer gode modeller i national skala. Imidlertid synes der at være behov for </w:t>
      </w:r>
      <w:r>
        <w:rPr>
          <w:spacing w:val="-9"/>
        </w:rPr>
        <w:t>en </w:t>
      </w:r>
      <w:r>
        <w:rPr/>
        <w:t>bedre</w:t>
      </w:r>
      <w:r>
        <w:rPr>
          <w:spacing w:val="-13"/>
        </w:rPr>
        <w:t> </w:t>
      </w:r>
      <w:r>
        <w:rPr/>
        <w:t>forståelse</w:t>
      </w:r>
      <w:r>
        <w:rPr>
          <w:spacing w:val="-12"/>
        </w:rPr>
        <w:t> </w:t>
      </w:r>
      <w:r>
        <w:rPr/>
        <w:t>af</w:t>
      </w:r>
      <w:r>
        <w:rPr>
          <w:spacing w:val="-13"/>
        </w:rPr>
        <w:t> </w:t>
      </w:r>
      <w:r>
        <w:rPr/>
        <w:t>de</w:t>
      </w:r>
      <w:r>
        <w:rPr>
          <w:spacing w:val="-13"/>
        </w:rPr>
        <w:t> </w:t>
      </w:r>
      <w:r>
        <w:rPr/>
        <w:t>forhold,</w:t>
      </w:r>
      <w:r>
        <w:rPr>
          <w:spacing w:val="-12"/>
        </w:rPr>
        <w:t> </w:t>
      </w:r>
      <w:r>
        <w:rPr/>
        <w:t>som</w:t>
      </w:r>
      <w:r>
        <w:rPr>
          <w:spacing w:val="-12"/>
        </w:rPr>
        <w:t> </w:t>
      </w:r>
      <w:r>
        <w:rPr/>
        <w:t>har</w:t>
      </w:r>
      <w:r>
        <w:rPr>
          <w:spacing w:val="-13"/>
        </w:rPr>
        <w:t> </w:t>
      </w:r>
      <w:r>
        <w:rPr/>
        <w:t>indflydel- se på lokale vertikale landbevægelser med </w:t>
      </w:r>
      <w:r>
        <w:rPr>
          <w:spacing w:val="-4"/>
        </w:rPr>
        <w:t>hen- </w:t>
      </w:r>
      <w:r>
        <w:rPr/>
        <w:t>blik på en mere detaljeret kortlægning af de </w:t>
      </w:r>
      <w:r>
        <w:rPr>
          <w:spacing w:val="-7"/>
        </w:rPr>
        <w:t>ver- </w:t>
      </w:r>
      <w:r>
        <w:rPr/>
        <w:t>tikale</w:t>
      </w:r>
      <w:r>
        <w:rPr>
          <w:spacing w:val="-2"/>
        </w:rPr>
        <w:t> </w:t>
      </w:r>
      <w:r>
        <w:rPr/>
        <w:t>landbevægelser.</w:t>
      </w:r>
    </w:p>
    <w:p>
      <w:pPr>
        <w:pStyle w:val="BodyText"/>
        <w:spacing w:line="252" w:lineRule="auto"/>
        <w:ind w:left="673" w:firstLine="234"/>
        <w:jc w:val="both"/>
      </w:pPr>
      <w:r>
        <w:rPr/>
        <w:t>Hypotesen </w:t>
      </w:r>
      <w:r>
        <w:rPr>
          <w:spacing w:val="-4"/>
        </w:rPr>
        <w:t>er, </w:t>
      </w:r>
      <w:r>
        <w:rPr/>
        <w:t>at hastigheden af den </w:t>
      </w:r>
      <w:r>
        <w:rPr>
          <w:spacing w:val="-3"/>
        </w:rPr>
        <w:t>vertika- </w:t>
      </w:r>
      <w:r>
        <w:rPr/>
        <w:t>le landhævning i Danmark på lokal skala er </w:t>
      </w:r>
      <w:r>
        <w:rPr>
          <w:spacing w:val="-5"/>
        </w:rPr>
        <w:t>tæt </w:t>
      </w:r>
      <w:r>
        <w:rPr/>
        <w:t>koblet til især kvartærgeologiske forhold </w:t>
      </w:r>
      <w:r>
        <w:rPr>
          <w:spacing w:val="-6"/>
        </w:rPr>
        <w:t>men </w:t>
      </w:r>
      <w:r>
        <w:rPr/>
        <w:t>også til menneskeskabte forhold såsom </w:t>
      </w:r>
      <w:r>
        <w:rPr>
          <w:spacing w:val="-3"/>
        </w:rPr>
        <w:t>opfyld </w:t>
      </w:r>
      <w:r>
        <w:rPr/>
        <w:t>og ændringer af grundvandsspejlet. På</w:t>
      </w:r>
      <w:r>
        <w:rPr>
          <w:spacing w:val="-35"/>
        </w:rPr>
        <w:t> </w:t>
      </w:r>
      <w:r>
        <w:rPr/>
        <w:t>baggrund af denne hypotese har Geodatastyrelsen, </w:t>
      </w:r>
      <w:r>
        <w:rPr>
          <w:spacing w:val="-4"/>
        </w:rPr>
        <w:t>Kystdi- </w:t>
      </w:r>
      <w:r>
        <w:rPr/>
        <w:t>rektoratet og DTU-Space igangsat et pilotstudie med henblik på at vurdere om bl.a. digitale </w:t>
      </w:r>
      <w:r>
        <w:rPr>
          <w:spacing w:val="-4"/>
        </w:rPr>
        <w:t>geo- </w:t>
      </w:r>
      <w:r>
        <w:rPr/>
        <w:t>data modtaget fra Aarhus Universitet, </w:t>
      </w:r>
      <w:r>
        <w:rPr>
          <w:spacing w:val="-4"/>
        </w:rPr>
        <w:t>hhv. </w:t>
      </w:r>
      <w:r>
        <w:rPr>
          <w:spacing w:val="-3"/>
        </w:rPr>
        <w:t>Insti- </w:t>
      </w:r>
      <w:r>
        <w:rPr/>
        <w:t>tut</w:t>
      </w:r>
      <w:r>
        <w:rPr>
          <w:spacing w:val="-14"/>
        </w:rPr>
        <w:t> </w:t>
      </w:r>
      <w:r>
        <w:rPr/>
        <w:t>for</w:t>
      </w:r>
      <w:r>
        <w:rPr>
          <w:spacing w:val="-13"/>
        </w:rPr>
        <w:t> </w:t>
      </w:r>
      <w:r>
        <w:rPr/>
        <w:t>Agroøkologi</w:t>
      </w:r>
      <w:r>
        <w:rPr>
          <w:spacing w:val="-14"/>
        </w:rPr>
        <w:t> </w:t>
      </w:r>
      <w:r>
        <w:rPr/>
        <w:t>og</w:t>
      </w:r>
      <w:r>
        <w:rPr>
          <w:spacing w:val="-13"/>
        </w:rPr>
        <w:t> </w:t>
      </w:r>
      <w:r>
        <w:rPr/>
        <w:t>Institut</w:t>
      </w:r>
      <w:r>
        <w:rPr>
          <w:spacing w:val="-13"/>
        </w:rPr>
        <w:t> </w:t>
      </w:r>
      <w:r>
        <w:rPr/>
        <w:t>for</w:t>
      </w:r>
      <w:r>
        <w:rPr>
          <w:spacing w:val="-14"/>
        </w:rPr>
        <w:t> </w:t>
      </w:r>
      <w:r>
        <w:rPr/>
        <w:t>Geoscience</w:t>
      </w:r>
      <w:r>
        <w:rPr>
          <w:spacing w:val="-13"/>
        </w:rPr>
        <w:t> </w:t>
      </w:r>
      <w:r>
        <w:rPr>
          <w:spacing w:val="-8"/>
        </w:rPr>
        <w:t>og </w:t>
      </w:r>
      <w:r>
        <w:rPr/>
        <w:t>information om opfyldte områder, sammenholdt med historiske beregninger af koter på </w:t>
      </w:r>
      <w:r>
        <w:rPr>
          <w:spacing w:val="-3"/>
        </w:rPr>
        <w:t>udvalgte </w:t>
      </w:r>
      <w:r>
        <w:rPr/>
        <w:t>fikspunkter, kan anvendes som </w:t>
      </w:r>
      <w:r>
        <w:rPr>
          <w:spacing w:val="-2"/>
        </w:rPr>
        <w:t>screeningsværk- </w:t>
      </w:r>
      <w:r>
        <w:rPr/>
        <w:t>tøj med henblik på at udpege områder, som </w:t>
      </w:r>
      <w:r>
        <w:rPr>
          <w:spacing w:val="-5"/>
        </w:rPr>
        <w:t>po- </w:t>
      </w:r>
      <w:r>
        <w:rPr/>
        <w:t>tentielt set kan udvise større vertikale </w:t>
      </w:r>
      <w:r>
        <w:rPr>
          <w:spacing w:val="-3"/>
        </w:rPr>
        <w:t>landbevæ- </w:t>
      </w:r>
      <w:r>
        <w:rPr/>
        <w:t>gelser.</w:t>
      </w:r>
    </w:p>
    <w:p>
      <w:pPr>
        <w:pStyle w:val="BodyText"/>
        <w:spacing w:line="252" w:lineRule="auto"/>
        <w:ind w:left="673" w:firstLine="234"/>
        <w:jc w:val="both"/>
      </w:pPr>
      <w:r>
        <w:rPr/>
        <w:t>Der eksisterer desuden en del lokal viden </w:t>
      </w:r>
      <w:r>
        <w:rPr>
          <w:spacing w:val="-13"/>
        </w:rPr>
        <w:t>i  </w:t>
      </w:r>
      <w:r>
        <w:rPr/>
        <w:t>kommuner </w:t>
      </w:r>
      <w:r>
        <w:rPr>
          <w:spacing w:val="-6"/>
        </w:rPr>
        <w:t>mv. </w:t>
      </w:r>
      <w:r>
        <w:rPr/>
        <w:t>om lokale forhold, der </w:t>
      </w:r>
      <w:r>
        <w:rPr>
          <w:spacing w:val="-3"/>
        </w:rPr>
        <w:t>gerne </w:t>
      </w:r>
      <w:r>
        <w:rPr/>
        <w:t>fremadrettet skal inddrages og anvendes i </w:t>
      </w:r>
      <w:r>
        <w:rPr>
          <w:spacing w:val="-3"/>
        </w:rPr>
        <w:t>blandt </w:t>
      </w:r>
      <w:r>
        <w:rPr/>
        <w:t>andet klimatilpasningsøjemed.</w:t>
      </w:r>
    </w:p>
    <w:p>
      <w:pPr>
        <w:pStyle w:val="BodyText"/>
        <w:spacing w:before="2"/>
        <w:rPr>
          <w:sz w:val="31"/>
        </w:rPr>
      </w:pPr>
    </w:p>
    <w:p>
      <w:pPr>
        <w:pStyle w:val="Heading2"/>
        <w:numPr>
          <w:ilvl w:val="1"/>
          <w:numId w:val="6"/>
        </w:numPr>
        <w:tabs>
          <w:tab w:pos="1430" w:val="left" w:leader="none"/>
          <w:tab w:pos="1431" w:val="left" w:leader="none"/>
        </w:tabs>
        <w:spacing w:line="240" w:lineRule="auto" w:before="0" w:after="0"/>
        <w:ind w:left="1430" w:right="0" w:hanging="757"/>
        <w:jc w:val="left"/>
      </w:pPr>
      <w:bookmarkStart w:name="_bookmark49" w:id="69"/>
      <w:bookmarkEnd w:id="69"/>
      <w:r>
        <w:rPr>
          <w:b w:val="0"/>
        </w:rPr>
      </w:r>
      <w:bookmarkStart w:name="_bookmark49" w:id="70"/>
      <w:bookmarkEnd w:id="70"/>
      <w:r>
        <w:rPr/>
        <w:t>K</w:t>
      </w:r>
      <w:r>
        <w:rPr/>
        <w:t>onklusion</w:t>
      </w:r>
    </w:p>
    <w:p>
      <w:pPr>
        <w:pStyle w:val="BodyText"/>
        <w:spacing w:line="252" w:lineRule="auto" w:before="247"/>
        <w:ind w:left="673"/>
        <w:jc w:val="both"/>
      </w:pPr>
      <w:r>
        <w:rPr/>
        <w:t>Overordnet</w:t>
      </w:r>
      <w:r>
        <w:rPr>
          <w:spacing w:val="-11"/>
        </w:rPr>
        <w:t> </w:t>
      </w:r>
      <w:r>
        <w:rPr/>
        <w:t>bygger</w:t>
      </w:r>
      <w:r>
        <w:rPr>
          <w:spacing w:val="-11"/>
        </w:rPr>
        <w:t> </w:t>
      </w:r>
      <w:r>
        <w:rPr/>
        <w:t>metoden</w:t>
      </w:r>
      <w:r>
        <w:rPr>
          <w:spacing w:val="-11"/>
        </w:rPr>
        <w:t> </w:t>
      </w:r>
      <w:r>
        <w:rPr/>
        <w:t>på</w:t>
      </w:r>
      <w:r>
        <w:rPr>
          <w:spacing w:val="-11"/>
        </w:rPr>
        <w:t> </w:t>
      </w:r>
      <w:r>
        <w:rPr/>
        <w:t>faktuelle</w:t>
      </w:r>
      <w:r>
        <w:rPr>
          <w:spacing w:val="-10"/>
        </w:rPr>
        <w:t> </w:t>
      </w:r>
      <w:r>
        <w:rPr/>
        <w:t>datasæt i</w:t>
      </w:r>
      <w:r>
        <w:rPr>
          <w:spacing w:val="15"/>
        </w:rPr>
        <w:t> </w:t>
      </w:r>
      <w:r>
        <w:rPr/>
        <w:t>absolutte</w:t>
      </w:r>
      <w:r>
        <w:rPr>
          <w:spacing w:val="15"/>
        </w:rPr>
        <w:t> </w:t>
      </w:r>
      <w:r>
        <w:rPr/>
        <w:t>værdier,</w:t>
      </w:r>
      <w:r>
        <w:rPr>
          <w:spacing w:val="16"/>
        </w:rPr>
        <w:t> </w:t>
      </w:r>
      <w:r>
        <w:rPr/>
        <w:t>som</w:t>
      </w:r>
      <w:r>
        <w:rPr>
          <w:spacing w:val="15"/>
        </w:rPr>
        <w:t> </w:t>
      </w:r>
      <w:r>
        <w:rPr/>
        <w:t>gør</w:t>
      </w:r>
      <w:r>
        <w:rPr>
          <w:spacing w:val="16"/>
        </w:rPr>
        <w:t> </w:t>
      </w:r>
      <w:r>
        <w:rPr/>
        <w:t>det</w:t>
      </w:r>
      <w:r>
        <w:rPr>
          <w:spacing w:val="15"/>
        </w:rPr>
        <w:t> </w:t>
      </w:r>
      <w:r>
        <w:rPr/>
        <w:t>muligt</w:t>
      </w:r>
      <w:r>
        <w:rPr>
          <w:spacing w:val="15"/>
        </w:rPr>
        <w:t> </w:t>
      </w:r>
      <w:r>
        <w:rPr/>
        <w:t>at</w:t>
      </w:r>
      <w:r>
        <w:rPr>
          <w:spacing w:val="16"/>
        </w:rPr>
        <w:t> </w:t>
      </w:r>
      <w:r>
        <w:rPr>
          <w:spacing w:val="-4"/>
        </w:rPr>
        <w:t>følge</w:t>
      </w:r>
    </w:p>
    <w:p>
      <w:pPr>
        <w:pStyle w:val="BodyText"/>
        <w:spacing w:line="252" w:lineRule="auto" w:before="177"/>
        <w:ind w:left="329" w:right="1131"/>
        <w:jc w:val="both"/>
      </w:pPr>
      <w:r>
        <w:rPr/>
        <w:br w:type="column"/>
      </w:r>
      <w:r>
        <w:rPr/>
        <w:t>udviklingen i vandstand og vertikale lokale </w:t>
      </w:r>
      <w:r>
        <w:rPr>
          <w:spacing w:val="-6"/>
        </w:rPr>
        <w:t>ter- </w:t>
      </w:r>
      <w:r>
        <w:rPr/>
        <w:t>rænbevægelser</w:t>
      </w:r>
      <w:r>
        <w:rPr>
          <w:spacing w:val="-16"/>
        </w:rPr>
        <w:t> </w:t>
      </w:r>
      <w:r>
        <w:rPr/>
        <w:t>hver</w:t>
      </w:r>
      <w:r>
        <w:rPr>
          <w:spacing w:val="-15"/>
        </w:rPr>
        <w:t> </w:t>
      </w:r>
      <w:r>
        <w:rPr/>
        <w:t>for</w:t>
      </w:r>
      <w:r>
        <w:rPr>
          <w:spacing w:val="-16"/>
        </w:rPr>
        <w:t> </w:t>
      </w:r>
      <w:r>
        <w:rPr/>
        <w:t>sig</w:t>
      </w:r>
      <w:r>
        <w:rPr>
          <w:spacing w:val="-15"/>
        </w:rPr>
        <w:t> </w:t>
      </w:r>
      <w:r>
        <w:rPr/>
        <w:t>og</w:t>
      </w:r>
      <w:r>
        <w:rPr>
          <w:spacing w:val="-16"/>
        </w:rPr>
        <w:t> </w:t>
      </w:r>
      <w:r>
        <w:rPr/>
        <w:t>samlet.</w:t>
      </w:r>
      <w:r>
        <w:rPr>
          <w:spacing w:val="-15"/>
        </w:rPr>
        <w:t> </w:t>
      </w:r>
      <w:r>
        <w:rPr>
          <w:spacing w:val="-3"/>
        </w:rPr>
        <w:t>Derudover </w:t>
      </w:r>
      <w:r>
        <w:rPr/>
        <w:t>giver metoden mulighed for at tilpasse </w:t>
      </w:r>
      <w:r>
        <w:rPr>
          <w:spacing w:val="-3"/>
        </w:rPr>
        <w:t>terræn- </w:t>
      </w:r>
      <w:r>
        <w:rPr/>
        <w:t>modellen lokalt i forbindelse med en mere </w:t>
      </w:r>
      <w:r>
        <w:rPr>
          <w:spacing w:val="-5"/>
        </w:rPr>
        <w:t>de- </w:t>
      </w:r>
      <w:r>
        <w:rPr/>
        <w:t>taljeret klimatilpasning i områder hvor få cm</w:t>
      </w:r>
      <w:r>
        <w:rPr>
          <w:spacing w:val="-39"/>
        </w:rPr>
        <w:t> </w:t>
      </w:r>
      <w:r>
        <w:rPr>
          <w:spacing w:val="-5"/>
        </w:rPr>
        <w:t>har </w:t>
      </w:r>
      <w:r>
        <w:rPr/>
        <w:t>stor betydning for hvilken vej vandet</w:t>
      </w:r>
      <w:r>
        <w:rPr>
          <w:spacing w:val="-16"/>
        </w:rPr>
        <w:t> </w:t>
      </w:r>
      <w:r>
        <w:rPr>
          <w:spacing w:val="-3"/>
        </w:rPr>
        <w:t>løber.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I forhold til Thyborøn viser studiet – </w:t>
      </w:r>
      <w:r>
        <w:rPr>
          <w:spacing w:val="-5"/>
        </w:rPr>
        <w:t>måske </w:t>
      </w:r>
      <w:r>
        <w:rPr/>
        <w:t>lidt overraskende - at det tilsyneladende ikke </w:t>
      </w:r>
      <w:r>
        <w:rPr>
          <w:spacing w:val="-6"/>
        </w:rPr>
        <w:t>er </w:t>
      </w:r>
      <w:r>
        <w:rPr/>
        <w:t>klimarelaterede havspejlsstigninger, der på </w:t>
      </w:r>
      <w:r>
        <w:rPr>
          <w:spacing w:val="-5"/>
        </w:rPr>
        <w:t>kort </w:t>
      </w:r>
      <w:r>
        <w:rPr/>
        <w:t>sigt</w:t>
      </w:r>
      <w:r>
        <w:rPr>
          <w:spacing w:val="-7"/>
        </w:rPr>
        <w:t> </w:t>
      </w:r>
      <w:r>
        <w:rPr/>
        <w:t>er</w:t>
      </w:r>
      <w:r>
        <w:rPr>
          <w:spacing w:val="-6"/>
        </w:rPr>
        <w:t> </w:t>
      </w:r>
      <w:r>
        <w:rPr/>
        <w:t>de</w:t>
      </w:r>
      <w:r>
        <w:rPr>
          <w:spacing w:val="-7"/>
        </w:rPr>
        <w:t> </w:t>
      </w:r>
      <w:r>
        <w:rPr/>
        <w:t>mest</w:t>
      </w:r>
      <w:r>
        <w:rPr>
          <w:spacing w:val="-6"/>
        </w:rPr>
        <w:t> </w:t>
      </w:r>
      <w:r>
        <w:rPr/>
        <w:t>betydende</w:t>
      </w:r>
      <w:r>
        <w:rPr>
          <w:spacing w:val="-7"/>
        </w:rPr>
        <w:t> </w:t>
      </w:r>
      <w:r>
        <w:rPr/>
        <w:t>i</w:t>
      </w:r>
      <w:r>
        <w:rPr>
          <w:spacing w:val="-6"/>
        </w:rPr>
        <w:t> </w:t>
      </w:r>
      <w:r>
        <w:rPr/>
        <w:t>forhold</w:t>
      </w:r>
      <w:r>
        <w:rPr>
          <w:spacing w:val="-6"/>
        </w:rPr>
        <w:t> </w:t>
      </w:r>
      <w:r>
        <w:rPr/>
        <w:t>til</w:t>
      </w:r>
      <w:r>
        <w:rPr>
          <w:spacing w:val="-7"/>
        </w:rPr>
        <w:t> </w:t>
      </w:r>
      <w:r>
        <w:rPr/>
        <w:t>oversvøm- melsesfaren i Thyborøn. Det er derimod lokale sætninger med sætningsrater på op til 7 </w:t>
      </w:r>
      <w:r>
        <w:rPr>
          <w:spacing w:val="-6"/>
        </w:rPr>
        <w:t>mm/år. </w:t>
      </w:r>
      <w:r>
        <w:rPr/>
        <w:t>Disse er sammensat af en generelt mindre </w:t>
      </w:r>
      <w:r>
        <w:rPr>
          <w:spacing w:val="-4"/>
        </w:rPr>
        <w:t>sæt-</w:t>
      </w:r>
      <w:r>
        <w:rPr>
          <w:spacing w:val="52"/>
        </w:rPr>
        <w:t> </w:t>
      </w:r>
      <w:r>
        <w:rPr/>
        <w:t>ning af hele Limfjordstangerne samt af </w:t>
      </w:r>
      <w:r>
        <w:rPr>
          <w:spacing w:val="-3"/>
        </w:rPr>
        <w:t>lokalt </w:t>
      </w:r>
      <w:r>
        <w:rPr/>
        <w:t>store sætninger i opfyldte områder, hvor der </w:t>
      </w:r>
      <w:r>
        <w:rPr>
          <w:spacing w:val="-13"/>
        </w:rPr>
        <w:t>i </w:t>
      </w:r>
      <w:r>
        <w:rPr/>
        <w:t>dag er boliger og blandet bolig/erhverv. </w:t>
      </w:r>
      <w:r>
        <w:rPr>
          <w:spacing w:val="-4"/>
        </w:rPr>
        <w:t>Bereg-</w:t>
      </w:r>
      <w:r>
        <w:rPr>
          <w:spacing w:val="52"/>
        </w:rPr>
        <w:t> </w:t>
      </w:r>
      <w:r>
        <w:rPr/>
        <w:t>ningerne</w:t>
      </w:r>
      <w:r>
        <w:rPr>
          <w:spacing w:val="-16"/>
        </w:rPr>
        <w:t> </w:t>
      </w:r>
      <w:r>
        <w:rPr/>
        <w:t>viser,</w:t>
      </w:r>
      <w:r>
        <w:rPr>
          <w:spacing w:val="-16"/>
        </w:rPr>
        <w:t> </w:t>
      </w:r>
      <w:r>
        <w:rPr/>
        <w:t>at</w:t>
      </w:r>
      <w:r>
        <w:rPr>
          <w:spacing w:val="-16"/>
        </w:rPr>
        <w:t> </w:t>
      </w:r>
      <w:r>
        <w:rPr/>
        <w:t>forskellen</w:t>
      </w:r>
      <w:r>
        <w:rPr>
          <w:spacing w:val="-16"/>
        </w:rPr>
        <w:t> </w:t>
      </w:r>
      <w:r>
        <w:rPr/>
        <w:t>mellem</w:t>
      </w:r>
      <w:r>
        <w:rPr>
          <w:spacing w:val="-16"/>
        </w:rPr>
        <w:t> </w:t>
      </w:r>
      <w:r>
        <w:rPr>
          <w:spacing w:val="-3"/>
        </w:rPr>
        <w:t>middelvand- </w:t>
      </w:r>
      <w:r>
        <w:rPr/>
        <w:t>stand</w:t>
      </w:r>
      <w:r>
        <w:rPr>
          <w:spacing w:val="-14"/>
        </w:rPr>
        <w:t> </w:t>
      </w:r>
      <w:r>
        <w:rPr/>
        <w:t>og</w:t>
      </w:r>
      <w:r>
        <w:rPr>
          <w:spacing w:val="-14"/>
        </w:rPr>
        <w:t> </w:t>
      </w:r>
      <w:r>
        <w:rPr/>
        <w:t>terrænniveau</w:t>
      </w:r>
      <w:r>
        <w:rPr>
          <w:spacing w:val="-13"/>
        </w:rPr>
        <w:t> </w:t>
      </w:r>
      <w:r>
        <w:rPr/>
        <w:t>visse</w:t>
      </w:r>
      <w:r>
        <w:rPr>
          <w:spacing w:val="-14"/>
        </w:rPr>
        <w:t> </w:t>
      </w:r>
      <w:r>
        <w:rPr/>
        <w:t>steder</w:t>
      </w:r>
      <w:r>
        <w:rPr>
          <w:spacing w:val="-13"/>
        </w:rPr>
        <w:t> </w:t>
      </w:r>
      <w:r>
        <w:rPr/>
        <w:t>i</w:t>
      </w:r>
      <w:r>
        <w:rPr>
          <w:spacing w:val="-14"/>
        </w:rPr>
        <w:t> </w:t>
      </w:r>
      <w:r>
        <w:rPr/>
        <w:t>Thyborøn</w:t>
      </w:r>
      <w:r>
        <w:rPr>
          <w:spacing w:val="-13"/>
        </w:rPr>
        <w:t> </w:t>
      </w:r>
      <w:r>
        <w:rPr>
          <w:spacing w:val="-6"/>
        </w:rPr>
        <w:t>by </w:t>
      </w:r>
      <w:r>
        <w:rPr/>
        <w:t>mindskes med omkring 1 cm om</w:t>
      </w:r>
      <w:r>
        <w:rPr>
          <w:spacing w:val="-10"/>
        </w:rPr>
        <w:t> </w:t>
      </w:r>
      <w:r>
        <w:rPr/>
        <w:t>året.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Endvidere sætter studiet fokus på, at det </w:t>
      </w:r>
      <w:r>
        <w:rPr>
          <w:spacing w:val="-5"/>
        </w:rPr>
        <w:t>ik- </w:t>
      </w:r>
      <w:r>
        <w:rPr/>
        <w:t>ke kun er helt kystnært, at ændringer i niveau- et mellem land og vand har betydning. </w:t>
      </w:r>
      <w:r>
        <w:rPr>
          <w:spacing w:val="-5"/>
        </w:rPr>
        <w:t>Udover, </w:t>
      </w:r>
      <w:r>
        <w:rPr/>
        <w:t>at oversvømmelsesudbredelsen vil øges </w:t>
      </w:r>
      <w:r>
        <w:rPr>
          <w:spacing w:val="-3"/>
        </w:rPr>
        <w:t>fremad- </w:t>
      </w:r>
      <w:r>
        <w:rPr/>
        <w:t>rettet, har sætningsmønstret stor betydning </w:t>
      </w:r>
      <w:r>
        <w:rPr>
          <w:spacing w:val="-5"/>
        </w:rPr>
        <w:t>for </w:t>
      </w:r>
      <w:r>
        <w:rPr/>
        <w:t>oversvømmelsesdybderne i de potentielt </w:t>
      </w:r>
      <w:r>
        <w:rPr>
          <w:spacing w:val="-6"/>
        </w:rPr>
        <w:t>over- </w:t>
      </w:r>
      <w:r>
        <w:rPr/>
        <w:t>svømmelsestruede områder. Hvad enten det </w:t>
      </w:r>
      <w:r>
        <w:rPr>
          <w:spacing w:val="-8"/>
        </w:rPr>
        <w:t>er </w:t>
      </w:r>
      <w:r>
        <w:rPr/>
        <w:t>bygninger, der synker ned i undergrunden, </w:t>
      </w:r>
      <w:r>
        <w:rPr>
          <w:spacing w:val="-3"/>
        </w:rPr>
        <w:t>eller </w:t>
      </w:r>
      <w:r>
        <w:rPr/>
        <w:t>hele områder, der sætter sig, vil en forøgelse </w:t>
      </w:r>
      <w:r>
        <w:rPr>
          <w:spacing w:val="-14"/>
        </w:rPr>
        <w:t>i </w:t>
      </w:r>
      <w:r>
        <w:rPr/>
        <w:t>oversvømmelsesdybden på op til en halv </w:t>
      </w:r>
      <w:r>
        <w:rPr>
          <w:spacing w:val="-3"/>
        </w:rPr>
        <w:t>meter </w:t>
      </w:r>
      <w:r>
        <w:rPr/>
        <w:t>frem til 2060 ved boliger og infrastruktur </w:t>
      </w:r>
      <w:r>
        <w:rPr>
          <w:spacing w:val="-3"/>
        </w:rPr>
        <w:t>kunne </w:t>
      </w:r>
      <w:r>
        <w:rPr/>
        <w:t>opleves</w:t>
      </w:r>
      <w:r>
        <w:rPr>
          <w:spacing w:val="-15"/>
        </w:rPr>
        <w:t> </w:t>
      </w:r>
      <w:r>
        <w:rPr/>
        <w:t>med</w:t>
      </w:r>
      <w:r>
        <w:rPr>
          <w:spacing w:val="-15"/>
        </w:rPr>
        <w:t> </w:t>
      </w:r>
      <w:r>
        <w:rPr/>
        <w:t>øget</w:t>
      </w:r>
      <w:r>
        <w:rPr>
          <w:spacing w:val="-15"/>
        </w:rPr>
        <w:t> </w:t>
      </w:r>
      <w:r>
        <w:rPr/>
        <w:t>skadesomfang</w:t>
      </w:r>
      <w:r>
        <w:rPr>
          <w:spacing w:val="-14"/>
        </w:rPr>
        <w:t> </w:t>
      </w:r>
      <w:r>
        <w:rPr/>
        <w:t>til</w:t>
      </w:r>
      <w:r>
        <w:rPr>
          <w:spacing w:val="-15"/>
        </w:rPr>
        <w:t> </w:t>
      </w:r>
      <w:r>
        <w:rPr/>
        <w:t>følge.</w:t>
      </w:r>
      <w:r>
        <w:rPr>
          <w:spacing w:val="-15"/>
        </w:rPr>
        <w:t> </w:t>
      </w:r>
      <w:r>
        <w:rPr>
          <w:spacing w:val="-3"/>
        </w:rPr>
        <w:t>Derud- </w:t>
      </w:r>
      <w:r>
        <w:rPr/>
        <w:t>over skønnes det, at de forholdsvis store og</w:t>
      </w:r>
      <w:r>
        <w:rPr>
          <w:spacing w:val="-25"/>
        </w:rPr>
        <w:t> </w:t>
      </w:r>
      <w:r>
        <w:rPr>
          <w:spacing w:val="-4"/>
        </w:rPr>
        <w:t>uens </w:t>
      </w:r>
      <w:r>
        <w:rPr/>
        <w:t>lokale sætninger med tiden vil få indflydelse </w:t>
      </w:r>
      <w:r>
        <w:rPr>
          <w:spacing w:val="-6"/>
        </w:rPr>
        <w:t>på </w:t>
      </w:r>
      <w:r>
        <w:rPr/>
        <w:t>hvor overfladevandet løber og</w:t>
      </w:r>
      <w:r>
        <w:rPr>
          <w:spacing w:val="-14"/>
        </w:rPr>
        <w:t> </w:t>
      </w:r>
      <w:r>
        <w:rPr/>
        <w:t>samles.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De nøjagtige højdeforhold i Thyborøn,</w:t>
      </w:r>
      <w:r>
        <w:rPr>
          <w:spacing w:val="-27"/>
        </w:rPr>
        <w:t> </w:t>
      </w:r>
      <w:r>
        <w:rPr/>
        <w:t>herun- der af diget mellem havn og </w:t>
      </w:r>
      <w:r>
        <w:rPr>
          <w:spacing w:val="-6"/>
        </w:rPr>
        <w:t>by, </w:t>
      </w:r>
      <w:r>
        <w:rPr/>
        <w:t>er ikke søgt</w:t>
      </w:r>
      <w:r>
        <w:rPr>
          <w:spacing w:val="-36"/>
        </w:rPr>
        <w:t> </w:t>
      </w:r>
      <w:r>
        <w:rPr/>
        <w:t>ind- draget i studiet. Overordnet ses dog, at de </w:t>
      </w:r>
      <w:r>
        <w:rPr>
          <w:spacing w:val="-4"/>
        </w:rPr>
        <w:t>vest-</w:t>
      </w:r>
      <w:r>
        <w:rPr>
          <w:spacing w:val="52"/>
        </w:rPr>
        <w:t> </w:t>
      </w:r>
      <w:r>
        <w:rPr/>
        <w:t>ligere</w:t>
      </w:r>
      <w:r>
        <w:rPr>
          <w:spacing w:val="32"/>
        </w:rPr>
        <w:t> </w:t>
      </w:r>
      <w:r>
        <w:rPr/>
        <w:t>dele</w:t>
      </w:r>
      <w:r>
        <w:rPr>
          <w:spacing w:val="33"/>
        </w:rPr>
        <w:t> </w:t>
      </w:r>
      <w:r>
        <w:rPr/>
        <w:t>af</w:t>
      </w:r>
      <w:r>
        <w:rPr>
          <w:spacing w:val="32"/>
        </w:rPr>
        <w:t> </w:t>
      </w:r>
      <w:r>
        <w:rPr/>
        <w:t>byen</w:t>
      </w:r>
      <w:r>
        <w:rPr>
          <w:spacing w:val="33"/>
        </w:rPr>
        <w:t> </w:t>
      </w:r>
      <w:r>
        <w:rPr/>
        <w:t>er</w:t>
      </w:r>
      <w:r>
        <w:rPr>
          <w:spacing w:val="32"/>
        </w:rPr>
        <w:t> </w:t>
      </w:r>
      <w:r>
        <w:rPr/>
        <w:t>sikret</w:t>
      </w:r>
      <w:r>
        <w:rPr>
          <w:spacing w:val="33"/>
        </w:rPr>
        <w:t> </w:t>
      </w:r>
      <w:r>
        <w:rPr/>
        <w:t>op</w:t>
      </w:r>
      <w:r>
        <w:rPr>
          <w:spacing w:val="33"/>
        </w:rPr>
        <w:t> </w:t>
      </w:r>
      <w:r>
        <w:rPr/>
        <w:t>til</w:t>
      </w:r>
      <w:r>
        <w:rPr>
          <w:spacing w:val="32"/>
        </w:rPr>
        <w:t> </w:t>
      </w:r>
      <w:r>
        <w:rPr/>
        <w:t>omkring</w:t>
      </w:r>
      <w:r>
        <w:rPr>
          <w:spacing w:val="33"/>
        </w:rPr>
        <w:t> </w:t>
      </w:r>
      <w:r>
        <w:rPr>
          <w:spacing w:val="-7"/>
        </w:rPr>
        <w:t>en</w:t>
      </w:r>
    </w:p>
    <w:p>
      <w:pPr>
        <w:spacing w:after="0" w:line="252" w:lineRule="auto"/>
        <w:jc w:val="both"/>
        <w:sectPr>
          <w:type w:val="continuous"/>
          <w:pgSz w:w="11910" w:h="16840"/>
          <w:pgMar w:top="0" w:bottom="280" w:left="460" w:right="0"/>
          <w:cols w:num="2" w:equalWidth="0">
            <w:col w:w="5309" w:space="40"/>
            <w:col w:w="6101"/>
          </w:cols>
        </w:sectPr>
      </w:pPr>
    </w:p>
    <w:p>
      <w:pPr>
        <w:pStyle w:val="BodyText"/>
        <w:spacing w:line="252" w:lineRule="auto" w:before="71"/>
        <w:ind w:left="673"/>
        <w:jc w:val="both"/>
      </w:pPr>
      <w:r>
        <w:rPr/>
        <w:t>100-års hændelse, hvorefter vandet kan </w:t>
      </w:r>
      <w:r>
        <w:rPr>
          <w:spacing w:val="-4"/>
        </w:rPr>
        <w:t>begynde </w:t>
      </w:r>
      <w:r>
        <w:rPr/>
        <w:t>at brede sig ud over dele af byen. </w:t>
      </w:r>
      <w:r>
        <w:rPr>
          <w:spacing w:val="-9"/>
        </w:rPr>
        <w:t>Ved </w:t>
      </w:r>
      <w:r>
        <w:rPr/>
        <w:t>en fremti- dig vandstandsstigning på 15 cm i 2060, </w:t>
      </w:r>
      <w:r>
        <w:rPr>
          <w:spacing w:val="-4"/>
        </w:rPr>
        <w:t>kombi- </w:t>
      </w:r>
      <w:r>
        <w:rPr/>
        <w:t>neret</w:t>
      </w:r>
      <w:r>
        <w:rPr>
          <w:spacing w:val="-8"/>
        </w:rPr>
        <w:t> </w:t>
      </w:r>
      <w:r>
        <w:rPr/>
        <w:t>med</w:t>
      </w:r>
      <w:r>
        <w:rPr>
          <w:spacing w:val="-8"/>
        </w:rPr>
        <w:t> </w:t>
      </w:r>
      <w:r>
        <w:rPr/>
        <w:t>lokale</w:t>
      </w:r>
      <w:r>
        <w:rPr>
          <w:spacing w:val="-8"/>
        </w:rPr>
        <w:t> </w:t>
      </w:r>
      <w:r>
        <w:rPr/>
        <w:t>sætninger,</w:t>
      </w:r>
      <w:r>
        <w:rPr>
          <w:spacing w:val="-8"/>
        </w:rPr>
        <w:t> </w:t>
      </w:r>
      <w:r>
        <w:rPr/>
        <w:t>vil</w:t>
      </w:r>
      <w:r>
        <w:rPr>
          <w:spacing w:val="-8"/>
        </w:rPr>
        <w:t> </w:t>
      </w:r>
      <w:r>
        <w:rPr/>
        <w:t>en</w:t>
      </w:r>
      <w:r>
        <w:rPr>
          <w:spacing w:val="-7"/>
        </w:rPr>
        <w:t> </w:t>
      </w:r>
      <w:r>
        <w:rPr/>
        <w:t>sådan</w:t>
      </w:r>
      <w:r>
        <w:rPr>
          <w:spacing w:val="-8"/>
        </w:rPr>
        <w:t> </w:t>
      </w:r>
      <w:r>
        <w:rPr>
          <w:spacing w:val="-3"/>
        </w:rPr>
        <w:t>hændel- </w:t>
      </w:r>
      <w:r>
        <w:rPr/>
        <w:t>se forventeligt indtræffe med få års mellemrum og ramme stort set hele</w:t>
      </w:r>
      <w:r>
        <w:rPr>
          <w:spacing w:val="-7"/>
        </w:rPr>
        <w:t> </w:t>
      </w:r>
      <w:r>
        <w:rPr/>
        <w:t>byen.</w:t>
      </w:r>
    </w:p>
    <w:p>
      <w:pPr>
        <w:pStyle w:val="BodyText"/>
        <w:spacing w:line="252" w:lineRule="auto"/>
        <w:ind w:left="673" w:firstLine="234"/>
        <w:jc w:val="both"/>
      </w:pPr>
      <w:r>
        <w:rPr/>
        <w:t>Inddragelse af det lokale sætningsmønster </w:t>
      </w:r>
      <w:r>
        <w:rPr>
          <w:spacing w:val="-16"/>
        </w:rPr>
        <w:t>i </w:t>
      </w:r>
      <w:r>
        <w:rPr/>
        <w:t>Thyborøn</w:t>
      </w:r>
      <w:r>
        <w:rPr>
          <w:spacing w:val="-12"/>
        </w:rPr>
        <w:t> </w:t>
      </w:r>
      <w:r>
        <w:rPr/>
        <w:t>giver</w:t>
      </w:r>
      <w:r>
        <w:rPr>
          <w:spacing w:val="-12"/>
        </w:rPr>
        <w:t> </w:t>
      </w:r>
      <w:r>
        <w:rPr/>
        <w:t>en</w:t>
      </w:r>
      <w:r>
        <w:rPr>
          <w:spacing w:val="-11"/>
        </w:rPr>
        <w:t> </w:t>
      </w:r>
      <w:r>
        <w:rPr/>
        <w:t>stor</w:t>
      </w:r>
      <w:r>
        <w:rPr>
          <w:spacing w:val="-12"/>
        </w:rPr>
        <w:t> </w:t>
      </w:r>
      <w:r>
        <w:rPr/>
        <w:t>forøgelse</w:t>
      </w:r>
      <w:r>
        <w:rPr>
          <w:spacing w:val="-11"/>
        </w:rPr>
        <w:t> </w:t>
      </w:r>
      <w:r>
        <w:rPr/>
        <w:t>i</w:t>
      </w:r>
      <w:r>
        <w:rPr>
          <w:spacing w:val="-11"/>
        </w:rPr>
        <w:t> </w:t>
      </w:r>
      <w:r>
        <w:rPr>
          <w:spacing w:val="-4"/>
        </w:rPr>
        <w:t>oversvømmel- </w:t>
      </w:r>
      <w:r>
        <w:rPr/>
        <w:t>sesfaren fremadrettet. Tilsvarende effekter </w:t>
      </w:r>
      <w:r>
        <w:rPr>
          <w:spacing w:val="-6"/>
        </w:rPr>
        <w:t>vil </w:t>
      </w:r>
      <w:r>
        <w:rPr/>
        <w:t>kunne gøre sig gældende andre steder, og </w:t>
      </w:r>
      <w:r>
        <w:rPr>
          <w:spacing w:val="-4"/>
        </w:rPr>
        <w:t>anbe- </w:t>
      </w:r>
      <w:r>
        <w:rPr/>
        <w:t>falingen er derfor, at viden om lokale sætnings- forhold generelt bør inddrages i forbindelse </w:t>
      </w:r>
      <w:r>
        <w:rPr>
          <w:spacing w:val="-6"/>
        </w:rPr>
        <w:t>med </w:t>
      </w:r>
      <w:r>
        <w:rPr/>
        <w:t>fare- og risikokortlægning og</w:t>
      </w:r>
      <w:r>
        <w:rPr>
          <w:spacing w:val="-17"/>
        </w:rPr>
        <w:t> </w:t>
      </w:r>
      <w:r>
        <w:rPr/>
        <w:t>klimatilpasning.</w:t>
      </w:r>
    </w:p>
    <w:p>
      <w:pPr>
        <w:pStyle w:val="BodyText"/>
        <w:spacing w:line="252" w:lineRule="auto"/>
        <w:ind w:left="673" w:firstLine="234"/>
        <w:jc w:val="both"/>
      </w:pPr>
      <w:r>
        <w:rPr/>
        <w:t>For</w:t>
      </w:r>
      <w:r>
        <w:rPr>
          <w:spacing w:val="-9"/>
        </w:rPr>
        <w:t> </w:t>
      </w:r>
      <w:r>
        <w:rPr/>
        <w:t>kloak-</w:t>
      </w:r>
      <w:r>
        <w:rPr>
          <w:spacing w:val="-8"/>
        </w:rPr>
        <w:t> </w:t>
      </w:r>
      <w:r>
        <w:rPr/>
        <w:t>og</w:t>
      </w:r>
      <w:r>
        <w:rPr>
          <w:spacing w:val="-8"/>
        </w:rPr>
        <w:t> </w:t>
      </w:r>
      <w:r>
        <w:rPr/>
        <w:t>spildevandsnettet</w:t>
      </w:r>
      <w:r>
        <w:rPr>
          <w:spacing w:val="-9"/>
        </w:rPr>
        <w:t> </w:t>
      </w:r>
      <w:r>
        <w:rPr/>
        <w:t>vil</w:t>
      </w:r>
      <w:r>
        <w:rPr>
          <w:spacing w:val="-8"/>
        </w:rPr>
        <w:t> </w:t>
      </w:r>
      <w:r>
        <w:rPr/>
        <w:t>lokale</w:t>
      </w:r>
      <w:r>
        <w:rPr>
          <w:spacing w:val="-8"/>
        </w:rPr>
        <w:t> </w:t>
      </w:r>
      <w:r>
        <w:rPr>
          <w:spacing w:val="-5"/>
        </w:rPr>
        <w:t>sæt- </w:t>
      </w:r>
      <w:r>
        <w:rPr/>
        <w:t>ninger ligeledes </w:t>
      </w:r>
      <w:r>
        <w:rPr>
          <w:spacing w:val="-3"/>
        </w:rPr>
        <w:t>have </w:t>
      </w:r>
      <w:r>
        <w:rPr/>
        <w:t>betydning. </w:t>
      </w:r>
      <w:r>
        <w:rPr>
          <w:spacing w:val="-3"/>
        </w:rPr>
        <w:t>Tilløbsforhol- </w:t>
      </w:r>
      <w:r>
        <w:rPr/>
        <w:t>dene vil gradvist ændres og viden om sætninger (og</w:t>
      </w:r>
      <w:r>
        <w:rPr>
          <w:spacing w:val="22"/>
        </w:rPr>
        <w:t> </w:t>
      </w:r>
      <w:r>
        <w:rPr/>
        <w:t>havspejlsstigning)</w:t>
      </w:r>
      <w:r>
        <w:rPr>
          <w:spacing w:val="22"/>
        </w:rPr>
        <w:t> </w:t>
      </w:r>
      <w:r>
        <w:rPr/>
        <w:t>vil</w:t>
      </w:r>
      <w:r>
        <w:rPr>
          <w:spacing w:val="22"/>
        </w:rPr>
        <w:t> </w:t>
      </w:r>
      <w:r>
        <w:rPr/>
        <w:t>være</w:t>
      </w:r>
      <w:r>
        <w:rPr>
          <w:spacing w:val="23"/>
        </w:rPr>
        <w:t> </w:t>
      </w:r>
      <w:r>
        <w:rPr/>
        <w:t>værdifuld</w:t>
      </w:r>
      <w:r>
        <w:rPr>
          <w:spacing w:val="22"/>
        </w:rPr>
        <w:t> </w:t>
      </w:r>
      <w:r>
        <w:rPr/>
        <w:t>i</w:t>
      </w:r>
      <w:r>
        <w:rPr>
          <w:spacing w:val="22"/>
        </w:rPr>
        <w:t> </w:t>
      </w:r>
      <w:r>
        <w:rPr>
          <w:spacing w:val="-7"/>
        </w:rPr>
        <w:t>for-</w:t>
      </w:r>
    </w:p>
    <w:p>
      <w:pPr>
        <w:pStyle w:val="BodyText"/>
        <w:spacing w:line="252" w:lineRule="auto" w:before="71"/>
        <w:ind w:left="329" w:right="926"/>
      </w:pPr>
      <w:r>
        <w:rPr/>
        <w:br w:type="column"/>
      </w:r>
      <w:r>
        <w:rPr/>
        <w:t>hold til renovering og projektering af nye kloak- systemer.</w:t>
      </w:r>
    </w:p>
    <w:p>
      <w:pPr>
        <w:pStyle w:val="BodyText"/>
        <w:spacing w:line="252" w:lineRule="auto"/>
        <w:ind w:left="329" w:right="1131" w:firstLine="234"/>
        <w:jc w:val="both"/>
      </w:pPr>
      <w:r>
        <w:rPr/>
        <w:t>I</w:t>
      </w:r>
      <w:r>
        <w:rPr>
          <w:spacing w:val="-8"/>
        </w:rPr>
        <w:t> </w:t>
      </w:r>
      <w:r>
        <w:rPr/>
        <w:t>studiet</w:t>
      </w:r>
      <w:r>
        <w:rPr>
          <w:spacing w:val="-7"/>
        </w:rPr>
        <w:t> </w:t>
      </w:r>
      <w:r>
        <w:rPr/>
        <w:t>er</w:t>
      </w:r>
      <w:r>
        <w:rPr>
          <w:spacing w:val="-7"/>
        </w:rPr>
        <w:t> </w:t>
      </w:r>
      <w:r>
        <w:rPr/>
        <w:t>DHM</w:t>
      </w:r>
      <w:r>
        <w:rPr>
          <w:spacing w:val="-7"/>
        </w:rPr>
        <w:t> </w:t>
      </w:r>
      <w:r>
        <w:rPr/>
        <w:t>gjort</w:t>
      </w:r>
      <w:r>
        <w:rPr>
          <w:spacing w:val="-7"/>
        </w:rPr>
        <w:t> </w:t>
      </w:r>
      <w:r>
        <w:rPr/>
        <w:t>“dynamisk”</w:t>
      </w:r>
      <w:r>
        <w:rPr>
          <w:spacing w:val="-7"/>
        </w:rPr>
        <w:t> </w:t>
      </w:r>
      <w:r>
        <w:rPr/>
        <w:t>ved</w:t>
      </w:r>
      <w:r>
        <w:rPr>
          <w:spacing w:val="-7"/>
        </w:rPr>
        <w:t> </w:t>
      </w:r>
      <w:r>
        <w:rPr/>
        <w:t>at</w:t>
      </w:r>
      <w:r>
        <w:rPr>
          <w:spacing w:val="-7"/>
        </w:rPr>
        <w:t> </w:t>
      </w:r>
      <w:r>
        <w:rPr>
          <w:spacing w:val="-3"/>
        </w:rPr>
        <w:t>ind- </w:t>
      </w:r>
      <w:r>
        <w:rPr/>
        <w:t>drage viden om ændringer i niveauforholdene mellem land og hav og fremskrive </w:t>
      </w:r>
      <w:r>
        <w:rPr>
          <w:spacing w:val="-2"/>
        </w:rPr>
        <w:t>terrænforhol- </w:t>
      </w:r>
      <w:r>
        <w:rPr/>
        <w:t>dene derefter. Metoden giver en mere realistisk repræsentation af terrænet frem i tiden, og </w:t>
      </w:r>
      <w:r>
        <w:rPr>
          <w:spacing w:val="-6"/>
        </w:rPr>
        <w:t>der- </w:t>
      </w:r>
      <w:r>
        <w:rPr/>
        <w:t>med et markant bedre grundlag for en langsig- tet planlægning og klimatilpasningsindsats. </w:t>
      </w:r>
      <w:r>
        <w:rPr>
          <w:spacing w:val="-5"/>
        </w:rPr>
        <w:t>Me- </w:t>
      </w:r>
      <w:r>
        <w:rPr/>
        <w:t>toden synes således, at </w:t>
      </w:r>
      <w:r>
        <w:rPr>
          <w:spacing w:val="-3"/>
        </w:rPr>
        <w:t>have </w:t>
      </w:r>
      <w:r>
        <w:rPr/>
        <w:t>et stort potentiale for anvendelse. Det videre arbejde bør </w:t>
      </w:r>
      <w:r>
        <w:rPr>
          <w:spacing w:val="-3"/>
        </w:rPr>
        <w:t>omfatte </w:t>
      </w:r>
      <w:r>
        <w:rPr/>
        <w:t>en</w:t>
      </w:r>
      <w:r>
        <w:rPr>
          <w:spacing w:val="-14"/>
        </w:rPr>
        <w:t> </w:t>
      </w:r>
      <w:r>
        <w:rPr/>
        <w:t>udbygning</w:t>
      </w:r>
      <w:r>
        <w:rPr>
          <w:spacing w:val="-14"/>
        </w:rPr>
        <w:t> </w:t>
      </w:r>
      <w:r>
        <w:rPr/>
        <w:t>af</w:t>
      </w:r>
      <w:r>
        <w:rPr>
          <w:spacing w:val="-14"/>
        </w:rPr>
        <w:t> </w:t>
      </w:r>
      <w:r>
        <w:rPr/>
        <w:t>metoden</w:t>
      </w:r>
      <w:r>
        <w:rPr>
          <w:spacing w:val="-15"/>
        </w:rPr>
        <w:t> </w:t>
      </w:r>
      <w:r>
        <w:rPr/>
        <w:t>-</w:t>
      </w:r>
      <w:r>
        <w:rPr>
          <w:spacing w:val="-13"/>
        </w:rPr>
        <w:t> </w:t>
      </w:r>
      <w:r>
        <w:rPr/>
        <w:t>blandt</w:t>
      </w:r>
      <w:r>
        <w:rPr>
          <w:spacing w:val="-14"/>
        </w:rPr>
        <w:t> </w:t>
      </w:r>
      <w:r>
        <w:rPr/>
        <w:t>andet</w:t>
      </w:r>
      <w:r>
        <w:rPr>
          <w:spacing w:val="-14"/>
        </w:rPr>
        <w:t> </w:t>
      </w:r>
      <w:r>
        <w:rPr/>
        <w:t>med</w:t>
      </w:r>
      <w:r>
        <w:rPr>
          <w:spacing w:val="-14"/>
        </w:rPr>
        <w:t> </w:t>
      </w:r>
      <w:r>
        <w:rPr>
          <w:spacing w:val="-4"/>
        </w:rPr>
        <w:t>ind- </w:t>
      </w:r>
      <w:r>
        <w:rPr/>
        <w:t>dragelse af mere præcise algoritmer for interpo- lation</w:t>
      </w:r>
      <w:r>
        <w:rPr>
          <w:spacing w:val="-9"/>
        </w:rPr>
        <w:t> </w:t>
      </w:r>
      <w:r>
        <w:rPr/>
        <w:t>og</w:t>
      </w:r>
      <w:r>
        <w:rPr>
          <w:spacing w:val="-9"/>
        </w:rPr>
        <w:t> </w:t>
      </w:r>
      <w:r>
        <w:rPr/>
        <w:t>fremskrivning</w:t>
      </w:r>
      <w:r>
        <w:rPr>
          <w:spacing w:val="-9"/>
        </w:rPr>
        <w:t> </w:t>
      </w:r>
      <w:r>
        <w:rPr/>
        <w:t>af</w:t>
      </w:r>
      <w:r>
        <w:rPr>
          <w:spacing w:val="-8"/>
        </w:rPr>
        <w:t> </w:t>
      </w:r>
      <w:r>
        <w:rPr/>
        <w:t>de</w:t>
      </w:r>
      <w:r>
        <w:rPr>
          <w:spacing w:val="-9"/>
        </w:rPr>
        <w:t> </w:t>
      </w:r>
      <w:r>
        <w:rPr/>
        <w:t>indgående</w:t>
      </w:r>
      <w:r>
        <w:rPr>
          <w:spacing w:val="-9"/>
        </w:rPr>
        <w:t> </w:t>
      </w:r>
      <w:r>
        <w:rPr>
          <w:spacing w:val="-3"/>
        </w:rPr>
        <w:t>parame- </w:t>
      </w:r>
      <w:r>
        <w:rPr/>
        <w:t>tre,</w:t>
      </w:r>
      <w:r>
        <w:rPr>
          <w:spacing w:val="-19"/>
        </w:rPr>
        <w:t> </w:t>
      </w:r>
      <w:r>
        <w:rPr/>
        <w:t>samt</w:t>
      </w:r>
      <w:r>
        <w:rPr>
          <w:spacing w:val="-18"/>
        </w:rPr>
        <w:t> </w:t>
      </w:r>
      <w:r>
        <w:rPr/>
        <w:t>en</w:t>
      </w:r>
      <w:r>
        <w:rPr>
          <w:spacing w:val="-18"/>
        </w:rPr>
        <w:t> </w:t>
      </w:r>
      <w:r>
        <w:rPr/>
        <w:t>indsats</w:t>
      </w:r>
      <w:r>
        <w:rPr>
          <w:spacing w:val="-19"/>
        </w:rPr>
        <w:t> </w:t>
      </w:r>
      <w:r>
        <w:rPr/>
        <w:t>for</w:t>
      </w:r>
      <w:r>
        <w:rPr>
          <w:spacing w:val="-18"/>
        </w:rPr>
        <w:t> </w:t>
      </w:r>
      <w:r>
        <w:rPr/>
        <w:t>at</w:t>
      </w:r>
      <w:r>
        <w:rPr>
          <w:spacing w:val="-18"/>
        </w:rPr>
        <w:t> </w:t>
      </w:r>
      <w:r>
        <w:rPr/>
        <w:t>gøre</w:t>
      </w:r>
      <w:r>
        <w:rPr>
          <w:spacing w:val="-19"/>
        </w:rPr>
        <w:t> </w:t>
      </w:r>
      <w:r>
        <w:rPr/>
        <w:t>metoden</w:t>
      </w:r>
      <w:r>
        <w:rPr>
          <w:spacing w:val="-18"/>
        </w:rPr>
        <w:t> </w:t>
      </w:r>
      <w:r>
        <w:rPr/>
        <w:t>lettilgæn- gelig og anvendelig i</w:t>
      </w:r>
      <w:r>
        <w:rPr>
          <w:spacing w:val="-19"/>
        </w:rPr>
        <w:t> </w:t>
      </w:r>
      <w:r>
        <w:rPr/>
        <w:t>klimatilpasningsøjemed.</w:t>
      </w:r>
    </w:p>
    <w:p>
      <w:pPr>
        <w:spacing w:after="0" w:line="252" w:lineRule="auto"/>
        <w:jc w:val="both"/>
        <w:sectPr>
          <w:footerReference w:type="default" r:id="rId50"/>
          <w:pgSz w:w="11910" w:h="16840"/>
          <w:pgMar w:footer="546" w:header="0" w:top="1060" w:bottom="740" w:left="460" w:right="0"/>
          <w:pgNumType w:start="37"/>
          <w:cols w:num="2" w:equalWidth="0">
            <w:col w:w="5309" w:space="40"/>
            <w:col w:w="6101"/>
          </w:cols>
        </w:sectPr>
      </w:pPr>
    </w:p>
    <w:p>
      <w:pPr>
        <w:spacing w:before="84"/>
        <w:ind w:left="673" w:right="0" w:firstLine="0"/>
        <w:jc w:val="left"/>
        <w:rPr>
          <w:rFonts w:ascii="Arial"/>
          <w:b/>
          <w:sz w:val="31"/>
        </w:rPr>
      </w:pPr>
      <w:bookmarkStart w:name="_bookmark50" w:id="71"/>
      <w:bookmarkEnd w:id="71"/>
      <w:r>
        <w:rPr/>
      </w:r>
      <w:r>
        <w:rPr>
          <w:rFonts w:ascii="Arial"/>
          <w:b/>
          <w:sz w:val="31"/>
        </w:rPr>
        <w:t>Litteratur</w:t>
      </w:r>
    </w:p>
    <w:p>
      <w:pPr>
        <w:pStyle w:val="BodyText"/>
        <w:spacing w:line="252" w:lineRule="auto" w:before="247"/>
        <w:ind w:left="907" w:right="1131" w:hanging="235"/>
        <w:jc w:val="both"/>
      </w:pPr>
      <w:r>
        <w:rPr/>
        <w:t>DMI/GEUS. Ændringer af havniveauet i Danmark de næste 100-200 </w:t>
      </w:r>
      <w:r>
        <w:rPr>
          <w:spacing w:val="-4"/>
        </w:rPr>
        <w:t>år, </w:t>
      </w:r>
      <w:r>
        <w:rPr/>
        <w:t>2012. URL </w:t>
      </w:r>
      <w:hyperlink r:id="rId51">
        <w:r>
          <w:rPr>
            <w:color w:val="FF0000"/>
            <w:spacing w:val="-3"/>
          </w:rPr>
          <w:t>http://www.dmi.</w:t>
        </w:r>
      </w:hyperlink>
      <w:r>
        <w:rPr>
          <w:color w:val="FF0000"/>
          <w:spacing w:val="-3"/>
        </w:rPr>
        <w:t> </w:t>
      </w:r>
      <w:hyperlink r:id="rId51">
        <w:r>
          <w:rPr>
            <w:color w:val="FF0000"/>
          </w:rPr>
          <w:t>dk/fileadmin/user_upload/DKC/notat_vandstand_geus_dmi.pdf</w:t>
        </w:r>
      </w:hyperlink>
      <w:r>
        <w:rPr/>
        <w:t>.</w:t>
      </w:r>
    </w:p>
    <w:p>
      <w:pPr>
        <w:spacing w:before="197"/>
        <w:ind w:left="673" w:right="0" w:firstLine="0"/>
        <w:jc w:val="left"/>
        <w:rPr>
          <w:sz w:val="24"/>
        </w:rPr>
      </w:pPr>
      <w:r>
        <w:rPr>
          <w:sz w:val="24"/>
        </w:rPr>
        <w:t>Evan Hansen, red. </w:t>
      </w:r>
      <w:r>
        <w:rPr>
          <w:i/>
          <w:sz w:val="24"/>
        </w:rPr>
        <w:t>Vandbygningsvæsenet 1868–1968</w:t>
      </w:r>
      <w:r>
        <w:rPr>
          <w:sz w:val="24"/>
        </w:rPr>
        <w:t>. Vandbygningsvæsenet, 1968.</w:t>
      </w:r>
    </w:p>
    <w:p>
      <w:pPr>
        <w:pStyle w:val="BodyText"/>
        <w:spacing w:line="252" w:lineRule="auto" w:before="212"/>
        <w:ind w:left="907" w:right="1131" w:hanging="235"/>
        <w:jc w:val="both"/>
      </w:pPr>
      <w:r>
        <w:rPr/>
        <w:t>M.</w:t>
      </w:r>
      <w:r>
        <w:rPr>
          <w:spacing w:val="-5"/>
        </w:rPr>
        <w:t> </w:t>
      </w:r>
      <w:r>
        <w:rPr/>
        <w:t>Nour</w:t>
      </w:r>
      <w:r>
        <w:rPr>
          <w:spacing w:val="-5"/>
        </w:rPr>
        <w:t> </w:t>
      </w:r>
      <w:r>
        <w:rPr/>
        <w:t>Hawa,</w:t>
      </w:r>
      <w:r>
        <w:rPr>
          <w:spacing w:val="-5"/>
        </w:rPr>
        <w:t> </w:t>
      </w:r>
      <w:r>
        <w:rPr/>
        <w:t>Thomas</w:t>
      </w:r>
      <w:r>
        <w:rPr>
          <w:spacing w:val="-4"/>
        </w:rPr>
        <w:t> </w:t>
      </w:r>
      <w:r>
        <w:rPr/>
        <w:t>Knudsen,</w:t>
      </w:r>
      <w:r>
        <w:rPr>
          <w:spacing w:val="-5"/>
        </w:rPr>
        <w:t> </w:t>
      </w:r>
      <w:r>
        <w:rPr/>
        <w:t>Simon</w:t>
      </w:r>
      <w:r>
        <w:rPr>
          <w:spacing w:val="-5"/>
        </w:rPr>
        <w:t> </w:t>
      </w:r>
      <w:r>
        <w:rPr/>
        <w:t>L.</w:t>
      </w:r>
      <w:r>
        <w:rPr>
          <w:spacing w:val="-5"/>
        </w:rPr>
        <w:t> </w:t>
      </w:r>
      <w:r>
        <w:rPr/>
        <w:t>Kokkendorff,</w:t>
      </w:r>
      <w:r>
        <w:rPr>
          <w:spacing w:val="-4"/>
        </w:rPr>
        <w:t> </w:t>
      </w:r>
      <w:r>
        <w:rPr/>
        <w:t>Brian</w:t>
      </w:r>
      <w:r>
        <w:rPr>
          <w:spacing w:val="-5"/>
        </w:rPr>
        <w:t> </w:t>
      </w:r>
      <w:r>
        <w:rPr>
          <w:spacing w:val="-14"/>
        </w:rPr>
        <w:t>P.</w:t>
      </w:r>
      <w:r>
        <w:rPr>
          <w:spacing w:val="-5"/>
        </w:rPr>
        <w:t> </w:t>
      </w:r>
      <w:r>
        <w:rPr/>
        <w:t>Olsen</w:t>
      </w:r>
      <w:r>
        <w:rPr>
          <w:spacing w:val="-5"/>
        </w:rPr>
        <w:t> </w:t>
      </w:r>
      <w:r>
        <w:rPr/>
        <w:t>og</w:t>
      </w:r>
      <w:r>
        <w:rPr>
          <w:spacing w:val="-4"/>
        </w:rPr>
        <w:t> </w:t>
      </w:r>
      <w:r>
        <w:rPr/>
        <w:t>Brigitte</w:t>
      </w:r>
      <w:r>
        <w:rPr>
          <w:spacing w:val="-5"/>
        </w:rPr>
        <w:t> </w:t>
      </w:r>
      <w:r>
        <w:rPr/>
        <w:t>C.</w:t>
      </w:r>
      <w:r>
        <w:rPr>
          <w:spacing w:val="-5"/>
        </w:rPr>
        <w:t> </w:t>
      </w:r>
      <w:r>
        <w:rPr/>
        <w:t>Rosenkranz. Horizontal</w:t>
      </w:r>
      <w:r>
        <w:rPr>
          <w:spacing w:val="-21"/>
        </w:rPr>
        <w:t> </w:t>
      </w:r>
      <w:r>
        <w:rPr/>
        <w:t>accuracy</w:t>
      </w:r>
      <w:r>
        <w:rPr>
          <w:spacing w:val="-21"/>
        </w:rPr>
        <w:t> </w:t>
      </w:r>
      <w:r>
        <w:rPr/>
        <w:t>of</w:t>
      </w:r>
      <w:r>
        <w:rPr>
          <w:spacing w:val="-21"/>
        </w:rPr>
        <w:t> </w:t>
      </w:r>
      <w:r>
        <w:rPr/>
        <w:t>digital</w:t>
      </w:r>
      <w:r>
        <w:rPr>
          <w:spacing w:val="-21"/>
        </w:rPr>
        <w:t> </w:t>
      </w:r>
      <w:r>
        <w:rPr/>
        <w:t>elevation</w:t>
      </w:r>
      <w:r>
        <w:rPr>
          <w:spacing w:val="-21"/>
        </w:rPr>
        <w:t> </w:t>
      </w:r>
      <w:r>
        <w:rPr/>
        <w:t>models.</w:t>
      </w:r>
      <w:r>
        <w:rPr>
          <w:spacing w:val="-12"/>
        </w:rPr>
        <w:t> </w:t>
      </w:r>
      <w:r>
        <w:rPr/>
        <w:t>Technical</w:t>
      </w:r>
      <w:r>
        <w:rPr>
          <w:spacing w:val="-21"/>
        </w:rPr>
        <w:t> </w:t>
      </w:r>
      <w:r>
        <w:rPr/>
        <w:t>Report</w:t>
      </w:r>
      <w:r>
        <w:rPr>
          <w:spacing w:val="-21"/>
        </w:rPr>
        <w:t> </w:t>
      </w:r>
      <w:r>
        <w:rPr/>
        <w:t>10,</w:t>
      </w:r>
      <w:r>
        <w:rPr>
          <w:spacing w:val="-20"/>
        </w:rPr>
        <w:t> </w:t>
      </w:r>
      <w:r>
        <w:rPr/>
        <w:t>National</w:t>
      </w:r>
      <w:r>
        <w:rPr>
          <w:spacing w:val="-21"/>
        </w:rPr>
        <w:t> </w:t>
      </w:r>
      <w:r>
        <w:rPr/>
        <w:t>Survey</w:t>
      </w:r>
      <w:r>
        <w:rPr>
          <w:spacing w:val="-21"/>
        </w:rPr>
        <w:t> </w:t>
      </w:r>
      <w:r>
        <w:rPr/>
        <w:t>and</w:t>
      </w:r>
      <w:r>
        <w:rPr>
          <w:spacing w:val="-21"/>
        </w:rPr>
        <w:t> </w:t>
      </w:r>
      <w:r>
        <w:rPr/>
        <w:t>Cadastre (KMS), Copenhagen, Denmark, 2011. URL </w:t>
      </w:r>
      <w:hyperlink r:id="rId52">
        <w:r>
          <w:rPr>
            <w:color w:val="FF0000"/>
          </w:rPr>
          <w:t>ftp://ftp.kms.dk/download/Technical_Reports/KMS_</w:t>
        </w:r>
      </w:hyperlink>
      <w:hyperlink r:id="rId52">
        <w:r>
          <w:rPr>
            <w:color w:val="FF0000"/>
          </w:rPr>
          <w:t> Technical_Report_10.pdf</w:t>
        </w:r>
      </w:hyperlink>
      <w:r>
        <w:rPr/>
        <w:t>.</w:t>
      </w:r>
    </w:p>
    <w:p>
      <w:pPr>
        <w:spacing w:line="252" w:lineRule="auto" w:before="196"/>
        <w:ind w:left="907" w:right="1131" w:hanging="235"/>
        <w:jc w:val="both"/>
        <w:rPr>
          <w:sz w:val="24"/>
        </w:rPr>
      </w:pPr>
      <w:r>
        <w:rPr>
          <w:sz w:val="24"/>
        </w:rPr>
        <w:t>IPCC. </w:t>
      </w:r>
      <w:r>
        <w:rPr>
          <w:i/>
          <w:sz w:val="24"/>
        </w:rPr>
        <w:t>Climate Change 2007: Synthesis Report. Contribution of Working Groups I, II and III to the </w:t>
      </w:r>
      <w:r>
        <w:rPr>
          <w:i/>
          <w:sz w:val="24"/>
        </w:rPr>
        <w:t>Fourth Assessment Report of the Intergovernmental Panel on Climate Change</w:t>
      </w:r>
      <w:r>
        <w:rPr>
          <w:sz w:val="24"/>
        </w:rPr>
        <w:t>. IPCC, Geneva, 2007.</w:t>
      </w:r>
    </w:p>
    <w:p>
      <w:pPr>
        <w:pStyle w:val="BodyText"/>
        <w:spacing w:line="252" w:lineRule="auto" w:before="197"/>
        <w:ind w:left="907" w:right="1131" w:hanging="235"/>
        <w:jc w:val="both"/>
      </w:pPr>
      <w:r>
        <w:rPr/>
        <w:t>Per</w:t>
      </w:r>
      <w:r>
        <w:rPr>
          <w:spacing w:val="-14"/>
        </w:rPr>
        <w:t> </w:t>
      </w:r>
      <w:r>
        <w:rPr/>
        <w:t>Knudsen</w:t>
      </w:r>
      <w:r>
        <w:rPr>
          <w:spacing w:val="-14"/>
        </w:rPr>
        <w:t> </w:t>
      </w:r>
      <w:r>
        <w:rPr/>
        <w:t>og</w:t>
      </w:r>
      <w:r>
        <w:rPr>
          <w:spacing w:val="-14"/>
        </w:rPr>
        <w:t> </w:t>
      </w:r>
      <w:r>
        <w:rPr/>
        <w:t>Karsten</w:t>
      </w:r>
      <w:r>
        <w:rPr>
          <w:spacing w:val="-14"/>
        </w:rPr>
        <w:t> </w:t>
      </w:r>
      <w:r>
        <w:rPr>
          <w:spacing w:val="-4"/>
        </w:rPr>
        <w:t>Vognsen.</w:t>
      </w:r>
      <w:r>
        <w:rPr/>
        <w:t> Metode</w:t>
      </w:r>
      <w:r>
        <w:rPr>
          <w:spacing w:val="-14"/>
        </w:rPr>
        <w:t> </w:t>
      </w:r>
      <w:r>
        <w:rPr/>
        <w:t>til</w:t>
      </w:r>
      <w:r>
        <w:rPr>
          <w:spacing w:val="-13"/>
        </w:rPr>
        <w:t> </w:t>
      </w:r>
      <w:r>
        <w:rPr/>
        <w:t>at</w:t>
      </w:r>
      <w:r>
        <w:rPr>
          <w:spacing w:val="-14"/>
        </w:rPr>
        <w:t> </w:t>
      </w:r>
      <w:r>
        <w:rPr/>
        <w:t>følge</w:t>
      </w:r>
      <w:r>
        <w:rPr>
          <w:spacing w:val="-14"/>
        </w:rPr>
        <w:t> </w:t>
      </w:r>
      <w:r>
        <w:rPr/>
        <w:t>vandstandsstigningstakten</w:t>
      </w:r>
      <w:r>
        <w:rPr>
          <w:spacing w:val="-15"/>
        </w:rPr>
        <w:t> </w:t>
      </w:r>
      <w:r>
        <w:rPr/>
        <w:t>i</w:t>
      </w:r>
      <w:r>
        <w:rPr>
          <w:spacing w:val="-13"/>
        </w:rPr>
        <w:t> </w:t>
      </w:r>
      <w:r>
        <w:rPr/>
        <w:t>de</w:t>
      </w:r>
      <w:r>
        <w:rPr>
          <w:spacing w:val="-14"/>
        </w:rPr>
        <w:t> </w:t>
      </w:r>
      <w:r>
        <w:rPr/>
        <w:t>danske</w:t>
      </w:r>
      <w:r>
        <w:rPr>
          <w:spacing w:val="-14"/>
        </w:rPr>
        <w:t> </w:t>
      </w:r>
      <w:r>
        <w:rPr/>
        <w:t>farvande. Technical Report 8, National Survey and Cadastre (KMS), Copenhagen, Denmark, 2010. URL </w:t>
      </w:r>
      <w:hyperlink r:id="rId53">
        <w:r>
          <w:rPr>
            <w:color w:val="FF0000"/>
          </w:rPr>
          <w:t>ftp://ftp.kms.dk/download/Technical_Reports/KMS_Technical_Report_8.pdf</w:t>
        </w:r>
      </w:hyperlink>
      <w:r>
        <w:rPr/>
        <w:t>.</w:t>
      </w:r>
    </w:p>
    <w:p>
      <w:pPr>
        <w:pStyle w:val="BodyText"/>
        <w:spacing w:line="252" w:lineRule="auto" w:before="197"/>
        <w:ind w:left="907" w:right="1131" w:hanging="235"/>
        <w:jc w:val="both"/>
      </w:pPr>
      <w:r>
        <w:rPr/>
        <w:t>S.</w:t>
      </w:r>
      <w:r>
        <w:rPr>
          <w:spacing w:val="-19"/>
        </w:rPr>
        <w:t> </w:t>
      </w:r>
      <w:r>
        <w:rPr/>
        <w:t>B.</w:t>
      </w:r>
      <w:r>
        <w:rPr>
          <w:spacing w:val="-19"/>
        </w:rPr>
        <w:t> </w:t>
      </w:r>
      <w:r>
        <w:rPr/>
        <w:t>Knudsen</w:t>
      </w:r>
      <w:r>
        <w:rPr>
          <w:spacing w:val="-19"/>
        </w:rPr>
        <w:t> </w:t>
      </w:r>
      <w:r>
        <w:rPr/>
        <w:t>og</w:t>
      </w:r>
      <w:r>
        <w:rPr>
          <w:spacing w:val="-19"/>
        </w:rPr>
        <w:t> </w:t>
      </w:r>
      <w:r>
        <w:rPr/>
        <w:t>C.</w:t>
      </w:r>
      <w:r>
        <w:rPr>
          <w:spacing w:val="-19"/>
        </w:rPr>
        <w:t> </w:t>
      </w:r>
      <w:r>
        <w:rPr/>
        <w:t>Sørensen.</w:t>
      </w:r>
      <w:r>
        <w:rPr>
          <w:spacing w:val="-9"/>
        </w:rPr>
        <w:t> </w:t>
      </w:r>
      <w:r>
        <w:rPr/>
        <w:t>Vandstandsmåling</w:t>
      </w:r>
      <w:r>
        <w:rPr>
          <w:spacing w:val="-19"/>
        </w:rPr>
        <w:t> </w:t>
      </w:r>
      <w:r>
        <w:rPr/>
        <w:t>og</w:t>
      </w:r>
      <w:r>
        <w:rPr>
          <w:spacing w:val="-19"/>
        </w:rPr>
        <w:t> </w:t>
      </w:r>
      <w:r>
        <w:rPr/>
        <w:t>vandstandsudvikling.</w:t>
      </w:r>
      <w:r>
        <w:rPr>
          <w:spacing w:val="-19"/>
        </w:rPr>
        <w:t> </w:t>
      </w:r>
      <w:r>
        <w:rPr/>
        <w:t>den</w:t>
      </w:r>
      <w:r>
        <w:rPr>
          <w:spacing w:val="-19"/>
        </w:rPr>
        <w:t> </w:t>
      </w:r>
      <w:r>
        <w:rPr/>
        <w:t>centrale</w:t>
      </w:r>
      <w:r>
        <w:rPr>
          <w:spacing w:val="-19"/>
        </w:rPr>
        <w:t> </w:t>
      </w:r>
      <w:r>
        <w:rPr/>
        <w:t>del</w:t>
      </w:r>
      <w:r>
        <w:rPr>
          <w:spacing w:val="-19"/>
        </w:rPr>
        <w:t> </w:t>
      </w:r>
      <w:r>
        <w:rPr/>
        <w:t>af</w:t>
      </w:r>
      <w:r>
        <w:rPr>
          <w:spacing w:val="-19"/>
        </w:rPr>
        <w:t> </w:t>
      </w:r>
      <w:r>
        <w:rPr/>
        <w:t>jyllands vestkyst,</w:t>
      </w:r>
      <w:r>
        <w:rPr>
          <w:spacing w:val="-2"/>
        </w:rPr>
        <w:t> </w:t>
      </w:r>
      <w:r>
        <w:rPr/>
        <w:t>2013.</w:t>
      </w:r>
    </w:p>
    <w:p>
      <w:pPr>
        <w:pStyle w:val="BodyText"/>
        <w:spacing w:line="252" w:lineRule="auto" w:before="197"/>
        <w:ind w:left="907" w:right="1131" w:hanging="235"/>
        <w:jc w:val="both"/>
      </w:pPr>
      <w:r>
        <w:rPr/>
        <w:t>Miljøministeriet. Klimatilpasning og detaljerede højdedata, 2012. URL </w:t>
      </w:r>
      <w:hyperlink r:id="rId54">
        <w:r>
          <w:rPr>
            <w:color w:val="FF0000"/>
          </w:rPr>
          <w:t>http://www.klimatilpasning.</w:t>
        </w:r>
      </w:hyperlink>
      <w:r>
        <w:rPr>
          <w:color w:val="FF0000"/>
        </w:rPr>
        <w:t> </w:t>
      </w:r>
      <w:hyperlink r:id="rId54">
        <w:r>
          <w:rPr>
            <w:color w:val="FF0000"/>
          </w:rPr>
          <w:t>dk/media/356781/klimaogh_jdedataendelig</w:t>
        </w:r>
        <w:r>
          <w:rPr>
            <w:color w:val="FF0000"/>
            <w:spacing w:val="57"/>
            <w:u w:val="single" w:color="FE0000"/>
          </w:rPr>
          <w:t> </w:t>
        </w:r>
        <w:r>
          <w:rPr>
            <w:color w:val="FF0000"/>
          </w:rPr>
          <w:t>1_.pdf</w:t>
        </w:r>
      </w:hyperlink>
      <w:r>
        <w:rPr/>
        <w:t>.</w:t>
      </w:r>
    </w:p>
    <w:p>
      <w:pPr>
        <w:pStyle w:val="BodyText"/>
        <w:spacing w:before="198"/>
        <w:ind w:left="673"/>
      </w:pPr>
      <w:r>
        <w:rPr/>
        <w:t>Naturstyrelsen. Kortlægning af klimaforandringer - muligheder og barrierer for handling, 2012.</w:t>
      </w:r>
    </w:p>
    <w:p>
      <w:pPr>
        <w:pStyle w:val="BodyText"/>
        <w:spacing w:line="252" w:lineRule="auto" w:before="212"/>
        <w:ind w:left="907" w:right="1131" w:hanging="235"/>
        <w:jc w:val="both"/>
      </w:pPr>
      <w:r>
        <w:rPr/>
        <w:t>R. S. Nerem, D. Chambers, C. Choe og G. </w:t>
      </w:r>
      <w:r>
        <w:rPr>
          <w:spacing w:val="-9"/>
        </w:rPr>
        <w:t>T.  </w:t>
      </w:r>
      <w:r>
        <w:rPr/>
        <w:t>Mitchum.  Estimating mean sea level change from  the</w:t>
      </w:r>
      <w:r>
        <w:rPr>
          <w:spacing w:val="12"/>
        </w:rPr>
        <w:t> </w:t>
      </w:r>
      <w:r>
        <w:rPr/>
        <w:t>TOPEX</w:t>
      </w:r>
      <w:r>
        <w:rPr>
          <w:spacing w:val="12"/>
        </w:rPr>
        <w:t> </w:t>
      </w:r>
      <w:r>
        <w:rPr/>
        <w:t>and</w:t>
      </w:r>
      <w:r>
        <w:rPr>
          <w:spacing w:val="13"/>
        </w:rPr>
        <w:t> </w:t>
      </w:r>
      <w:r>
        <w:rPr/>
        <w:t>Jason</w:t>
      </w:r>
      <w:r>
        <w:rPr>
          <w:spacing w:val="12"/>
        </w:rPr>
        <w:t> </w:t>
      </w:r>
      <w:r>
        <w:rPr/>
        <w:t>altimeter</w:t>
      </w:r>
      <w:r>
        <w:rPr>
          <w:spacing w:val="13"/>
        </w:rPr>
        <w:t> </w:t>
      </w:r>
      <w:r>
        <w:rPr/>
        <w:t>missions.</w:t>
      </w:r>
      <w:r>
        <w:rPr>
          <w:spacing w:val="12"/>
        </w:rPr>
        <w:t> </w:t>
      </w:r>
      <w:r>
        <w:rPr>
          <w:i/>
        </w:rPr>
        <w:t>Marine</w:t>
      </w:r>
      <w:r>
        <w:rPr>
          <w:i/>
          <w:spacing w:val="13"/>
        </w:rPr>
        <w:t> </w:t>
      </w:r>
      <w:r>
        <w:rPr>
          <w:i/>
        </w:rPr>
        <w:t>Geodesy</w:t>
      </w:r>
      <w:r>
        <w:rPr/>
        <w:t>,</w:t>
      </w:r>
      <w:r>
        <w:rPr>
          <w:spacing w:val="12"/>
        </w:rPr>
        <w:t> </w:t>
      </w:r>
      <w:r>
        <w:rPr/>
        <w:t>33(1</w:t>
      </w:r>
      <w:r>
        <w:rPr>
          <w:spacing w:val="13"/>
        </w:rPr>
        <w:t> </w:t>
      </w:r>
      <w:r>
        <w:rPr/>
        <w:t>supp</w:t>
      </w:r>
      <w:r>
        <w:rPr>
          <w:spacing w:val="12"/>
        </w:rPr>
        <w:t> </w:t>
      </w:r>
      <w:r>
        <w:rPr/>
        <w:t>1):435,</w:t>
      </w:r>
      <w:r>
        <w:rPr>
          <w:spacing w:val="13"/>
        </w:rPr>
        <w:t> </w:t>
      </w:r>
      <w:r>
        <w:rPr/>
        <w:t>2010.</w:t>
      </w:r>
      <w:r>
        <w:rPr>
          <w:spacing w:val="12"/>
        </w:rPr>
        <w:t> </w:t>
      </w:r>
      <w:r>
        <w:rPr/>
        <w:t>URL</w:t>
      </w:r>
      <w:r>
        <w:rPr>
          <w:spacing w:val="13"/>
        </w:rPr>
        <w:t> </w:t>
      </w:r>
      <w:hyperlink r:id="rId55">
        <w:r>
          <w:rPr>
            <w:color w:val="FF0000"/>
          </w:rPr>
          <w:t>http:</w:t>
        </w:r>
      </w:hyperlink>
    </w:p>
    <w:p>
      <w:pPr>
        <w:pStyle w:val="BodyText"/>
        <w:spacing w:line="274" w:lineRule="exact"/>
        <w:ind w:left="907"/>
      </w:pPr>
      <w:hyperlink r:id="rId55">
        <w:r>
          <w:rPr>
            <w:color w:val="FF0000"/>
          </w:rPr>
          <w:t>//sealevel.colorado.edu/</w:t>
        </w:r>
      </w:hyperlink>
      <w:r>
        <w:rPr/>
        <w:t>.</w:t>
      </w:r>
    </w:p>
    <w:p>
      <w:pPr>
        <w:pStyle w:val="BodyText"/>
        <w:spacing w:line="252" w:lineRule="auto" w:before="212"/>
        <w:ind w:left="907" w:right="1131" w:hanging="235"/>
        <w:jc w:val="both"/>
      </w:pPr>
      <w:r>
        <w:rPr/>
        <w:t>Regeringen. Sådan håndterer vi skybrud og regnvand. Handlingsplan for klimasikring af Danmark, 2012.</w:t>
      </w:r>
    </w:p>
    <w:p>
      <w:pPr>
        <w:pStyle w:val="BodyText"/>
        <w:spacing w:line="252" w:lineRule="auto" w:before="198"/>
        <w:ind w:left="907" w:right="1131" w:hanging="235"/>
        <w:jc w:val="both"/>
      </w:pPr>
      <w:r>
        <w:rPr/>
        <w:t>Brigitte C. Rosenkranz og Poul Frederiksen. Quality assessment of the danish elevation model (DK- DEM). Technical Report 12, National Survey and Cadastre (KMS), Copenhagen, Denmark, </w:t>
      </w:r>
      <w:r>
        <w:rPr>
          <w:spacing w:val="-3"/>
        </w:rPr>
        <w:t>2011. </w:t>
      </w:r>
      <w:r>
        <w:rPr/>
        <w:t>URL </w:t>
      </w:r>
      <w:hyperlink r:id="rId56">
        <w:r>
          <w:rPr>
            <w:color w:val="FF0000"/>
          </w:rPr>
          <w:t>ftp://ftp.kms.dk/download/Technical_Reports/KMS_Technical_Report_12.pdf</w:t>
        </w:r>
      </w:hyperlink>
      <w:r>
        <w:rPr/>
        <w:t>.</w:t>
      </w:r>
    </w:p>
    <w:p>
      <w:pPr>
        <w:pStyle w:val="BodyText"/>
        <w:spacing w:line="252" w:lineRule="auto" w:before="196"/>
        <w:ind w:left="907" w:right="1131" w:hanging="235"/>
        <w:jc w:val="both"/>
      </w:pPr>
      <w:r>
        <w:rPr/>
        <w:t>Brigitte C. Rosenkranz, Simon Lyngby Kokkendorff og Steffen Svindt Thommesen. Rettelse af typefejl på diger i danmarks højdemodel. Technical Report 11, National Survey and Cadastre (KMS), Copenhagen, Denmark, 2011. URL </w:t>
      </w:r>
      <w:hyperlink r:id="rId57">
        <w:r>
          <w:rPr>
            <w:color w:val="FF0000"/>
          </w:rPr>
          <w:t>ftp://ftp.kms.dk/download/Technical_Reports/KMS_</w:t>
        </w:r>
      </w:hyperlink>
      <w:r>
        <w:rPr>
          <w:color w:val="FF0000"/>
        </w:rPr>
        <w:t> </w:t>
      </w:r>
      <w:hyperlink r:id="rId57">
        <w:r>
          <w:rPr>
            <w:color w:val="FF0000"/>
          </w:rPr>
          <w:t>Technical_Report_11.pdf</w:t>
        </w:r>
      </w:hyperlink>
      <w:r>
        <w:rPr/>
        <w:t>.</w:t>
      </w:r>
    </w:p>
    <w:p>
      <w:pPr>
        <w:pStyle w:val="BodyText"/>
        <w:spacing w:line="252" w:lineRule="auto" w:before="196"/>
        <w:ind w:left="907" w:right="1131" w:hanging="235"/>
        <w:jc w:val="both"/>
      </w:pPr>
      <w:r>
        <w:rPr/>
        <w:t>Klaus E. Schmidt. </w:t>
      </w:r>
      <w:r>
        <w:rPr>
          <w:i/>
        </w:rPr>
        <w:t>The Danish height system DVR90</w:t>
      </w:r>
      <w:r>
        <w:rPr/>
        <w:t>. Skrifter 4. Række, bind 8. Kort &amp; Matrikelsty- relsen, Copenhagen, Denmark, 2000. ISBN 87-7866-224-9.</w:t>
      </w:r>
    </w:p>
    <w:p>
      <w:pPr>
        <w:spacing w:line="252" w:lineRule="auto" w:before="198"/>
        <w:ind w:left="907" w:right="1131" w:hanging="235"/>
        <w:jc w:val="both"/>
        <w:rPr>
          <w:sz w:val="24"/>
        </w:rPr>
      </w:pPr>
      <w:r>
        <w:rPr>
          <w:sz w:val="24"/>
        </w:rPr>
        <w:t>C. Sørensen, H. T. Madsen og S. B. Knudsen. </w:t>
      </w:r>
      <w:r>
        <w:rPr>
          <w:i/>
          <w:sz w:val="24"/>
        </w:rPr>
        <w:t>Højvandsstatistikker 2012</w:t>
      </w:r>
      <w:r>
        <w:rPr>
          <w:sz w:val="24"/>
        </w:rPr>
        <w:t>. Kystdirektoratet, Lemvig, 2013.</w:t>
      </w:r>
    </w:p>
    <w:p>
      <w:pPr>
        <w:pStyle w:val="BodyText"/>
        <w:spacing w:line="252" w:lineRule="auto" w:before="197"/>
        <w:ind w:left="907" w:right="1131" w:hanging="235"/>
        <w:jc w:val="both"/>
      </w:pPr>
      <w:r>
        <w:rPr/>
        <w:t>Karsten </w:t>
      </w:r>
      <w:r>
        <w:rPr>
          <w:spacing w:val="-4"/>
        </w:rPr>
        <w:t>Vognsen, </w:t>
      </w:r>
      <w:r>
        <w:rPr/>
        <w:t>Casper Jepsen og Simon </w:t>
      </w:r>
      <w:r>
        <w:rPr>
          <w:spacing w:val="-3"/>
        </w:rPr>
        <w:t>Lyngby </w:t>
      </w:r>
      <w:r>
        <w:rPr/>
        <w:t>Kokkendorff. Guidelines for motoriseret geome- trisk præcisionsnivellement. Intern rapport, Geodatastyrelsen, København, 2013.</w:t>
      </w:r>
    </w:p>
    <w:p>
      <w:pPr>
        <w:spacing w:after="0" w:line="252" w:lineRule="auto"/>
        <w:jc w:val="both"/>
        <w:sectPr>
          <w:pgSz w:w="11910" w:h="16840"/>
          <w:pgMar w:header="0" w:footer="546" w:top="980" w:bottom="740" w:left="46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57"/>
        <w:ind w:left="673" w:right="0" w:firstLine="0"/>
        <w:jc w:val="left"/>
        <w:rPr>
          <w:rFonts w:ascii="Arial"/>
          <w:b/>
          <w:sz w:val="45"/>
        </w:rPr>
      </w:pPr>
      <w:bookmarkStart w:name="_bookmark51" w:id="72"/>
      <w:bookmarkEnd w:id="72"/>
      <w:r>
        <w:rPr/>
      </w:r>
      <w:r>
        <w:rPr>
          <w:rFonts w:ascii="Arial"/>
          <w:b/>
          <w:sz w:val="45"/>
        </w:rPr>
        <w:t>Bilag A</w:t>
      </w:r>
    </w:p>
    <w:p>
      <w:pPr>
        <w:spacing w:before="479"/>
        <w:ind w:left="673" w:right="0" w:firstLine="0"/>
        <w:jc w:val="left"/>
        <w:rPr>
          <w:rFonts w:ascii="Arial" w:hAnsi="Arial"/>
          <w:b/>
          <w:sz w:val="45"/>
        </w:rPr>
      </w:pPr>
      <w:r>
        <w:rPr>
          <w:rFonts w:ascii="Arial" w:hAnsi="Arial"/>
          <w:b/>
          <w:sz w:val="45"/>
        </w:rPr>
        <w:t>Beregninger for fikspunkter i Thyborøn by</w:t>
      </w:r>
    </w:p>
    <w:p>
      <w:pPr>
        <w:spacing w:after="0"/>
        <w:jc w:val="left"/>
        <w:rPr>
          <w:rFonts w:ascii="Arial" w:hAnsi="Arial"/>
          <w:sz w:val="45"/>
        </w:rPr>
        <w:sectPr>
          <w:pgSz w:w="11910" w:h="16840"/>
          <w:pgMar w:header="0" w:footer="546" w:top="1580" w:bottom="740" w:left="460" w:right="0"/>
        </w:sectPr>
      </w:pPr>
    </w:p>
    <w:p>
      <w:pPr>
        <w:spacing w:before="89"/>
        <w:ind w:left="3575" w:right="0" w:firstLine="0"/>
        <w:jc w:val="left"/>
        <w:rPr>
          <w:rFonts w:ascii="Arial" w:hAnsi="Arial"/>
          <w:sz w:val="22"/>
        </w:rPr>
      </w:pPr>
      <w:r>
        <w:rPr/>
        <w:pict>
          <v:shape style="position:absolute;margin-left:22.67037pt;margin-top:290.52301pt;width:15.65pt;height:14.25pt;mso-position-horizontal-relative:page;mso-position-vertical-relative:page;z-index:1552" type="#_x0000_t202" filled="false" stroked="false">
            <v:textbox inset="0,0,0,0" style="layout-flow:vertical">
              <w:txbxContent>
                <w:p>
                  <w:pPr>
                    <w:spacing w:before="23"/>
                    <w:ind w:left="20" w:right="0" w:firstLine="0"/>
                    <w:jc w:val="left"/>
                    <w:rPr>
                      <w:rFonts w:ascii="Arial"/>
                      <w:sz w:val="22"/>
                    </w:rPr>
                  </w:pPr>
                  <w:r>
                    <w:rPr>
                      <w:rFonts w:ascii="Arial"/>
                      <w:sz w:val="22"/>
                    </w:rPr>
                    <w:t>40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sz w:val="22"/>
        </w:rPr>
        <w:t>Tabel 5: Beregninger for fikspunkter i Thyborøn by</w:t>
      </w:r>
    </w:p>
    <w:p>
      <w:pPr>
        <w:pStyle w:val="BodyText"/>
        <w:spacing w:before="5"/>
        <w:rPr>
          <w:rFonts w:ascii="Arial"/>
          <w:sz w:val="17"/>
        </w:rPr>
      </w:pPr>
      <w:r>
        <w:rPr/>
        <w:pict>
          <v:group style="position:absolute;margin-left:137.716995pt;margin-top:11.984074pt;width:566.5pt;height:.4pt;mso-position-horizontal-relative:page;mso-position-vertical-relative:paragraph;z-index:-520;mso-wrap-distance-left:0;mso-wrap-distance-right:0" coordorigin="2754,240" coordsize="11330,8">
            <v:line style="position:absolute" from="2754,244" to="14083,244" stroked="true" strokeweight=".398pt" strokecolor="#000000">
              <v:stroke dashstyle="solid"/>
            </v:line>
            <v:line style="position:absolute" from="2754,244" to="14083,244" stroked="true" strokeweight=".398pt" strokecolor="#000000">
              <v:stroke dashstyle="solid"/>
            </v:line>
            <w10:wrap type="topAndBottom"/>
          </v:group>
        </w:pict>
      </w:r>
    </w:p>
    <w:p>
      <w:pPr>
        <w:pStyle w:val="BodyText"/>
        <w:spacing w:before="8" w:after="1"/>
        <w:rPr>
          <w:rFonts w:ascii="Arial"/>
          <w:sz w:val="12"/>
        </w:rPr>
      </w:pPr>
    </w:p>
    <w:tbl>
      <w:tblPr>
        <w:tblW w:w="0" w:type="auto"/>
        <w:jc w:val="left"/>
        <w:tblInd w:w="34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68"/>
        <w:gridCol w:w="1185"/>
        <w:gridCol w:w="1085"/>
        <w:gridCol w:w="985"/>
        <w:gridCol w:w="1026"/>
        <w:gridCol w:w="959"/>
        <w:gridCol w:w="945"/>
        <w:gridCol w:w="938"/>
        <w:gridCol w:w="1506"/>
        <w:gridCol w:w="1319"/>
      </w:tblGrid>
      <w:tr>
        <w:trPr>
          <w:trHeight w:val="340" w:hRule="atLeast"/>
        </w:trPr>
        <w:tc>
          <w:tcPr>
            <w:tcW w:w="1368" w:type="dxa"/>
          </w:tcPr>
          <w:p>
            <w:pPr>
              <w:pStyle w:val="TableParagraph"/>
              <w:spacing w:line="240" w:lineRule="auto" w:before="47"/>
              <w:ind w:left="97" w:right="97"/>
              <w:jc w:val="center"/>
              <w:rPr>
                <w:sz w:val="20"/>
              </w:rPr>
            </w:pPr>
            <w:r>
              <w:rPr>
                <w:sz w:val="20"/>
              </w:rPr>
              <w:t>Punktnummer</w:t>
            </w:r>
          </w:p>
        </w:tc>
        <w:tc>
          <w:tcPr>
            <w:tcW w:w="1185" w:type="dxa"/>
          </w:tcPr>
          <w:p>
            <w:pPr>
              <w:pStyle w:val="TableParagraph"/>
              <w:spacing w:line="240" w:lineRule="auto" w:before="47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Northing</w:t>
            </w:r>
          </w:p>
        </w:tc>
        <w:tc>
          <w:tcPr>
            <w:tcW w:w="1085" w:type="dxa"/>
          </w:tcPr>
          <w:p>
            <w:pPr>
              <w:pStyle w:val="TableParagraph"/>
              <w:spacing w:line="240" w:lineRule="auto" w:before="47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Easting</w:t>
            </w:r>
          </w:p>
        </w:tc>
        <w:tc>
          <w:tcPr>
            <w:tcW w:w="985" w:type="dxa"/>
          </w:tcPr>
          <w:p>
            <w:pPr>
              <w:pStyle w:val="TableParagraph"/>
              <w:spacing w:line="240" w:lineRule="auto" w:before="47"/>
              <w:ind w:right="114"/>
              <w:rPr>
                <w:sz w:val="20"/>
              </w:rPr>
            </w:pPr>
            <w:r>
              <w:rPr>
                <w:sz w:val="20"/>
              </w:rPr>
              <w:t>Sep 2006</w:t>
            </w:r>
          </w:p>
        </w:tc>
        <w:tc>
          <w:tcPr>
            <w:tcW w:w="1026" w:type="dxa"/>
          </w:tcPr>
          <w:p>
            <w:pPr>
              <w:pStyle w:val="TableParagraph"/>
              <w:spacing w:line="240" w:lineRule="auto" w:before="47"/>
              <w:ind w:right="112"/>
              <w:rPr>
                <w:sz w:val="20"/>
              </w:rPr>
            </w:pPr>
            <w:r>
              <w:rPr>
                <w:sz w:val="20"/>
              </w:rPr>
              <w:t>Nov 2009</w:t>
            </w:r>
          </w:p>
        </w:tc>
        <w:tc>
          <w:tcPr>
            <w:tcW w:w="5667" w:type="dxa"/>
            <w:gridSpan w:val="5"/>
          </w:tcPr>
          <w:p>
            <w:pPr>
              <w:pStyle w:val="TableParagraph"/>
              <w:tabs>
                <w:tab w:pos="1497" w:val="left" w:leader="none"/>
                <w:tab w:pos="1941" w:val="left" w:leader="none"/>
                <w:tab w:pos="2882" w:val="left" w:leader="none"/>
                <w:tab w:pos="3912" w:val="left" w:leader="none"/>
              </w:tabs>
              <w:spacing w:line="240" w:lineRule="auto" w:before="33"/>
              <w:ind w:left="124"/>
              <w:jc w:val="left"/>
              <w:rPr>
                <w:sz w:val="20"/>
              </w:rPr>
            </w:pPr>
            <w:r>
              <w:rPr>
                <w:sz w:val="20"/>
              </w:rPr>
              <w:t>Aug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2012</w:t>
              <w:tab/>
            </w:r>
            <w:r>
              <w:rPr>
                <w:i/>
                <w:sz w:val="20"/>
              </w:rPr>
              <w:t>R</w:t>
            </w:r>
            <w:r>
              <w:rPr>
                <w:position w:val="7"/>
                <w:sz w:val="14"/>
              </w:rPr>
              <w:t>2</w:t>
              <w:tab/>
            </w:r>
            <w:r>
              <w:rPr>
                <w:spacing w:val="-5"/>
                <w:sz w:val="20"/>
              </w:rPr>
              <w:t>Vert.bev.</w:t>
              <w:tab/>
            </w:r>
            <w:r>
              <w:rPr>
                <w:sz w:val="20"/>
              </w:rPr>
              <w:t>Aug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2060</w:t>
              <w:tab/>
            </w:r>
            <w:r>
              <w:rPr>
                <w:spacing w:val="-5"/>
                <w:sz w:val="20"/>
              </w:rPr>
              <w:t>Vert.bev.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2012–2060</w:t>
            </w:r>
          </w:p>
        </w:tc>
      </w:tr>
      <w:tr>
        <w:trPr>
          <w:trHeight w:val="317" w:hRule="atLeast"/>
        </w:trPr>
        <w:tc>
          <w:tcPr>
            <w:tcW w:w="136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18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76" w:lineRule="exact"/>
              <w:ind w:right="116"/>
              <w:rPr>
                <w:sz w:val="20"/>
              </w:rPr>
            </w:pPr>
            <w:r>
              <w:rPr>
                <w:w w:val="99"/>
                <w:sz w:val="20"/>
              </w:rPr>
              <w:t>m</w:t>
            </w:r>
          </w:p>
        </w:tc>
        <w:tc>
          <w:tcPr>
            <w:tcW w:w="108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76" w:lineRule="exact"/>
              <w:ind w:right="115"/>
              <w:rPr>
                <w:sz w:val="20"/>
              </w:rPr>
            </w:pPr>
            <w:r>
              <w:rPr>
                <w:w w:val="99"/>
                <w:sz w:val="20"/>
              </w:rPr>
              <w:t>m</w:t>
            </w:r>
          </w:p>
        </w:tc>
        <w:tc>
          <w:tcPr>
            <w:tcW w:w="98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76" w:lineRule="exact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DVR90</w:t>
            </w:r>
          </w:p>
        </w:tc>
        <w:tc>
          <w:tcPr>
            <w:tcW w:w="102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76" w:lineRule="exact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DVR90</w:t>
            </w:r>
          </w:p>
        </w:tc>
        <w:tc>
          <w:tcPr>
            <w:tcW w:w="95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76" w:lineRule="exact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DVR90</w:t>
            </w:r>
          </w:p>
        </w:tc>
        <w:tc>
          <w:tcPr>
            <w:tcW w:w="94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93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76" w:lineRule="exact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mm/år</w:t>
            </w:r>
          </w:p>
        </w:tc>
        <w:tc>
          <w:tcPr>
            <w:tcW w:w="150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76" w:lineRule="exact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DVR90</w:t>
            </w:r>
          </w:p>
        </w:tc>
        <w:tc>
          <w:tcPr>
            <w:tcW w:w="131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76" w:lineRule="exact"/>
              <w:ind w:right="104"/>
              <w:rPr>
                <w:sz w:val="20"/>
              </w:rPr>
            </w:pPr>
            <w:r>
              <w:rPr>
                <w:w w:val="99"/>
                <w:sz w:val="20"/>
              </w:rPr>
              <w:t>m</w:t>
            </w:r>
          </w:p>
        </w:tc>
      </w:tr>
      <w:tr>
        <w:trPr>
          <w:trHeight w:val="460" w:hRule="atLeast"/>
        </w:trPr>
        <w:tc>
          <w:tcPr>
            <w:tcW w:w="136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0" w:lineRule="auto"/>
              <w:jc w:val="left"/>
              <w:rPr>
                <w:rFonts w:ascii="Arial"/>
                <w:sz w:val="19"/>
              </w:rPr>
            </w:pPr>
          </w:p>
          <w:p>
            <w:pPr>
              <w:pStyle w:val="TableParagraph"/>
              <w:spacing w:line="222" w:lineRule="exact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72-01-00815</w:t>
            </w:r>
          </w:p>
        </w:tc>
        <w:tc>
          <w:tcPr>
            <w:tcW w:w="118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0" w:lineRule="auto"/>
              <w:jc w:val="left"/>
              <w:rPr>
                <w:rFonts w:ascii="Arial"/>
                <w:sz w:val="19"/>
              </w:rPr>
            </w:pPr>
          </w:p>
          <w:p>
            <w:pPr>
              <w:pStyle w:val="TableParagraph"/>
              <w:spacing w:line="222" w:lineRule="exact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6288343,44</w:t>
            </w:r>
          </w:p>
        </w:tc>
        <w:tc>
          <w:tcPr>
            <w:tcW w:w="108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0" w:lineRule="auto"/>
              <w:jc w:val="left"/>
              <w:rPr>
                <w:rFonts w:ascii="Arial"/>
                <w:sz w:val="19"/>
              </w:rPr>
            </w:pPr>
          </w:p>
          <w:p>
            <w:pPr>
              <w:pStyle w:val="TableParagraph"/>
              <w:spacing w:line="222" w:lineRule="exact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454131,92</w:t>
            </w:r>
          </w:p>
        </w:tc>
        <w:tc>
          <w:tcPr>
            <w:tcW w:w="98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0" w:lineRule="auto"/>
              <w:jc w:val="left"/>
              <w:rPr>
                <w:rFonts w:ascii="Arial"/>
                <w:sz w:val="19"/>
              </w:rPr>
            </w:pPr>
          </w:p>
          <w:p>
            <w:pPr>
              <w:pStyle w:val="TableParagraph"/>
              <w:spacing w:line="222" w:lineRule="exact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4,681</w:t>
            </w:r>
          </w:p>
        </w:tc>
        <w:tc>
          <w:tcPr>
            <w:tcW w:w="102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0" w:lineRule="auto"/>
              <w:jc w:val="left"/>
              <w:rPr>
                <w:rFonts w:ascii="Arial"/>
                <w:sz w:val="19"/>
              </w:rPr>
            </w:pPr>
          </w:p>
          <w:p>
            <w:pPr>
              <w:pStyle w:val="TableParagraph"/>
              <w:spacing w:line="222" w:lineRule="exact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4,676</w:t>
            </w:r>
          </w:p>
        </w:tc>
        <w:tc>
          <w:tcPr>
            <w:tcW w:w="95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0" w:lineRule="auto"/>
              <w:jc w:val="left"/>
              <w:rPr>
                <w:rFonts w:ascii="Arial"/>
                <w:sz w:val="19"/>
              </w:rPr>
            </w:pPr>
          </w:p>
          <w:p>
            <w:pPr>
              <w:pStyle w:val="TableParagraph"/>
              <w:spacing w:line="222" w:lineRule="exact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4,670</w:t>
            </w:r>
          </w:p>
        </w:tc>
        <w:tc>
          <w:tcPr>
            <w:tcW w:w="94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0" w:lineRule="auto"/>
              <w:jc w:val="left"/>
              <w:rPr>
                <w:rFonts w:ascii="Arial"/>
                <w:sz w:val="19"/>
              </w:rPr>
            </w:pPr>
          </w:p>
          <w:p>
            <w:pPr>
              <w:pStyle w:val="TableParagraph"/>
              <w:spacing w:line="222" w:lineRule="exact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0,9942</w:t>
            </w:r>
          </w:p>
        </w:tc>
        <w:tc>
          <w:tcPr>
            <w:tcW w:w="93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0" w:lineRule="auto"/>
              <w:jc w:val="left"/>
              <w:rPr>
                <w:rFonts w:ascii="Arial"/>
                <w:sz w:val="19"/>
              </w:rPr>
            </w:pPr>
          </w:p>
          <w:p>
            <w:pPr>
              <w:pStyle w:val="TableParagraph"/>
              <w:spacing w:line="222" w:lineRule="exact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-1,9</w:t>
            </w:r>
          </w:p>
        </w:tc>
        <w:tc>
          <w:tcPr>
            <w:tcW w:w="150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0" w:lineRule="auto"/>
              <w:jc w:val="left"/>
              <w:rPr>
                <w:rFonts w:ascii="Arial"/>
                <w:sz w:val="19"/>
              </w:rPr>
            </w:pPr>
          </w:p>
          <w:p>
            <w:pPr>
              <w:pStyle w:val="TableParagraph"/>
              <w:spacing w:line="222" w:lineRule="exact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4,579</w:t>
            </w:r>
          </w:p>
        </w:tc>
        <w:tc>
          <w:tcPr>
            <w:tcW w:w="131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0" w:lineRule="auto"/>
              <w:jc w:val="left"/>
              <w:rPr>
                <w:rFonts w:ascii="Arial"/>
                <w:sz w:val="19"/>
              </w:rPr>
            </w:pPr>
          </w:p>
          <w:p>
            <w:pPr>
              <w:pStyle w:val="TableParagraph"/>
              <w:spacing w:line="222" w:lineRule="exact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-0,091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72-01-00844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6287621,42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454129,34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4,337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4,330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4,324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0,9996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-2,2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4,217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-0,107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72-01-00813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6286882,63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454063,59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4,478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4,469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4,461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0,9999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-2,9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4,321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-0,140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72-01-00812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6285982,67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454020,79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4,784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4,775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4,769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0,9917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-2,6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4,645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-0,124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72-01-09095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6285157,45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451957,33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5,193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5,175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5,156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0,9985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-6,4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4,851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-0,305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72-01-00159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6285157,14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451957,52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6,693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6,682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6,663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0,9692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-5,1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6,416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-0,247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72-01-00848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6285148,00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451905,00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3,289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3,268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3,247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0,9994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-7,2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2,900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-0,347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72-01-00843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6285121,06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451986,89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5,296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5,286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5,271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0,9809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-4,3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5,065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-0,206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72-01-00849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6285104,00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451914,00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3,915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3,895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3,876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0,9999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-6,7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3,554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-0,322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72-01-09116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6285019,39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451960,14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2,449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2,440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2,428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0,9888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-3,6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2,255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-0,173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72-01-09075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6284963,00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452316,00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1,622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1,617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1,611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0,9942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-1,9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1,520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-0,091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72-01-09115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6284951,56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452182,40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2,518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2,510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2,499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0,9869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-3,3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2,343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-0,156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72-01-09096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6284886,55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452007,61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1,702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1,689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1,676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0,9994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-4,5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1,461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-0,215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72-01-09032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6284858,62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452159,57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2,132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2,125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2,116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0,9909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-2,8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1,984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-0,132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72-01-09094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6284818,10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452336,58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1,831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1,824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1,816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0,9961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-2,6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1,692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-0,124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72-01-09039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6284810,52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452285,27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1,763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1,754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1,744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0,9971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-3,3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1,587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-0,157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72-01-09074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6284789,00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452485,00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1,823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1,817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1,807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0,9724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-2,8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1,675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-0,132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72-01-09037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6284750,12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451771,37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1,873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1,866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1,858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0,9961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-2,6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1,734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-0,124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72-01-09045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6284612,72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452203,37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1,889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1,881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1,871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0,9923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-3,1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1,723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-0,148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72-01-09059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6284606,42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453763,35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3,024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3,011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3,004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0,9783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-3,5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2,838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-0,166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72-01-09034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6284591,02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452059,37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2,788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2,779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2,769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0,9971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-3,3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2,612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-0,157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72-01-09076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6284589,00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452366,00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1,720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1,712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1,701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0,9869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-3,3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1,545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-0,156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72-01-09117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6284555,93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451524,50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1,878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1,865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1,847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0,9865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-5,3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1,592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-0,255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72-01-09114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6284507,04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452172,30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2,058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2,049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2,037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0,9888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-3,6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1,864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-0,173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72-01-09111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6284491,07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451663,80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1,777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1,768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1,758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0,9971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-3,3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1,601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-0,157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72-01-09073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6284470,00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452504,00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1,908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1,904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1,896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0,9550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-2,1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1,797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-0,099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72-01-09078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6284428,00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452451,00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1,926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1,923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1,920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0,9994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-1,0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1,870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-0,050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72-01-09077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6284422,00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452276,00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1,942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1,937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1,931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0,9942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-1,9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1,840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-0,091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72-01-09112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6284411,70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451858,64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2,691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2,681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2,669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0,9942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-3,8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2,488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-0,181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72-01-09099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6284388,42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453369,18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1,195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1,183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1,176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0,9839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-3,3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1,019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-0,157</w:t>
            </w:r>
          </w:p>
        </w:tc>
      </w:tr>
      <w:tr>
        <w:trPr>
          <w:trHeight w:val="289" w:hRule="atLeast"/>
        </w:trPr>
        <w:tc>
          <w:tcPr>
            <w:tcW w:w="1368" w:type="dxa"/>
          </w:tcPr>
          <w:p>
            <w:pPr>
              <w:pStyle w:val="TableParagraph"/>
              <w:spacing w:line="227" w:lineRule="exact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72-01-09097</w:t>
            </w:r>
          </w:p>
        </w:tc>
        <w:tc>
          <w:tcPr>
            <w:tcW w:w="1185" w:type="dxa"/>
          </w:tcPr>
          <w:p>
            <w:pPr>
              <w:pStyle w:val="TableParagraph"/>
              <w:spacing w:line="227" w:lineRule="exact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6284372,88</w:t>
            </w:r>
          </w:p>
        </w:tc>
        <w:tc>
          <w:tcPr>
            <w:tcW w:w="1085" w:type="dxa"/>
          </w:tcPr>
          <w:p>
            <w:pPr>
              <w:pStyle w:val="TableParagraph"/>
              <w:spacing w:line="227" w:lineRule="exact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452129,43</w:t>
            </w:r>
          </w:p>
        </w:tc>
        <w:tc>
          <w:tcPr>
            <w:tcW w:w="985" w:type="dxa"/>
          </w:tcPr>
          <w:p>
            <w:pPr>
              <w:pStyle w:val="TableParagraph"/>
              <w:spacing w:line="227" w:lineRule="exact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2,121</w:t>
            </w:r>
          </w:p>
        </w:tc>
        <w:tc>
          <w:tcPr>
            <w:tcW w:w="1026" w:type="dxa"/>
          </w:tcPr>
          <w:p>
            <w:pPr>
              <w:pStyle w:val="TableParagraph"/>
              <w:spacing w:line="227" w:lineRule="exact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2,113</w:t>
            </w:r>
          </w:p>
        </w:tc>
        <w:tc>
          <w:tcPr>
            <w:tcW w:w="959" w:type="dxa"/>
          </w:tcPr>
          <w:p>
            <w:pPr>
              <w:pStyle w:val="TableParagraph"/>
              <w:spacing w:line="227" w:lineRule="exact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2,101</w:t>
            </w:r>
          </w:p>
        </w:tc>
        <w:tc>
          <w:tcPr>
            <w:tcW w:w="945" w:type="dxa"/>
          </w:tcPr>
          <w:p>
            <w:pPr>
              <w:pStyle w:val="TableParagraph"/>
              <w:spacing w:line="227" w:lineRule="exact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0,9809</w:t>
            </w:r>
          </w:p>
        </w:tc>
        <w:tc>
          <w:tcPr>
            <w:tcW w:w="938" w:type="dxa"/>
          </w:tcPr>
          <w:p>
            <w:pPr>
              <w:pStyle w:val="TableParagraph"/>
              <w:spacing w:line="227" w:lineRule="exact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-3,4</w:t>
            </w:r>
          </w:p>
        </w:tc>
        <w:tc>
          <w:tcPr>
            <w:tcW w:w="1506" w:type="dxa"/>
          </w:tcPr>
          <w:p>
            <w:pPr>
              <w:pStyle w:val="TableParagraph"/>
              <w:spacing w:line="227" w:lineRule="exact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1,936</w:t>
            </w:r>
          </w:p>
        </w:tc>
        <w:tc>
          <w:tcPr>
            <w:tcW w:w="1319" w:type="dxa"/>
          </w:tcPr>
          <w:p>
            <w:pPr>
              <w:pStyle w:val="TableParagraph"/>
              <w:spacing w:line="227" w:lineRule="exact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-0,165</w:t>
            </w:r>
          </w:p>
        </w:tc>
      </w:tr>
    </w:tbl>
    <w:p>
      <w:pPr>
        <w:spacing w:after="0" w:line="227" w:lineRule="exact"/>
        <w:rPr>
          <w:sz w:val="20"/>
        </w:rPr>
        <w:sectPr>
          <w:footerReference w:type="default" r:id="rId58"/>
          <w:pgSz w:w="16840" w:h="11910" w:orient="landscape"/>
          <w:pgMar w:footer="1553" w:header="0" w:top="1000" w:bottom="1740" w:left="2420" w:right="2420"/>
        </w:sectPr>
      </w:pPr>
    </w:p>
    <w:p>
      <w:pPr>
        <w:spacing w:before="69"/>
        <w:ind w:left="4480" w:right="4480" w:firstLine="0"/>
        <w:jc w:val="center"/>
        <w:rPr>
          <w:i/>
          <w:sz w:val="20"/>
        </w:rPr>
      </w:pPr>
      <w:r>
        <w:rPr/>
        <w:pict>
          <v:shape style="position:absolute;margin-left:22.67037pt;margin-top:290.52301pt;width:15.65pt;height:14.25pt;mso-position-horizontal-relative:page;mso-position-vertical-relative:page;z-index:1600" type="#_x0000_t202" filled="false" stroked="false">
            <v:textbox inset="0,0,0,0" style="layout-flow:vertical">
              <w:txbxContent>
                <w:p>
                  <w:pPr>
                    <w:spacing w:before="23"/>
                    <w:ind w:left="20" w:right="0" w:firstLine="0"/>
                    <w:jc w:val="left"/>
                    <w:rPr>
                      <w:rFonts w:ascii="Arial"/>
                      <w:sz w:val="22"/>
                    </w:rPr>
                  </w:pPr>
                  <w:r>
                    <w:rPr>
                      <w:rFonts w:ascii="Arial"/>
                      <w:sz w:val="22"/>
                    </w:rPr>
                    <w:t>41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t>Tabel 5 – </w:t>
      </w:r>
      <w:r>
        <w:rPr>
          <w:i/>
          <w:sz w:val="20"/>
        </w:rPr>
        <w:t>Fortsat fra foregående side</w:t>
      </w:r>
    </w:p>
    <w:p>
      <w:pPr>
        <w:pStyle w:val="BodyText"/>
        <w:spacing w:before="10"/>
        <w:rPr>
          <w:i/>
          <w:sz w:val="19"/>
        </w:rPr>
      </w:pPr>
      <w:r>
        <w:rPr/>
        <w:pict>
          <v:group style="position:absolute;margin-left:137.716995pt;margin-top:13.378976pt;width:566.5pt;height:.4pt;mso-position-horizontal-relative:page;mso-position-vertical-relative:paragraph;z-index:-472;mso-wrap-distance-left:0;mso-wrap-distance-right:0" coordorigin="2754,268" coordsize="11330,8">
            <v:line style="position:absolute" from="2754,272" to="14083,272" stroked="true" strokeweight=".398pt" strokecolor="#000000">
              <v:stroke dashstyle="solid"/>
            </v:line>
            <v:line style="position:absolute" from="2754,272" to="14083,272" stroked="true" strokeweight=".398pt" strokecolor="#000000">
              <v:stroke dashstyle="solid"/>
            </v:line>
            <w10:wrap type="topAndBottom"/>
          </v:group>
        </w:pict>
      </w:r>
    </w:p>
    <w:p>
      <w:pPr>
        <w:pStyle w:val="BodyText"/>
        <w:spacing w:before="8" w:after="1"/>
        <w:rPr>
          <w:i/>
          <w:sz w:val="12"/>
        </w:rPr>
      </w:pPr>
    </w:p>
    <w:tbl>
      <w:tblPr>
        <w:tblW w:w="0" w:type="auto"/>
        <w:jc w:val="left"/>
        <w:tblInd w:w="34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68"/>
        <w:gridCol w:w="1185"/>
        <w:gridCol w:w="1085"/>
        <w:gridCol w:w="985"/>
        <w:gridCol w:w="1026"/>
        <w:gridCol w:w="959"/>
        <w:gridCol w:w="945"/>
        <w:gridCol w:w="938"/>
        <w:gridCol w:w="1506"/>
        <w:gridCol w:w="1319"/>
      </w:tblGrid>
      <w:tr>
        <w:trPr>
          <w:trHeight w:val="340" w:hRule="atLeast"/>
        </w:trPr>
        <w:tc>
          <w:tcPr>
            <w:tcW w:w="1368" w:type="dxa"/>
          </w:tcPr>
          <w:p>
            <w:pPr>
              <w:pStyle w:val="TableParagraph"/>
              <w:spacing w:line="240" w:lineRule="auto" w:before="47"/>
              <w:ind w:left="97" w:right="97"/>
              <w:jc w:val="center"/>
              <w:rPr>
                <w:sz w:val="20"/>
              </w:rPr>
            </w:pPr>
            <w:r>
              <w:rPr>
                <w:sz w:val="20"/>
              </w:rPr>
              <w:t>Punktnummer</w:t>
            </w:r>
          </w:p>
        </w:tc>
        <w:tc>
          <w:tcPr>
            <w:tcW w:w="1185" w:type="dxa"/>
          </w:tcPr>
          <w:p>
            <w:pPr>
              <w:pStyle w:val="TableParagraph"/>
              <w:spacing w:line="240" w:lineRule="auto" w:before="47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Northing</w:t>
            </w:r>
          </w:p>
        </w:tc>
        <w:tc>
          <w:tcPr>
            <w:tcW w:w="1085" w:type="dxa"/>
          </w:tcPr>
          <w:p>
            <w:pPr>
              <w:pStyle w:val="TableParagraph"/>
              <w:spacing w:line="240" w:lineRule="auto" w:before="47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Easting</w:t>
            </w:r>
          </w:p>
        </w:tc>
        <w:tc>
          <w:tcPr>
            <w:tcW w:w="985" w:type="dxa"/>
          </w:tcPr>
          <w:p>
            <w:pPr>
              <w:pStyle w:val="TableParagraph"/>
              <w:spacing w:line="240" w:lineRule="auto" w:before="47"/>
              <w:ind w:right="114"/>
              <w:rPr>
                <w:sz w:val="20"/>
              </w:rPr>
            </w:pPr>
            <w:r>
              <w:rPr>
                <w:sz w:val="20"/>
              </w:rPr>
              <w:t>Sep 2006</w:t>
            </w:r>
          </w:p>
        </w:tc>
        <w:tc>
          <w:tcPr>
            <w:tcW w:w="1026" w:type="dxa"/>
          </w:tcPr>
          <w:p>
            <w:pPr>
              <w:pStyle w:val="TableParagraph"/>
              <w:spacing w:line="240" w:lineRule="auto" w:before="47"/>
              <w:ind w:right="112"/>
              <w:rPr>
                <w:sz w:val="20"/>
              </w:rPr>
            </w:pPr>
            <w:r>
              <w:rPr>
                <w:sz w:val="20"/>
              </w:rPr>
              <w:t>Nov 2009</w:t>
            </w:r>
          </w:p>
        </w:tc>
        <w:tc>
          <w:tcPr>
            <w:tcW w:w="5667" w:type="dxa"/>
            <w:gridSpan w:val="5"/>
          </w:tcPr>
          <w:p>
            <w:pPr>
              <w:pStyle w:val="TableParagraph"/>
              <w:tabs>
                <w:tab w:pos="1497" w:val="left" w:leader="none"/>
                <w:tab w:pos="1941" w:val="left" w:leader="none"/>
                <w:tab w:pos="2882" w:val="left" w:leader="none"/>
                <w:tab w:pos="3912" w:val="left" w:leader="none"/>
              </w:tabs>
              <w:spacing w:line="240" w:lineRule="auto" w:before="33"/>
              <w:ind w:left="124"/>
              <w:jc w:val="left"/>
              <w:rPr>
                <w:sz w:val="20"/>
              </w:rPr>
            </w:pPr>
            <w:r>
              <w:rPr>
                <w:sz w:val="20"/>
              </w:rPr>
              <w:t>Aug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2012</w:t>
              <w:tab/>
            </w:r>
            <w:r>
              <w:rPr>
                <w:i/>
                <w:sz w:val="20"/>
              </w:rPr>
              <w:t>R</w:t>
            </w:r>
            <w:r>
              <w:rPr>
                <w:position w:val="7"/>
                <w:sz w:val="14"/>
              </w:rPr>
              <w:t>2</w:t>
              <w:tab/>
            </w:r>
            <w:r>
              <w:rPr>
                <w:spacing w:val="-5"/>
                <w:sz w:val="20"/>
              </w:rPr>
              <w:t>Vert.bev.</w:t>
              <w:tab/>
            </w:r>
            <w:r>
              <w:rPr>
                <w:sz w:val="20"/>
              </w:rPr>
              <w:t>Aug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2060</w:t>
              <w:tab/>
            </w:r>
            <w:r>
              <w:rPr>
                <w:spacing w:val="-5"/>
                <w:sz w:val="20"/>
              </w:rPr>
              <w:t>Vert.bev.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2012–2060</w:t>
            </w:r>
          </w:p>
        </w:tc>
      </w:tr>
      <w:tr>
        <w:trPr>
          <w:trHeight w:val="317" w:hRule="atLeast"/>
        </w:trPr>
        <w:tc>
          <w:tcPr>
            <w:tcW w:w="136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18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76" w:lineRule="exact"/>
              <w:ind w:right="116"/>
              <w:rPr>
                <w:sz w:val="20"/>
              </w:rPr>
            </w:pPr>
            <w:r>
              <w:rPr>
                <w:w w:val="99"/>
                <w:sz w:val="20"/>
              </w:rPr>
              <w:t>m</w:t>
            </w:r>
          </w:p>
        </w:tc>
        <w:tc>
          <w:tcPr>
            <w:tcW w:w="108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76" w:lineRule="exact"/>
              <w:ind w:right="115"/>
              <w:rPr>
                <w:sz w:val="20"/>
              </w:rPr>
            </w:pPr>
            <w:r>
              <w:rPr>
                <w:w w:val="99"/>
                <w:sz w:val="20"/>
              </w:rPr>
              <w:t>m</w:t>
            </w:r>
          </w:p>
        </w:tc>
        <w:tc>
          <w:tcPr>
            <w:tcW w:w="98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76" w:lineRule="exact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DVR90</w:t>
            </w:r>
          </w:p>
        </w:tc>
        <w:tc>
          <w:tcPr>
            <w:tcW w:w="102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76" w:lineRule="exact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DVR90</w:t>
            </w:r>
          </w:p>
        </w:tc>
        <w:tc>
          <w:tcPr>
            <w:tcW w:w="95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76" w:lineRule="exact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DVR90</w:t>
            </w:r>
          </w:p>
        </w:tc>
        <w:tc>
          <w:tcPr>
            <w:tcW w:w="945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93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76" w:lineRule="exact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mm/år</w:t>
            </w:r>
          </w:p>
        </w:tc>
        <w:tc>
          <w:tcPr>
            <w:tcW w:w="150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76" w:lineRule="exact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DVR90</w:t>
            </w:r>
          </w:p>
        </w:tc>
        <w:tc>
          <w:tcPr>
            <w:tcW w:w="131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76" w:lineRule="exact"/>
              <w:ind w:right="104"/>
              <w:rPr>
                <w:sz w:val="20"/>
              </w:rPr>
            </w:pPr>
            <w:r>
              <w:rPr>
                <w:w w:val="99"/>
                <w:sz w:val="20"/>
              </w:rPr>
              <w:t>m</w:t>
            </w:r>
          </w:p>
        </w:tc>
      </w:tr>
      <w:tr>
        <w:trPr>
          <w:trHeight w:val="460" w:hRule="atLeast"/>
        </w:trPr>
        <w:tc>
          <w:tcPr>
            <w:tcW w:w="136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0" w:lineRule="auto"/>
              <w:jc w:val="left"/>
              <w:rPr>
                <w:i/>
                <w:sz w:val="19"/>
              </w:rPr>
            </w:pPr>
          </w:p>
          <w:p>
            <w:pPr>
              <w:pStyle w:val="TableParagraph"/>
              <w:spacing w:line="222" w:lineRule="exact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72-01-09091</w:t>
            </w:r>
          </w:p>
        </w:tc>
        <w:tc>
          <w:tcPr>
            <w:tcW w:w="118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0" w:lineRule="auto"/>
              <w:jc w:val="left"/>
              <w:rPr>
                <w:i/>
                <w:sz w:val="19"/>
              </w:rPr>
            </w:pPr>
          </w:p>
          <w:p>
            <w:pPr>
              <w:pStyle w:val="TableParagraph"/>
              <w:spacing w:line="222" w:lineRule="exact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6284331,00</w:t>
            </w:r>
          </w:p>
        </w:tc>
        <w:tc>
          <w:tcPr>
            <w:tcW w:w="108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0" w:lineRule="auto"/>
              <w:jc w:val="left"/>
              <w:rPr>
                <w:i/>
                <w:sz w:val="19"/>
              </w:rPr>
            </w:pPr>
          </w:p>
          <w:p>
            <w:pPr>
              <w:pStyle w:val="TableParagraph"/>
              <w:spacing w:line="222" w:lineRule="exact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451551,00</w:t>
            </w:r>
          </w:p>
        </w:tc>
        <w:tc>
          <w:tcPr>
            <w:tcW w:w="98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0" w:lineRule="auto"/>
              <w:jc w:val="left"/>
              <w:rPr>
                <w:i/>
                <w:sz w:val="19"/>
              </w:rPr>
            </w:pPr>
          </w:p>
          <w:p>
            <w:pPr>
              <w:pStyle w:val="TableParagraph"/>
              <w:spacing w:line="222" w:lineRule="exact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1,761</w:t>
            </w:r>
          </w:p>
        </w:tc>
        <w:tc>
          <w:tcPr>
            <w:tcW w:w="102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0" w:lineRule="auto"/>
              <w:jc w:val="left"/>
              <w:rPr>
                <w:i/>
                <w:sz w:val="19"/>
              </w:rPr>
            </w:pPr>
          </w:p>
          <w:p>
            <w:pPr>
              <w:pStyle w:val="TableParagraph"/>
              <w:spacing w:line="222" w:lineRule="exact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1,751</w:t>
            </w:r>
          </w:p>
        </w:tc>
        <w:tc>
          <w:tcPr>
            <w:tcW w:w="95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0" w:lineRule="auto"/>
              <w:jc w:val="left"/>
              <w:rPr>
                <w:i/>
                <w:sz w:val="19"/>
              </w:rPr>
            </w:pPr>
          </w:p>
          <w:p>
            <w:pPr>
              <w:pStyle w:val="TableParagraph"/>
              <w:spacing w:line="222" w:lineRule="exact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1,741</w:t>
            </w:r>
          </w:p>
        </w:tc>
        <w:tc>
          <w:tcPr>
            <w:tcW w:w="945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0" w:lineRule="auto"/>
              <w:jc w:val="left"/>
              <w:rPr>
                <w:i/>
                <w:sz w:val="19"/>
              </w:rPr>
            </w:pPr>
          </w:p>
          <w:p>
            <w:pPr>
              <w:pStyle w:val="TableParagraph"/>
              <w:spacing w:line="222" w:lineRule="exact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0,9994</w:t>
            </w:r>
          </w:p>
        </w:tc>
        <w:tc>
          <w:tcPr>
            <w:tcW w:w="938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0" w:lineRule="auto"/>
              <w:jc w:val="left"/>
              <w:rPr>
                <w:i/>
                <w:sz w:val="19"/>
              </w:rPr>
            </w:pPr>
          </w:p>
          <w:p>
            <w:pPr>
              <w:pStyle w:val="TableParagraph"/>
              <w:spacing w:line="222" w:lineRule="exact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-3,4</w:t>
            </w:r>
          </w:p>
        </w:tc>
        <w:tc>
          <w:tcPr>
            <w:tcW w:w="1506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0" w:lineRule="auto"/>
              <w:jc w:val="left"/>
              <w:rPr>
                <w:i/>
                <w:sz w:val="19"/>
              </w:rPr>
            </w:pPr>
          </w:p>
          <w:p>
            <w:pPr>
              <w:pStyle w:val="TableParagraph"/>
              <w:spacing w:line="222" w:lineRule="exact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1,576</w:t>
            </w:r>
          </w:p>
        </w:tc>
        <w:tc>
          <w:tcPr>
            <w:tcW w:w="131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40" w:lineRule="auto"/>
              <w:jc w:val="left"/>
              <w:rPr>
                <w:i/>
                <w:sz w:val="19"/>
              </w:rPr>
            </w:pPr>
          </w:p>
          <w:p>
            <w:pPr>
              <w:pStyle w:val="TableParagraph"/>
              <w:spacing w:line="222" w:lineRule="exact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-0,165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72-01-09072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6284293,08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452564,28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1,867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1,859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1,854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0,9882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-2,3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1,746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-0,108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72-01-00824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6284248,36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451919,46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2,944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2,933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2,919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0,9914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-4,3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2,713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-0,206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72-01-09113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6284228,50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452263,22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2,291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2,280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2,259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0,9597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-5,5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1,996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-0,263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72-01-09109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6284228,41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451533,91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1,895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1,885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1,873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0,9942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-3,8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1,692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-0,181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72-01-09081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6284176,00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452067,00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1,718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1,711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1,701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0,9844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-2,9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1,561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-0,140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72-01-09090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6284106,00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451731,00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1,824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1,815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1,803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0,9888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-3,6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1,630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-0,173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72-01-09079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6284076,00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452346,00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1,956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1,949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1,936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0,9624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-3,4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1,772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-0,164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72-01-09105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6284035,01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451486,29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1,991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1,981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1,968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0,9903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-3,9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1,779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-0,189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72-01-09082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6283957,00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452119,00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1,573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1,565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1,549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0,9550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-4,1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1,352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-0,197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72-01-09107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6283954,88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451219,56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1,781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1,774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1,770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0,9825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-1,9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1,679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-0,091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72-01-09080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6283910,00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452277,00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1,619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1,610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1,596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0,9781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-3,9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1,407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-0,189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72-01-09104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6283907,25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451678,50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1,776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1,765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1,751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0,9914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-4,3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1,545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-0,206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72-01-09102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6283796,12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451974,37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1,984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1,971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1,951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0,9790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-5,7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1,679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-0,272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72-01-09064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6283758,82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452101,87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1,898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1,880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1,858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0,9934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-6,9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1,528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-0,330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72-01-09083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6283755,64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452405,69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2,008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2,004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1,998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0,9809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-1,7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1,916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-0,082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72-01-09106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6283736,87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451254,25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1,686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1,678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1,669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0,9967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-2,9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1,529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-0,140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72-01-09103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6283710,97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451691,49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1,929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1,918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1,904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0,9914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-4,3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1,698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-0,206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72-01-09100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6283697,98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452192,29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2,013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2,001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1,983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0,9809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-5,1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1,736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-0,247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72-01-09101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6283607,06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451987,35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1,715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1,703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1,685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0,9809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-5,1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1,438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-0,247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72-01-09084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6283604,37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452451,43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2,025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2,021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2,016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0,9923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-1,5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1,942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-0,074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left="97" w:right="97"/>
              <w:jc w:val="center"/>
              <w:rPr>
                <w:sz w:val="20"/>
              </w:rPr>
            </w:pPr>
            <w:r>
              <w:rPr>
                <w:sz w:val="20"/>
              </w:rPr>
              <w:t>125-05-09109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6283573,87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451215,23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1,278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1,271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1,266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0,9948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-2,1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1,167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-0,099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left="97" w:right="97"/>
              <w:jc w:val="center"/>
              <w:rPr>
                <w:sz w:val="20"/>
              </w:rPr>
            </w:pPr>
            <w:r>
              <w:rPr>
                <w:sz w:val="20"/>
              </w:rPr>
              <w:t>125-05-09086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6283509,50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451630,52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1,949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1,939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1,925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0,9858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-4,1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1,727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-0,198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72-01-09086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6283482,42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452444,39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1,829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1,818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1,801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0,9786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-4,8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1,571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-0,230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72-01-09085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6283450,76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452320,09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1,830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1,819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1,799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0,9644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-5,3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1,544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-0,255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left="97" w:right="97"/>
              <w:jc w:val="center"/>
              <w:rPr>
                <w:sz w:val="20"/>
              </w:rPr>
            </w:pPr>
            <w:r>
              <w:rPr>
                <w:sz w:val="20"/>
              </w:rPr>
              <w:t>125-05-09107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6283420,88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452059,52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1,553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1,542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1,525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0,9786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-4,8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1,295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-0,230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left="97" w:right="97"/>
              <w:jc w:val="center"/>
              <w:rPr>
                <w:sz w:val="20"/>
              </w:rPr>
            </w:pPr>
            <w:r>
              <w:rPr>
                <w:sz w:val="20"/>
              </w:rPr>
              <w:t>125-05-09108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6283403,56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451824,27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1,741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1,730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1,712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0,9740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-5,0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1,473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-0,239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left="97" w:right="97"/>
              <w:jc w:val="center"/>
              <w:rPr>
                <w:sz w:val="20"/>
              </w:rPr>
            </w:pPr>
            <w:r>
              <w:rPr>
                <w:sz w:val="20"/>
              </w:rPr>
              <w:t>125-05-09106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6283249,14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452026,32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1,901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1,889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1,871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0,9809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-5,1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1,624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-0,247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left="97" w:right="97"/>
              <w:jc w:val="center"/>
              <w:rPr>
                <w:sz w:val="20"/>
              </w:rPr>
            </w:pPr>
            <w:r>
              <w:rPr>
                <w:sz w:val="20"/>
              </w:rPr>
              <w:t>125-05-09085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6283100,25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452172,28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1,908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1,891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1,871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0,9951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-6,4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1,566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-0,305</w:t>
            </w:r>
          </w:p>
        </w:tc>
      </w:tr>
      <w:tr>
        <w:trPr>
          <w:trHeight w:val="239" w:hRule="atLeast"/>
        </w:trPr>
        <w:tc>
          <w:tcPr>
            <w:tcW w:w="1368" w:type="dxa"/>
          </w:tcPr>
          <w:p>
            <w:pPr>
              <w:pStyle w:val="TableParagraph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72-01-09087</w:t>
            </w:r>
          </w:p>
        </w:tc>
        <w:tc>
          <w:tcPr>
            <w:tcW w:w="1185" w:type="dxa"/>
          </w:tcPr>
          <w:p>
            <w:pPr>
              <w:pStyle w:val="TableParagraph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6283089,00</w:t>
            </w:r>
          </w:p>
        </w:tc>
        <w:tc>
          <w:tcPr>
            <w:tcW w:w="1085" w:type="dxa"/>
          </w:tcPr>
          <w:p>
            <w:pPr>
              <w:pStyle w:val="TableParagraph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452486,00</w:t>
            </w:r>
          </w:p>
        </w:tc>
        <w:tc>
          <w:tcPr>
            <w:tcW w:w="985" w:type="dxa"/>
          </w:tcPr>
          <w:p>
            <w:pPr>
              <w:pStyle w:val="TableParagraph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1,437</w:t>
            </w:r>
          </w:p>
        </w:tc>
        <w:tc>
          <w:tcPr>
            <w:tcW w:w="1026" w:type="dxa"/>
          </w:tcPr>
          <w:p>
            <w:pPr>
              <w:pStyle w:val="TableParagraph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1,422</w:t>
            </w:r>
          </w:p>
        </w:tc>
        <w:tc>
          <w:tcPr>
            <w:tcW w:w="959" w:type="dxa"/>
          </w:tcPr>
          <w:p>
            <w:pPr>
              <w:pStyle w:val="TableParagraph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1,399</w:t>
            </w:r>
          </w:p>
        </w:tc>
        <w:tc>
          <w:tcPr>
            <w:tcW w:w="945" w:type="dxa"/>
          </w:tcPr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0,9792</w:t>
            </w:r>
          </w:p>
        </w:tc>
        <w:tc>
          <w:tcPr>
            <w:tcW w:w="938" w:type="dxa"/>
          </w:tcPr>
          <w:p>
            <w:pPr>
              <w:pStyle w:val="TableParagraph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-6,5</w:t>
            </w:r>
          </w:p>
        </w:tc>
        <w:tc>
          <w:tcPr>
            <w:tcW w:w="1506" w:type="dxa"/>
          </w:tcPr>
          <w:p>
            <w:pPr>
              <w:pStyle w:val="TableParagraph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1,086</w:t>
            </w:r>
          </w:p>
        </w:tc>
        <w:tc>
          <w:tcPr>
            <w:tcW w:w="1319" w:type="dxa"/>
          </w:tcPr>
          <w:p>
            <w:pPr>
              <w:pStyle w:val="TableParagraph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-0,313</w:t>
            </w:r>
          </w:p>
        </w:tc>
      </w:tr>
      <w:tr>
        <w:trPr>
          <w:trHeight w:val="289" w:hRule="atLeast"/>
        </w:trPr>
        <w:tc>
          <w:tcPr>
            <w:tcW w:w="1368" w:type="dxa"/>
          </w:tcPr>
          <w:p>
            <w:pPr>
              <w:pStyle w:val="TableParagraph"/>
              <w:spacing w:line="227" w:lineRule="exact"/>
              <w:ind w:right="97"/>
              <w:jc w:val="center"/>
              <w:rPr>
                <w:sz w:val="20"/>
              </w:rPr>
            </w:pPr>
            <w:r>
              <w:rPr>
                <w:sz w:val="20"/>
              </w:rPr>
              <w:t>72-01-09067</w:t>
            </w:r>
          </w:p>
        </w:tc>
        <w:tc>
          <w:tcPr>
            <w:tcW w:w="1185" w:type="dxa"/>
          </w:tcPr>
          <w:p>
            <w:pPr>
              <w:pStyle w:val="TableParagraph"/>
              <w:spacing w:line="227" w:lineRule="exact"/>
              <w:ind w:right="116"/>
              <w:rPr>
                <w:sz w:val="20"/>
              </w:rPr>
            </w:pPr>
            <w:r>
              <w:rPr>
                <w:w w:val="95"/>
                <w:sz w:val="20"/>
              </w:rPr>
              <w:t>6282747,70</w:t>
            </w:r>
          </w:p>
        </w:tc>
        <w:tc>
          <w:tcPr>
            <w:tcW w:w="1085" w:type="dxa"/>
          </w:tcPr>
          <w:p>
            <w:pPr>
              <w:pStyle w:val="TableParagraph"/>
              <w:spacing w:line="227" w:lineRule="exact"/>
              <w:ind w:right="115"/>
              <w:rPr>
                <w:sz w:val="20"/>
              </w:rPr>
            </w:pPr>
            <w:r>
              <w:rPr>
                <w:w w:val="95"/>
                <w:sz w:val="20"/>
              </w:rPr>
              <w:t>452357,63</w:t>
            </w:r>
          </w:p>
        </w:tc>
        <w:tc>
          <w:tcPr>
            <w:tcW w:w="985" w:type="dxa"/>
          </w:tcPr>
          <w:p>
            <w:pPr>
              <w:pStyle w:val="TableParagraph"/>
              <w:spacing w:line="227" w:lineRule="exact"/>
              <w:ind w:right="114"/>
              <w:rPr>
                <w:sz w:val="20"/>
              </w:rPr>
            </w:pPr>
            <w:r>
              <w:rPr>
                <w:w w:val="95"/>
                <w:sz w:val="20"/>
              </w:rPr>
              <w:t>2,275</w:t>
            </w:r>
          </w:p>
        </w:tc>
        <w:tc>
          <w:tcPr>
            <w:tcW w:w="1026" w:type="dxa"/>
          </w:tcPr>
          <w:p>
            <w:pPr>
              <w:pStyle w:val="TableParagraph"/>
              <w:spacing w:line="227" w:lineRule="exact"/>
              <w:ind w:right="112"/>
              <w:rPr>
                <w:sz w:val="20"/>
              </w:rPr>
            </w:pPr>
            <w:r>
              <w:rPr>
                <w:w w:val="95"/>
                <w:sz w:val="20"/>
              </w:rPr>
              <w:t>2,264</w:t>
            </w:r>
          </w:p>
        </w:tc>
        <w:tc>
          <w:tcPr>
            <w:tcW w:w="959" w:type="dxa"/>
          </w:tcPr>
          <w:p>
            <w:pPr>
              <w:pStyle w:val="TableParagraph"/>
              <w:spacing w:line="227" w:lineRule="exact"/>
              <w:ind w:right="41"/>
              <w:rPr>
                <w:sz w:val="20"/>
              </w:rPr>
            </w:pPr>
            <w:r>
              <w:rPr>
                <w:w w:val="95"/>
                <w:sz w:val="20"/>
              </w:rPr>
              <w:t>2,251</w:t>
            </w:r>
          </w:p>
        </w:tc>
        <w:tc>
          <w:tcPr>
            <w:tcW w:w="945" w:type="dxa"/>
          </w:tcPr>
          <w:p>
            <w:pPr>
              <w:pStyle w:val="TableParagraph"/>
              <w:spacing w:line="227" w:lineRule="exact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t>0,9949</w:t>
            </w:r>
          </w:p>
        </w:tc>
        <w:tc>
          <w:tcPr>
            <w:tcW w:w="938" w:type="dxa"/>
          </w:tcPr>
          <w:p>
            <w:pPr>
              <w:pStyle w:val="TableParagraph"/>
              <w:spacing w:line="227" w:lineRule="exact"/>
              <w:ind w:right="196"/>
              <w:rPr>
                <w:sz w:val="20"/>
              </w:rPr>
            </w:pPr>
            <w:r>
              <w:rPr>
                <w:w w:val="95"/>
                <w:sz w:val="20"/>
              </w:rPr>
              <w:t>-4,1</w:t>
            </w:r>
          </w:p>
        </w:tc>
        <w:tc>
          <w:tcPr>
            <w:tcW w:w="1506" w:type="dxa"/>
          </w:tcPr>
          <w:p>
            <w:pPr>
              <w:pStyle w:val="TableParagraph"/>
              <w:spacing w:line="227" w:lineRule="exact"/>
              <w:ind w:right="672"/>
              <w:rPr>
                <w:sz w:val="20"/>
              </w:rPr>
            </w:pPr>
            <w:r>
              <w:rPr>
                <w:w w:val="95"/>
                <w:sz w:val="20"/>
              </w:rPr>
              <w:t>2,053</w:t>
            </w:r>
          </w:p>
        </w:tc>
        <w:tc>
          <w:tcPr>
            <w:tcW w:w="1319" w:type="dxa"/>
          </w:tcPr>
          <w:p>
            <w:pPr>
              <w:pStyle w:val="TableParagraph"/>
              <w:spacing w:line="227" w:lineRule="exact"/>
              <w:ind w:right="104"/>
              <w:rPr>
                <w:sz w:val="20"/>
              </w:rPr>
            </w:pPr>
            <w:r>
              <w:rPr>
                <w:w w:val="95"/>
                <w:sz w:val="20"/>
              </w:rPr>
              <w:t>-0,198</w:t>
            </w:r>
          </w:p>
        </w:tc>
      </w:tr>
    </w:tbl>
    <w:p>
      <w:pPr>
        <w:spacing w:after="0" w:line="227" w:lineRule="exact"/>
        <w:rPr>
          <w:sz w:val="20"/>
        </w:rPr>
        <w:sectPr>
          <w:footerReference w:type="default" r:id="rId59"/>
          <w:pgSz w:w="16840" w:h="11910" w:orient="landscape"/>
          <w:pgMar w:footer="1528" w:header="0" w:top="1040" w:bottom="1720" w:left="2420" w:right="2420"/>
        </w:sectPr>
      </w:pPr>
    </w:p>
    <w:p>
      <w:pPr>
        <w:spacing w:before="69"/>
        <w:ind w:left="4480" w:right="4480" w:firstLine="0"/>
        <w:jc w:val="center"/>
        <w:rPr>
          <w:i/>
          <w:sz w:val="20"/>
        </w:rPr>
      </w:pPr>
      <w:r>
        <w:rPr/>
        <w:pict>
          <v:shape style="position:absolute;margin-left:22.67037pt;margin-top:290.52301pt;width:15.65pt;height:14.25pt;mso-position-horizontal-relative:page;mso-position-vertical-relative:page;z-index:1696" type="#_x0000_t202" filled="false" stroked="false">
            <v:textbox inset="0,0,0,0" style="layout-flow:vertical">
              <w:txbxContent>
                <w:p>
                  <w:pPr>
                    <w:spacing w:before="23"/>
                    <w:ind w:left="20" w:right="0" w:firstLine="0"/>
                    <w:jc w:val="left"/>
                    <w:rPr>
                      <w:rFonts w:ascii="Arial"/>
                      <w:sz w:val="22"/>
                    </w:rPr>
                  </w:pPr>
                  <w:r>
                    <w:rPr>
                      <w:rFonts w:ascii="Arial"/>
                      <w:sz w:val="22"/>
                    </w:rPr>
                    <w:t>42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t>Tabel 5 – </w:t>
      </w:r>
      <w:r>
        <w:rPr>
          <w:i/>
          <w:sz w:val="20"/>
        </w:rPr>
        <w:t>Fortsat fra foregående side</w:t>
      </w:r>
    </w:p>
    <w:p>
      <w:pPr>
        <w:pStyle w:val="BodyText"/>
        <w:spacing w:before="10"/>
        <w:rPr>
          <w:i/>
          <w:sz w:val="19"/>
        </w:rPr>
      </w:pPr>
      <w:r>
        <w:rPr/>
        <w:pict>
          <v:group style="position:absolute;margin-left:137.716995pt;margin-top:13.378976pt;width:566.5pt;height:.4pt;mso-position-horizontal-relative:page;mso-position-vertical-relative:paragraph;z-index:-424;mso-wrap-distance-left:0;mso-wrap-distance-right:0" coordorigin="2754,268" coordsize="11330,8">
            <v:line style="position:absolute" from="2754,272" to="14083,272" stroked="true" strokeweight=".398pt" strokecolor="#000000">
              <v:stroke dashstyle="solid"/>
            </v:line>
            <v:line style="position:absolute" from="2754,272" to="14083,272" stroked="true" strokeweight=".398pt" strokecolor="#000000">
              <v:stroke dashstyle="solid"/>
            </v:line>
            <w10:wrap type="topAndBottom"/>
          </v:group>
        </w:pict>
      </w:r>
    </w:p>
    <w:p>
      <w:pPr>
        <w:pStyle w:val="BodyText"/>
        <w:spacing w:before="3"/>
        <w:rPr>
          <w:i/>
          <w:sz w:val="6"/>
        </w:rPr>
      </w:pPr>
    </w:p>
    <w:p>
      <w:pPr>
        <w:tabs>
          <w:tab w:pos="2049" w:val="left" w:leader="none"/>
          <w:tab w:pos="3256" w:val="left" w:leader="none"/>
          <w:tab w:pos="3699" w:val="left" w:leader="none"/>
          <w:tab w:pos="4093" w:val="left" w:leader="none"/>
          <w:tab w:pos="4228" w:val="left" w:leader="none"/>
          <w:tab w:pos="5079" w:val="left" w:leader="none"/>
          <w:tab w:pos="5256" w:val="left" w:leader="none"/>
          <w:tab w:pos="6107" w:val="left" w:leader="none"/>
          <w:tab w:pos="6286" w:val="left" w:leader="none"/>
          <w:tab w:pos="7480" w:val="left" w:leader="none"/>
          <w:tab w:pos="7924" w:val="left" w:leader="none"/>
          <w:tab w:pos="8106" w:val="left" w:leader="none"/>
          <w:tab w:pos="8865" w:val="left" w:leader="none"/>
          <w:tab w:pos="9044" w:val="left" w:leader="none"/>
          <w:tab w:pos="9895" w:val="left" w:leader="none"/>
          <w:tab w:pos="11388" w:val="left" w:leader="none"/>
        </w:tabs>
        <w:spacing w:line="249" w:lineRule="auto" w:before="108"/>
        <w:ind w:left="2613" w:right="451" w:hanging="2160"/>
        <w:jc w:val="left"/>
        <w:rPr>
          <w:sz w:val="20"/>
        </w:rPr>
      </w:pPr>
      <w:r>
        <w:rPr/>
        <w:pict>
          <v:group style="position:absolute;margin-left:137.716995pt;margin-top:36.646145pt;width:566.5pt;height:.4pt;mso-position-horizontal-relative:page;mso-position-vertical-relative:paragraph;z-index:-400;mso-wrap-distance-left:0;mso-wrap-distance-right:0" coordorigin="2754,733" coordsize="11330,8">
            <v:line style="position:absolute" from="2754,737" to="14083,737" stroked="true" strokeweight=".398pt" strokecolor="#000000">
              <v:stroke dashstyle="solid"/>
            </v:line>
            <v:line style="position:absolute" from="2754,737" to="14083,737" stroked="true" strokeweight=".398pt" strokecolor="#000000">
              <v:stroke dashstyle="solid"/>
            </v:line>
            <w10:wrap type="topAndBottom"/>
          </v:group>
        </w:pict>
      </w:r>
      <w:r>
        <w:rPr>
          <w:sz w:val="20"/>
        </w:rPr>
        <w:t>Punktnummer</w:t>
        <w:tab/>
        <w:t>Northing</w:t>
        <w:tab/>
        <w:t>Easting</w:t>
        <w:tab/>
        <w:t>Sep</w:t>
      </w:r>
      <w:r>
        <w:rPr>
          <w:spacing w:val="-2"/>
          <w:sz w:val="20"/>
        </w:rPr>
        <w:t> </w:t>
      </w:r>
      <w:r>
        <w:rPr>
          <w:sz w:val="20"/>
        </w:rPr>
        <w:t>2006</w:t>
        <w:tab/>
        <w:t>Nov</w:t>
      </w:r>
      <w:r>
        <w:rPr>
          <w:spacing w:val="-3"/>
          <w:sz w:val="20"/>
        </w:rPr>
        <w:t> </w:t>
      </w:r>
      <w:r>
        <w:rPr>
          <w:sz w:val="20"/>
        </w:rPr>
        <w:t>2009</w:t>
        <w:tab/>
        <w:t>Aug</w:t>
      </w:r>
      <w:r>
        <w:rPr>
          <w:spacing w:val="-2"/>
          <w:sz w:val="20"/>
        </w:rPr>
        <w:t> </w:t>
      </w:r>
      <w:r>
        <w:rPr>
          <w:sz w:val="20"/>
        </w:rPr>
        <w:t>2012</w:t>
        <w:tab/>
      </w:r>
      <w:r>
        <w:rPr>
          <w:i/>
          <w:sz w:val="20"/>
        </w:rPr>
        <w:t>R</w:t>
      </w:r>
      <w:r>
        <w:rPr>
          <w:position w:val="7"/>
          <w:sz w:val="14"/>
        </w:rPr>
        <w:t>2</w:t>
        <w:tab/>
      </w:r>
      <w:r>
        <w:rPr>
          <w:spacing w:val="-5"/>
          <w:sz w:val="20"/>
        </w:rPr>
        <w:t>Vert.bev.</w:t>
        <w:tab/>
      </w:r>
      <w:r>
        <w:rPr>
          <w:sz w:val="20"/>
        </w:rPr>
        <w:t>Aug</w:t>
      </w:r>
      <w:r>
        <w:rPr>
          <w:spacing w:val="-1"/>
          <w:sz w:val="20"/>
        </w:rPr>
        <w:t> </w:t>
      </w:r>
      <w:r>
        <w:rPr>
          <w:sz w:val="20"/>
        </w:rPr>
        <w:t>2060</w:t>
        <w:tab/>
      </w:r>
      <w:r>
        <w:rPr>
          <w:spacing w:val="-5"/>
          <w:sz w:val="20"/>
        </w:rPr>
        <w:t>Vert.bev. </w:t>
      </w:r>
      <w:r>
        <w:rPr>
          <w:sz w:val="20"/>
        </w:rPr>
        <w:t>2012–2060 m</w:t>
        <w:tab/>
        <w:tab/>
        <w:t>m</w:t>
        <w:tab/>
        <w:tab/>
        <w:t>DVR90</w:t>
        <w:tab/>
        <w:tab/>
        <w:t>DVR90</w:t>
        <w:tab/>
        <w:tab/>
        <w:t>DVR90</w:t>
        <w:tab/>
        <w:tab/>
        <w:tab/>
        <w:t>mm/år</w:t>
        <w:tab/>
        <w:tab/>
        <w:t>DVR90</w:t>
        <w:tab/>
        <w:tab/>
      </w:r>
      <w:r>
        <w:rPr>
          <w:spacing w:val="-17"/>
          <w:sz w:val="20"/>
        </w:rPr>
        <w:t>m</w:t>
      </w:r>
    </w:p>
    <w:p>
      <w:pPr>
        <w:pStyle w:val="BodyText"/>
        <w:spacing w:before="5"/>
        <w:rPr>
          <w:sz w:val="12"/>
        </w:rPr>
      </w:pPr>
    </w:p>
    <w:tbl>
      <w:tblPr>
        <w:tblW w:w="0" w:type="auto"/>
        <w:jc w:val="left"/>
        <w:tblInd w:w="41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20"/>
        <w:gridCol w:w="1007"/>
        <w:gridCol w:w="1029"/>
        <w:gridCol w:w="1839"/>
        <w:gridCol w:w="919"/>
        <w:gridCol w:w="1425"/>
        <w:gridCol w:w="1250"/>
      </w:tblGrid>
      <w:tr>
        <w:trPr>
          <w:trHeight w:val="289" w:hRule="atLeast"/>
        </w:trPr>
        <w:tc>
          <w:tcPr>
            <w:tcW w:w="3720" w:type="dxa"/>
          </w:tcPr>
          <w:p>
            <w:pPr>
              <w:pStyle w:val="TableParagraph"/>
              <w:tabs>
                <w:tab w:pos="1418" w:val="left" w:leader="none"/>
                <w:tab w:pos="2603" w:val="left" w:leader="none"/>
              </w:tabs>
              <w:spacing w:line="222" w:lineRule="exact" w:before="47"/>
              <w:ind w:left="50"/>
              <w:jc w:val="left"/>
              <w:rPr>
                <w:sz w:val="20"/>
              </w:rPr>
            </w:pPr>
            <w:r>
              <w:rPr>
                <w:sz w:val="20"/>
              </w:rPr>
              <w:t>125-05-00807</w:t>
              <w:tab/>
              <w:t>6281302,42</w:t>
              <w:tab/>
              <w:t>451878,61</w:t>
            </w:r>
          </w:p>
        </w:tc>
        <w:tc>
          <w:tcPr>
            <w:tcW w:w="1007" w:type="dxa"/>
          </w:tcPr>
          <w:p>
            <w:pPr>
              <w:pStyle w:val="TableParagraph"/>
              <w:spacing w:line="222" w:lineRule="exact" w:before="47"/>
              <w:ind w:left="249" w:right="268"/>
              <w:jc w:val="center"/>
              <w:rPr>
                <w:sz w:val="20"/>
              </w:rPr>
            </w:pPr>
            <w:r>
              <w:rPr>
                <w:sz w:val="20"/>
              </w:rPr>
              <w:t>3,157</w:t>
            </w:r>
          </w:p>
        </w:tc>
        <w:tc>
          <w:tcPr>
            <w:tcW w:w="1029" w:type="dxa"/>
          </w:tcPr>
          <w:p>
            <w:pPr>
              <w:pStyle w:val="TableParagraph"/>
              <w:spacing w:line="222" w:lineRule="exact" w:before="47"/>
              <w:ind w:right="289"/>
              <w:rPr>
                <w:sz w:val="20"/>
              </w:rPr>
            </w:pPr>
            <w:r>
              <w:rPr>
                <w:w w:val="95"/>
                <w:sz w:val="20"/>
              </w:rPr>
              <w:t>3,155</w:t>
            </w:r>
          </w:p>
        </w:tc>
        <w:tc>
          <w:tcPr>
            <w:tcW w:w="1839" w:type="dxa"/>
          </w:tcPr>
          <w:p>
            <w:pPr>
              <w:pStyle w:val="TableParagraph"/>
              <w:tabs>
                <w:tab w:pos="687" w:val="left" w:leader="none"/>
              </w:tabs>
              <w:spacing w:line="222" w:lineRule="exact" w:before="47"/>
              <w:ind w:right="20"/>
              <w:jc w:val="center"/>
              <w:rPr>
                <w:sz w:val="20"/>
              </w:rPr>
            </w:pPr>
            <w:r>
              <w:rPr>
                <w:sz w:val="20"/>
              </w:rPr>
              <w:t>3,151</w:t>
              <w:tab/>
              <w:t>0,9550</w:t>
            </w:r>
          </w:p>
        </w:tc>
        <w:tc>
          <w:tcPr>
            <w:tcW w:w="919" w:type="dxa"/>
          </w:tcPr>
          <w:p>
            <w:pPr>
              <w:pStyle w:val="TableParagraph"/>
              <w:spacing w:line="222" w:lineRule="exact" w:before="47"/>
              <w:ind w:left="291" w:right="271"/>
              <w:jc w:val="center"/>
              <w:rPr>
                <w:sz w:val="20"/>
              </w:rPr>
            </w:pPr>
            <w:r>
              <w:rPr>
                <w:sz w:val="20"/>
              </w:rPr>
              <w:t>-1,0</w:t>
            </w:r>
          </w:p>
        </w:tc>
        <w:tc>
          <w:tcPr>
            <w:tcW w:w="1425" w:type="dxa"/>
          </w:tcPr>
          <w:p>
            <w:pPr>
              <w:pStyle w:val="TableParagraph"/>
              <w:spacing w:line="222" w:lineRule="exact" w:before="47"/>
              <w:ind w:left="290"/>
              <w:jc w:val="left"/>
              <w:rPr>
                <w:sz w:val="20"/>
              </w:rPr>
            </w:pPr>
            <w:r>
              <w:rPr>
                <w:sz w:val="20"/>
              </w:rPr>
              <w:t>3,102</w:t>
            </w:r>
          </w:p>
        </w:tc>
        <w:tc>
          <w:tcPr>
            <w:tcW w:w="1250" w:type="dxa"/>
          </w:tcPr>
          <w:p>
            <w:pPr>
              <w:pStyle w:val="TableParagraph"/>
              <w:spacing w:line="222" w:lineRule="exact" w:before="47"/>
              <w:ind w:right="47"/>
              <w:rPr>
                <w:sz w:val="20"/>
              </w:rPr>
            </w:pPr>
            <w:r>
              <w:rPr>
                <w:w w:val="95"/>
                <w:sz w:val="20"/>
              </w:rPr>
              <w:t>-0,049</w:t>
            </w:r>
          </w:p>
        </w:tc>
      </w:tr>
      <w:tr>
        <w:trPr>
          <w:trHeight w:val="289" w:hRule="atLeast"/>
        </w:trPr>
        <w:tc>
          <w:tcPr>
            <w:tcW w:w="3720" w:type="dxa"/>
          </w:tcPr>
          <w:p>
            <w:pPr>
              <w:pStyle w:val="TableParagraph"/>
              <w:tabs>
                <w:tab w:pos="1418" w:val="left" w:leader="none"/>
                <w:tab w:pos="2603" w:val="left" w:leader="none"/>
              </w:tabs>
              <w:spacing w:line="227" w:lineRule="exact"/>
              <w:ind w:left="50"/>
              <w:jc w:val="left"/>
              <w:rPr>
                <w:sz w:val="20"/>
              </w:rPr>
            </w:pPr>
            <w:r>
              <w:rPr>
                <w:sz w:val="20"/>
              </w:rPr>
              <w:t>125-05-00806</w:t>
              <w:tab/>
              <w:t>6280692,33</w:t>
              <w:tab/>
              <w:t>451357,90</w:t>
            </w:r>
          </w:p>
        </w:tc>
        <w:tc>
          <w:tcPr>
            <w:tcW w:w="1007" w:type="dxa"/>
          </w:tcPr>
          <w:p>
            <w:pPr>
              <w:pStyle w:val="TableParagraph"/>
              <w:spacing w:line="227" w:lineRule="exact"/>
              <w:ind w:left="249" w:right="268"/>
              <w:jc w:val="center"/>
              <w:rPr>
                <w:sz w:val="20"/>
              </w:rPr>
            </w:pPr>
            <w:r>
              <w:rPr>
                <w:sz w:val="20"/>
              </w:rPr>
              <w:t>3,290</w:t>
            </w:r>
          </w:p>
        </w:tc>
        <w:tc>
          <w:tcPr>
            <w:tcW w:w="1029" w:type="dxa"/>
          </w:tcPr>
          <w:p>
            <w:pPr>
              <w:pStyle w:val="TableParagraph"/>
              <w:spacing w:line="227" w:lineRule="exact"/>
              <w:ind w:right="289"/>
              <w:rPr>
                <w:sz w:val="20"/>
              </w:rPr>
            </w:pPr>
            <w:r>
              <w:rPr>
                <w:w w:val="95"/>
                <w:sz w:val="20"/>
              </w:rPr>
              <w:t>3,287</w:t>
            </w:r>
          </w:p>
        </w:tc>
        <w:tc>
          <w:tcPr>
            <w:tcW w:w="1839" w:type="dxa"/>
          </w:tcPr>
          <w:p>
            <w:pPr>
              <w:pStyle w:val="TableParagraph"/>
              <w:tabs>
                <w:tab w:pos="687" w:val="left" w:leader="none"/>
              </w:tabs>
              <w:spacing w:line="227" w:lineRule="exact"/>
              <w:ind w:right="20"/>
              <w:jc w:val="center"/>
              <w:rPr>
                <w:sz w:val="20"/>
              </w:rPr>
            </w:pPr>
            <w:r>
              <w:rPr>
                <w:sz w:val="20"/>
              </w:rPr>
              <w:t>3,285</w:t>
              <w:tab/>
              <w:t>0,9917</w:t>
            </w:r>
          </w:p>
        </w:tc>
        <w:tc>
          <w:tcPr>
            <w:tcW w:w="919" w:type="dxa"/>
          </w:tcPr>
          <w:p>
            <w:pPr>
              <w:pStyle w:val="TableParagraph"/>
              <w:spacing w:line="227" w:lineRule="exact"/>
              <w:ind w:left="291" w:right="271"/>
              <w:jc w:val="center"/>
              <w:rPr>
                <w:sz w:val="20"/>
              </w:rPr>
            </w:pPr>
            <w:r>
              <w:rPr>
                <w:sz w:val="20"/>
              </w:rPr>
              <w:t>-0,9</w:t>
            </w:r>
          </w:p>
        </w:tc>
        <w:tc>
          <w:tcPr>
            <w:tcW w:w="1425" w:type="dxa"/>
          </w:tcPr>
          <w:p>
            <w:pPr>
              <w:pStyle w:val="TableParagraph"/>
              <w:spacing w:line="227" w:lineRule="exact"/>
              <w:ind w:left="290"/>
              <w:jc w:val="left"/>
              <w:rPr>
                <w:sz w:val="20"/>
              </w:rPr>
            </w:pPr>
            <w:r>
              <w:rPr>
                <w:sz w:val="20"/>
              </w:rPr>
              <w:t>3,244</w:t>
            </w:r>
          </w:p>
        </w:tc>
        <w:tc>
          <w:tcPr>
            <w:tcW w:w="1250" w:type="dxa"/>
          </w:tcPr>
          <w:p>
            <w:pPr>
              <w:pStyle w:val="TableParagraph"/>
              <w:spacing w:line="227" w:lineRule="exact"/>
              <w:ind w:right="47"/>
              <w:rPr>
                <w:sz w:val="20"/>
              </w:rPr>
            </w:pPr>
            <w:r>
              <w:rPr>
                <w:w w:val="95"/>
                <w:sz w:val="20"/>
              </w:rPr>
              <w:t>-0,041</w:t>
            </w:r>
          </w:p>
        </w:tc>
      </w:tr>
    </w:tbl>
    <w:p>
      <w:pPr>
        <w:pStyle w:val="BodyText"/>
        <w:spacing w:before="4"/>
        <w:rPr>
          <w:sz w:val="14"/>
        </w:rPr>
      </w:pPr>
      <w:r>
        <w:rPr/>
        <w:pict>
          <v:group style="position:absolute;margin-left:137.716995pt;margin-top:10.242510pt;width:566.5pt;height:.4pt;mso-position-horizontal-relative:page;mso-position-vertical-relative:paragraph;z-index:-376;mso-wrap-distance-left:0;mso-wrap-distance-right:0" coordorigin="2754,205" coordsize="11330,8">
            <v:line style="position:absolute" from="2754,209" to="14083,209" stroked="true" strokeweight=".398pt" strokecolor="#000000">
              <v:stroke dashstyle="solid"/>
            </v:line>
            <v:line style="position:absolute" from="2754,209" to="14083,209" stroked="true" strokeweight=".398pt" strokecolor="#000000">
              <v:stroke dashstyle="solid"/>
            </v:line>
            <w10:wrap type="topAndBottom"/>
          </v:group>
        </w:pict>
      </w:r>
    </w:p>
    <w:p>
      <w:pPr>
        <w:spacing w:after="0"/>
        <w:rPr>
          <w:sz w:val="14"/>
        </w:rPr>
        <w:sectPr>
          <w:footerReference w:type="default" r:id="rId60"/>
          <w:pgSz w:w="16840" w:h="11910" w:orient="landscape"/>
          <w:pgMar w:footer="0" w:header="0" w:top="1040" w:bottom="280" w:left="2420" w:right="2420"/>
        </w:sect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footerReference w:type="default" r:id="rId61"/>
          <w:pgSz w:w="11910" w:h="16840"/>
          <w:pgMar w:footer="0" w:header="0" w:top="1580" w:bottom="280" w:left="0" w:right="0"/>
        </w:sectPr>
      </w:pPr>
    </w:p>
    <w:p>
      <w:pPr>
        <w:spacing w:line="1059" w:lineRule="exact" w:before="0"/>
        <w:ind w:left="0" w:right="-87" w:firstLine="0"/>
        <w:jc w:val="right"/>
        <w:rPr>
          <w:rFonts w:ascii="Arial" w:hAnsi="Arial"/>
          <w:sz w:val="138"/>
        </w:rPr>
      </w:pPr>
      <w:r>
        <w:rPr/>
        <w:pict>
          <v:shape style="position:absolute;margin-left:460.517303pt;margin-top:1.573695pt;width:37.7pt;height:7.6pt;mso-position-horizontal-relative:page;mso-position-vertical-relative:paragraph;z-index:1768" type="#_x0000_t202" filled="false" stroked="false">
            <v:textbox inset="0,0,0,0">
              <w:txbxContent>
                <w:p>
                  <w:pPr>
                    <w:tabs>
                      <w:tab w:pos="634" w:val="left" w:leader="none"/>
                    </w:tabs>
                    <w:spacing w:line="230" w:lineRule="auto" w:before="0"/>
                    <w:ind w:left="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color w:val="547E6D"/>
                      <w:w w:val="130"/>
                      <w:sz w:val="11"/>
                    </w:rPr>
                    <w:t>n.</w:t>
                    <w:tab/>
                  </w:r>
                  <w:r>
                    <w:rPr>
                      <w:rFonts w:ascii="Arial"/>
                      <w:color w:val="547E6D"/>
                      <w:spacing w:val="-10"/>
                      <w:w w:val="130"/>
                      <w:position w:val="-2"/>
                      <w:sz w:val="11"/>
                    </w:rPr>
                    <w:t>n.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47.103806pt;margin-top:31.821608pt;width:22.45pt;height:20.1pt;mso-position-horizontal-relative:page;mso-position-vertical-relative:paragraph;z-index:1792" type="#_x0000_t202" filled="false" stroked="false">
            <v:textbox inset="0,0,0,0">
              <w:txbxContent>
                <w:p>
                  <w:pPr>
                    <w:tabs>
                      <w:tab w:pos="329" w:val="left" w:leader="none"/>
                    </w:tabs>
                    <w:spacing w:line="165" w:lineRule="auto" w:before="10"/>
                    <w:ind w:left="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color w:val="547E6D"/>
                      <w:w w:val="130"/>
                      <w:sz w:val="8"/>
                    </w:rPr>
                    <w:t>A.</w:t>
                    <w:tab/>
                  </w:r>
                  <w:r>
                    <w:rPr>
                      <w:rFonts w:ascii="Arial"/>
                      <w:color w:val="547E6D"/>
                      <w:spacing w:val="-10"/>
                      <w:w w:val="130"/>
                      <w:position w:val="-5"/>
                      <w:sz w:val="11"/>
                    </w:rPr>
                    <w:t>n.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  <w:b/>
                      <w:sz w:val="15"/>
                    </w:rPr>
                  </w:pPr>
                </w:p>
                <w:p>
                  <w:pPr>
                    <w:spacing w:before="0"/>
                    <w:ind w:left="76" w:right="0" w:firstLine="0"/>
                    <w:jc w:val="left"/>
                    <w:rPr>
                      <w:sz w:val="8"/>
                    </w:rPr>
                  </w:pPr>
                  <w:r>
                    <w:rPr>
                      <w:color w:val="547E6D"/>
                      <w:w w:val="130"/>
                      <w:sz w:val="8"/>
                    </w:rPr>
                    <w:t>A.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77.636902pt;margin-top:41.938194pt;width:50.8pt;height:8.3pt;mso-position-horizontal-relative:page;mso-position-vertical-relative:paragraph;z-index:1816" type="#_x0000_t202" filled="false" stroked="false">
            <v:textbox inset="0,0,0,0">
              <w:txbxContent>
                <w:p>
                  <w:pPr>
                    <w:tabs>
                      <w:tab w:pos="897" w:val="left" w:leader="none"/>
                    </w:tabs>
                    <w:spacing w:line="230" w:lineRule="auto" w:before="0"/>
                    <w:ind w:left="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color w:val="547E6D"/>
                      <w:w w:val="130"/>
                      <w:position w:val="-4"/>
                      <w:sz w:val="8"/>
                    </w:rPr>
                    <w:t>A.</w:t>
                    <w:tab/>
                  </w:r>
                  <w:r>
                    <w:rPr>
                      <w:rFonts w:ascii="Arial"/>
                      <w:color w:val="547E6D"/>
                      <w:spacing w:val="-10"/>
                      <w:w w:val="130"/>
                      <w:sz w:val="11"/>
                    </w:rPr>
                    <w:t>n.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99.169708pt;margin-top:16.684908pt;width:14pt;height:14.05pt;mso-position-horizontal-relative:page;mso-position-vertical-relative:paragraph;z-index:1840" type="#_x0000_t202" filled="false" stroked="false">
            <v:textbox inset="0,0,0,0">
              <w:txbxContent>
                <w:p>
                  <w:pPr>
                    <w:spacing w:line="89" w:lineRule="exact" w:before="0"/>
                    <w:ind w:left="0" w:right="0" w:firstLine="0"/>
                    <w:jc w:val="left"/>
                    <w:rPr>
                      <w:sz w:val="8"/>
                    </w:rPr>
                  </w:pPr>
                  <w:r>
                    <w:rPr>
                      <w:color w:val="3D6E59"/>
                      <w:w w:val="130"/>
                      <w:sz w:val="8"/>
                    </w:rPr>
                    <w:t>- I,</w:t>
                  </w:r>
                </w:p>
                <w:p>
                  <w:pPr>
                    <w:pStyle w:val="BodyText"/>
                    <w:spacing w:before="8"/>
                    <w:rPr>
                      <w:rFonts w:ascii="Arial"/>
                      <w:b/>
                      <w:sz w:val="8"/>
                    </w:rPr>
                  </w:pPr>
                </w:p>
                <w:p>
                  <w:pPr>
                    <w:tabs>
                      <w:tab w:pos="253" w:val="left" w:leader="none"/>
                    </w:tabs>
                    <w:spacing w:before="0"/>
                    <w:ind w:left="15" w:right="0" w:firstLine="0"/>
                    <w:jc w:val="left"/>
                    <w:rPr>
                      <w:sz w:val="8"/>
                    </w:rPr>
                  </w:pPr>
                  <w:r>
                    <w:rPr>
                      <w:color w:val="3D6E59"/>
                      <w:w w:val="130"/>
                      <w:sz w:val="8"/>
                    </w:rPr>
                    <w:t>I</w:t>
                    <w:tab/>
                  </w:r>
                  <w:r>
                    <w:rPr>
                      <w:color w:val="3D6E59"/>
                      <w:spacing w:val="-20"/>
                      <w:w w:val="130"/>
                      <w:sz w:val="8"/>
                    </w:rPr>
                    <w:t>,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61.238495pt;margin-top:16.710394pt;width:5.95pt;height:6.2pt;mso-position-horizontal-relative:page;mso-position-vertical-relative:paragraph;z-index:1864" type="#_x0000_t202" filled="false" stroked="false">
            <v:textbox inset="0,0,0,0">
              <w:txbxContent>
                <w:p>
                  <w:pPr>
                    <w:spacing w:line="123" w:lineRule="exact" w:before="0"/>
                    <w:ind w:left="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color w:val="547E6D"/>
                      <w:spacing w:val="-1"/>
                      <w:w w:val="130"/>
                      <w:sz w:val="11"/>
                    </w:rPr>
                    <w:t>n.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75.1828pt;margin-top:22.716995pt;width:35.3pt;height:7.6pt;mso-position-horizontal-relative:page;mso-position-vertical-relative:paragraph;z-index:1888" type="#_x0000_t202" filled="false" stroked="false">
            <v:textbox inset="0,0,0,0">
              <w:txbxContent>
                <w:p>
                  <w:pPr>
                    <w:tabs>
                      <w:tab w:pos="586" w:val="left" w:leader="none"/>
                    </w:tabs>
                    <w:spacing w:line="230" w:lineRule="auto" w:before="0"/>
                    <w:ind w:left="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color w:val="547E6D"/>
                      <w:w w:val="130"/>
                      <w:position w:val="-2"/>
                      <w:sz w:val="11"/>
                    </w:rPr>
                    <w:t>n.</w:t>
                    <w:tab/>
                  </w:r>
                  <w:r>
                    <w:rPr>
                      <w:rFonts w:ascii="Arial"/>
                      <w:color w:val="547E6D"/>
                      <w:spacing w:val="-10"/>
                      <w:w w:val="130"/>
                      <w:sz w:val="11"/>
                    </w:rPr>
                    <w:t>n.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color w:val="547E6D"/>
          <w:sz w:val="138"/>
        </w:rPr>
        <w:t>:æ</w:t>
      </w:r>
    </w:p>
    <w:p>
      <w:pPr>
        <w:spacing w:after="0" w:line="1059" w:lineRule="exact"/>
        <w:jc w:val="right"/>
        <w:rPr>
          <w:rFonts w:ascii="Arial" w:hAnsi="Arial"/>
          <w:sz w:val="138"/>
        </w:rPr>
        <w:sectPr>
          <w:footerReference w:type="default" r:id="rId62"/>
          <w:pgSz w:w="11910" w:h="16840"/>
          <w:pgMar w:footer="0" w:header="0" w:top="0" w:bottom="0" w:left="0" w:right="0"/>
        </w:sectPr>
      </w:pPr>
    </w:p>
    <w:p>
      <w:pPr>
        <w:spacing w:before="17"/>
        <w:ind w:left="0" w:right="130" w:firstLine="0"/>
        <w:jc w:val="right"/>
        <w:rPr>
          <w:rFonts w:ascii="Arial"/>
          <w:sz w:val="14"/>
        </w:rPr>
      </w:pPr>
      <w:r>
        <w:rPr>
          <w:rFonts w:ascii="Arial"/>
          <w:color w:val="3D6E59"/>
          <w:w w:val="125"/>
          <w:sz w:val="14"/>
        </w:rPr>
        <w:t>132</w:t>
      </w:r>
    </w:p>
    <w:p>
      <w:pPr>
        <w:spacing w:line="123" w:lineRule="exact" w:before="41"/>
        <w:ind w:left="795" w:right="0" w:firstLine="0"/>
        <w:jc w:val="left"/>
        <w:rPr>
          <w:rFonts w:ascii="Arial"/>
          <w:sz w:val="11"/>
        </w:rPr>
      </w:pPr>
      <w:r>
        <w:rPr>
          <w:rFonts w:ascii="Arial"/>
          <w:color w:val="547E6D"/>
          <w:w w:val="130"/>
          <w:sz w:val="11"/>
        </w:rPr>
        <w:t>n.</w:t>
      </w:r>
    </w:p>
    <w:p>
      <w:pPr>
        <w:spacing w:line="123" w:lineRule="exact" w:before="0"/>
        <w:ind w:left="0" w:right="0" w:firstLine="0"/>
        <w:jc w:val="right"/>
        <w:rPr>
          <w:rFonts w:ascii="Arial"/>
          <w:sz w:val="11"/>
        </w:rPr>
      </w:pPr>
      <w:r>
        <w:rPr>
          <w:rFonts w:ascii="Arial"/>
          <w:color w:val="547E6D"/>
          <w:w w:val="125"/>
          <w:sz w:val="11"/>
        </w:rPr>
        <w:t>n.</w:t>
      </w:r>
    </w:p>
    <w:p>
      <w:pPr>
        <w:pStyle w:val="BodyText"/>
        <w:spacing w:before="8"/>
        <w:rPr>
          <w:rFonts w:ascii="Arial"/>
          <w:sz w:val="12"/>
        </w:rPr>
      </w:pPr>
      <w:r>
        <w:rPr/>
        <w:br w:type="column"/>
      </w:r>
      <w:r>
        <w:rPr>
          <w:rFonts w:ascii="Arial"/>
          <w:sz w:val="12"/>
        </w:rPr>
      </w:r>
    </w:p>
    <w:p>
      <w:pPr>
        <w:tabs>
          <w:tab w:pos="881" w:val="left" w:leader="none"/>
          <w:tab w:pos="1502" w:val="left" w:leader="none"/>
        </w:tabs>
        <w:spacing w:line="114" w:lineRule="exact" w:before="0"/>
        <w:ind w:left="360" w:right="0" w:firstLine="0"/>
        <w:jc w:val="left"/>
        <w:rPr>
          <w:sz w:val="8"/>
        </w:rPr>
      </w:pPr>
      <w:r>
        <w:rPr>
          <w:rFonts w:ascii="Arial"/>
          <w:color w:val="547E6D"/>
          <w:w w:val="130"/>
          <w:sz w:val="11"/>
        </w:rPr>
        <w:t>n.</w:t>
        <w:tab/>
      </w:r>
      <w:r>
        <w:rPr>
          <w:color w:val="547E6D"/>
          <w:w w:val="130"/>
          <w:sz w:val="8"/>
        </w:rPr>
        <w:t>A.</w:t>
        <w:tab/>
      </w:r>
      <w:r>
        <w:rPr>
          <w:color w:val="547E6D"/>
          <w:spacing w:val="-10"/>
          <w:w w:val="130"/>
          <w:position w:val="1"/>
          <w:sz w:val="8"/>
        </w:rPr>
        <w:t>A.</w:t>
      </w:r>
    </w:p>
    <w:p>
      <w:pPr>
        <w:tabs>
          <w:tab w:pos="1197" w:val="left" w:leader="none"/>
        </w:tabs>
        <w:spacing w:line="114" w:lineRule="exact" w:before="0"/>
        <w:ind w:left="651" w:right="0" w:firstLine="0"/>
        <w:jc w:val="left"/>
        <w:rPr>
          <w:rFonts w:ascii="Arial"/>
          <w:sz w:val="11"/>
        </w:rPr>
      </w:pPr>
      <w:r>
        <w:rPr>
          <w:color w:val="547E6D"/>
          <w:w w:val="130"/>
          <w:sz w:val="8"/>
        </w:rPr>
        <w:t>A.</w:t>
        <w:tab/>
      </w:r>
      <w:r>
        <w:rPr>
          <w:rFonts w:ascii="Arial"/>
          <w:color w:val="547E6D"/>
          <w:w w:val="130"/>
          <w:sz w:val="11"/>
        </w:rPr>
        <w:t>n.</w:t>
      </w:r>
    </w:p>
    <w:p>
      <w:pPr>
        <w:spacing w:before="0"/>
        <w:ind w:left="247" w:right="0" w:firstLine="0"/>
        <w:jc w:val="left"/>
        <w:rPr>
          <w:rFonts w:ascii="Courier New"/>
          <w:sz w:val="15"/>
        </w:rPr>
      </w:pPr>
      <w:r>
        <w:rPr/>
        <w:br w:type="column"/>
      </w:r>
      <w:r>
        <w:rPr>
          <w:rFonts w:ascii="Arial"/>
          <w:color w:val="547E6D"/>
          <w:w w:val="130"/>
          <w:position w:val="-4"/>
          <w:sz w:val="11"/>
        </w:rPr>
        <w:t>n. </w:t>
      </w:r>
      <w:r>
        <w:rPr>
          <w:rFonts w:ascii="Courier New"/>
          <w:color w:val="547E6D"/>
          <w:w w:val="130"/>
          <w:sz w:val="15"/>
        </w:rPr>
        <w:t>44</w:t>
      </w:r>
    </w:p>
    <w:p>
      <w:pPr>
        <w:pStyle w:val="BodyText"/>
        <w:spacing w:before="7"/>
        <w:rPr>
          <w:rFonts w:ascii="Courier New"/>
          <w:sz w:val="18"/>
        </w:rPr>
      </w:pPr>
      <w:r>
        <w:rPr/>
        <w:br w:type="column"/>
      </w:r>
      <w:r>
        <w:rPr>
          <w:rFonts w:ascii="Courier New"/>
          <w:sz w:val="18"/>
        </w:rPr>
      </w:r>
    </w:p>
    <w:p>
      <w:pPr>
        <w:spacing w:before="0"/>
        <w:ind w:left="795" w:right="0" w:firstLine="0"/>
        <w:jc w:val="left"/>
        <w:rPr>
          <w:sz w:val="17"/>
        </w:rPr>
      </w:pPr>
      <w:r>
        <w:rPr>
          <w:color w:val="547E6D"/>
          <w:w w:val="140"/>
          <w:sz w:val="17"/>
        </w:rPr>
        <w:t>Dråby</w:t>
      </w:r>
    </w:p>
    <w:p>
      <w:pPr>
        <w:spacing w:after="0"/>
        <w:jc w:val="left"/>
        <w:rPr>
          <w:sz w:val="17"/>
        </w:rPr>
        <w:sectPr>
          <w:type w:val="continuous"/>
          <w:pgSz w:w="11910" w:h="16840"/>
          <w:pgMar w:top="0" w:bottom="280" w:left="0" w:right="0"/>
          <w:cols w:num="4" w:equalWidth="0">
            <w:col w:w="1372" w:space="40"/>
            <w:col w:w="1603" w:space="39"/>
            <w:col w:w="824" w:space="6180"/>
            <w:col w:w="1852"/>
          </w:cols>
        </w:sectPr>
      </w:pPr>
    </w:p>
    <w:p>
      <w:pPr>
        <w:tabs>
          <w:tab w:pos="1593" w:val="left" w:leader="none"/>
          <w:tab w:pos="2954" w:val="left" w:leader="none"/>
        </w:tabs>
        <w:spacing w:line="129" w:lineRule="exact" w:before="0"/>
        <w:ind w:left="576" w:right="0" w:firstLine="0"/>
        <w:jc w:val="left"/>
        <w:rPr>
          <w:rFonts w:ascii="Arial"/>
          <w:sz w:val="11"/>
        </w:rPr>
      </w:pPr>
      <w:r>
        <w:rPr>
          <w:color w:val="547E6D"/>
          <w:w w:val="130"/>
          <w:sz w:val="8"/>
        </w:rPr>
        <w:t>A.</w:t>
        <w:tab/>
      </w:r>
      <w:r>
        <w:rPr>
          <w:rFonts w:ascii="Arial"/>
          <w:color w:val="547E6D"/>
          <w:w w:val="130"/>
          <w:sz w:val="11"/>
        </w:rPr>
        <w:t>n.</w:t>
        <w:tab/>
      </w:r>
      <w:r>
        <w:rPr>
          <w:rFonts w:ascii="Arial"/>
          <w:color w:val="547E6D"/>
          <w:w w:val="130"/>
          <w:position w:val="1"/>
          <w:sz w:val="11"/>
        </w:rPr>
        <w:t>n.</w:t>
      </w:r>
    </w:p>
    <w:p>
      <w:pPr>
        <w:tabs>
          <w:tab w:pos="922" w:val="left" w:leader="none"/>
        </w:tabs>
        <w:spacing w:line="94" w:lineRule="exact" w:before="0"/>
        <w:ind w:left="305" w:right="0" w:firstLine="0"/>
        <w:jc w:val="left"/>
        <w:rPr>
          <w:sz w:val="8"/>
        </w:rPr>
      </w:pPr>
      <w:r>
        <w:rPr>
          <w:rFonts w:ascii="Arial"/>
          <w:color w:val="547E6D"/>
          <w:w w:val="130"/>
          <w:sz w:val="11"/>
        </w:rPr>
        <w:t>n.</w:t>
        <w:tab/>
      </w:r>
      <w:r>
        <w:rPr>
          <w:color w:val="547E6D"/>
          <w:w w:val="130"/>
          <w:sz w:val="8"/>
        </w:rPr>
        <w:t>A.</w:t>
      </w:r>
    </w:p>
    <w:p>
      <w:pPr>
        <w:spacing w:before="47"/>
        <w:ind w:left="305" w:right="0" w:firstLine="0"/>
        <w:jc w:val="left"/>
        <w:rPr>
          <w:rFonts w:ascii="Arial"/>
          <w:sz w:val="13"/>
        </w:rPr>
      </w:pPr>
      <w:r>
        <w:rPr/>
        <w:br w:type="column"/>
      </w:r>
      <w:r>
        <w:rPr>
          <w:rFonts w:ascii="Arial"/>
          <w:color w:val="547E6D"/>
          <w:w w:val="130"/>
          <w:sz w:val="13"/>
        </w:rPr>
        <w:t>Karls</w:t>
      </w:r>
    </w:p>
    <w:p>
      <w:pPr>
        <w:spacing w:after="0"/>
        <w:jc w:val="left"/>
        <w:rPr>
          <w:rFonts w:ascii="Arial"/>
          <w:sz w:val="13"/>
        </w:rPr>
        <w:sectPr>
          <w:type w:val="continuous"/>
          <w:pgSz w:w="11910" w:h="16840"/>
          <w:pgMar w:top="0" w:bottom="280" w:left="0" w:right="0"/>
          <w:cols w:num="2" w:equalWidth="0">
            <w:col w:w="3114" w:space="7737"/>
            <w:col w:w="1059"/>
          </w:cols>
        </w:sectPr>
      </w:pPr>
    </w:p>
    <w:p>
      <w:pPr>
        <w:tabs>
          <w:tab w:pos="2310" w:val="left" w:leader="none"/>
        </w:tabs>
        <w:spacing w:line="213" w:lineRule="auto" w:before="0"/>
        <w:ind w:left="1223" w:right="0" w:firstLine="0"/>
        <w:jc w:val="left"/>
        <w:rPr>
          <w:rFonts w:ascii="Arial"/>
          <w:sz w:val="11"/>
        </w:rPr>
      </w:pPr>
      <w:r>
        <w:rPr/>
        <w:pict>
          <v:shape style="position:absolute;margin-left:572.074219pt;margin-top:3.828383pt;width:9.7pt;height:8.35pt;mso-position-horizontal-relative:page;mso-position-vertical-relative:paragraph;z-index:1936" type="#_x0000_t202" filled="false" stroked="false">
            <v:textbox inset="0,0,0,0">
              <w:txbxContent>
                <w:p>
                  <w:pPr>
                    <w:spacing w:line="166" w:lineRule="exact" w:before="0"/>
                    <w:ind w:left="0" w:right="0" w:firstLine="0"/>
                    <w:jc w:val="left"/>
                    <w:rPr>
                      <w:sz w:val="15"/>
                    </w:rPr>
                  </w:pPr>
                  <w:r>
                    <w:rPr>
                      <w:color w:val="3D6E59"/>
                      <w:w w:val="125"/>
                      <w:sz w:val="15"/>
                    </w:rPr>
                    <w:t>53</w:t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547E6D"/>
          <w:w w:val="130"/>
          <w:sz w:val="11"/>
        </w:rPr>
        <w:t>n.</w:t>
        <w:tab/>
      </w:r>
      <w:r>
        <w:rPr>
          <w:rFonts w:ascii="Arial"/>
          <w:color w:val="547E6D"/>
          <w:w w:val="130"/>
          <w:position w:val="-6"/>
          <w:sz w:val="11"/>
        </w:rPr>
        <w:t>n.</w:t>
      </w:r>
    </w:p>
    <w:p>
      <w:pPr>
        <w:spacing w:line="65" w:lineRule="exact" w:before="0"/>
        <w:ind w:left="23" w:right="0" w:firstLine="0"/>
        <w:jc w:val="left"/>
        <w:rPr>
          <w:sz w:val="8"/>
        </w:rPr>
      </w:pPr>
      <w:r>
        <w:rPr/>
        <w:pict>
          <v:shape style="position:absolute;margin-left:46.128349pt;margin-top:1.122509pt;width:5.05pt;height:4.45pt;mso-position-horizontal-relative:page;mso-position-vertical-relative:paragraph;z-index:-84832" type="#_x0000_t202" filled="false" stroked="false">
            <v:textbox inset="0,0,0,0">
              <w:txbxContent>
                <w:p>
                  <w:pPr>
                    <w:spacing w:line="89" w:lineRule="exact" w:before="0"/>
                    <w:ind w:left="0" w:right="0" w:firstLine="0"/>
                    <w:jc w:val="left"/>
                    <w:rPr>
                      <w:sz w:val="8"/>
                    </w:rPr>
                  </w:pPr>
                  <w:r>
                    <w:rPr>
                      <w:color w:val="547E6D"/>
                      <w:spacing w:val="-1"/>
                      <w:w w:val="130"/>
                      <w:sz w:val="8"/>
                    </w:rPr>
                    <w:t>A.</w:t>
                  </w:r>
                </w:p>
              </w:txbxContent>
            </v:textbox>
            <w10:wrap type="none"/>
          </v:shape>
        </w:pict>
      </w:r>
      <w:r>
        <w:rPr>
          <w:color w:val="547E6D"/>
          <w:w w:val="130"/>
          <w:sz w:val="8"/>
        </w:rPr>
        <w:t>A.</w:t>
      </w:r>
    </w:p>
    <w:p>
      <w:pPr>
        <w:tabs>
          <w:tab w:pos="10484" w:val="left" w:leader="none"/>
        </w:tabs>
        <w:spacing w:line="108" w:lineRule="exact" w:before="0"/>
        <w:ind w:left="292" w:right="0" w:firstLine="0"/>
        <w:jc w:val="left"/>
        <w:rPr>
          <w:rFonts w:ascii="Arial"/>
          <w:sz w:val="11"/>
        </w:rPr>
      </w:pPr>
      <w:r>
        <w:rPr/>
        <w:pict>
          <v:shape style="position:absolute;margin-left:124.504501pt;margin-top:3.153182pt;width:5.05pt;height:4.45pt;mso-position-horizontal-relative:page;mso-position-vertical-relative:paragraph;z-index:-84880" type="#_x0000_t202" filled="false" stroked="false">
            <v:textbox inset="0,0,0,0">
              <w:txbxContent>
                <w:p>
                  <w:pPr>
                    <w:spacing w:line="89" w:lineRule="exact" w:before="0"/>
                    <w:ind w:left="0" w:right="0" w:firstLine="0"/>
                    <w:jc w:val="left"/>
                    <w:rPr>
                      <w:sz w:val="8"/>
                    </w:rPr>
                  </w:pPr>
                  <w:r>
                    <w:rPr>
                      <w:color w:val="547E6D"/>
                      <w:spacing w:val="-1"/>
                      <w:w w:val="130"/>
                      <w:sz w:val="8"/>
                    </w:rPr>
                    <w:t>A.</w:t>
                  </w:r>
                </w:p>
              </w:txbxContent>
            </v:textbox>
            <w10:wrap type="none"/>
          </v:shape>
        </w:pict>
      </w:r>
      <w:r>
        <w:rPr>
          <w:color w:val="547E6D"/>
          <w:w w:val="130"/>
          <w:sz w:val="8"/>
        </w:rPr>
        <w:t>A.</w:t>
        <w:tab/>
      </w:r>
      <w:r>
        <w:rPr>
          <w:rFonts w:ascii="Arial"/>
          <w:color w:val="547E6D"/>
          <w:w w:val="130"/>
          <w:position w:val="1"/>
          <w:sz w:val="11"/>
        </w:rPr>
        <w:t>n.</w:t>
      </w:r>
    </w:p>
    <w:p>
      <w:pPr>
        <w:spacing w:line="23" w:lineRule="exact" w:before="0"/>
        <w:ind w:left="1292" w:right="0" w:firstLine="0"/>
        <w:jc w:val="left"/>
        <w:rPr>
          <w:sz w:val="8"/>
        </w:rPr>
      </w:pPr>
      <w:r>
        <w:rPr>
          <w:color w:val="547E6D"/>
          <w:w w:val="130"/>
          <w:sz w:val="8"/>
        </w:rPr>
        <w:t>A.</w:t>
      </w:r>
    </w:p>
    <w:p>
      <w:pPr>
        <w:pStyle w:val="ListParagraph"/>
        <w:numPr>
          <w:ilvl w:val="0"/>
          <w:numId w:val="7"/>
        </w:numPr>
        <w:tabs>
          <w:tab w:pos="646" w:val="left" w:leader="none"/>
          <w:tab w:pos="647" w:val="left" w:leader="none"/>
          <w:tab w:pos="1689" w:val="left" w:leader="none"/>
        </w:tabs>
        <w:spacing w:line="211" w:lineRule="auto" w:before="1" w:after="0"/>
        <w:ind w:left="646" w:right="0" w:hanging="620"/>
        <w:jc w:val="left"/>
        <w:rPr>
          <w:sz w:val="11"/>
        </w:rPr>
      </w:pPr>
      <w:r>
        <w:rPr>
          <w:color w:val="547E6D"/>
          <w:w w:val="130"/>
          <w:sz w:val="11"/>
        </w:rPr>
        <w:t>n.</w:t>
        <w:tab/>
        <w:t>n.</w:t>
      </w:r>
    </w:p>
    <w:p>
      <w:pPr>
        <w:pStyle w:val="ListParagraph"/>
        <w:numPr>
          <w:ilvl w:val="1"/>
          <w:numId w:val="7"/>
        </w:numPr>
        <w:tabs>
          <w:tab w:pos="1912" w:val="left" w:leader="none"/>
          <w:tab w:pos="1914" w:val="left" w:leader="none"/>
        </w:tabs>
        <w:spacing w:line="136" w:lineRule="auto" w:before="9" w:after="0"/>
        <w:ind w:left="1913" w:right="0" w:hanging="933"/>
        <w:jc w:val="left"/>
        <w:rPr>
          <w:rFonts w:ascii="Times New Roman"/>
          <w:sz w:val="8"/>
        </w:rPr>
      </w:pPr>
      <w:r>
        <w:rPr>
          <w:rFonts w:ascii="Times New Roman"/>
          <w:color w:val="547E6D"/>
          <w:w w:val="130"/>
          <w:sz w:val="8"/>
        </w:rPr>
        <w:t>A.</w:t>
      </w:r>
    </w:p>
    <w:p>
      <w:pPr>
        <w:tabs>
          <w:tab w:pos="1319" w:val="left" w:leader="none"/>
        </w:tabs>
        <w:spacing w:line="120" w:lineRule="exact" w:before="0"/>
        <w:ind w:left="340" w:right="0" w:firstLine="0"/>
        <w:jc w:val="left"/>
        <w:rPr>
          <w:rFonts w:ascii="Arial"/>
          <w:sz w:val="11"/>
        </w:rPr>
      </w:pPr>
      <w:r>
        <w:rPr>
          <w:color w:val="547E6D"/>
          <w:w w:val="130"/>
          <w:position w:val="-1"/>
          <w:sz w:val="8"/>
        </w:rPr>
        <w:t>A.</w:t>
        <w:tab/>
      </w:r>
      <w:r>
        <w:rPr>
          <w:rFonts w:ascii="Arial"/>
          <w:color w:val="547E6D"/>
          <w:w w:val="130"/>
          <w:sz w:val="11"/>
        </w:rPr>
        <w:t>n.</w:t>
      </w:r>
    </w:p>
    <w:p>
      <w:pPr>
        <w:tabs>
          <w:tab w:pos="738" w:val="left" w:leader="none"/>
          <w:tab w:pos="1988" w:val="left" w:leader="none"/>
        </w:tabs>
        <w:spacing w:line="164" w:lineRule="exact" w:before="38"/>
        <w:ind w:left="0" w:right="9762" w:firstLine="0"/>
        <w:jc w:val="center"/>
        <w:rPr>
          <w:rFonts w:ascii="Arial" w:hAnsi="Arial"/>
          <w:sz w:val="11"/>
        </w:rPr>
      </w:pPr>
      <w:r>
        <w:rPr>
          <w:color w:val="547E6D"/>
          <w:w w:val="125"/>
          <w:position w:val="4"/>
          <w:sz w:val="8"/>
        </w:rPr>
        <w:t>A.</w:t>
        <w:tab/>
      </w:r>
      <w:r>
        <w:rPr>
          <w:rFonts w:ascii="Arial" w:hAnsi="Arial"/>
          <w:color w:val="3D6E59"/>
          <w:w w:val="125"/>
          <w:sz w:val="13"/>
        </w:rPr>
        <w:t>Trehøje</w:t>
        <w:tab/>
      </w:r>
      <w:r>
        <w:rPr>
          <w:rFonts w:ascii="Arial" w:hAnsi="Arial"/>
          <w:color w:val="547E6D"/>
          <w:w w:val="125"/>
          <w:position w:val="-1"/>
          <w:sz w:val="11"/>
        </w:rPr>
        <w:t>n.</w:t>
      </w:r>
    </w:p>
    <w:p>
      <w:pPr>
        <w:tabs>
          <w:tab w:pos="1720" w:val="left" w:leader="none"/>
        </w:tabs>
        <w:spacing w:line="136" w:lineRule="exact" w:before="0"/>
        <w:ind w:left="645" w:right="0" w:firstLine="0"/>
        <w:jc w:val="left"/>
        <w:rPr>
          <w:sz w:val="13"/>
        </w:rPr>
      </w:pPr>
      <w:r>
        <w:rPr>
          <w:rFonts w:ascii="Arial" w:hAnsi="Arial"/>
          <w:color w:val="547E6D"/>
          <w:w w:val="130"/>
          <w:sz w:val="13"/>
        </w:rPr>
        <w:t>(Dyrehøje)</w:t>
        <w:tab/>
      </w:r>
      <w:r>
        <w:rPr>
          <w:color w:val="547E6D"/>
          <w:w w:val="130"/>
          <w:sz w:val="13"/>
          <w:vertAlign w:val="subscript"/>
        </w:rPr>
        <w:t>A.</w:t>
      </w:r>
    </w:p>
    <w:p>
      <w:pPr>
        <w:spacing w:line="114" w:lineRule="exact" w:before="0"/>
        <w:ind w:left="218" w:right="0" w:firstLine="0"/>
        <w:jc w:val="left"/>
        <w:rPr>
          <w:rFonts w:ascii="Arial"/>
          <w:sz w:val="11"/>
        </w:rPr>
      </w:pPr>
      <w:r>
        <w:rPr>
          <w:rFonts w:ascii="Arial"/>
          <w:color w:val="547E6D"/>
          <w:w w:val="130"/>
          <w:sz w:val="11"/>
        </w:rPr>
        <w:t>n.</w:t>
      </w:r>
    </w:p>
    <w:p>
      <w:pPr>
        <w:spacing w:before="9"/>
        <w:ind w:left="0" w:right="9796" w:firstLine="0"/>
        <w:jc w:val="center"/>
        <w:rPr>
          <w:rFonts w:ascii="Arial"/>
          <w:sz w:val="14"/>
        </w:rPr>
      </w:pPr>
      <w:r>
        <w:rPr>
          <w:rFonts w:ascii="Arial"/>
          <w:color w:val="3D6E59"/>
          <w:w w:val="125"/>
          <w:sz w:val="14"/>
        </w:rPr>
        <w:t>127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18"/>
        </w:rPr>
      </w:pPr>
    </w:p>
    <w:p>
      <w:pPr>
        <w:spacing w:line="273" w:lineRule="auto" w:before="103"/>
        <w:ind w:left="566" w:right="7218" w:firstLine="0"/>
        <w:jc w:val="left"/>
        <w:rPr>
          <w:rFonts w:ascii="Arial"/>
          <w:b/>
          <w:sz w:val="22"/>
        </w:rPr>
      </w:pPr>
      <w:r>
        <w:rPr/>
        <w:pict>
          <v:group style="position:absolute;margin-left:0pt;margin-top:-766.410156pt;width:595.3pt;height:756.85pt;mso-position-horizontal-relative:page;mso-position-vertical-relative:paragraph;z-index:-85072" coordorigin="0,-15328" coordsize="11906,15137">
            <v:shape style="position:absolute;left:566;top:-14762;width:10772;height:14571" coordorigin="567,-14761" coordsize="10772,14571" path="m11339,-10509l567,-10509,567,-191,11339,-191,11339,-10509m11339,-14761l567,-14761,567,-11076,11339,-11076,11339,-14761e" filled="true" fillcolor="#71a7a1" stroked="false">
              <v:path arrowok="t"/>
              <v:fill type="solid"/>
            </v:shape>
            <v:rect style="position:absolute;left:566;top:-11077;width:10772;height:567" filled="true" fillcolor="#578580" stroked="false">
              <v:fill type="solid"/>
            </v:rect>
            <v:shape style="position:absolute;left:0;top:-15329;width:2770;height:1077" type="#_x0000_t75" stroked="false">
              <v:imagedata r:id="rId63" o:title=""/>
            </v:shape>
            <v:shape style="position:absolute;left:1019;top:-15329;width:10887;height:4287" type="#_x0000_t75" stroked="false">
              <v:imagedata r:id="rId64" o:title=""/>
            </v:shape>
            <v:shape style="position:absolute;left:0;top:-11927;width:789;height:865" type="#_x0000_t75" stroked="false">
              <v:imagedata r:id="rId65" o:title=""/>
            </v:shape>
            <v:line style="position:absolute" from="8477,-14655" to="8477,-15328" stroked="true" strokeweight=".961671pt" strokecolor="#000000">
              <v:stroke dashstyle="solid"/>
            </v:line>
            <v:line style="position:absolute" from="8775,-14655" to="8775,-15328" stroked="true" strokeweight=".240418pt" strokecolor="#000000">
              <v:stroke dashstyle="solid"/>
            </v:line>
            <v:line style="position:absolute" from="10877,-12733" to="10877,-13694" stroked="true" strokeweight=".961671pt" strokecolor="#000000">
              <v:stroke dashstyle="solid"/>
            </v:lin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744">
            <wp:simplePos x="0" y="0"/>
            <wp:positionH relativeFrom="page">
              <wp:posOffset>6494685</wp:posOffset>
            </wp:positionH>
            <wp:positionV relativeFrom="paragraph">
              <wp:posOffset>254669</wp:posOffset>
            </wp:positionV>
            <wp:extent cx="582662" cy="537050"/>
            <wp:effectExtent l="0" t="0" r="0" b="0"/>
            <wp:wrapNone/>
            <wp:docPr id="55" name="image3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4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662" cy="537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71A7A1"/>
          <w:sz w:val="22"/>
        </w:rPr>
        <w:t>Danish Geodata </w:t>
      </w:r>
      <w:r>
        <w:rPr>
          <w:rFonts w:ascii="Arial"/>
          <w:b/>
          <w:color w:val="71A7A1"/>
          <w:spacing w:val="-4"/>
          <w:sz w:val="22"/>
        </w:rPr>
        <w:t>Agency </w:t>
      </w:r>
      <w:r>
        <w:rPr>
          <w:rFonts w:ascii="Arial"/>
          <w:b/>
          <w:color w:val="71A7A1"/>
          <w:sz w:val="22"/>
        </w:rPr>
        <w:t>Rentemestervej 8</w:t>
      </w:r>
    </w:p>
    <w:p>
      <w:pPr>
        <w:spacing w:line="273" w:lineRule="auto" w:before="1"/>
        <w:ind w:left="566" w:right="7218" w:firstLine="0"/>
        <w:jc w:val="left"/>
        <w:rPr>
          <w:rFonts w:ascii="Arial"/>
          <w:b/>
          <w:sz w:val="22"/>
        </w:rPr>
      </w:pPr>
      <w:r>
        <w:rPr>
          <w:rFonts w:ascii="Arial"/>
          <w:b/>
          <w:color w:val="71A7A1"/>
          <w:sz w:val="22"/>
        </w:rPr>
        <w:t>2400 Copenhagen </w:t>
      </w:r>
      <w:r>
        <w:rPr>
          <w:rFonts w:ascii="Arial"/>
          <w:b/>
          <w:color w:val="71A7A1"/>
          <w:spacing w:val="-9"/>
          <w:sz w:val="22"/>
        </w:rPr>
        <w:t>NV, </w:t>
      </w:r>
      <w:r>
        <w:rPr>
          <w:rFonts w:ascii="Arial"/>
          <w:b/>
          <w:color w:val="71A7A1"/>
          <w:spacing w:val="-3"/>
          <w:sz w:val="22"/>
        </w:rPr>
        <w:t>Denmark </w:t>
      </w:r>
      <w:hyperlink r:id="rId11">
        <w:r>
          <w:rPr>
            <w:rFonts w:ascii="Arial"/>
            <w:b/>
            <w:color w:val="71A7A1"/>
            <w:sz w:val="22"/>
          </w:rPr>
          <w:t>http://www.gst.dk</w:t>
        </w:r>
      </w:hyperlink>
    </w:p>
    <w:sectPr>
      <w:type w:val="continuous"/>
      <w:pgSz w:w="11910" w:h="16840"/>
      <w:pgMar w:top="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ourier New">
    <w:altName w:val="Courier New"/>
    <w:charset w:val="0"/>
    <w:family w:val="modern"/>
    <w:pitch w:val="fixed"/>
  </w:font>
  <w:font w:name="Verdana">
    <w:altName w:val="Verdana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Microsoft Yi Baiti">
    <w:altName w:val="Microsoft Yi Baiti"/>
    <w:charset w:val="0"/>
    <w:family w:val="script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3.579987pt;margin-top:803.603271pt;width:8.15pt;height:15.65pt;mso-position-horizontal-relative:page;mso-position-vertical-relative:page;z-index:-85768" type="#_x0000_t202" filled="false" stroked="false">
          <v:textbox inset="0,0,0,0">
            <w:txbxContent>
              <w:p>
                <w:pPr>
                  <w:spacing w:before="23"/>
                  <w:ind w:left="2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>
                    <w:rFonts w:ascii="Arial"/>
                    <w:w w:val="99"/>
                    <w:sz w:val="22"/>
                  </w:rPr>
                  <w:t>3</w:t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9.52301pt;margin-top:803.562256pt;width:16.25pt;height:15.7pt;mso-position-horizontal-relative:page;mso-position-vertical-relative:page;z-index:-85648" type="#_x0000_t202" filled="false" stroked="false">
          <v:textbox inset="0,0,0,0">
            <w:txbxContent>
              <w:p>
                <w:pPr>
                  <w:spacing w:before="24"/>
                  <w:ind w:left="4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2"/>
      </w:rPr>
    </w:pPr>
    <w:r>
      <w:rPr/>
      <w:pict>
        <v:shape style="position:absolute;margin-left:289.52301pt;margin-top:795.901245pt;width:16.25pt;height:23.35pt;mso-position-horizontal-relative:page;mso-position-vertical-relative:page;z-index:-85624" type="#_x0000_t202" filled="false" stroked="false">
          <v:textbox inset="0,0,0,0">
            <w:txbxContent>
              <w:p>
                <w:pPr>
                  <w:spacing w:before="177"/>
                  <w:ind w:left="4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  <w:r>
      <w:rPr/>
      <w:pict>
        <v:shape style="position:absolute;margin-left:289.52301pt;margin-top:793.985229pt;width:16.25pt;height:29.25pt;mso-position-horizontal-relative:page;mso-position-vertical-relative:page;z-index:-85600" type="#_x0000_t202" filled="false" stroked="false">
          <v:textbox inset="0,0,0,0">
            <w:txbxContent>
              <w:p>
                <w:pPr>
                  <w:pStyle w:val="BodyText"/>
                  <w:spacing w:before="7"/>
                  <w:rPr>
                    <w:rFonts w:ascii="Arial"/>
                    <w:sz w:val="25"/>
                  </w:rPr>
                </w:pPr>
              </w:p>
              <w:p>
                <w:pPr>
                  <w:spacing w:before="1"/>
                  <w:ind w:left="4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9.52301pt;margin-top:803.603271pt;width:16.25pt;height:15.65pt;mso-position-horizontal-relative:page;mso-position-vertical-relative:page;z-index:-85576" type="#_x0000_t202" filled="false" stroked="false">
          <v:textbox inset="0,0,0,0">
            <w:txbxContent>
              <w:p>
                <w:pPr>
                  <w:spacing w:before="23"/>
                  <w:ind w:left="4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0pt;margin-top:595.276001pt;width:566.5pt;height:.1pt;mso-position-horizontal-relative:page;mso-position-vertical-relative:page;z-index:-85552" coordorigin="0,11906" coordsize="11330,0" path="m2754,10571l14083,10571m2754,10571l14083,10571e" filled="false" stroked="true" strokeweight=".398pt" strokecolor="#000000">
          <v:path arrowok="t"/>
          <v:stroke dashstyle="solid"/>
          <w10:wrap type="none"/>
        </v:shape>
      </w:pict>
    </w:r>
    <w:r>
      <w:rPr/>
      <w:pict>
        <v:shape style="position:absolute;margin-left:142.695007pt;margin-top:502.598572pt;width:53.5pt;height:14.05pt;mso-position-horizontal-relative:page;mso-position-vertical-relative:page;z-index:-85528" type="#_x0000_t202" filled="false" stroked="false">
          <v:textbox inset="0,0,0,0">
            <w:txbxContent>
              <w:p>
                <w:pPr>
                  <w:spacing w:before="17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72-01-09108</w:t>
                </w:r>
              </w:p>
            </w:txbxContent>
          </v:textbox>
          <w10:wrap type="none"/>
        </v:shape>
      </w:pict>
    </w:r>
    <w:r>
      <w:rPr/>
      <w:pict>
        <v:shape style="position:absolute;margin-left:211.10817pt;margin-top:502.598572pt;width:103.65pt;height:14.05pt;mso-position-horizontal-relative:page;mso-position-vertical-relative:page;z-index:-85504" type="#_x0000_t202" filled="false" stroked="false">
          <v:textbox inset="0,0,0,0">
            <w:txbxContent>
              <w:p>
                <w:pPr>
                  <w:tabs>
                    <w:tab w:pos="1205" w:val="left" w:leader="none"/>
                  </w:tabs>
                  <w:spacing w:before="17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6284339,54</w:t>
                  <w:tab/>
                  <w:t>451327,53</w:t>
                </w:r>
              </w:p>
            </w:txbxContent>
          </v:textbox>
          <w10:wrap type="none"/>
        </v:shape>
      </w:pict>
    </w:r>
    <w:r>
      <w:rPr/>
      <w:pict>
        <v:shape style="position:absolute;margin-left:339.625732pt;margin-top:502.598572pt;width:24.45pt;height:14.05pt;mso-position-horizontal-relative:page;mso-position-vertical-relative:page;z-index:-85480" type="#_x0000_t202" filled="false" stroked="false">
          <v:textbox inset="0,0,0,0">
            <w:txbxContent>
              <w:p>
                <w:pPr>
                  <w:spacing w:before="17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2,528</w:t>
                </w:r>
              </w:p>
            </w:txbxContent>
          </v:textbox>
          <w10:wrap type="none"/>
        </v:shape>
      </w:pict>
    </w:r>
    <w:r>
      <w:rPr/>
      <w:pict>
        <v:shape style="position:absolute;margin-left:391.002838pt;margin-top:502.598572pt;width:24.45pt;height:14.05pt;mso-position-horizontal-relative:page;mso-position-vertical-relative:page;z-index:-85456" type="#_x0000_t202" filled="false" stroked="false">
          <v:textbox inset="0,0,0,0">
            <w:txbxContent>
              <w:p>
                <w:pPr>
                  <w:spacing w:before="17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2,522</w:t>
                </w:r>
              </w:p>
            </w:txbxContent>
          </v:textbox>
          <w10:wrap type="none"/>
        </v:shape>
      </w:pict>
    </w:r>
    <w:r>
      <w:rPr/>
      <w:pict>
        <v:shape style="position:absolute;margin-left:442.529419pt;margin-top:502.598572pt;width:63.8pt;height:14.05pt;mso-position-horizontal-relative:page;mso-position-vertical-relative:page;z-index:-85432" type="#_x0000_t202" filled="false" stroked="false">
          <v:textbox inset="0,0,0,0">
            <w:txbxContent>
              <w:p>
                <w:pPr>
                  <w:tabs>
                    <w:tab w:pos="707" w:val="left" w:leader="none"/>
                  </w:tabs>
                  <w:spacing w:before="17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2,516</w:t>
                  <w:tab/>
                  <w:t>0,9994</w:t>
                </w:r>
              </w:p>
            </w:txbxContent>
          </v:textbox>
          <w10:wrap type="none"/>
        </v:shape>
      </w:pict>
    </w:r>
    <w:r>
      <w:rPr/>
      <w:pict>
        <v:shape style="position:absolute;margin-left:535.550232pt;margin-top:502.598572pt;width:17.8pt;height:14.05pt;mso-position-horizontal-relative:page;mso-position-vertical-relative:page;z-index:-85408" type="#_x0000_t202" filled="false" stroked="false">
          <v:textbox inset="0,0,0,0">
            <w:txbxContent>
              <w:p>
                <w:pPr>
                  <w:spacing w:before="17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-2,1</w:t>
                </w:r>
              </w:p>
            </w:txbxContent>
          </v:textbox>
          <w10:wrap type="none"/>
        </v:shape>
      </w:pict>
    </w:r>
    <w:r>
      <w:rPr/>
      <w:pict>
        <v:shape style="position:absolute;margin-left:580.431702pt;margin-top:502.598572pt;width:24.45pt;height:14.05pt;mso-position-horizontal-relative:page;mso-position-vertical-relative:page;z-index:-85384" type="#_x0000_t202" filled="false" stroked="false">
          <v:textbox inset="0,0,0,0">
            <w:txbxContent>
              <w:p>
                <w:pPr>
                  <w:spacing w:before="17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2,417</w:t>
                </w:r>
              </w:p>
            </w:txbxContent>
          </v:textbox>
          <w10:wrap type="none"/>
        </v:shape>
      </w:pict>
    </w:r>
    <w:r>
      <w:rPr/>
      <w:pict>
        <v:shape style="position:absolute;margin-left:671.460022pt;margin-top:502.598572pt;width:27.75pt;height:14.05pt;mso-position-horizontal-relative:page;mso-position-vertical-relative:page;z-index:-85360" type="#_x0000_t202" filled="false" stroked="false">
          <v:textbox inset="0,0,0,0">
            <w:txbxContent>
              <w:p>
                <w:pPr>
                  <w:spacing w:before="17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-0,099</w:t>
                </w:r>
              </w:p>
            </w:txbxContent>
          </v:textbox>
          <w10:wrap type="none"/>
        </v:shape>
      </w:pict>
    </w:r>
    <w:r>
      <w:rPr/>
      <w:pict>
        <v:shape style="position:absolute;margin-left:612.44397pt;margin-top:526.907532pt;width:86.8pt;height:13.9pt;mso-position-horizontal-relative:page;mso-position-vertical-relative:page;z-index:-85336" type="#_x0000_t202" filled="false" stroked="false">
          <v:textbox inset="0,0,0,0">
            <w:txbxContent>
              <w:p>
                <w:pPr>
                  <w:spacing w:before="17"/>
                  <w:ind w:left="20" w:right="0" w:firstLine="0"/>
                  <w:jc w:val="left"/>
                  <w:rPr>
                    <w:i/>
                    <w:sz w:val="20"/>
                  </w:rPr>
                </w:pPr>
                <w:r>
                  <w:rPr>
                    <w:i/>
                    <w:spacing w:val="-3"/>
                    <w:sz w:val="20"/>
                  </w:rPr>
                  <w:t>Fortsætter </w:t>
                </w:r>
                <w:r>
                  <w:rPr>
                    <w:i/>
                    <w:sz w:val="20"/>
                  </w:rPr>
                  <w:t>næste side</w:t>
                </w:r>
              </w:p>
            </w:txbxContent>
          </v:textbox>
          <w10:wrap type="none"/>
        </v:shape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0pt;margin-top:595.276001pt;width:566.5pt;height:.1pt;mso-position-horizontal-relative:page;mso-position-vertical-relative:page;z-index:-85312" coordorigin="0,11906" coordsize="11330,0" path="m2754,10596l14083,10596m2754,10596l14083,10596e" filled="false" stroked="true" strokeweight=".398pt" strokecolor="#000000">
          <v:path arrowok="t"/>
          <v:stroke dashstyle="solid"/>
          <w10:wrap type="none"/>
        </v:shape>
      </w:pict>
    </w:r>
    <w:r>
      <w:rPr/>
      <w:pict>
        <v:shape style="position:absolute;margin-left:142.695007pt;margin-top:503.843567pt;width:172.05pt;height:14.05pt;mso-position-horizontal-relative:page;mso-position-vertical-relative:page;z-index:-85288" type="#_x0000_t202" filled="false" stroked="false">
          <v:textbox inset="0,0,0,0">
            <w:txbxContent>
              <w:p>
                <w:pPr>
                  <w:tabs>
                    <w:tab w:pos="1388" w:val="left" w:leader="none"/>
                    <w:tab w:pos="2573" w:val="left" w:leader="none"/>
                  </w:tabs>
                  <w:spacing w:before="17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125-05-00808</w:t>
                  <w:tab/>
                  <w:t>6281928,98</w:t>
                  <w:tab/>
                  <w:t>452384,75</w:t>
                </w:r>
              </w:p>
            </w:txbxContent>
          </v:textbox>
          <w10:wrap type="none"/>
        </v:shape>
      </w:pict>
    </w:r>
    <w:r>
      <w:rPr/>
      <w:pict>
        <v:shape style="position:absolute;margin-left:339.625732pt;margin-top:503.843567pt;width:24.45pt;height:14.05pt;mso-position-horizontal-relative:page;mso-position-vertical-relative:page;z-index:-85264" type="#_x0000_t202" filled="false" stroked="false">
          <v:textbox inset="0,0,0,0">
            <w:txbxContent>
              <w:p>
                <w:pPr>
                  <w:spacing w:before="17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2,891</w:t>
                </w:r>
              </w:p>
            </w:txbxContent>
          </v:textbox>
          <w10:wrap type="none"/>
        </v:shape>
      </w:pict>
    </w:r>
    <w:r>
      <w:rPr/>
      <w:pict>
        <v:shape style="position:absolute;margin-left:391.002838pt;margin-top:503.843567pt;width:24.45pt;height:14.05pt;mso-position-horizontal-relative:page;mso-position-vertical-relative:page;z-index:-85240" type="#_x0000_t202" filled="false" stroked="false">
          <v:textbox inset="0,0,0,0">
            <w:txbxContent>
              <w:p>
                <w:pPr>
                  <w:spacing w:before="17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2,888</w:t>
                </w:r>
              </w:p>
            </w:txbxContent>
          </v:textbox>
          <w10:wrap type="none"/>
        </v:shape>
      </w:pict>
    </w:r>
    <w:r>
      <w:rPr/>
      <w:pict>
        <v:shape style="position:absolute;margin-left:442.529419pt;margin-top:503.843567pt;width:63.8pt;height:14.05pt;mso-position-horizontal-relative:page;mso-position-vertical-relative:page;z-index:-85216" type="#_x0000_t202" filled="false" stroked="false">
          <v:textbox inset="0,0,0,0">
            <w:txbxContent>
              <w:p>
                <w:pPr>
                  <w:tabs>
                    <w:tab w:pos="707" w:val="left" w:leader="none"/>
                  </w:tabs>
                  <w:spacing w:before="17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2,881</w:t>
                  <w:tab/>
                  <w:t>0,9385</w:t>
                </w:r>
              </w:p>
            </w:txbxContent>
          </v:textbox>
          <w10:wrap type="none"/>
        </v:shape>
      </w:pict>
    </w:r>
    <w:r>
      <w:rPr/>
      <w:pict>
        <v:shape style="position:absolute;margin-left:535.550232pt;margin-top:503.843567pt;width:17.8pt;height:14.05pt;mso-position-horizontal-relative:page;mso-position-vertical-relative:page;z-index:-85192" type="#_x0000_t202" filled="false" stroked="false">
          <v:textbox inset="0,0,0,0">
            <w:txbxContent>
              <w:p>
                <w:pPr>
                  <w:spacing w:before="17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-1,7</w:t>
                </w:r>
              </w:p>
            </w:txbxContent>
          </v:textbox>
          <w10:wrap type="none"/>
        </v:shape>
      </w:pict>
    </w:r>
    <w:r>
      <w:rPr/>
      <w:pict>
        <v:shape style="position:absolute;margin-left:580.431702pt;margin-top:503.843567pt;width:24.45pt;height:14.05pt;mso-position-horizontal-relative:page;mso-position-vertical-relative:page;z-index:-85168" type="#_x0000_t202" filled="false" stroked="false">
          <v:textbox inset="0,0,0,0">
            <w:txbxContent>
              <w:p>
                <w:pPr>
                  <w:spacing w:before="17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2,799</w:t>
                </w:r>
              </w:p>
            </w:txbxContent>
          </v:textbox>
          <w10:wrap type="none"/>
        </v:shape>
      </w:pict>
    </w:r>
    <w:r>
      <w:rPr/>
      <w:pict>
        <v:shape style="position:absolute;margin-left:671.460022pt;margin-top:503.843567pt;width:27.75pt;height:14.05pt;mso-position-horizontal-relative:page;mso-position-vertical-relative:page;z-index:-85144" type="#_x0000_t202" filled="false" stroked="false">
          <v:textbox inset="0,0,0,0">
            <w:txbxContent>
              <w:p>
                <w:pPr>
                  <w:spacing w:before="17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-0,082</w:t>
                </w:r>
              </w:p>
            </w:txbxContent>
          </v:textbox>
          <w10:wrap type="none"/>
        </v:shape>
      </w:pict>
    </w:r>
    <w:r>
      <w:rPr/>
      <w:pict>
        <v:shape style="position:absolute;margin-left:612.44397pt;margin-top:528.152588pt;width:86.8pt;height:13.9pt;mso-position-horizontal-relative:page;mso-position-vertical-relative:page;z-index:-85120" type="#_x0000_t202" filled="false" stroked="false">
          <v:textbox inset="0,0,0,0">
            <w:txbxContent>
              <w:p>
                <w:pPr>
                  <w:spacing w:before="17"/>
                  <w:ind w:left="20" w:right="0" w:firstLine="0"/>
                  <w:jc w:val="left"/>
                  <w:rPr>
                    <w:i/>
                    <w:sz w:val="20"/>
                  </w:rPr>
                </w:pPr>
                <w:r>
                  <w:rPr>
                    <w:i/>
                    <w:spacing w:val="-3"/>
                    <w:sz w:val="20"/>
                  </w:rPr>
                  <w:t>Fortsætter </w:t>
                </w:r>
                <w:r>
                  <w:rPr>
                    <w:i/>
                    <w:sz w:val="20"/>
                  </w:rPr>
                  <w:t>næste side</w:t>
                </w:r>
              </w:p>
            </w:txbxContent>
          </v:textbox>
          <w10:wrap type="none"/>
        </v:shape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3.579987pt;margin-top:803.603271pt;width:8.15pt;height:15.65pt;mso-position-horizontal-relative:page;mso-position-vertical-relative:page;z-index:-85744" type="#_x0000_t202" filled="false" stroked="false">
          <v:textbox inset="0,0,0,0">
            <w:txbxContent>
              <w:p>
                <w:pPr>
                  <w:spacing w:before="23"/>
                  <w:ind w:left="2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>
                    <w:rFonts w:ascii="Arial"/>
                    <w:w w:val="99"/>
                    <w:sz w:val="22"/>
                  </w:rPr>
                  <w:t>5</w:t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2.579987pt;margin-top:803.603271pt;width:10.15pt;height:15.65pt;mso-position-horizontal-relative:page;mso-position-vertical-relative:page;z-index:-85720" type="#_x0000_t202" filled="false" stroked="false">
          <v:textbox inset="0,0,0,0">
            <w:txbxContent>
              <w:p>
                <w:pPr>
                  <w:spacing w:before="23"/>
                  <w:ind w:left="4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w w:val="99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52301pt;margin-top:810.253235pt;width:14.25pt;height:15.65pt;mso-position-horizontal-relative:page;mso-position-vertical-relative:page;z-index:-85696" type="#_x0000_t202" filled="false" stroked="false">
          <v:textbox inset="0,0,0,0">
            <w:txbxContent>
              <w:p>
                <w:pPr>
                  <w:spacing w:before="23"/>
                  <w:ind w:left="2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>
                    <w:rFonts w:ascii="Arial"/>
                    <w:sz w:val="22"/>
                  </w:rPr>
                  <w:t>10</w:t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7"/>
      </w:rPr>
    </w:pPr>
    <w:r>
      <w:rPr/>
      <w:pict>
        <v:shape style="position:absolute;margin-left:289.52301pt;margin-top:794.576233pt;width:16.25pt;height:25.75pt;mso-position-horizontal-relative:page;mso-position-vertical-relative:page;z-index:-85672" type="#_x0000_t202" filled="false" stroked="false">
          <v:textbox inset="0,0,0,0">
            <w:txbxContent>
              <w:p>
                <w:pPr>
                  <w:spacing w:before="225"/>
                  <w:ind w:left="4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6">
    <w:multiLevelType w:val="hybridMultilevel"/>
    <w:lvl w:ilvl="0">
      <w:start w:val="14"/>
      <w:numFmt w:val="lowerLetter"/>
      <w:lvlText w:val="%1."/>
      <w:lvlJc w:val="left"/>
      <w:pPr>
        <w:ind w:left="646" w:hanging="621"/>
        <w:jc w:val="left"/>
      </w:pPr>
      <w:rPr>
        <w:rFonts w:hint="default" w:ascii="Arial" w:hAnsi="Arial" w:eastAsia="Arial" w:cs="Arial"/>
        <w:color w:val="547E6D"/>
        <w:spacing w:val="-1"/>
        <w:w w:val="129"/>
        <w:position w:val="-5"/>
        <w:sz w:val="11"/>
        <w:szCs w:val="11"/>
      </w:rPr>
    </w:lvl>
    <w:lvl w:ilvl="1">
      <w:start w:val="1"/>
      <w:numFmt w:val="upperLetter"/>
      <w:lvlText w:val="%2."/>
      <w:lvlJc w:val="left"/>
      <w:pPr>
        <w:ind w:left="1913" w:hanging="933"/>
        <w:jc w:val="left"/>
      </w:pPr>
      <w:rPr>
        <w:rFonts w:hint="default" w:ascii="Times New Roman" w:hAnsi="Times New Roman" w:eastAsia="Times New Roman" w:cs="Times New Roman"/>
        <w:color w:val="547E6D"/>
        <w:spacing w:val="-1"/>
        <w:w w:val="129"/>
        <w:position w:val="-2"/>
        <w:sz w:val="8"/>
        <w:szCs w:val="8"/>
      </w:rPr>
    </w:lvl>
    <w:lvl w:ilvl="2">
      <w:start w:val="0"/>
      <w:numFmt w:val="bullet"/>
      <w:lvlText w:val="•"/>
      <w:lvlJc w:val="left"/>
      <w:pPr>
        <w:ind w:left="3029" w:hanging="93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139" w:hanging="93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248" w:hanging="93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358" w:hanging="93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467" w:hanging="93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577" w:hanging="93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686" w:hanging="933"/>
      </w:pPr>
      <w:rPr>
        <w:rFonts w:hint="default"/>
      </w:rPr>
    </w:lvl>
  </w:abstractNum>
  <w:abstractNum w:abstractNumId="5">
    <w:multiLevelType w:val="hybridMultilevel"/>
    <w:lvl w:ilvl="0">
      <w:start w:val="5"/>
      <w:numFmt w:val="decimal"/>
      <w:lvlText w:val="%1"/>
      <w:lvlJc w:val="left"/>
      <w:pPr>
        <w:ind w:left="1430" w:hanging="758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30" w:hanging="758"/>
        <w:jc w:val="left"/>
      </w:pPr>
      <w:rPr>
        <w:rFonts w:hint="default" w:ascii="Arial" w:hAnsi="Arial" w:eastAsia="Arial" w:cs="Arial"/>
        <w:b/>
        <w:bCs/>
        <w:w w:val="102"/>
        <w:sz w:val="31"/>
        <w:szCs w:val="31"/>
      </w:rPr>
    </w:lvl>
    <w:lvl w:ilvl="2">
      <w:start w:val="0"/>
      <w:numFmt w:val="bullet"/>
      <w:lvlText w:val="•"/>
      <w:lvlJc w:val="left"/>
      <w:pPr>
        <w:ind w:left="2213" w:hanging="75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600" w:hanging="75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987" w:hanging="75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74" w:hanging="75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60" w:hanging="75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147" w:hanging="75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534" w:hanging="758"/>
      </w:pPr>
      <w:rPr>
        <w:rFonts w:hint="default"/>
      </w:rPr>
    </w:lvl>
  </w:abstractNum>
  <w:abstractNum w:abstractNumId="4">
    <w:multiLevelType w:val="hybridMultilevel"/>
    <w:lvl w:ilvl="0">
      <w:start w:val="4"/>
      <w:numFmt w:val="decimal"/>
      <w:lvlText w:val="%1"/>
      <w:lvlJc w:val="left"/>
      <w:pPr>
        <w:ind w:left="1430" w:hanging="758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30" w:hanging="758"/>
        <w:jc w:val="right"/>
      </w:pPr>
      <w:rPr>
        <w:rFonts w:hint="default" w:ascii="Arial" w:hAnsi="Arial" w:eastAsia="Arial" w:cs="Arial"/>
        <w:b/>
        <w:bCs/>
        <w:w w:val="102"/>
        <w:sz w:val="31"/>
        <w:szCs w:val="31"/>
      </w:rPr>
    </w:lvl>
    <w:lvl w:ilvl="2">
      <w:start w:val="0"/>
      <w:numFmt w:val="bullet"/>
      <w:lvlText w:val="•"/>
      <w:lvlJc w:val="left"/>
      <w:pPr>
        <w:ind w:left="1869" w:hanging="75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299" w:hanging="75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729" w:hanging="75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59" w:hanging="75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589" w:hanging="75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018" w:hanging="75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48" w:hanging="758"/>
      </w:pPr>
      <w:rPr>
        <w:rFonts w:hint="default"/>
      </w:rPr>
    </w:lvl>
  </w:abstractNum>
  <w:abstractNum w:abstractNumId="3">
    <w:multiLevelType w:val="hybridMultilevel"/>
    <w:lvl w:ilvl="0">
      <w:start w:val="3"/>
      <w:numFmt w:val="decimal"/>
      <w:lvlText w:val="%1"/>
      <w:lvlJc w:val="left"/>
      <w:pPr>
        <w:ind w:left="1430" w:hanging="758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30" w:hanging="758"/>
        <w:jc w:val="right"/>
      </w:pPr>
      <w:rPr>
        <w:rFonts w:hint="default" w:ascii="Arial" w:hAnsi="Arial" w:eastAsia="Arial" w:cs="Arial"/>
        <w:b/>
        <w:bCs/>
        <w:w w:val="102"/>
        <w:sz w:val="31"/>
        <w:szCs w:val="31"/>
      </w:rPr>
    </w:lvl>
    <w:lvl w:ilvl="2">
      <w:start w:val="0"/>
      <w:numFmt w:val="bullet"/>
      <w:lvlText w:val="•"/>
      <w:lvlJc w:val="left"/>
      <w:pPr>
        <w:ind w:left="2213" w:hanging="75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600" w:hanging="75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987" w:hanging="75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74" w:hanging="75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60" w:hanging="75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147" w:hanging="75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534" w:hanging="758"/>
      </w:pPr>
      <w:rPr>
        <w:rFonts w:hint="default"/>
      </w:rPr>
    </w:lvl>
  </w:abstractNum>
  <w:abstractNum w:abstractNumId="2">
    <w:multiLevelType w:val="hybridMultilevel"/>
    <w:lvl w:ilvl="0">
      <w:start w:val="2"/>
      <w:numFmt w:val="decimal"/>
      <w:lvlText w:val="%1"/>
      <w:lvlJc w:val="left"/>
      <w:pPr>
        <w:ind w:left="1430" w:hanging="758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30" w:hanging="758"/>
        <w:jc w:val="right"/>
      </w:pPr>
      <w:rPr>
        <w:rFonts w:hint="default" w:ascii="Arial" w:hAnsi="Arial" w:eastAsia="Arial" w:cs="Arial"/>
        <w:b/>
        <w:bCs/>
        <w:w w:val="102"/>
        <w:sz w:val="31"/>
        <w:szCs w:val="31"/>
      </w:rPr>
    </w:lvl>
    <w:lvl w:ilvl="2">
      <w:start w:val="0"/>
      <w:numFmt w:val="bullet"/>
      <w:lvlText w:val="•"/>
      <w:lvlJc w:val="left"/>
      <w:pPr>
        <w:ind w:left="2213" w:hanging="75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600" w:hanging="75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987" w:hanging="75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74" w:hanging="75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60" w:hanging="75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147" w:hanging="75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534" w:hanging="758"/>
      </w:pPr>
      <w:rPr>
        <w:rFonts w:hint="default"/>
      </w:rPr>
    </w:lvl>
  </w:abstractNum>
  <w:abstractNum w:abstractNumId="1">
    <w:multiLevelType w:val="hybridMultilevel"/>
    <w:lvl w:ilvl="0">
      <w:start w:val="1"/>
      <w:numFmt w:val="decimal"/>
      <w:lvlText w:val="%1"/>
      <w:lvlJc w:val="left"/>
      <w:pPr>
        <w:ind w:left="1430" w:hanging="758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30" w:hanging="758"/>
        <w:jc w:val="left"/>
      </w:pPr>
      <w:rPr>
        <w:rFonts w:hint="default" w:ascii="Arial" w:hAnsi="Arial" w:eastAsia="Arial" w:cs="Arial"/>
        <w:b/>
        <w:bCs/>
        <w:w w:val="102"/>
        <w:sz w:val="31"/>
        <w:szCs w:val="31"/>
      </w:rPr>
    </w:lvl>
    <w:lvl w:ilvl="2">
      <w:start w:val="0"/>
      <w:numFmt w:val="bullet"/>
      <w:lvlText w:val="•"/>
      <w:lvlJc w:val="left"/>
      <w:pPr>
        <w:ind w:left="2213" w:hanging="75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600" w:hanging="75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987" w:hanging="75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74" w:hanging="75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60" w:hanging="75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147" w:hanging="75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534" w:hanging="758"/>
      </w:pPr>
      <w:rPr>
        <w:rFonts w:hint="default"/>
      </w:rPr>
    </w:lvl>
  </w:abstractNum>
  <w:abstractNum w:abstractNumId="0">
    <w:multiLevelType w:val="hybridMultilevel"/>
    <w:lvl w:ilvl="0">
      <w:start w:val="1"/>
      <w:numFmt w:val="decimal"/>
      <w:lvlText w:val="%1"/>
      <w:lvlJc w:val="left"/>
      <w:pPr>
        <w:ind w:left="1003" w:hanging="330"/>
        <w:jc w:val="left"/>
      </w:pPr>
      <w:rPr>
        <w:rFonts w:hint="default" w:ascii="Arial" w:hAnsi="Arial" w:eastAsia="Arial" w:cs="Arial"/>
        <w:b/>
        <w:bCs/>
        <w:color w:val="FF0000"/>
        <w:w w:val="99"/>
        <w:sz w:val="22"/>
        <w:szCs w:val="22"/>
      </w:rPr>
    </w:lvl>
    <w:lvl w:ilvl="1">
      <w:start w:val="1"/>
      <w:numFmt w:val="decimal"/>
      <w:lvlText w:val="%1.%2"/>
      <w:lvlJc w:val="left"/>
      <w:pPr>
        <w:ind w:left="1509" w:hanging="506"/>
        <w:jc w:val="left"/>
      </w:pPr>
      <w:rPr>
        <w:rFonts w:hint="default" w:ascii="Arial" w:hAnsi="Arial" w:eastAsia="Arial" w:cs="Arial"/>
        <w:color w:val="FF0000"/>
        <w:w w:val="99"/>
        <w:sz w:val="22"/>
        <w:szCs w:val="22"/>
      </w:rPr>
    </w:lvl>
    <w:lvl w:ilvl="2">
      <w:start w:val="0"/>
      <w:numFmt w:val="bullet"/>
      <w:lvlText w:val="•"/>
      <w:lvlJc w:val="left"/>
      <w:pPr>
        <w:ind w:left="2605" w:hanging="50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710" w:hanging="50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815" w:hanging="50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920" w:hanging="50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025" w:hanging="50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130" w:hanging="50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235" w:hanging="506"/>
      </w:pPr>
      <w:rPr>
        <w:rFonts w:hint="default"/>
      </w:rPr>
    </w:lvl>
  </w:abstract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TOC1" w:type="paragraph">
    <w:name w:val="TOC 1"/>
    <w:basedOn w:val="Normal"/>
    <w:uiPriority w:val="1"/>
    <w:qFormat/>
    <w:pPr>
      <w:spacing w:before="256"/>
      <w:ind w:left="673" w:hanging="330"/>
    </w:pPr>
    <w:rPr>
      <w:rFonts w:ascii="Arial" w:hAnsi="Arial" w:eastAsia="Arial" w:cs="Arial"/>
      <w:b/>
      <w:bCs/>
      <w:sz w:val="22"/>
      <w:szCs w:val="22"/>
    </w:rPr>
  </w:style>
  <w:style w:styleId="TOC2" w:type="paragraph">
    <w:name w:val="TOC 2"/>
    <w:basedOn w:val="Normal"/>
    <w:uiPriority w:val="1"/>
    <w:qFormat/>
    <w:pPr>
      <w:spacing w:before="36"/>
      <w:ind w:left="1509" w:hanging="506"/>
    </w:pPr>
    <w:rPr>
      <w:rFonts w:ascii="Arial" w:hAnsi="Arial" w:eastAsia="Arial" w:cs="Arial"/>
      <w:sz w:val="22"/>
      <w:szCs w:val="22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</w:rPr>
  </w:style>
  <w:style w:styleId="Heading1" w:type="paragraph">
    <w:name w:val="Heading 1"/>
    <w:basedOn w:val="Normal"/>
    <w:uiPriority w:val="1"/>
    <w:qFormat/>
    <w:pPr>
      <w:spacing w:before="111"/>
      <w:ind w:left="673"/>
      <w:outlineLvl w:val="1"/>
    </w:pPr>
    <w:rPr>
      <w:rFonts w:ascii="Arial" w:hAnsi="Arial" w:eastAsia="Arial" w:cs="Arial"/>
      <w:b/>
      <w:bCs/>
      <w:sz w:val="45"/>
      <w:szCs w:val="45"/>
    </w:rPr>
  </w:style>
  <w:style w:styleId="Heading2" w:type="paragraph">
    <w:name w:val="Heading 2"/>
    <w:basedOn w:val="Normal"/>
    <w:uiPriority w:val="1"/>
    <w:qFormat/>
    <w:pPr>
      <w:ind w:left="1430" w:hanging="757"/>
      <w:outlineLvl w:val="2"/>
    </w:pPr>
    <w:rPr>
      <w:rFonts w:ascii="Arial" w:hAnsi="Arial" w:eastAsia="Arial" w:cs="Arial"/>
      <w:b/>
      <w:bCs/>
      <w:sz w:val="31"/>
      <w:szCs w:val="31"/>
    </w:rPr>
  </w:style>
  <w:style w:styleId="Heading3" w:type="paragraph">
    <w:name w:val="Heading 3"/>
    <w:basedOn w:val="Normal"/>
    <w:uiPriority w:val="1"/>
    <w:qFormat/>
    <w:pPr>
      <w:ind w:left="329"/>
      <w:outlineLvl w:val="3"/>
    </w:pPr>
    <w:rPr>
      <w:rFonts w:ascii="Arial" w:hAnsi="Arial" w:eastAsia="Arial" w:cs="Arial"/>
      <w:b/>
      <w:bCs/>
      <w:sz w:val="26"/>
      <w:szCs w:val="26"/>
    </w:rPr>
  </w:style>
  <w:style w:styleId="ListParagraph" w:type="paragraph">
    <w:name w:val="List Paragraph"/>
    <w:basedOn w:val="Normal"/>
    <w:uiPriority w:val="1"/>
    <w:qFormat/>
    <w:pPr>
      <w:spacing w:before="36"/>
      <w:ind w:left="1509" w:hanging="757"/>
    </w:pPr>
    <w:rPr>
      <w:rFonts w:ascii="Arial" w:hAnsi="Arial" w:eastAsia="Arial" w:cs="Arial"/>
    </w:rPr>
  </w:style>
  <w:style w:styleId="TableParagraph" w:type="paragraph">
    <w:name w:val="Table Paragraph"/>
    <w:basedOn w:val="Normal"/>
    <w:uiPriority w:val="1"/>
    <w:qFormat/>
    <w:pPr>
      <w:spacing w:line="219" w:lineRule="exact"/>
      <w:jc w:val="right"/>
    </w:pPr>
    <w:rPr>
      <w:rFonts w:ascii="Times New Roman" w:hAnsi="Times New Roman" w:eastAsia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png"/><Relationship Id="rId11" Type="http://schemas.openxmlformats.org/officeDocument/2006/relationships/hyperlink" Target="http://www.gst.dk/" TargetMode="External"/><Relationship Id="rId12" Type="http://schemas.openxmlformats.org/officeDocument/2006/relationships/footer" Target="footer1.xml"/><Relationship Id="rId13" Type="http://schemas.openxmlformats.org/officeDocument/2006/relationships/footer" Target="footer2.xml"/><Relationship Id="rId14" Type="http://schemas.openxmlformats.org/officeDocument/2006/relationships/footer" Target="footer3.xml"/><Relationship Id="rId15" Type="http://schemas.openxmlformats.org/officeDocument/2006/relationships/image" Target="media/image7.jpeg"/><Relationship Id="rId16" Type="http://schemas.openxmlformats.org/officeDocument/2006/relationships/footer" Target="footer4.xml"/><Relationship Id="rId17" Type="http://schemas.openxmlformats.org/officeDocument/2006/relationships/footer" Target="footer5.xml"/><Relationship Id="rId18" Type="http://schemas.openxmlformats.org/officeDocument/2006/relationships/footer" Target="footer6.xml"/><Relationship Id="rId19" Type="http://schemas.openxmlformats.org/officeDocument/2006/relationships/image" Target="media/image8.jpeg"/><Relationship Id="rId20" Type="http://schemas.openxmlformats.org/officeDocument/2006/relationships/image" Target="media/image9.jpeg"/><Relationship Id="rId21" Type="http://schemas.openxmlformats.org/officeDocument/2006/relationships/footer" Target="footer7.xml"/><Relationship Id="rId22" Type="http://schemas.openxmlformats.org/officeDocument/2006/relationships/footer" Target="footer8.xml"/><Relationship Id="rId23" Type="http://schemas.openxmlformats.org/officeDocument/2006/relationships/image" Target="media/image10.jpeg"/><Relationship Id="rId24" Type="http://schemas.openxmlformats.org/officeDocument/2006/relationships/image" Target="media/image11.jpeg"/><Relationship Id="rId25" Type="http://schemas.openxmlformats.org/officeDocument/2006/relationships/footer" Target="footer9.xml"/><Relationship Id="rId26" Type="http://schemas.openxmlformats.org/officeDocument/2006/relationships/image" Target="media/image12.jpeg"/><Relationship Id="rId27" Type="http://schemas.openxmlformats.org/officeDocument/2006/relationships/footer" Target="footer10.xml"/><Relationship Id="rId28" Type="http://schemas.openxmlformats.org/officeDocument/2006/relationships/image" Target="media/image13.jpeg"/><Relationship Id="rId29" Type="http://schemas.openxmlformats.org/officeDocument/2006/relationships/image" Target="media/image14.jpeg"/><Relationship Id="rId30" Type="http://schemas.openxmlformats.org/officeDocument/2006/relationships/image" Target="media/image15.jpeg"/><Relationship Id="rId31" Type="http://schemas.openxmlformats.org/officeDocument/2006/relationships/image" Target="media/image16.jpeg"/><Relationship Id="rId32" Type="http://schemas.openxmlformats.org/officeDocument/2006/relationships/image" Target="media/image17.jpeg"/><Relationship Id="rId33" Type="http://schemas.openxmlformats.org/officeDocument/2006/relationships/image" Target="media/image18.jpeg"/><Relationship Id="rId34" Type="http://schemas.openxmlformats.org/officeDocument/2006/relationships/image" Target="media/image19.jpeg"/><Relationship Id="rId35" Type="http://schemas.openxmlformats.org/officeDocument/2006/relationships/footer" Target="footer11.xml"/><Relationship Id="rId36" Type="http://schemas.openxmlformats.org/officeDocument/2006/relationships/image" Target="media/image20.jpeg"/><Relationship Id="rId37" Type="http://schemas.openxmlformats.org/officeDocument/2006/relationships/image" Target="media/image21.jpeg"/><Relationship Id="rId38" Type="http://schemas.openxmlformats.org/officeDocument/2006/relationships/image" Target="media/image22.png"/><Relationship Id="rId39" Type="http://schemas.openxmlformats.org/officeDocument/2006/relationships/footer" Target="footer12.xml"/><Relationship Id="rId40" Type="http://schemas.openxmlformats.org/officeDocument/2006/relationships/image" Target="media/image23.png"/><Relationship Id="rId41" Type="http://schemas.openxmlformats.org/officeDocument/2006/relationships/image" Target="media/image24.jpeg"/><Relationship Id="rId42" Type="http://schemas.openxmlformats.org/officeDocument/2006/relationships/image" Target="media/image25.jpeg"/><Relationship Id="rId43" Type="http://schemas.openxmlformats.org/officeDocument/2006/relationships/image" Target="media/image26.jpeg"/><Relationship Id="rId44" Type="http://schemas.openxmlformats.org/officeDocument/2006/relationships/image" Target="media/image27.jpeg"/><Relationship Id="rId45" Type="http://schemas.openxmlformats.org/officeDocument/2006/relationships/image" Target="media/image28.jpeg"/><Relationship Id="rId46" Type="http://schemas.openxmlformats.org/officeDocument/2006/relationships/image" Target="media/image29.jpeg"/><Relationship Id="rId47" Type="http://schemas.openxmlformats.org/officeDocument/2006/relationships/footer" Target="footer13.xml"/><Relationship Id="rId48" Type="http://schemas.openxmlformats.org/officeDocument/2006/relationships/image" Target="media/image30.jpeg"/><Relationship Id="rId49" Type="http://schemas.openxmlformats.org/officeDocument/2006/relationships/footer" Target="footer14.xml"/><Relationship Id="rId50" Type="http://schemas.openxmlformats.org/officeDocument/2006/relationships/footer" Target="footer15.xml"/><Relationship Id="rId51" Type="http://schemas.openxmlformats.org/officeDocument/2006/relationships/hyperlink" Target="http://www.dmi.dk/fileadmin/user_upload/DKC/notat_vandstand_geus_dmi.pdf" TargetMode="External"/><Relationship Id="rId52" Type="http://schemas.openxmlformats.org/officeDocument/2006/relationships/hyperlink" Target="ftp://ftp.kms.dk/download/Technical_Reports/KMS_Technical_Report_10.pdf" TargetMode="External"/><Relationship Id="rId53" Type="http://schemas.openxmlformats.org/officeDocument/2006/relationships/hyperlink" Target="ftp://ftp.kms.dk/download/Technical_Reports/KMS_Technical_Report_8.pdf" TargetMode="External"/><Relationship Id="rId54" Type="http://schemas.openxmlformats.org/officeDocument/2006/relationships/hyperlink" Target="http://www.klimatilpasning.dk/media/356781/klimaogh_jdedataendelig__1_.pdf" TargetMode="External"/><Relationship Id="rId55" Type="http://schemas.openxmlformats.org/officeDocument/2006/relationships/hyperlink" Target="http://sealevel.colorado.edu/" TargetMode="External"/><Relationship Id="rId56" Type="http://schemas.openxmlformats.org/officeDocument/2006/relationships/hyperlink" Target="ftp://ftp.kms.dk/download/Technical_Reports/KMS_Technical_Report_12.pdf" TargetMode="External"/><Relationship Id="rId57" Type="http://schemas.openxmlformats.org/officeDocument/2006/relationships/hyperlink" Target="ftp://ftp.kms.dk/download/Technical_Reports/KMS_Technical_Report_11.pdf" TargetMode="External"/><Relationship Id="rId58" Type="http://schemas.openxmlformats.org/officeDocument/2006/relationships/footer" Target="footer16.xml"/><Relationship Id="rId59" Type="http://schemas.openxmlformats.org/officeDocument/2006/relationships/footer" Target="footer17.xml"/><Relationship Id="rId60" Type="http://schemas.openxmlformats.org/officeDocument/2006/relationships/footer" Target="footer18.xml"/><Relationship Id="rId61" Type="http://schemas.openxmlformats.org/officeDocument/2006/relationships/footer" Target="footer19.xml"/><Relationship Id="rId62" Type="http://schemas.openxmlformats.org/officeDocument/2006/relationships/footer" Target="footer20.xml"/><Relationship Id="rId63" Type="http://schemas.openxmlformats.org/officeDocument/2006/relationships/image" Target="media/image31.jpeg"/><Relationship Id="rId64" Type="http://schemas.openxmlformats.org/officeDocument/2006/relationships/image" Target="media/image32.jpeg"/><Relationship Id="rId65" Type="http://schemas.openxmlformats.org/officeDocument/2006/relationships/image" Target="media/image33.jpeg"/><Relationship Id="rId66" Type="http://schemas.openxmlformats.org/officeDocument/2006/relationships/image" Target="media/image34.jpeg"/><Relationship Id="rId67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2019-09-17T09:28:45Z</dcterms:created>
  <dcterms:modified xsi:type="dcterms:W3CDTF">2019-09-17T09:28:45Z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2013-09-30T00:00:00Z</vt:filetime>
  </property>
  <property fmtid="{D5CDD505-2E9C-101B-9397-08002B2CF9AE}" pid="3" name="Creator">
    <vt:lpwstr>LaTeX with hyperref package</vt:lpwstr>
  </property>
  <property fmtid="{D5CDD505-2E9C-101B-9397-08002B2CF9AE}" pid="4" name="LastSaved">
    <vt:filetime>2019-09-17T00:00:00Z</vt:filetime>
  </property>
</Properties>
</file>