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  <w:r>
        <w:rPr/>
        <w:pict>
          <v:group style="position:absolute;margin-left:-.216858pt;margin-top:-.260076pt;width:595.75pt;height:308.6pt;mso-position-horizontal-relative:page;mso-position-vertical-relative:page;z-index:-36424" coordorigin="-4,-5" coordsize="11915,6172">
            <v:rect style="position:absolute;left:566;top:566;width:10772;height:3685" filled="true" fillcolor="#71a7a1" stroked="false">
              <v:fill type="solid"/>
            </v:rect>
            <v:shape style="position:absolute;left:-5;top:-5;width:11915;height:4264" type="#_x0000_t75" stroked="false">
              <v:imagedata r:id="rId5" o:title=""/>
            </v:shape>
            <v:shape style="position:absolute;left:-5;top:3422;width:744;height:835" type="#_x0000_t75" stroked="false">
              <v:imagedata r:id="rId6" o:title=""/>
            </v:shape>
            <v:shape style="position:absolute;left:1215;top:4115;width:54;height:81" coordorigin="1215,4115" coordsize="54,81" path="m1269,4136l1267,4115,1215,4118,1217,4141,1269,4136m1269,4191l1268,4171,1216,4173,1218,4196,1269,4191e" filled="true" fillcolor="#346752" stroked="false">
              <v:path arrowok="t"/>
              <v:fill type="solid"/>
            </v:shape>
            <v:shape style="position:absolute;left:1195;top:3328;width:8772;height:2444" coordorigin="1196,3328" coordsize="8772,2444" path="m9836,736l9834,736,9832,736,9831,738,9829,738,9827,738,9826,738,9826,740,9824,740,9822,740,9822,742,9820,742,9819,743,9817,745,9815,747,9815,749,9813,750,9812,752,9812,754,9812,756,9812,757,9810,759,9810,761,9810,763m9858,789l9855,785m9812,787l9819,787m9855,789l9857,787,9858,783,9858,780,9860,776,9860,775,9860,771,9862,768,9862,764,9862,763m9890,787l9853,787m9810,763l9810,764,9810,768,9812,771,9812,775,9812,776,9813,780,9813,783,9815,785,9817,789m9862,763l9862,761,9862,759,9860,757,9860,756,9860,754,9858,752,9858,750,9857,749,9857,747,9855,745,9853,743,9851,743,9851,742,9850,742,9850,740,9848,740,9846,740,9846,738,9845,738,9843,738,9841,738,9839,736,9838,736,9836,736m9813,789l9817,785m10481,716l10479,716,10477,716,10476,718,10474,718,10472,718,10470,718,10470,720,10469,720,10467,720,10467,721,10465,721,10463,723,10462,725,10460,727,10460,728,10458,730,10456,732,10456,734,10456,735,10456,737,10455,739,10455,741,10455,742m10503,768l10500,765m10456,767l10463,767m10500,768l10502,767,10503,763,10503,760,10505,756,10505,754,10505,751,10507,747,10507,744,10507,742m10534,767l10498,767m10455,742l10455,744,10455,747,10456,751,10456,754,10456,756,10458,760,10458,763,10460,765,10462,768m10507,742l10507,741,10507,739,10505,737,10505,735,10505,734,10503,732,10503,730,10502,728,10502,727,10500,725,10498,723,10496,723,10496,721,10495,721,10495,720,10493,720,10491,720,10491,718,10489,718,10488,718,10486,718,10484,716,10482,716,10481,716m10458,768l10462,765m10161,836l10137,896m10182,896l10160,836m10165,840l10156,840m10142,892l10135,892m10139,894l10137,890m10210,892l10177,892m9827,425l9802,484m9847,484l9825,425m9830,428l9822,428m9808,480l9801,480m9804,482l9802,479m9875,480l9842,480m10455,411l10431,470m10476,470l10454,411m10459,414l10450,414m10436,466l10429,466m10433,468l10431,465m10504,466l10471,466m10167,220l10142,279m10187,279l10165,220m10170,223l10161,223m10148,275l10141,275m10144,277l10142,274m10215,275l10182,275m9509,221l9485,280m9530,280l9507,221m9512,224l9504,224m9490,277l9483,277m9486,278l9485,275m9557,277l9524,277m9835,100l9833,100,9831,100,9830,102,9828,102,9826,102,9824,102,9824,104,9823,104,9821,104,9821,106,9819,106,9818,107,9816,109,9814,111,9814,113,9812,114,9811,116,9811,118,9811,120,9811,121,9809,123,9809,125,9809,127m9857,153l9854,149m9811,151l9818,151m9854,153l9856,151,9857,147,9857,144,9859,140,9859,139,9859,135,9861,132,9861,128,9861,127m9889,151l9852,151m9809,127l9809,128,9809,132,9811,135,9811,139,9811,140,9812,144,9812,147,9814,149,9816,153m9861,127l9861,125,9861,123,9859,121,9859,120,9859,118,9857,116,9857,114,9856,113,9856,111,9854,109,9852,107,9850,107,9850,106,9849,106,9849,104,9847,104,9845,104,9845,102,9843,102,9842,102,9840,102,9838,100,9837,100,9835,100m9812,153l9816,149m10082,496l10080,496,10078,496,10077,498,10075,498,10073,498,10071,498,10071,499,10070,499,10068,499,10068,501,10066,501,10064,503,10063,505,10061,506,10061,508,10059,510,10057,512,10057,513,10057,515,10057,517,10056,519,10056,520,10056,522m10104,548l10101,545m10057,546l10064,546m10101,548l10103,546,10104,543,10104,539,10106,536,10106,534,10106,531,10108,527,10108,524,10108,522m10136,546l10099,546m10056,522l10056,524,10056,527,10057,531,10057,534,10057,536,10059,539,10059,543,10061,545,10063,548m10108,522l10108,520,10108,519,10106,517,10106,515,10106,513,10104,512,10104,510,10103,508,10103,506,10101,505,10099,503,10097,503,10097,501,10096,501,10096,499,10094,499,10092,499,10092,498,10090,498,10089,498,10087,498,10085,496,10084,496,10082,496m10059,548l10063,545m10506,99l10504,99,10502,99,10500,101,10499,101,10497,101,10495,101,10495,103,10494,103,10492,103,10492,105,10490,105,10488,106,10487,108,10485,110,10485,112,10483,113,10481,115,10481,117,10481,119,10481,120,10480,122,10480,124,10480,125m10528,152l10525,148m10481,150l10488,150m10525,152l10526,150,10528,146,10528,143,10530,139,10530,138,10530,134,10532,131,10532,127,10532,126m10559,150l10523,150m10480,126l10480,127,10480,131,10481,134,10481,138,10481,139,10483,143,10483,146,10485,148,10487,152m10532,126l10532,124,10532,122,10530,120,10530,119,10530,117,10528,115,10528,113,10526,112,10526,110,10525,108,10523,106,10521,106,10521,105,10519,105,10519,103,10518,103,10516,103,10516,101,10514,101,10513,101,10511,101,10509,99,10507,99,10506,99m10483,152l10487,148m1803,235l1801,235,1799,235,1798,237,1796,237,1794,237,1792,237,1792,239,1791,239,1789,239,1789,241,1787,241,1786,242,1784,244,1782,246,1782,248,1780,249,1779,251,1779,253,1779,255,1779,256,1777,258,1777,260,1777,262m1825,288l1822,284m1779,286l1786,286m1822,288l1824,286,1825,282,1825,279,1827,275,1827,274,1827,270,1829,267,1829,263,1829,262m1857,286l1820,286m1777,262l1777,263,1777,267,1779,270,1779,274,1779,275,1780,279,1780,283,1782,284,1784,288m1829,262l1829,260,1829,258,1827,256,1827,255,1827,253,1825,251,1825,249,1824,248,1824,246,1822,244,1820,242,1818,242,1818,241,1817,241,1817,239,1815,239,1813,239,1813,237,1811,237,1810,237,1808,237,1806,235,1805,235,1803,235m1780,288l1784,284m2584,137l2582,137,2580,137,2578,139,2577,139,2575,139,2573,139,2573,140,2571,140,2570,140,2570,142,2568,142,2566,144,2564,146,2563,147,2563,149,2561,151,2559,153,2559,154,2559,156,2559,158,2558,160,2558,161,2558,163m2606,189l2603,186m2559,187l2566,187m2603,189l2604,187,2606,184,2606,180,2608,177,2608,175,2608,172,2610,168,2610,165,2610,163m2637,187l2601,187m2558,163l2558,165,2558,168,2559,172,2559,175,2559,177,2561,180,2561,184,2563,186,2564,189m2610,163l2610,161,2610,160,2608,158,2608,156,2608,154,2606,153,2606,151,2604,149,2604,147,2603,146,2601,144,2599,144,2599,142,2597,142,2597,140,2596,140,2594,140,2594,139,2592,139,2590,139,2589,139,2587,137,2585,137,2584,137m2561,189l2564,186m3271,727l3270,727,3268,727,3266,728,3265,728,3263,728,3261,728,3261,730,3259,730,3258,730,3258,732,3256,732,3254,734,3252,735,3251,737,3251,739,3249,741,3247,742,3247,744,3247,746,3247,748,3245,749,3245,751,3245,753m3294,779l3291,776m3247,777l3254,777m3291,779l3292,777,3294,774,3294,770,3296,767,3296,765,3296,762,3297,758,3297,755,3297,753m3325,777l3289,777m3245,753l3245,755,3245,758,3247,762,3247,765,3247,767,3249,770,3249,774,3251,776,3252,779m3297,753l3297,751,3297,749,3296,748,3296,746,3296,744,3294,742,3294,741,3292,739,3292,737,3291,735,3289,734,3287,734,3287,732,3285,732,3285,730,3284,730,3282,730,3282,728,3280,728,3278,728,3277,728,3275,727,3273,727,3271,727m3249,779l3252,776m2615,1357l2613,1357,2611,1357,2610,1359,2608,1359,2606,1359,2604,1359,2604,1361,2603,1361,2601,1361,2601,1363,2599,1363,2598,1364,2596,1366,2594,1368,2594,1370,2592,1371,2590,1373,2590,1375,2590,1377,2590,1378,2589,1380,2589,1382,2589,1383m2637,1410l2634,1406m2590,1408l2598,1408m2634,1410l2636,1408,2637,1404,2637,1401,2639,1397,2639,1396,2639,1392,2641,1389,2641,1385,2641,1383m2669,1408l2632,1408m2589,1383l2589,1385,2589,1389,2590,1392,2590,1396,2590,1397,2592,1401,2592,1404,2594,1406,2596,1410m2641,1383l2641,1382,2641,1380,2639,1378,2639,1377,2639,1375,2637,1373,2637,1371,2636,1370,2636,1368,2634,1366,2632,1364,2630,1364,2630,1363,2629,1363,2629,1361,2627,1361,2625,1361,2625,1359,2623,1359,2622,1359,2620,1359,2618,1357,2617,1357,2615,1357m2592,1410l2596,1406m1779,1251l1777,1251,1775,1251,1774,1253,1772,1253,1770,1253,1768,1253,1768,1255,1767,1255,1765,1255,1765,1257,1763,1257,1761,1258,1760,1260,1758,1262,1758,1264,1756,1265,1754,1267,1754,1269,1754,1271,1754,1272,1753,1274,1753,1276,1753,1278m1801,1304l1798,1300m1754,1302l1761,1302m1798,1304l1800,1302,1801,1298,1801,1295,1803,1291,1803,1290,1803,1286,1805,1283,1805,1279,1805,1278m1832,1302l1796,1302m1753,1278l1753,1279,1753,1283,1754,1286,1754,1290,1754,1291,1756,1295,1756,1298,1758,1300,1760,1304m1805,1278l1805,1276,1805,1274,1803,1272,1803,1271,1803,1269,1801,1267,1801,1265,1800,1264,1800,1262,1798,1260,1796,1258,1794,1258,1794,1257,1793,1257,1793,1255,1791,1255,1789,1255,1789,1253,1787,1253,1786,1253,1784,1253,1782,1251,1780,1251,1779,1251m1756,1304l1760,1300m2314,1867l2313,1867,2311,1867,2309,1869,2307,1869,2306,1869,2304,1869,2304,1871,2302,1871,2300,1871,2300,1873,2299,1873,2297,1874,2295,1876,2294,1878,2294,1880,2292,1881,2290,1883,2290,1885,2290,1887,2290,1888,2288,1890,2288,1892,2288,1893m2337,1920l2333,1916m2290,1918l2297,1918m2333,1920l2335,1918,2337,1914,2337,1911,2339,1907,2339,1906,2339,1902,2340,1899,2340,1895,2340,1893m2368,1918l2332,1918m2288,1893l2288,1895,2288,1899,2290,1902,2290,1906,2290,1907,2292,1911,2292,1914,2294,1916,2295,1920m2340,1893l2340,1892,2340,1890,2339,1888,2339,1887,2339,1885,2337,1883,2337,1881,2335,1880,2335,1878,2333,1876,2332,1874,2330,1874,2330,1873,2328,1873,2328,1871,2326,1871,2325,1871,2325,1869,2323,1869,2321,1869,2320,1869,2318,1867,2316,1867,2314,1867m2292,1920l2295,1916m2972,1977l2971,1977,2969,1977,2967,1979,2965,1979,2964,1979,2962,1979,2962,1980,2960,1980,2959,1980,2959,1982,2957,1982,2955,1984,2953,1985,2951,1987,2951,1989,2950,1991,2948,1993,2948,1994,2948,1996,2948,1998,2946,1999,2946,2001,2946,2003m2995,2029l2991,2026m2948,2027l2955,2027m2991,2029l2993,2027,2995,2024,2995,2020,2997,2017,2997,2015,2997,2012,2998,2008,2998,2005,2998,2003m3026,2027l2990,2027m2946,2003l2946,2005,2946,2008,2948,2012,2948,2015,2948,2017,2950,2020,2950,2024,2951,2026,2953,2029m2998,2003l2998,2001,2998,1999,2997,1998,2997,1996,2997,1994,2995,1993,2995,1991,2993,1989,2993,1987,2991,1985,2990,1984,2988,1984,2988,1982,2986,1982,2986,1980,2984,1980,2983,1980,2983,1979,2981,1979,2979,1979,2978,1979,2976,1977,2974,1977,2972,1977m2950,2029l2953,2026m2959,1578l2957,1578,2955,1578,2953,1579,2952,1579,2950,1579,2948,1579,2948,1581,2946,1581,2945,1581,2945,1583,2943,1583,2941,1585,2940,1586,2938,1588,2938,1590,2936,1592,2934,1593,2934,1595,2934,1597,2934,1599,2933,1600,2933,1602,2933,1604m2981,1630l2978,1626m2934,1628l2941,1628m2978,1630l2979,1628,2981,1625,2981,1621,2983,1618,2983,1616,2983,1612,2985,1609,2985,1605,2985,1604m3012,1628l2976,1628m2933,1604l2933,1605,2933,1609,2934,1612,2934,1616,2934,1618,2936,1621,2936,1625,2938,1626,2940,1630m2985,1604l2985,1602,2985,1600,2983,1599,2983,1597,2983,1595,2981,1593,2981,1592,2979,1590,2979,1588,2978,1586,2976,1585,2974,1585,2974,1583,2972,1583,2972,1581,2971,1581,2969,1581,2969,1579,2967,1579,2966,1579,2964,1579,2962,1578,2960,1578,2959,1578m2936,1630l2940,1626m804,1341l802,1341,800,1341,798,1342,797,1342,795,1342,793,1342,793,1344,791,1344,790,1344,790,1346,788,1346,786,1347,784,1349,783,1351,783,1353,781,1355,779,1356,779,1358,779,1360,779,1361,777,1363,777,1365,777,1367m826,1393l823,1389m779,1391l786,1391m823,1393l824,1391,826,1388,826,1384,828,1381,828,1379,828,1375,830,1372,830,1368,830,1367m857,1391l821,1391m777,1367l777,1368,777,1372,779,1375,779,1379,779,1381,781,1384,781,1388,783,1389,784,1393m830,1367l830,1365,830,1363,828,1361,828,1360,828,1358,826,1356,826,1355,824,1353,824,1351,823,1349,821,1347,819,1347,819,1346,817,1346,817,1344,816,1344,814,1344,814,1342,812,1342,810,1342,809,1342,807,1341,805,1341,804,1341m781,1393l784,1389m312,1718l310,1718,308,1718,307,1719,305,1719,303,1719,301,1719,301,1721,300,1721,298,1721,298,1723,296,1723,294,1725,293,1726,291,1728,291,1730,289,1732,287,1733,287,1735,287,1737,287,1739,286,1740,286,1742,286,1744m334,1770l331,1766m287,1768l294,1768m331,1770l333,1768,334,1765,334,1761,336,1758,336,1756,336,1752,338,1749,338,1746,338,1744m365,1768l329,1768m286,1744l286,1746,286,1749,287,1752,287,1756,287,1758,289,1761,289,1765,291,1766,293,1770m338,1744l338,1742,338,1740,336,1739,336,1737,336,1735,334,1733,334,1732,333,1730,333,1728,331,1726,329,1725,327,1725,327,1723,325,1723,325,1721,324,1721,322,1721,322,1719,320,1719,319,1719,317,1719,315,1718,313,1718,312,1718m289,1770l293,1766m37,2241l35,2241,34,2241,32,2242,30,2242,28,2242,27,2242,27,2244,25,2244,23,2244,23,2246,22,2246,20,2248,18,2249,16,2251,16,2253,15,2255,13,2256,13,2258,13,2260,13,2262,11,2263,11,2265,11,2267m60,2293l56,2289m13,2291l20,2291m56,2293l58,2291,60,2288,60,2284,61,2281,61,2279,61,2275,63,2272,63,2269,63,2267m91,2291l54,2291m11,2267l11,2269,11,2272,13,2275,13,2279,13,2281,15,2284,15,2288,16,2289,18,2293m63,2267l63,2265,63,2263,61,2262,61,2260,61,2258,60,2256,60,2255,58,2253,58,2251,56,2249,54,2248,53,2248,53,2246,51,2246,51,2244,49,2244,48,2244,48,2242,46,2242,44,2242,42,2242,41,2241,39,2241,37,2241m15,2293l18,2289m229,2899l228,2899,226,2899,224,2901,223,2901,221,2901,219,2901,219,2903,217,2903,216,2903,216,2904,214,2904,212,2906,210,2908,209,2910,209,2911,207,2913,205,2915,205,2917,205,2918,205,2920,203,2922,203,2924,203,2925m252,2951l248,2948m205,2950l212,2950m249,2951l250,2950,252,2946,252,2943,254,2939,254,2937,254,2934,255,2931,255,2927,255,2925m283,2950l247,2950m203,2925l203,2927,203,2931,205,2934,205,2937,205,2939,207,2943,207,2946,209,2948,210,2951m255,2925l255,2924,255,2922,254,2920,254,2918,254,2917,252,2915,252,2913,250,2911,250,2910,249,2908,247,2906,245,2906,245,2904,243,2904,243,2903,242,2903,240,2903,240,2901,238,2901,236,2901,235,2901,233,2899,231,2899,229,2899m207,2951l210,2948m656,2185l654,2185,653,2185,651,2186,649,2186,647,2186,646,2186,646,2188,644,2188,642,2188,642,2190,640,2190,639,2191,637,2193,635,2195,635,2197,633,2199,632,2200,632,2202,632,2204,632,2205,630,2207,630,2209,630,2211m679,2237l675,2233m632,2235l639,2235m675,2237l677,2235,679,2232,679,2228,680,2224,680,2223,680,2219,682,2216,682,2212,682,2211m710,2235l673,2235m630,2211l630,2212,630,2216,632,2219,632,2223,632,2224,633,2228,633,2232,635,2233,637,2237m682,2211l682,2209,682,2207,680,2205,680,2204,680,2202,678,2200,678,2199,677,2197,677,2195,675,2193,673,2191,672,2191,672,2190,670,2190,670,2188,668,2188,666,2188,666,2186,665,2186,663,2186,661,2186,659,2185,658,2185,656,2185m633,2237l637,2233m1229,1801l1227,1801,1225,1801,1224,1802,1222,1802,1220,1802,1218,1802,1218,1804,1217,1804,1215,1804,1215,1806,1213,1806,1211,1808,1210,1809,1208,1811,1208,1813,1206,1815,1204,1817,1204,1818,1204,1820,1204,1822,1203,1823,1203,1825,1203,1827m1251,1853l1248,1850m1204,1851l1212,1851m1248,1853l1250,1851,1251,1848,1251,1844,1253,1841,1253,1839,1253,1836,1255,1832,1255,1829,1255,1827m1283,1851l1246,1851m1203,1827l1203,1829,1203,1832,1204,1836,1204,1839,1204,1841,1206,1844,1206,1848,1208,1850,1210,1853m1255,1827l1255,1825,1255,1823,1253,1822,1253,1820,1253,1818,1251,1817,1251,1815,1250,1813,1250,1811,1248,1809,1246,1808,1244,1808,1244,1806,1243,1806,1243,1804,1241,1804,1239,1804,1239,1802,1237,1802,1236,1802,1234,1802,1232,1801,1230,1801,1229,1801m1206,1853l1210,1850m1696,2183l1694,2183,1693,2183,1691,2185,1689,2185,1687,2185,1686,2185,1686,2187,1684,2187,1682,2187,1682,2188,1680,2188,1679,2190,1677,2192,1675,2194,1675,2195,1673,2197,1672,2199,1672,2201,1672,2202,1672,2204,1670,2206,1670,2207,1670,2209m1719,2235l1715,2232m1672,2234l1679,2234m1715,2235l1717,2234,1719,2230,1719,2227,1720,2223,1720,2221,1720,2218,1722,2214,1722,2211,1722,2209m1750,2234l1713,2234m1670,2209l1670,2211,1670,2214,1672,2218,1672,2221,1672,2223,1674,2227,1674,2230,1675,2232,1677,2235m1722,2209l1722,2207,1722,2206,1720,2204,1720,2202,1720,2201,1719,2199,1719,2197,1717,2195,1717,2194,1715,2192,1713,2190,1712,2190,1712,2188,1710,2188,1710,2187,1708,2187,1706,2187,1706,2185,1705,2185,1703,2185,1701,2185,1699,2183,1698,2183,1696,2183m1674,2235l1677,2232m2014,2650l2013,2650,2011,2650,2009,2652,2007,2652,2006,2652,2004,2652,2004,2653,2002,2653,2001,2653,2001,2655,1999,2655,1997,2657,1995,2659,1994,2660,1994,2662,1992,2664,1990,2666,1990,2667,1990,2669,1990,2671,1988,2673,1988,2674,1988,2676m2037,2702l2033,2699m1990,2700l1997,2700m2033,2702l2035,2700,2037,2697,2037,2693,2039,2690,2039,2688,2039,2685,2040,2681,2040,2678,2040,2676m2068,2700l2032,2700m1988,2676l1988,2678,1988,2681,1990,2685,1990,2688,1990,2690,1992,2693,1992,2697,1994,2699,1995,2702m2040,2676l2040,2674,2040,2673,2039,2671,2039,2669,2039,2667,2037,2666,2037,2664,2035,2662,2035,2660,2033,2659,2032,2657,2030,2657,2030,2655,2028,2655,2028,2653,2026,2653,2025,2653,2025,2652,2023,2652,2021,2652,2020,2652,2018,2650,2016,2650,2014,2650m1992,2702l1995,2699m1601,1592l1599,1592,1598,1592,1596,1594,1594,1594,1592,1594,1591,1594,1591,1596,1589,1596,1587,1596,1587,1598,1586,1598,1584,1599,1582,1601,1580,1603,1580,1605,1578,1606,1577,1608,1577,1610,1577,1612,1577,1613,1575,1615,1575,1617,1575,1619m1624,1645l1620,1641m1577,1643l1584,1643m1620,1645l1622,1643,1624,1639,1624,1636,1625,1632,1625,1631,1625,1627,1627,1624,1627,1620,1627,1619m1655,1643l1618,1643m1575,1619l1575,1620,1575,1624,1577,1627,1577,1631,1577,1632,1579,1636,1579,1639,1580,1641,1582,1645m1627,1619l1627,1617,1627,1615,1625,1613,1625,1612,1625,1610,1624,1608,1624,1606,1622,1605,1622,1603,1620,1601,1619,1599,1617,1599,1617,1598,1615,1598,1615,1596,1613,1596,1611,1596,1611,1594,1610,1594,1608,1594,1606,1594,1604,1592,1603,1592,1601,1592m1579,1645l1582,1641m1726,0l1714,28m1759,28l1749,0m1720,25l1713,25m1716,27l1714,23m1787,25l1754,25m2083,177l2058,236m2103,236l2081,176m2086,180l2077,180m2063,232l2056,232m2060,234l2058,230m2131,232l2098,232m2575,422l2551,482m2596,482l2574,422m2579,426l2570,426m2556,478l2549,478m2553,480l2551,476m2624,478l2591,478m2055,1371l2031,1430m2076,1430l2054,1371m2059,1374l2050,1374m2036,1427l2029,1427m2033,1428l2031,1425m2104,1427l2071,1427m2289,1273l2264,1332m2309,1332l2287,1273m2292,1277l2283,1277m2269,1329l2263,1329m2266,1331l2264,1327m2337,1329l2304,1329m2318,1575l2294,1634m2339,1634l2316,1575m2322,1579l2313,1579m2299,1631l2292,1631m2296,1632l2294,1629m2367,1631l2334,1631m2607,1672l2582,1731m2627,1731l2605,1672m2610,1676l2602,1676m2588,1728l2581,1728m2584,1729l2582,1726m2655,1728l2622,1728m2484,2081l2460,2140m2505,2140l2483,2081m2488,2085l2479,2085m2465,2137l2458,2137m2462,2139l2460,2135m2533,2137l2500,2137m2907,1246l2883,1305m2928,1305l2906,1246m2911,1250l2902,1250m2888,1302l2881,1302m2885,1304l2883,1300m2956,1302l2923,1302m2932,656l2908,715m2953,715l2930,656m2936,659l2927,659m2913,711l2906,711m2910,713l2908,710m2981,711l2948,711m28,1948l4,2008m49,2008l26,1948m31,1952l23,1952m9,2004l2,2004m5,2006l4,2002m76,2004l44,2004m29,2581l5,2640m50,2640l27,2581m33,2585l24,2585m10,2637l3,2637m7,2639l5,2635m78,2637l45,2637m291,2045l266,2104m311,2104l289,2045m294,2049l286,2049m272,2101l265,2101m268,2103l266,2099m339,2101l306,2101m342,2454l318,2513m363,2513l341,2454m346,2458l337,2458m323,2510l316,2510m320,2512l318,2508m391,2510l358,2510m575,1590l551,1650m596,1650l573,1590m578,1594l570,1594m556,1646l549,1646m552,1648l551,1644m623,1646l591,1646m605,1934l580,1994m625,1994l603,1934m608,1938l600,1938m586,1990l579,1990m582,1992l581,1988m653,1990l620,1990m919,1700l894,1760m939,1760l917,1700m922,1704l913,1704m899,1756l893,1756m896,1758l894,1754m967,1756l934,1756m919,1976l895,2035m940,2035l917,1976m923,1980l914,1980m900,2032l893,2032m897,2034l895,2030m968,2032l935,2032m978,2347l954,2406m999,2406l976,2347m981,2351l973,2351m959,2403l952,2403m955,2405l954,2401m1026,2403l993,2403m1289,2125l1264,2184m1310,2184l1287,2125m1292,2129l1284,2129m1270,2181l1263,2181m1266,2183l1264,2179m1337,2181l1304,2181m1551,1891l1527,1950m1572,1950l1549,1891m1554,1894l1546,1894m1532,1947l1525,1947m1528,1948l1527,1945m1599,1947l1566,1947m1718,2813l1693,2872m1738,2872l1716,2813m1721,2816l1712,2816m1699,2868l1692,2868m1695,2870l1693,2866m1766,2868l1733,2868m1908,2316l1884,2375m1929,2375l1906,2316m1911,2319l1903,2319m1889,2371l1882,2371m1885,2373l1884,2370m1956,2371l1924,2371m1327,2430l1325,2430,1324,2430,1322,2432,1320,2432,1318,2432,1317,2432,1317,2434,1315,2434,1313,2434,1313,2436,1312,2436,1310,2437,1308,2439,1306,2441,1306,2443,1305,2444,1303,2446,1303,2448,1303,2450,1303,2451,1301,2453,1301,2455,1301,2456m1350,2483l1346,2479m1303,2481l1310,2481m1346,2483l1348,2481,1350,2477,1350,2474,1351,2470,1351,2469,1351,2465,1353,2462,1353,2458,1353,2456m1381,2481l1344,2481m1301,2456l1301,2458,1301,2462,1303,2465,1303,2469,1303,2470,1305,2474,1305,2477,1306,2479,1308,2483m1353,2456l1353,2455,1353,2453,1351,2451,1351,2450,1351,2448,1350,2446,1350,2444,1348,2443,1348,2441,1346,2439,1344,2437,1343,2437,1343,2436,1341,2436,1341,2434,1339,2434,1338,2434,1338,2432,1336,2432,1334,2432,1332,2432,1331,2430,1329,2430,1327,2430m1305,2483l1308,2479m1257,1457l1256,1457,1254,1457,1252,1458,1250,1458,1249,1458,1247,1458,1247,1460,1245,1460,1244,1460,1244,1462,1242,1462,1240,1464,1238,1465,1237,1467,1237,1469,1235,1471,1233,1472,1233,1474,1233,1476,1233,1478,1231,1479,1231,1481,1231,1483m1280,1509l1276,1505m1233,1507l1240,1507m1276,1509l1278,1507,1280,1504,1280,1500,1282,1497,1282,1495,1282,1491,1283,1488,1283,1484,1283,1483m1311,1507l1275,1507m1231,1483l1231,1484,1231,1488,1233,1491,1233,1495,1233,1497,1235,1500,1235,1504,1237,1505,1238,1509m1283,1483l1283,1481,1283,1479,1282,1478,1282,1476,1282,1474,1280,1472,1280,1471,1278,1469,1278,1467,1277,1465,1275,1464,1273,1464,1273,1462,1271,1462,1271,1460,1269,1460,1268,1460,1268,1458,1266,1458,1264,1458,1263,1458,1261,1457,1259,1457,1257,1457m1235,1509l1238,1505m3010,969l2986,1028m3031,1028l3008,969m3014,973l3005,973m2991,1025l2984,1025m2987,1027l2986,1023m3059,1025l3026,1025e" filled="false" stroked="true" strokeweight=".520824pt" strokecolor="#346752">
              <v:path arrowok="t"/>
              <v:stroke dashstyle="solid"/>
            </v:shape>
            <v:shape style="position:absolute;left:0;top:4251;width:11906;height:1915" type="#_x0000_t75" stroked="false">
              <v:imagedata r:id="rId7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ind w:left="7370"/>
        <w:rPr>
          <w:sz w:val="20"/>
        </w:rPr>
      </w:pPr>
      <w:r>
        <w:rPr>
          <w:sz w:val="20"/>
        </w:rPr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width:198.45pt;height:28.35pt;mso-position-horizontal-relative:char;mso-position-vertical-relative:line" type="#_x0000_t202" filled="true" fillcolor="#294947" stroked="false">
            <w10:anchorlock/>
            <v:textbox inset="0,0,0,0">
              <w:txbxContent>
                <w:p>
                  <w:pPr>
                    <w:spacing w:before="137"/>
                    <w:ind w:left="188" w:right="0" w:firstLine="0"/>
                    <w:jc w:val="left"/>
                    <w:rPr>
                      <w:rFonts w:ascii="Arial"/>
                      <w:b/>
                      <w:sz w:val="26"/>
                    </w:rPr>
                  </w:pPr>
                  <w:r>
                    <w:rPr>
                      <w:rFonts w:ascii="Arial"/>
                      <w:b/>
                      <w:color w:val="FFFFFF"/>
                      <w:sz w:val="26"/>
                    </w:rPr>
                    <w:t>TECHNICAL REPORT NO. 17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3"/>
        </w:rPr>
      </w:pPr>
      <w:r>
        <w:rPr/>
        <w:pict>
          <v:shape style="position:absolute;margin-left:28.346001pt;margin-top:8.982882pt;width:538.6pt;height:428.7pt;mso-position-horizontal-relative:page;mso-position-vertical-relative:paragraph;z-index:-1000;mso-wrap-distance-left:0;mso-wrap-distance-right:0" type="#_x0000_t202" filled="true" fillcolor="#71a7a1" stroked="false">
            <v:textbox inset="0,0,0,0">
              <w:txbxContent>
                <w:p>
                  <w:pPr>
                    <w:pStyle w:val="BodyText"/>
                    <w:rPr>
                      <w:sz w:val="56"/>
                    </w:rPr>
                  </w:pPr>
                </w:p>
                <w:p>
                  <w:pPr>
                    <w:pStyle w:val="BodyText"/>
                    <w:rPr>
                      <w:sz w:val="56"/>
                    </w:rPr>
                  </w:pPr>
                </w:p>
                <w:p>
                  <w:pPr>
                    <w:pStyle w:val="BodyText"/>
                    <w:rPr>
                      <w:sz w:val="56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76"/>
                    </w:rPr>
                  </w:pPr>
                </w:p>
                <w:p>
                  <w:pPr>
                    <w:spacing w:line="278" w:lineRule="auto" w:before="0"/>
                    <w:ind w:left="1133" w:right="597" w:firstLine="0"/>
                    <w:jc w:val="left"/>
                    <w:rPr>
                      <w:rFonts w:ascii="Arial" w:hAnsi="Arial"/>
                      <w:b/>
                      <w:sz w:val="45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sz w:val="45"/>
                    </w:rPr>
                    <w:t>Kortlægning af områder med forøget sandsynlighed for landsænkning</w:t>
                  </w:r>
                </w:p>
                <w:p>
                  <w:pPr>
                    <w:spacing w:line="273" w:lineRule="auto" w:before="141"/>
                    <w:ind w:left="1133" w:right="597" w:firstLine="0"/>
                    <w:jc w:val="left"/>
                    <w:rPr>
                      <w:rFonts w:ascii="Arial" w:hAnsi="Arial"/>
                      <w:sz w:val="22"/>
                    </w:rPr>
                  </w:pPr>
                  <w:r>
                    <w:rPr>
                      <w:rFonts w:ascii="Arial" w:hAnsi="Arial"/>
                      <w:color w:val="FFFFFF"/>
                      <w:sz w:val="22"/>
                    </w:rPr>
                    <w:t>Niels H. Broge, Karsten Vognsen, Frands Steffensen, Ian B. Sonne (Geodatastyrelsen), Carlo S. Sørensen (Kystdirektoratet), Per Knudsen (DTU Space),</w:t>
                  </w:r>
                </w:p>
                <w:p>
                  <w:pPr>
                    <w:spacing w:before="1"/>
                    <w:ind w:left="1133" w:right="0" w:firstLine="0"/>
                    <w:jc w:val="left"/>
                    <w:rPr>
                      <w:rFonts w:ascii="Arial" w:hAnsi="Arial"/>
                      <w:sz w:val="22"/>
                    </w:rPr>
                  </w:pPr>
                  <w:r>
                    <w:rPr>
                      <w:rFonts w:ascii="Arial" w:hAnsi="Arial"/>
                      <w:color w:val="FFFFFF"/>
                      <w:sz w:val="22"/>
                    </w:rPr>
                    <w:t>Mogens H. Greve (AU – Agroøkologi), Holger Lykke-Andersen (AU – Geoscience).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1"/>
        <w:rPr>
          <w:sz w:val="19"/>
        </w:rPr>
      </w:pPr>
    </w:p>
    <w:p>
      <w:pPr>
        <w:spacing w:line="228" w:lineRule="auto" w:before="112"/>
        <w:ind w:left="6662" w:right="3309" w:firstLine="0"/>
        <w:jc w:val="left"/>
        <w:rPr>
          <w:rFonts w:ascii="Trebuchet MS"/>
          <w:sz w:val="22"/>
        </w:rPr>
      </w:pPr>
      <w:r>
        <w:rPr/>
        <w:drawing>
          <wp:anchor distT="0" distB="0" distL="0" distR="0" allowOverlap="1" layoutInCell="1" locked="0" behindDoc="0" simplePos="0" relativeHeight="1096">
            <wp:simplePos x="0" y="0"/>
            <wp:positionH relativeFrom="page">
              <wp:posOffset>359994</wp:posOffset>
            </wp:positionH>
            <wp:positionV relativeFrom="paragraph">
              <wp:posOffset>31007</wp:posOffset>
            </wp:positionV>
            <wp:extent cx="831913" cy="359991"/>
            <wp:effectExtent l="0" t="0" r="0" b="0"/>
            <wp:wrapNone/>
            <wp:docPr id="1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913" cy="359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20">
            <wp:simplePos x="0" y="0"/>
            <wp:positionH relativeFrom="page">
              <wp:posOffset>1657146</wp:posOffset>
            </wp:positionH>
            <wp:positionV relativeFrom="paragraph">
              <wp:posOffset>30999</wp:posOffset>
            </wp:positionV>
            <wp:extent cx="1349997" cy="359999"/>
            <wp:effectExtent l="0" t="0" r="0" b="0"/>
            <wp:wrapNone/>
            <wp:docPr id="3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997" cy="35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5435587</wp:posOffset>
            </wp:positionH>
            <wp:positionV relativeFrom="paragraph">
              <wp:posOffset>31005</wp:posOffset>
            </wp:positionV>
            <wp:extent cx="1764393" cy="359993"/>
            <wp:effectExtent l="0" t="0" r="0" b="0"/>
            <wp:wrapNone/>
            <wp:docPr id="5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4393" cy="359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73.416992pt;margin-top:3.260108pt;width:48.6pt;height:24.3pt;mso-position-horizontal-relative:page;mso-position-vertical-relative:paragraph;z-index:1168" type="#_x0000_t202" filled="false" stroked="false">
            <v:textbox inset="0,0,0,0">
              <w:txbxContent>
                <w:p>
                  <w:pPr>
                    <w:spacing w:line="400" w:lineRule="exact" w:before="86"/>
                    <w:ind w:left="0" w:right="0" w:firstLine="0"/>
                    <w:jc w:val="left"/>
                    <w:rPr>
                      <w:rFonts w:ascii="Courier New"/>
                      <w:b/>
                      <w:sz w:val="48"/>
                    </w:rPr>
                  </w:pPr>
                  <w:r>
                    <w:rPr>
                      <w:rFonts w:ascii="Courier New"/>
                      <w:b/>
                      <w:color w:val="02428E"/>
                      <w:w w:val="165"/>
                      <w:sz w:val="48"/>
                    </w:rPr>
                    <w:t>AU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color w:val="02428E"/>
          <w:w w:val="105"/>
          <w:sz w:val="22"/>
        </w:rPr>
        <w:t>AARHUS </w:t>
      </w:r>
      <w:r>
        <w:rPr>
          <w:rFonts w:ascii="Trebuchet MS"/>
          <w:color w:val="02428E"/>
          <w:sz w:val="22"/>
        </w:rPr>
        <w:t>UNIVERSITY</w:t>
      </w:r>
    </w:p>
    <w:p>
      <w:pPr>
        <w:spacing w:after="0" w:line="228" w:lineRule="auto"/>
        <w:jc w:val="left"/>
        <w:rPr>
          <w:rFonts w:ascii="Trebuchet MS"/>
          <w:sz w:val="22"/>
        </w:rPr>
        <w:sectPr>
          <w:type w:val="continuous"/>
          <w:pgSz w:w="11910" w:h="16840"/>
          <w:pgMar w:top="0" w:bottom="280" w:left="0" w:right="0"/>
        </w:sect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6"/>
        <w:rPr>
          <w:rFonts w:ascii="Trebuchet MS"/>
        </w:rPr>
      </w:pPr>
    </w:p>
    <w:p>
      <w:pPr>
        <w:pStyle w:val="BodyText"/>
        <w:spacing w:line="20" w:lineRule="exact"/>
        <w:ind w:left="1129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481.9pt;height:.4pt;mso-position-horizontal-relative:char;mso-position-vertical-relative:line" coordorigin="0,0" coordsize="9638,8">
            <v:line style="position:absolute" from="0,4" to="9638,4" stroked="true" strokeweight=".398pt" strokecolor="#000000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pStyle w:val="BodyText"/>
        <w:rPr>
          <w:rFonts w:ascii="Trebuchet MS"/>
          <w:sz w:val="16"/>
        </w:rPr>
      </w:pPr>
    </w:p>
    <w:p>
      <w:pPr>
        <w:spacing w:line="302" w:lineRule="auto" w:before="104"/>
        <w:ind w:left="1133" w:right="1131" w:firstLine="0"/>
        <w:jc w:val="both"/>
        <w:rPr>
          <w:rFonts w:ascii="Arial" w:hAnsi="Arial"/>
          <w:sz w:val="20"/>
        </w:rPr>
      </w:pPr>
      <w:r>
        <w:rPr>
          <w:rFonts w:ascii="Arial" w:hAnsi="Arial"/>
          <w:sz w:val="20"/>
        </w:rPr>
        <w:t>Niels H. Broge, Karsten </w:t>
      </w:r>
      <w:r>
        <w:rPr>
          <w:rFonts w:ascii="Arial" w:hAnsi="Arial"/>
          <w:spacing w:val="-3"/>
          <w:sz w:val="20"/>
        </w:rPr>
        <w:t>Vognsen, </w:t>
      </w:r>
      <w:r>
        <w:rPr>
          <w:rFonts w:ascii="Arial" w:hAnsi="Arial"/>
          <w:sz w:val="20"/>
        </w:rPr>
        <w:t>Frands Steffensen, Ian </w:t>
      </w:r>
      <w:r>
        <w:rPr>
          <w:rFonts w:ascii="Arial" w:hAnsi="Arial"/>
          <w:spacing w:val="-3"/>
          <w:sz w:val="20"/>
        </w:rPr>
        <w:t>B. </w:t>
      </w:r>
      <w:r>
        <w:rPr>
          <w:rFonts w:ascii="Arial" w:hAnsi="Arial"/>
          <w:sz w:val="20"/>
        </w:rPr>
        <w:t>Sonne (Geodatastyrelsen),  Carlo  </w:t>
      </w:r>
      <w:r>
        <w:rPr>
          <w:rFonts w:ascii="Arial" w:hAnsi="Arial"/>
          <w:spacing w:val="-3"/>
          <w:sz w:val="20"/>
        </w:rPr>
        <w:t>S.  </w:t>
      </w:r>
      <w:r>
        <w:rPr>
          <w:rFonts w:ascii="Arial" w:hAnsi="Arial"/>
          <w:sz w:val="20"/>
        </w:rPr>
        <w:t>Sø- rensen (Kystdirektoratet), </w:t>
      </w:r>
      <w:r>
        <w:rPr>
          <w:rFonts w:ascii="Arial" w:hAnsi="Arial"/>
          <w:spacing w:val="-4"/>
          <w:sz w:val="20"/>
        </w:rPr>
        <w:t>Per </w:t>
      </w:r>
      <w:r>
        <w:rPr>
          <w:rFonts w:ascii="Arial" w:hAnsi="Arial"/>
          <w:sz w:val="20"/>
        </w:rPr>
        <w:t>Knudsen (DTU Space), Mogens H. </w:t>
      </w:r>
      <w:r>
        <w:rPr>
          <w:rFonts w:ascii="Arial" w:hAnsi="Arial"/>
          <w:spacing w:val="-3"/>
          <w:sz w:val="20"/>
        </w:rPr>
        <w:t>Greve </w:t>
      </w:r>
      <w:r>
        <w:rPr>
          <w:rFonts w:ascii="Arial" w:hAnsi="Arial"/>
          <w:spacing w:val="-4"/>
          <w:sz w:val="20"/>
        </w:rPr>
        <w:t>(AU </w:t>
      </w:r>
      <w:r>
        <w:rPr>
          <w:rFonts w:ascii="Arial" w:hAnsi="Arial"/>
          <w:sz w:val="20"/>
        </w:rPr>
        <w:t>– Agroøkologi), Holger Lykke-Andersen </w:t>
      </w:r>
      <w:r>
        <w:rPr>
          <w:rFonts w:ascii="Arial" w:hAnsi="Arial"/>
          <w:spacing w:val="-4"/>
          <w:sz w:val="20"/>
        </w:rPr>
        <w:t>(AU </w:t>
      </w:r>
      <w:r>
        <w:rPr>
          <w:rFonts w:ascii="Arial" w:hAnsi="Arial"/>
          <w:sz w:val="20"/>
        </w:rPr>
        <w:t>–</w:t>
      </w:r>
      <w:r>
        <w:rPr>
          <w:rFonts w:ascii="Arial" w:hAnsi="Arial"/>
          <w:spacing w:val="4"/>
          <w:sz w:val="20"/>
        </w:rPr>
        <w:t> </w:t>
      </w:r>
      <w:r>
        <w:rPr>
          <w:rFonts w:ascii="Arial" w:hAnsi="Arial"/>
          <w:sz w:val="20"/>
        </w:rPr>
        <w:t>Geoscience).</w:t>
      </w:r>
    </w:p>
    <w:p>
      <w:pPr>
        <w:spacing w:line="227" w:lineRule="exact" w:before="0"/>
        <w:ind w:left="1133" w:right="0" w:firstLine="0"/>
        <w:jc w:val="left"/>
        <w:rPr>
          <w:rFonts w:ascii="Arial" w:hAnsi="Arial"/>
          <w:sz w:val="20"/>
        </w:rPr>
      </w:pPr>
      <w:r>
        <w:rPr>
          <w:rFonts w:ascii="Arial" w:hAnsi="Arial"/>
          <w:sz w:val="20"/>
        </w:rPr>
        <w:t>Kortlægning af områder med forøget sandsynlighed for landsænkning</w:t>
      </w:r>
    </w:p>
    <w:p>
      <w:pPr>
        <w:pStyle w:val="BodyText"/>
        <w:spacing w:before="3"/>
        <w:rPr>
          <w:rFonts w:ascii="Arial"/>
          <w:sz w:val="30"/>
        </w:rPr>
      </w:pPr>
    </w:p>
    <w:p>
      <w:pPr>
        <w:spacing w:line="302" w:lineRule="auto" w:before="0"/>
        <w:ind w:left="1133" w:right="4905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w:t>Danish Geodata Agency, Technical Report Series Volume 17 ISBN 978-89-72107-62-6</w:t>
      </w:r>
    </w:p>
    <w:p>
      <w:pPr>
        <w:spacing w:line="302" w:lineRule="auto" w:before="0"/>
        <w:ind w:left="1133" w:right="8799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w:t>Technical Report Published 2013-12-01</w:t>
      </w:r>
    </w:p>
    <w:p>
      <w:pPr>
        <w:spacing w:line="228" w:lineRule="exact" w:before="0"/>
        <w:ind w:left="1133" w:right="0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w:t>This report is available from </w:t>
      </w:r>
      <w:hyperlink r:id="rId11">
        <w:r>
          <w:rPr>
            <w:rFonts w:ascii="Arial"/>
            <w:color w:val="FF0000"/>
            <w:sz w:val="20"/>
          </w:rPr>
          <w:t>http://www.gst.dk</w:t>
        </w:r>
      </w:hyperlink>
    </w:p>
    <w:p>
      <w:pPr>
        <w:spacing w:line="273" w:lineRule="auto" w:before="152"/>
        <w:ind w:left="1133" w:right="1044" w:firstLine="0"/>
        <w:jc w:val="left"/>
        <w:rPr>
          <w:rFonts w:ascii="Arial" w:hAnsi="Arial"/>
          <w:sz w:val="22"/>
        </w:rPr>
      </w:pPr>
      <w:r>
        <w:rPr>
          <w:rFonts w:ascii="Arial" w:hAnsi="Arial"/>
          <w:sz w:val="22"/>
        </w:rPr>
        <w:t>Note: The first 15 volumes of this series were published under the series title “Technical Reports of the National Survey and Cadastre”.</w:t>
      </w:r>
    </w:p>
    <w:p>
      <w:pPr>
        <w:spacing w:after="0" w:line="273" w:lineRule="auto"/>
        <w:jc w:val="left"/>
        <w:rPr>
          <w:rFonts w:ascii="Arial" w:hAnsi="Arial"/>
          <w:sz w:val="22"/>
        </w:rPr>
        <w:sectPr>
          <w:pgSz w:w="11910" w:h="16840"/>
          <w:pgMar w:top="1580" w:bottom="28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before="257"/>
        <w:ind w:left="1133" w:right="0" w:firstLine="0"/>
        <w:jc w:val="left"/>
        <w:rPr>
          <w:rFonts w:ascii="Arial"/>
          <w:b/>
          <w:sz w:val="45"/>
        </w:rPr>
      </w:pPr>
      <w:r>
        <w:rPr>
          <w:rFonts w:ascii="Arial"/>
          <w:b/>
          <w:sz w:val="45"/>
        </w:rPr>
        <w:t>Indhold</w:t>
      </w:r>
    </w:p>
    <w:p>
      <w:pPr>
        <w:pStyle w:val="BodyText"/>
        <w:rPr>
          <w:rFonts w:ascii="Arial"/>
          <w:b/>
          <w:sz w:val="56"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10771" w:val="right" w:leader="none"/>
            </w:tabs>
            <w:spacing w:before="360"/>
            <w:ind w:left="1133" w:firstLine="0"/>
          </w:pPr>
          <w:hyperlink w:history="true" w:anchor="_bookmark0">
            <w:r>
              <w:rPr>
                <w:color w:val="FF0000"/>
              </w:rPr>
              <w:t>Summary</w:t>
            </w:r>
          </w:hyperlink>
          <w:r>
            <w:rPr>
              <w:color w:val="FF0000"/>
            </w:rPr>
            <w:tab/>
          </w:r>
          <w:r>
            <w:rPr/>
            <w:t>4</w:t>
          </w:r>
        </w:p>
        <w:p>
          <w:pPr>
            <w:pStyle w:val="TOC1"/>
            <w:tabs>
              <w:tab w:pos="10771" w:val="right" w:leader="none"/>
            </w:tabs>
            <w:ind w:left="1133" w:firstLine="0"/>
          </w:pPr>
          <w:hyperlink w:history="true" w:anchor="_bookmark1">
            <w:r>
              <w:rPr>
                <w:color w:val="FF0000"/>
              </w:rPr>
              <w:t>Sammendrag</w:t>
            </w:r>
          </w:hyperlink>
          <w:r>
            <w:rPr>
              <w:color w:val="FF0000"/>
            </w:rPr>
            <w:tab/>
          </w:r>
          <w:r>
            <w:rPr/>
            <w:t>5</w:t>
          </w:r>
        </w:p>
        <w:p>
          <w:pPr>
            <w:pStyle w:val="TOC1"/>
            <w:numPr>
              <w:ilvl w:val="0"/>
              <w:numId w:val="1"/>
            </w:numPr>
            <w:tabs>
              <w:tab w:pos="1463" w:val="left" w:leader="none"/>
              <w:tab w:pos="1464" w:val="left" w:leader="none"/>
              <w:tab w:pos="10771" w:val="right" w:leader="none"/>
            </w:tabs>
            <w:spacing w:line="240" w:lineRule="auto" w:before="256" w:after="0"/>
            <w:ind w:left="1463" w:right="0" w:hanging="330"/>
            <w:jc w:val="left"/>
          </w:pPr>
          <w:hyperlink w:history="true" w:anchor="_bookmark3">
            <w:r>
              <w:rPr>
                <w:color w:val="FF0000"/>
              </w:rPr>
              <w:t>Indledning</w:t>
            </w:r>
          </w:hyperlink>
          <w:r>
            <w:rPr>
              <w:color w:val="FF0000"/>
            </w:rPr>
            <w:tab/>
          </w:r>
          <w:r>
            <w:rPr/>
            <w:t>7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3">
            <w:r>
              <w:rPr>
                <w:color w:val="FF0000"/>
              </w:rPr>
              <w:t>Baggrund</w:t>
            </w:r>
          </w:hyperlink>
          <w:r>
            <w:rPr>
              <w:color w:val="FF0000"/>
            </w:rPr>
            <w:tab/>
          </w:r>
          <w:r>
            <w:rPr/>
            <w:t>7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4">
            <w:r>
              <w:rPr>
                <w:color w:val="FF0000"/>
              </w:rPr>
              <w:t>Kortlægning</w:t>
            </w:r>
          </w:hyperlink>
          <w:r>
            <w:rPr>
              <w:color w:val="FF0000"/>
            </w:rPr>
            <w:tab/>
          </w:r>
          <w:r>
            <w:rPr/>
            <w:t>7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5">
            <w:r>
              <w:rPr>
                <w:color w:val="FF0000"/>
                <w:spacing w:val="-4"/>
              </w:rPr>
              <w:t>Topografiske</w:t>
            </w:r>
            <w:r>
              <w:rPr>
                <w:color w:val="FF0000"/>
              </w:rPr>
              <w:t> kort</w:t>
            </w:r>
          </w:hyperlink>
          <w:r>
            <w:rPr>
              <w:color w:val="FF0000"/>
            </w:rPr>
            <w:tab/>
          </w:r>
          <w:r>
            <w:rPr/>
            <w:t>7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6">
            <w:r>
              <w:rPr>
                <w:color w:val="FF0000"/>
              </w:rPr>
              <w:t>InSAR/PSI</w:t>
            </w:r>
          </w:hyperlink>
          <w:r>
            <w:rPr>
              <w:color w:val="FF0000"/>
            </w:rPr>
            <w:tab/>
          </w:r>
          <w:r>
            <w:rPr/>
            <w:t>8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8">
            <w:r>
              <w:rPr>
                <w:color w:val="FF0000"/>
              </w:rPr>
              <w:t>Andre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tematiske kortlægninger</w:t>
            </w:r>
          </w:hyperlink>
          <w:r>
            <w:rPr>
              <w:color w:val="FF0000"/>
            </w:rPr>
            <w:tab/>
          </w:r>
          <w:r>
            <w:rPr/>
            <w:t>9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9">
            <w:r>
              <w:rPr>
                <w:color w:val="FF0000"/>
              </w:rPr>
              <w:t>Tidsserier af beregnede koter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på fikspunkter</w:t>
            </w:r>
          </w:hyperlink>
          <w:r>
            <w:rPr>
              <w:color w:val="FF0000"/>
            </w:rPr>
            <w:tab/>
          </w:r>
          <w:r>
            <w:rPr/>
            <w:t>9</w:t>
          </w:r>
        </w:p>
        <w:p>
          <w:pPr>
            <w:pStyle w:val="TOC1"/>
            <w:numPr>
              <w:ilvl w:val="0"/>
              <w:numId w:val="1"/>
            </w:numPr>
            <w:tabs>
              <w:tab w:pos="1463" w:val="left" w:leader="none"/>
              <w:tab w:pos="1464" w:val="left" w:leader="none"/>
              <w:tab w:pos="10771" w:val="right" w:leader="none"/>
            </w:tabs>
            <w:spacing w:line="240" w:lineRule="auto" w:before="255" w:after="0"/>
            <w:ind w:left="1463" w:right="0" w:hanging="330"/>
            <w:jc w:val="left"/>
          </w:pPr>
          <w:hyperlink w:history="true" w:anchor="_bookmark10">
            <w:r>
              <w:rPr>
                <w:color w:val="FF0000"/>
              </w:rPr>
              <w:t>Metode</w:t>
            </w:r>
          </w:hyperlink>
          <w:r>
            <w:rPr>
              <w:color w:val="FF0000"/>
            </w:rPr>
            <w:tab/>
          </w:r>
          <w:r>
            <w:rPr/>
            <w:t>10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11">
            <w:r>
              <w:rPr>
                <w:color w:val="FF0000"/>
              </w:rPr>
              <w:t>Data og metadata</w:t>
            </w:r>
          </w:hyperlink>
          <w:r>
            <w:rPr>
              <w:color w:val="FF0000"/>
            </w:rPr>
            <w:tab/>
          </w:r>
          <w:r>
            <w:rPr/>
            <w:t>10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15">
            <w:r>
              <w:rPr>
                <w:color w:val="FF0000"/>
              </w:rPr>
              <w:t>Data fra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PanGeo projektet</w:t>
            </w:r>
          </w:hyperlink>
          <w:r>
            <w:rPr>
              <w:color w:val="FF0000"/>
            </w:rPr>
            <w:tab/>
          </w:r>
          <w:r>
            <w:rPr/>
            <w:t>12</w:t>
          </w:r>
        </w:p>
        <w:p>
          <w:pPr>
            <w:pStyle w:val="TOC1"/>
            <w:numPr>
              <w:ilvl w:val="0"/>
              <w:numId w:val="1"/>
            </w:numPr>
            <w:tabs>
              <w:tab w:pos="1463" w:val="left" w:leader="none"/>
              <w:tab w:pos="1464" w:val="left" w:leader="none"/>
              <w:tab w:pos="10771" w:val="right" w:leader="none"/>
            </w:tabs>
            <w:spacing w:line="240" w:lineRule="auto" w:before="256" w:after="0"/>
            <w:ind w:left="1463" w:right="0" w:hanging="330"/>
            <w:jc w:val="left"/>
          </w:pPr>
          <w:hyperlink w:history="true" w:anchor="_bookmark16">
            <w:r>
              <w:rPr>
                <w:color w:val="FF0000"/>
              </w:rPr>
              <w:t>Resultater</w:t>
            </w:r>
          </w:hyperlink>
          <w:r>
            <w:rPr>
              <w:color w:val="FF0000"/>
            </w:rPr>
            <w:tab/>
          </w:r>
          <w:r>
            <w:rPr/>
            <w:t>13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16">
            <w:r>
              <w:rPr>
                <w:color w:val="FF0000"/>
              </w:rPr>
              <w:t>Screeningskort</w:t>
            </w:r>
          </w:hyperlink>
          <w:r>
            <w:rPr>
              <w:color w:val="FF0000"/>
            </w:rPr>
            <w:tab/>
          </w:r>
          <w:r>
            <w:rPr/>
            <w:t>13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17">
            <w:r>
              <w:rPr>
                <w:color w:val="FF0000"/>
              </w:rPr>
              <w:t>Ændringsrater fra koter og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historiske målinger</w:t>
            </w:r>
          </w:hyperlink>
          <w:r>
            <w:rPr>
              <w:color w:val="FF0000"/>
            </w:rPr>
            <w:tab/>
          </w:r>
          <w:r>
            <w:rPr/>
            <w:t>13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19">
            <w:r>
              <w:rPr>
                <w:color w:val="FF0000"/>
              </w:rPr>
              <w:t>Validering</w:t>
            </w:r>
          </w:hyperlink>
          <w:r>
            <w:rPr>
              <w:color w:val="FF0000"/>
            </w:rPr>
            <w:tab/>
          </w:r>
          <w:r>
            <w:rPr/>
            <w:t>15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21">
            <w:r>
              <w:rPr>
                <w:color w:val="FF0000"/>
              </w:rPr>
              <w:t>Usikkerhedsfaktorer</w:t>
            </w:r>
          </w:hyperlink>
          <w:r>
            <w:rPr>
              <w:color w:val="FF0000"/>
            </w:rPr>
            <w:tab/>
          </w:r>
          <w:r>
            <w:rPr/>
            <w:t>16</w:t>
          </w:r>
        </w:p>
        <w:p>
          <w:pPr>
            <w:pStyle w:val="TOC1"/>
            <w:numPr>
              <w:ilvl w:val="0"/>
              <w:numId w:val="1"/>
            </w:numPr>
            <w:tabs>
              <w:tab w:pos="1463" w:val="left" w:leader="none"/>
              <w:tab w:pos="1464" w:val="left" w:leader="none"/>
              <w:tab w:pos="10771" w:val="right" w:leader="none"/>
            </w:tabs>
            <w:spacing w:line="240" w:lineRule="auto" w:before="256" w:after="0"/>
            <w:ind w:left="1463" w:right="0" w:hanging="330"/>
            <w:jc w:val="left"/>
          </w:pPr>
          <w:hyperlink w:history="true" w:anchor="_bookmark33">
            <w:r>
              <w:rPr>
                <w:color w:val="FF0000"/>
              </w:rPr>
              <w:t>Diskussion</w:t>
            </w:r>
          </w:hyperlink>
          <w:r>
            <w:rPr>
              <w:color w:val="FF0000"/>
            </w:rPr>
            <w:tab/>
          </w:r>
          <w:r>
            <w:rPr/>
            <w:t>26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33">
            <w:r>
              <w:rPr>
                <w:color w:val="FF0000"/>
              </w:rPr>
              <w:t>Sætningsrater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ved fikspunkter</w:t>
            </w:r>
          </w:hyperlink>
          <w:r>
            <w:rPr>
              <w:color w:val="FF0000"/>
            </w:rPr>
            <w:tab/>
          </w:r>
          <w:r>
            <w:rPr/>
            <w:t>26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34">
            <w:r>
              <w:rPr>
                <w:color w:val="FF0000"/>
              </w:rPr>
              <w:t>Statistik og statistisk bias</w:t>
            </w:r>
          </w:hyperlink>
          <w:r>
            <w:rPr>
              <w:color w:val="FF0000"/>
            </w:rPr>
            <w:tab/>
          </w:r>
          <w:r>
            <w:rPr/>
            <w:t>26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35">
            <w:r>
              <w:rPr>
                <w:color w:val="FF0000"/>
              </w:rPr>
              <w:t>Geologiske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forhold</w:t>
            </w:r>
          </w:hyperlink>
          <w:r>
            <w:rPr>
              <w:color w:val="FF0000"/>
            </w:rPr>
            <w:tab/>
          </w:r>
          <w:r>
            <w:rPr/>
            <w:t>27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36">
            <w:r>
              <w:rPr>
                <w:color w:val="FF0000"/>
              </w:rPr>
              <w:t>Kortlægning af vertikal landbevægelse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og sætningsrater</w:t>
            </w:r>
          </w:hyperlink>
          <w:r>
            <w:rPr>
              <w:color w:val="FF0000"/>
            </w:rPr>
            <w:tab/>
          </w:r>
          <w:r>
            <w:rPr/>
            <w:t>27</w:t>
          </w:r>
        </w:p>
        <w:p>
          <w:pPr>
            <w:pStyle w:val="TOC2"/>
            <w:numPr>
              <w:ilvl w:val="1"/>
              <w:numId w:val="1"/>
            </w:numPr>
            <w:tabs>
              <w:tab w:pos="1969" w:val="left" w:leader="none"/>
              <w:tab w:pos="1970" w:val="left" w:leader="none"/>
              <w:tab w:pos="10771" w:val="right" w:leader="dot"/>
            </w:tabs>
            <w:spacing w:line="240" w:lineRule="auto" w:before="36" w:after="0"/>
            <w:ind w:left="1969" w:right="0" w:hanging="506"/>
            <w:jc w:val="left"/>
          </w:pPr>
          <w:hyperlink w:history="true" w:anchor="_bookmark38">
            <w:r>
              <w:rPr>
                <w:color w:val="FF0000"/>
              </w:rPr>
              <w:t>Fikspunkter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og terrænkoter</w:t>
            </w:r>
          </w:hyperlink>
          <w:r>
            <w:rPr>
              <w:color w:val="FF0000"/>
            </w:rPr>
            <w:tab/>
          </w:r>
          <w:r>
            <w:rPr/>
            <w:t>28</w:t>
          </w:r>
        </w:p>
        <w:p>
          <w:pPr>
            <w:pStyle w:val="TOC1"/>
            <w:numPr>
              <w:ilvl w:val="0"/>
              <w:numId w:val="1"/>
            </w:numPr>
            <w:tabs>
              <w:tab w:pos="1463" w:val="left" w:leader="none"/>
              <w:tab w:pos="1464" w:val="left" w:leader="none"/>
              <w:tab w:pos="10771" w:val="right" w:leader="none"/>
            </w:tabs>
            <w:spacing w:line="240" w:lineRule="auto" w:before="256" w:after="0"/>
            <w:ind w:left="1463" w:right="0" w:hanging="330"/>
            <w:jc w:val="left"/>
          </w:pPr>
          <w:hyperlink w:history="true" w:anchor="_bookmark39">
            <w:r>
              <w:rPr>
                <w:color w:val="FF0000"/>
              </w:rPr>
              <w:t>Konklusion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og perspektivering</w:t>
            </w:r>
          </w:hyperlink>
          <w:r>
            <w:rPr>
              <w:color w:val="FF0000"/>
            </w:rPr>
            <w:tab/>
          </w:r>
          <w:r>
            <w:rPr/>
            <w:t>29</w:t>
          </w:r>
        </w:p>
        <w:p>
          <w:pPr>
            <w:pStyle w:val="TOC1"/>
            <w:tabs>
              <w:tab w:pos="10771" w:val="right" w:leader="none"/>
            </w:tabs>
            <w:spacing w:before="255"/>
            <w:ind w:left="1133" w:firstLine="0"/>
          </w:pPr>
          <w:hyperlink w:history="true" w:anchor="_bookmark40">
            <w:r>
              <w:rPr>
                <w:color w:val="FF0000"/>
              </w:rPr>
              <w:t>Litteratur</w:t>
            </w:r>
          </w:hyperlink>
          <w:r>
            <w:rPr>
              <w:color w:val="FF0000"/>
            </w:rPr>
            <w:tab/>
          </w:r>
          <w:r>
            <w:rPr/>
            <w:t>31</w:t>
          </w:r>
        </w:p>
      </w:sdtContent>
    </w:sdt>
    <w:p>
      <w:pPr>
        <w:spacing w:after="0"/>
        <w:sectPr>
          <w:footerReference w:type="default" r:id="rId12"/>
          <w:pgSz w:w="11910" w:h="16840"/>
          <w:pgMar w:footer="546" w:header="0" w:top="1580" w:bottom="740" w:left="0" w:right="0"/>
        </w:sectPr>
      </w:pPr>
    </w:p>
    <w:p>
      <w:pPr>
        <w:pStyle w:val="Heading1"/>
        <w:spacing w:before="443"/>
      </w:pPr>
      <w:r>
        <w:rPr/>
        <w:t>Summary</w:t>
      </w:r>
    </w:p>
    <w:p>
      <w:pPr>
        <w:spacing w:after="0"/>
        <w:sectPr>
          <w:footerReference w:type="default" r:id="rId13"/>
          <w:pgSz w:w="11910" w:h="16840"/>
          <w:pgMar w:footer="0" w:header="0" w:top="1580" w:bottom="280" w:left="0" w:right="0"/>
        </w:sect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line="252" w:lineRule="auto" w:before="167"/>
        <w:ind w:left="1133"/>
        <w:jc w:val="both"/>
      </w:pPr>
      <w:bookmarkStart w:name="_bookmark0" w:id="1"/>
      <w:bookmarkEnd w:id="1"/>
      <w:r>
        <w:rPr/>
      </w:r>
      <w:r>
        <w:rPr/>
        <w:t>Land subsidence has been observed locally </w:t>
      </w:r>
      <w:r>
        <w:rPr>
          <w:spacing w:val="-8"/>
        </w:rPr>
        <w:t>on </w:t>
      </w:r>
      <w:r>
        <w:rPr/>
        <w:t>dikes, in urban areas residing on land fill </w:t>
      </w:r>
      <w:r>
        <w:rPr>
          <w:spacing w:val="-5"/>
        </w:rPr>
        <w:t>de- </w:t>
      </w:r>
      <w:r>
        <w:rPr/>
        <w:t>posits, in areas dominated by bogs and </w:t>
      </w:r>
      <w:r>
        <w:rPr>
          <w:spacing w:val="-4"/>
        </w:rPr>
        <w:t>mead- </w:t>
      </w:r>
      <w:r>
        <w:rPr/>
        <w:t>ows as well as in rural areas where drainage </w:t>
      </w:r>
      <w:r>
        <w:rPr>
          <w:spacing w:val="-9"/>
        </w:rPr>
        <w:t>is </w:t>
      </w:r>
      <w:r>
        <w:rPr/>
        <w:t>predominant. Despite this fact, no systematic mapping of land subsidence zones or rates </w:t>
      </w:r>
      <w:r>
        <w:rPr>
          <w:spacing w:val="-6"/>
        </w:rPr>
        <w:t>has </w:t>
      </w:r>
      <w:r>
        <w:rPr/>
        <w:t>yet been attempted in Denmark. Plausible </w:t>
      </w:r>
      <w:r>
        <w:rPr>
          <w:spacing w:val="-8"/>
        </w:rPr>
        <w:t>ex- </w:t>
      </w:r>
      <w:r>
        <w:rPr/>
        <w:t>planations are that such an attempt may be </w:t>
      </w:r>
      <w:r>
        <w:rPr>
          <w:spacing w:val="-6"/>
        </w:rPr>
        <w:t>very </w:t>
      </w:r>
      <w:r>
        <w:rPr/>
        <w:t>labour intensive, and that land subsidence </w:t>
      </w:r>
      <w:r>
        <w:rPr>
          <w:spacing w:val="-3"/>
        </w:rPr>
        <w:t>issues have</w:t>
      </w:r>
      <w:r>
        <w:rPr>
          <w:spacing w:val="-13"/>
        </w:rPr>
        <w:t> </w:t>
      </w:r>
      <w:r>
        <w:rPr/>
        <w:t>not</w:t>
      </w:r>
      <w:r>
        <w:rPr>
          <w:spacing w:val="-13"/>
        </w:rPr>
        <w:t> </w:t>
      </w:r>
      <w:r>
        <w:rPr/>
        <w:t>gained</w:t>
      </w:r>
      <w:r>
        <w:rPr>
          <w:spacing w:val="-12"/>
        </w:rPr>
        <w:t> </w:t>
      </w:r>
      <w:r>
        <w:rPr/>
        <w:t>much</w:t>
      </w:r>
      <w:r>
        <w:rPr>
          <w:spacing w:val="-13"/>
        </w:rPr>
        <w:t> </w:t>
      </w:r>
      <w:r>
        <w:rPr/>
        <w:t>attention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national</w:t>
      </w:r>
      <w:r>
        <w:rPr>
          <w:spacing w:val="-13"/>
        </w:rPr>
        <w:t> </w:t>
      </w:r>
      <w:r>
        <w:rPr>
          <w:spacing w:val="-4"/>
        </w:rPr>
        <w:t>con- </w:t>
      </w:r>
      <w:r>
        <w:rPr/>
        <w:t>text up until the present. Furthermore, the </w:t>
      </w:r>
      <w:r>
        <w:rPr>
          <w:spacing w:val="-5"/>
        </w:rPr>
        <w:t>level- </w:t>
      </w:r>
      <w:r>
        <w:rPr/>
        <w:t>ling points of the Danish reference network</w:t>
      </w:r>
      <w:r>
        <w:rPr>
          <w:spacing w:val="-41"/>
        </w:rPr>
        <w:t> </w:t>
      </w:r>
      <w:r>
        <w:rPr>
          <w:spacing w:val="-8"/>
        </w:rPr>
        <w:t>have </w:t>
      </w:r>
      <w:r>
        <w:rPr/>
        <w:t>been established in areas considered to be </w:t>
      </w:r>
      <w:r>
        <w:rPr>
          <w:spacing w:val="-3"/>
        </w:rPr>
        <w:t>rela- </w:t>
      </w:r>
      <w:r>
        <w:rPr/>
        <w:t>tively stable with respect to vertical land </w:t>
      </w:r>
      <w:r>
        <w:rPr>
          <w:spacing w:val="-5"/>
        </w:rPr>
        <w:t>move- </w:t>
      </w:r>
      <w:r>
        <w:rPr/>
        <w:t>ments, thereby making an assessment </w:t>
      </w:r>
      <w:r>
        <w:rPr>
          <w:spacing w:val="-3"/>
        </w:rPr>
        <w:t>difficult. </w:t>
      </w:r>
      <w:r>
        <w:rPr>
          <w:spacing w:val="-4"/>
        </w:rPr>
        <w:t>However, </w:t>
      </w:r>
      <w:r>
        <w:rPr/>
        <w:t>there now is an increasing demand </w:t>
      </w:r>
      <w:r>
        <w:rPr>
          <w:spacing w:val="-6"/>
        </w:rPr>
        <w:t>for </w:t>
      </w:r>
      <w:r>
        <w:rPr/>
        <w:t>knowledge in the public about land subsidence and vertical land movement in general, </w:t>
      </w:r>
      <w:r>
        <w:rPr>
          <w:spacing w:val="-3"/>
        </w:rPr>
        <w:t>amongst </w:t>
      </w:r>
      <w:r>
        <w:rPr/>
        <w:t>other</w:t>
      </w:r>
      <w:r>
        <w:rPr>
          <w:spacing w:val="-9"/>
        </w:rPr>
        <w:t> </w:t>
      </w:r>
      <w:r>
        <w:rPr/>
        <w:t>things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relation</w:t>
      </w:r>
      <w:r>
        <w:rPr>
          <w:spacing w:val="-8"/>
        </w:rPr>
        <w:t> </w:t>
      </w:r>
      <w:r>
        <w:rPr/>
        <w:t>to</w:t>
      </w:r>
      <w:r>
        <w:rPr>
          <w:spacing w:val="-10"/>
        </w:rPr>
        <w:t> </w:t>
      </w:r>
      <w:r>
        <w:rPr/>
        <w:t>climate</w:t>
      </w:r>
      <w:r>
        <w:rPr>
          <w:spacing w:val="-8"/>
        </w:rPr>
        <w:t> </w:t>
      </w:r>
      <w:r>
        <w:rPr/>
        <w:t>change</w:t>
      </w:r>
      <w:r>
        <w:rPr>
          <w:spacing w:val="-9"/>
        </w:rPr>
        <w:t> </w:t>
      </w:r>
      <w:r>
        <w:rPr>
          <w:spacing w:val="-3"/>
        </w:rPr>
        <w:t>adapta- </w:t>
      </w:r>
      <w:r>
        <w:rPr/>
        <w:t>tion and construction works at the </w:t>
      </w:r>
      <w:r>
        <w:rPr>
          <w:spacing w:val="-2"/>
        </w:rPr>
        <w:t>municipality </w:t>
      </w:r>
      <w:r>
        <w:rPr/>
        <w:t>level.</w:t>
      </w:r>
    </w:p>
    <w:p>
      <w:pPr>
        <w:pStyle w:val="BodyText"/>
        <w:spacing w:line="258" w:lineRule="exact"/>
        <w:ind w:left="1367"/>
      </w:pPr>
      <w:r>
        <w:rPr/>
        <w:t>On</w:t>
      </w:r>
      <w:r>
        <w:rPr>
          <w:spacing w:val="-13"/>
        </w:rPr>
        <w:t> </w:t>
      </w:r>
      <w:r>
        <w:rPr/>
        <w:t>this</w:t>
      </w:r>
      <w:r>
        <w:rPr>
          <w:spacing w:val="-12"/>
        </w:rPr>
        <w:t> </w:t>
      </w:r>
      <w:r>
        <w:rPr/>
        <w:t>basis,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map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areas</w:t>
      </w:r>
      <w:r>
        <w:rPr>
          <w:spacing w:val="-12"/>
        </w:rPr>
        <w:t> </w:t>
      </w:r>
      <w:r>
        <w:rPr/>
        <w:t>with</w:t>
      </w:r>
      <w:r>
        <w:rPr>
          <w:spacing w:val="-12"/>
        </w:rPr>
        <w:t> </w:t>
      </w:r>
      <w:r>
        <w:rPr/>
        <w:t>an</w:t>
      </w:r>
      <w:r>
        <w:rPr>
          <w:spacing w:val="-13"/>
        </w:rPr>
        <w:t> </w:t>
      </w:r>
      <w:r>
        <w:rPr/>
        <w:t>increased</w:t>
      </w:r>
    </w:p>
    <w:p>
      <w:pPr>
        <w:pStyle w:val="BodyText"/>
        <w:spacing w:line="252" w:lineRule="auto" w:before="13"/>
        <w:ind w:left="1133"/>
        <w:jc w:val="both"/>
      </w:pPr>
      <w:r>
        <w:rPr/>
        <w:t>probability of land subsidence at the local </w:t>
      </w:r>
      <w:r>
        <w:rPr>
          <w:spacing w:val="-3"/>
        </w:rPr>
        <w:t>scale </w:t>
      </w:r>
      <w:r>
        <w:rPr/>
        <w:t>has been produced in collaboration between </w:t>
      </w:r>
      <w:r>
        <w:rPr>
          <w:spacing w:val="-5"/>
        </w:rPr>
        <w:t>the </w:t>
      </w:r>
      <w:r>
        <w:rPr/>
        <w:t>Danish</w:t>
      </w:r>
      <w:r>
        <w:rPr>
          <w:spacing w:val="-11"/>
        </w:rPr>
        <w:t> </w:t>
      </w:r>
      <w:r>
        <w:rPr/>
        <w:t>Geodata</w:t>
      </w:r>
      <w:r>
        <w:rPr>
          <w:spacing w:val="-10"/>
        </w:rPr>
        <w:t> </w:t>
      </w:r>
      <w:r>
        <w:rPr>
          <w:spacing w:val="-3"/>
        </w:rPr>
        <w:t>Agency,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Danish</w:t>
      </w:r>
      <w:r>
        <w:rPr>
          <w:spacing w:val="-10"/>
        </w:rPr>
        <w:t> </w:t>
      </w:r>
      <w:r>
        <w:rPr/>
        <w:t>Coastal</w:t>
      </w:r>
      <w:r>
        <w:rPr>
          <w:spacing w:val="-10"/>
        </w:rPr>
        <w:t> </w:t>
      </w:r>
      <w:r>
        <w:rPr>
          <w:spacing w:val="-5"/>
        </w:rPr>
        <w:t>Au- </w:t>
      </w:r>
      <w:r>
        <w:rPr/>
        <w:t>thority,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National</w:t>
      </w:r>
      <w:r>
        <w:rPr>
          <w:spacing w:val="-6"/>
        </w:rPr>
        <w:t> </w:t>
      </w:r>
      <w:r>
        <w:rPr/>
        <w:t>Space</w:t>
      </w:r>
      <w:r>
        <w:rPr>
          <w:spacing w:val="-7"/>
        </w:rPr>
        <w:t> </w:t>
      </w:r>
      <w:r>
        <w:rPr/>
        <w:t>Institute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>
          <w:spacing w:val="-4"/>
        </w:rPr>
        <w:t>Uni- </w:t>
      </w:r>
      <w:r>
        <w:rPr/>
        <w:t>versity of Aarhus (refer to figure on page</w:t>
      </w:r>
      <w:r>
        <w:rPr>
          <w:spacing w:val="-25"/>
        </w:rPr>
        <w:t> </w:t>
      </w:r>
      <w:hyperlink w:history="true" w:anchor="_bookmark2">
        <w:r>
          <w:rPr>
            <w:color w:val="FF0000"/>
          </w:rPr>
          <w:t>6</w:t>
        </w:r>
      </w:hyperlink>
      <w:r>
        <w:rPr/>
        <w:t>).</w:t>
      </w:r>
    </w:p>
    <w:p>
      <w:pPr>
        <w:pStyle w:val="BodyText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spacing w:line="252" w:lineRule="auto" w:before="167"/>
        <w:ind w:left="329" w:right="1131" w:firstLine="234"/>
        <w:jc w:val="both"/>
      </w:pPr>
      <w:r>
        <w:rPr/>
        <w:t>The map has been produced from the union</w:t>
      </w:r>
      <w:r>
        <w:rPr>
          <w:spacing w:val="-43"/>
        </w:rPr>
        <w:t> </w:t>
      </w:r>
      <w:r>
        <w:rPr>
          <w:spacing w:val="-6"/>
        </w:rPr>
        <w:t>of </w:t>
      </w:r>
      <w:r>
        <w:rPr/>
        <w:t>selected soil maps, geological maps and</w:t>
      </w:r>
      <w:r>
        <w:rPr>
          <w:spacing w:val="-27"/>
        </w:rPr>
        <w:t> </w:t>
      </w:r>
      <w:r>
        <w:rPr/>
        <w:t>geospa- tial information about low-lying areas and </w:t>
      </w:r>
      <w:r>
        <w:rPr>
          <w:spacing w:val="-3"/>
        </w:rPr>
        <w:t>areas </w:t>
      </w:r>
      <w:r>
        <w:rPr/>
        <w:t>characterized by landfill. The geological </w:t>
      </w:r>
      <w:r>
        <w:rPr>
          <w:spacing w:val="-5"/>
        </w:rPr>
        <w:t>maps </w:t>
      </w:r>
      <w:r>
        <w:rPr/>
        <w:t>comprise registrations of freshwater sediments (peat, mud, clay and sand), landscape elements (Littorina deposits, young marine deposits </w:t>
      </w:r>
      <w:r>
        <w:rPr>
          <w:spacing w:val="-5"/>
        </w:rPr>
        <w:t>and </w:t>
      </w:r>
      <w:r>
        <w:rPr/>
        <w:t>reclaimed areas) and lowlands (bogs, </w:t>
      </w:r>
      <w:r>
        <w:rPr>
          <w:spacing w:val="-3"/>
        </w:rPr>
        <w:t>meadows </w:t>
      </w:r>
      <w:r>
        <w:rPr/>
        <w:t>and marsh). Low lying areas (0–3 m a.s.l.) </w:t>
      </w:r>
      <w:r>
        <w:rPr>
          <w:spacing w:val="-8"/>
        </w:rPr>
        <w:t>have </w:t>
      </w:r>
      <w:r>
        <w:rPr/>
        <w:t>been identified using the national digital </w:t>
      </w:r>
      <w:r>
        <w:rPr>
          <w:spacing w:val="-5"/>
        </w:rPr>
        <w:t>eleva- </w:t>
      </w:r>
      <w:r>
        <w:rPr/>
        <w:t>tion model (DK-DEM) and landfill areas</w:t>
      </w:r>
      <w:r>
        <w:rPr>
          <w:spacing w:val="-33"/>
        </w:rPr>
        <w:t> </w:t>
      </w:r>
      <w:r>
        <w:rPr/>
        <w:t>around major harbours </w:t>
      </w:r>
      <w:r>
        <w:rPr>
          <w:spacing w:val="-3"/>
        </w:rPr>
        <w:t>have </w:t>
      </w:r>
      <w:r>
        <w:rPr/>
        <w:t>been digitized using </w:t>
      </w:r>
      <w:r>
        <w:rPr>
          <w:spacing w:val="-5"/>
        </w:rPr>
        <w:t>the </w:t>
      </w:r>
      <w:r>
        <w:rPr/>
        <w:t>most recent available</w:t>
      </w:r>
      <w:r>
        <w:rPr>
          <w:spacing w:val="-6"/>
        </w:rPr>
        <w:t> </w:t>
      </w:r>
      <w:r>
        <w:rPr/>
        <w:t>orthophotos.</w:t>
      </w:r>
    </w:p>
    <w:p>
      <w:pPr>
        <w:pStyle w:val="BodyText"/>
        <w:spacing w:line="228" w:lineRule="auto"/>
        <w:ind w:left="329" w:right="1131" w:firstLine="234"/>
        <w:jc w:val="both"/>
      </w:pPr>
      <w:r>
        <w:rPr/>
        <w:t>The mapping process was supported by</w:t>
      </w:r>
      <w:r>
        <w:rPr>
          <w:spacing w:val="-37"/>
        </w:rPr>
        <w:t> </w:t>
      </w:r>
      <w:r>
        <w:rPr>
          <w:spacing w:val="-3"/>
        </w:rPr>
        <w:t>calcu- </w:t>
      </w:r>
      <w:r>
        <w:rPr/>
        <w:t>lated rates of vertical change based on time </w:t>
      </w:r>
      <w:r>
        <w:rPr>
          <w:spacing w:val="-6"/>
        </w:rPr>
        <w:t>se- </w:t>
      </w:r>
      <w:r>
        <w:rPr/>
        <w:t>ries</w:t>
      </w:r>
      <w:r>
        <w:rPr>
          <w:spacing w:val="35"/>
        </w:rPr>
        <w:t> </w:t>
      </w:r>
      <w:r>
        <w:rPr/>
        <w:t>of</w:t>
      </w:r>
      <w:r>
        <w:rPr>
          <w:spacing w:val="35"/>
        </w:rPr>
        <w:t> </w:t>
      </w:r>
      <w:r>
        <w:rPr/>
        <w:t>selected</w:t>
      </w:r>
      <w:r>
        <w:rPr>
          <w:spacing w:val="35"/>
        </w:rPr>
        <w:t> </w:t>
      </w:r>
      <w:r>
        <w:rPr/>
        <w:t>calculated</w:t>
      </w:r>
      <w:r>
        <w:rPr>
          <w:spacing w:val="35"/>
        </w:rPr>
        <w:t> </w:t>
      </w:r>
      <w:r>
        <w:rPr/>
        <w:t>heights</w:t>
      </w:r>
      <w:r>
        <w:rPr>
          <w:spacing w:val="36"/>
        </w:rPr>
        <w:t> </w:t>
      </w:r>
      <w:r>
        <w:rPr/>
        <w:t>from</w:t>
      </w:r>
      <w:r>
        <w:rPr>
          <w:spacing w:val="35"/>
        </w:rPr>
        <w:t> </w:t>
      </w:r>
      <w:r>
        <w:rPr>
          <w:spacing w:val="-7"/>
        </w:rPr>
        <w:t>GST’s</w:t>
      </w:r>
    </w:p>
    <w:p>
      <w:pPr>
        <w:pStyle w:val="BodyText"/>
        <w:spacing w:line="252" w:lineRule="auto" w:before="17"/>
        <w:ind w:left="329" w:right="1120"/>
      </w:pPr>
      <w:r>
        <w:rPr/>
        <w:t>database of levelling measurements, and used to validate the map.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The map represents a first attempt to identify areas with increased likelihood of land subsi- dence at the local scale. This is expected to</w:t>
      </w:r>
      <w:r>
        <w:rPr>
          <w:spacing w:val="-38"/>
        </w:rPr>
        <w:t> </w:t>
      </w:r>
      <w:r>
        <w:rPr/>
        <w:t>form the basis for further development and research work on land subsidence in absolute values </w:t>
      </w:r>
      <w:r>
        <w:rPr>
          <w:spacing w:val="-6"/>
        </w:rPr>
        <w:t>and </w:t>
      </w:r>
      <w:r>
        <w:rPr/>
        <w:t>mapping in</w:t>
      </w:r>
      <w:r>
        <w:rPr>
          <w:spacing w:val="-3"/>
        </w:rPr>
        <w:t> </w:t>
      </w:r>
      <w:r>
        <w:rPr/>
        <w:t>Denmark.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The map may be accessed and downloaded as a GIS layer at </w:t>
      </w:r>
      <w:hyperlink r:id="rId14">
        <w:r>
          <w:rPr>
            <w:color w:val="FF0000"/>
          </w:rPr>
          <w:t>http://miljoegis.mim.dk/?profile=</w:t>
        </w:r>
      </w:hyperlink>
      <w:r>
        <w:rPr>
          <w:color w:val="FF0000"/>
        </w:rPr>
        <w:t> </w:t>
      </w:r>
      <w:hyperlink r:id="rId14">
        <w:r>
          <w:rPr>
            <w:color w:val="FF0000"/>
          </w:rPr>
          <w:t>miljoegis-klimatilpasningsplaner</w:t>
        </w:r>
      </w:hyperlink>
      <w:r>
        <w:rPr/>
        <w:t>.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0" w:right="0"/>
          <w:cols w:num="2" w:equalWidth="0">
            <w:col w:w="5769" w:space="40"/>
            <w:col w:w="6101"/>
          </w:cols>
        </w:sectPr>
      </w:pPr>
    </w:p>
    <w:p>
      <w:pPr>
        <w:pStyle w:val="BodyText"/>
        <w:spacing w:before="10"/>
        <w:rPr>
          <w:sz w:val="28"/>
        </w:rPr>
      </w:pPr>
    </w:p>
    <w:p>
      <w:pPr>
        <w:pStyle w:val="Heading1"/>
      </w:pPr>
      <w:r>
        <w:rPr/>
        <w:t>Sammendrag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2"/>
        </w:rPr>
      </w:pPr>
    </w:p>
    <w:p>
      <w:pPr>
        <w:spacing w:after="0"/>
        <w:rPr>
          <w:rFonts w:ascii="Arial"/>
          <w:sz w:val="22"/>
        </w:rPr>
        <w:sectPr>
          <w:footerReference w:type="default" r:id="rId15"/>
          <w:pgSz w:w="11910" w:h="16840"/>
          <w:pgMar w:footer="0" w:header="0" w:top="1580" w:bottom="280" w:left="0" w:right="0"/>
        </w:sectPr>
      </w:pPr>
    </w:p>
    <w:p>
      <w:pPr>
        <w:pStyle w:val="BodyText"/>
        <w:spacing w:line="252" w:lineRule="auto" w:before="97"/>
        <w:ind w:left="1133"/>
        <w:jc w:val="both"/>
      </w:pPr>
      <w:bookmarkStart w:name="_bookmark1" w:id="2"/>
      <w:bookmarkEnd w:id="2"/>
      <w:r>
        <w:rPr/>
      </w:r>
      <w:r>
        <w:rPr/>
        <w:t>Det er almindelig kendt, at der lokalt sker </w:t>
      </w:r>
      <w:r>
        <w:rPr>
          <w:spacing w:val="-4"/>
        </w:rPr>
        <w:t>sæt- </w:t>
      </w:r>
      <w:r>
        <w:rPr/>
        <w:t>ninger blandt andet af diger, i opfyldsområder og i moser i forbindelse med dræning. </w:t>
      </w:r>
      <w:r>
        <w:rPr>
          <w:spacing w:val="-3"/>
        </w:rPr>
        <w:t>Allige- </w:t>
      </w:r>
      <w:r>
        <w:rPr/>
        <w:t>vel er der aldrig udført en systematisk </w:t>
      </w:r>
      <w:r>
        <w:rPr>
          <w:spacing w:val="-3"/>
        </w:rPr>
        <w:t>kortlæg- </w:t>
      </w:r>
      <w:r>
        <w:rPr/>
        <w:t>ning af sætninger eller sætningsrater i Danmark. En sandsynlig forklaring på dette </w:t>
      </w:r>
      <w:r>
        <w:rPr>
          <w:spacing w:val="-4"/>
        </w:rPr>
        <w:t>er, </w:t>
      </w:r>
      <w:r>
        <w:rPr/>
        <w:t>at det er </w:t>
      </w:r>
      <w:r>
        <w:rPr>
          <w:spacing w:val="-9"/>
        </w:rPr>
        <w:t>et </w:t>
      </w:r>
      <w:r>
        <w:rPr/>
        <w:t>omfattende arbejde, samt at der ikke hidtil </w:t>
      </w:r>
      <w:r>
        <w:rPr>
          <w:spacing w:val="-5"/>
        </w:rPr>
        <w:t>har </w:t>
      </w:r>
      <w:r>
        <w:rPr/>
        <w:t>været</w:t>
      </w:r>
      <w:r>
        <w:rPr>
          <w:spacing w:val="-11"/>
        </w:rPr>
        <w:t> </w:t>
      </w:r>
      <w:r>
        <w:rPr/>
        <w:t>fokus</w:t>
      </w:r>
      <w:r>
        <w:rPr>
          <w:spacing w:val="-11"/>
        </w:rPr>
        <w:t> </w:t>
      </w:r>
      <w:r>
        <w:rPr/>
        <w:t>på</w:t>
      </w:r>
      <w:r>
        <w:rPr>
          <w:spacing w:val="-11"/>
        </w:rPr>
        <w:t> </w:t>
      </w:r>
      <w:r>
        <w:rPr/>
        <w:t>problemstillingerne</w:t>
      </w:r>
      <w:r>
        <w:rPr>
          <w:spacing w:val="-10"/>
        </w:rPr>
        <w:t> </w:t>
      </w:r>
      <w:r>
        <w:rPr/>
        <w:t>omkring</w:t>
      </w:r>
      <w:r>
        <w:rPr>
          <w:spacing w:val="-11"/>
        </w:rPr>
        <w:t> </w:t>
      </w:r>
      <w:r>
        <w:rPr>
          <w:spacing w:val="-4"/>
        </w:rPr>
        <w:t>sæt- </w:t>
      </w:r>
      <w:r>
        <w:rPr/>
        <w:t>ninger i et større perspektiv. Endvidere har </w:t>
      </w:r>
      <w:r>
        <w:rPr>
          <w:spacing w:val="-4"/>
        </w:rPr>
        <w:t>fiks- </w:t>
      </w:r>
      <w:r>
        <w:rPr/>
        <w:t>punktnettet i Danmark været søgt etableret i </w:t>
      </w:r>
      <w:r>
        <w:rPr>
          <w:spacing w:val="-5"/>
        </w:rPr>
        <w:t>re- </w:t>
      </w:r>
      <w:r>
        <w:rPr/>
        <w:t>lativt stabile sedimenter. </w:t>
      </w:r>
      <w:r>
        <w:rPr>
          <w:spacing w:val="-3"/>
        </w:rPr>
        <w:t>Viden </w:t>
      </w:r>
      <w:r>
        <w:rPr/>
        <w:t>om lokale </w:t>
      </w:r>
      <w:r>
        <w:rPr>
          <w:spacing w:val="-4"/>
        </w:rPr>
        <w:t>sæt-</w:t>
      </w:r>
      <w:r>
        <w:rPr>
          <w:spacing w:val="52"/>
        </w:rPr>
        <w:t> </w:t>
      </w:r>
      <w:r>
        <w:rPr/>
        <w:t>ningsforhold bliver imidlertid stadig mere </w:t>
      </w:r>
      <w:r>
        <w:rPr>
          <w:spacing w:val="-5"/>
        </w:rPr>
        <w:t>efter- </w:t>
      </w:r>
      <w:r>
        <w:rPr/>
        <w:t>spurgt, blandt andet i relation til klimatilpasning og større anlægsarbejder i kommunalt</w:t>
      </w:r>
      <w:r>
        <w:rPr>
          <w:spacing w:val="-13"/>
        </w:rPr>
        <w:t> </w:t>
      </w:r>
      <w:r>
        <w:rPr/>
        <w:t>regi.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Et kort over områder med forøget sandsynlig- hed for lokale sætninger er på denne </w:t>
      </w:r>
      <w:r>
        <w:rPr>
          <w:spacing w:val="-3"/>
        </w:rPr>
        <w:t>baggrund </w:t>
      </w:r>
      <w:r>
        <w:rPr/>
        <w:t>blevet udarbejdet i et samarbejde mellem </w:t>
      </w:r>
      <w:r>
        <w:rPr>
          <w:spacing w:val="-4"/>
        </w:rPr>
        <w:t>Geo-</w:t>
      </w:r>
      <w:r>
        <w:rPr>
          <w:spacing w:val="52"/>
        </w:rPr>
        <w:t> </w:t>
      </w:r>
      <w:r>
        <w:rPr/>
        <w:t>datastyrelsen, Kystdirektoratet, DTU Space </w:t>
      </w:r>
      <w:r>
        <w:rPr>
          <w:spacing w:val="-10"/>
        </w:rPr>
        <w:t>og </w:t>
      </w:r>
      <w:r>
        <w:rPr/>
        <w:t>Aarhus Universitet (se figur på side </w:t>
      </w:r>
      <w:hyperlink w:history="true" w:anchor="_bookmark2">
        <w:r>
          <w:rPr>
            <w:color w:val="FF0000"/>
          </w:rPr>
          <w:t>6</w:t>
        </w:r>
      </w:hyperlink>
      <w:r>
        <w:rPr/>
        <w:t>).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Kortet</w:t>
      </w:r>
      <w:r>
        <w:rPr>
          <w:spacing w:val="-10"/>
        </w:rPr>
        <w:t> </w:t>
      </w:r>
      <w:r>
        <w:rPr/>
        <w:t>er</w:t>
      </w:r>
      <w:r>
        <w:rPr>
          <w:spacing w:val="-10"/>
        </w:rPr>
        <w:t> </w:t>
      </w:r>
      <w:r>
        <w:rPr/>
        <w:t>fremstillet</w:t>
      </w:r>
      <w:r>
        <w:rPr>
          <w:spacing w:val="-9"/>
        </w:rPr>
        <w:t> </w:t>
      </w:r>
      <w:r>
        <w:rPr/>
        <w:t>ud</w:t>
      </w:r>
      <w:r>
        <w:rPr>
          <w:spacing w:val="-10"/>
        </w:rPr>
        <w:t> </w:t>
      </w:r>
      <w:r>
        <w:rPr/>
        <w:t>fra</w:t>
      </w:r>
      <w:r>
        <w:rPr>
          <w:spacing w:val="-10"/>
        </w:rPr>
        <w:t> </w:t>
      </w:r>
      <w:r>
        <w:rPr/>
        <w:t>foreningsmængden af udvalgte jordartskort og geologiske kort </w:t>
      </w:r>
      <w:r>
        <w:rPr>
          <w:spacing w:val="-4"/>
        </w:rPr>
        <w:t>samt </w:t>
      </w:r>
      <w:r>
        <w:rPr/>
        <w:t>informationer om lavtliggende områder og </w:t>
      </w:r>
      <w:r>
        <w:rPr>
          <w:spacing w:val="-6"/>
        </w:rPr>
        <w:t>op- </w:t>
      </w:r>
      <w:r>
        <w:rPr/>
        <w:t>fyldsområder. De geologiske kort omfatter </w:t>
      </w:r>
      <w:r>
        <w:rPr>
          <w:spacing w:val="-4"/>
        </w:rPr>
        <w:t>regi- </w:t>
      </w:r>
      <w:r>
        <w:rPr/>
        <w:t>streringer</w:t>
      </w:r>
      <w:r>
        <w:rPr>
          <w:spacing w:val="-16"/>
        </w:rPr>
        <w:t> </w:t>
      </w:r>
      <w:r>
        <w:rPr/>
        <w:t>af</w:t>
      </w:r>
      <w:r>
        <w:rPr>
          <w:spacing w:val="-16"/>
        </w:rPr>
        <w:t> </w:t>
      </w:r>
      <w:r>
        <w:rPr/>
        <w:t>ferskvandsdannelser</w:t>
      </w:r>
      <w:r>
        <w:rPr>
          <w:spacing w:val="-15"/>
        </w:rPr>
        <w:t> </w:t>
      </w:r>
      <w:r>
        <w:rPr>
          <w:spacing w:val="-3"/>
        </w:rPr>
        <w:t>(tørv,</w:t>
      </w:r>
      <w:r>
        <w:rPr>
          <w:spacing w:val="-16"/>
        </w:rPr>
        <w:t> </w:t>
      </w:r>
      <w:r>
        <w:rPr/>
        <w:t>gytje,</w:t>
      </w:r>
      <w:r>
        <w:rPr>
          <w:spacing w:val="-16"/>
        </w:rPr>
        <w:t> </w:t>
      </w:r>
      <w:r>
        <w:rPr>
          <w:spacing w:val="-9"/>
        </w:rPr>
        <w:t>ler,</w:t>
      </w:r>
    </w:p>
    <w:p>
      <w:pPr>
        <w:pStyle w:val="BodyText"/>
        <w:spacing w:line="252" w:lineRule="auto" w:before="97"/>
        <w:ind w:left="329" w:right="1131"/>
        <w:jc w:val="both"/>
      </w:pPr>
      <w:r>
        <w:rPr/>
        <w:br w:type="column"/>
      </w:r>
      <w:r>
        <w:rPr/>
        <w:t>sand),</w:t>
      </w:r>
      <w:r>
        <w:rPr>
          <w:spacing w:val="-17"/>
        </w:rPr>
        <w:t> </w:t>
      </w:r>
      <w:r>
        <w:rPr/>
        <w:t>landskabselementer</w:t>
      </w:r>
      <w:r>
        <w:rPr>
          <w:spacing w:val="-17"/>
        </w:rPr>
        <w:t> </w:t>
      </w:r>
      <w:r>
        <w:rPr/>
        <w:t>(marsk,</w:t>
      </w:r>
      <w:r>
        <w:rPr>
          <w:spacing w:val="-17"/>
        </w:rPr>
        <w:t> </w:t>
      </w:r>
      <w:r>
        <w:rPr/>
        <w:t>littorina</w:t>
      </w:r>
      <w:r>
        <w:rPr>
          <w:spacing w:val="-16"/>
        </w:rPr>
        <w:t> </w:t>
      </w:r>
      <w:r>
        <w:rPr>
          <w:spacing w:val="-3"/>
        </w:rPr>
        <w:t>aflej- </w:t>
      </w:r>
      <w:r>
        <w:rPr/>
        <w:t>ringer, øvrige yngre marine aflejringer og </w:t>
      </w:r>
      <w:r>
        <w:rPr>
          <w:spacing w:val="-4"/>
        </w:rPr>
        <w:t>ind- </w:t>
      </w:r>
      <w:r>
        <w:rPr/>
        <w:t>dæmmede arealer) samt lavbundsarealer </w:t>
      </w:r>
      <w:r>
        <w:rPr>
          <w:spacing w:val="-4"/>
        </w:rPr>
        <w:t>(eng, </w:t>
      </w:r>
      <w:r>
        <w:rPr/>
        <w:t>mose</w:t>
      </w:r>
      <w:r>
        <w:rPr>
          <w:spacing w:val="39"/>
        </w:rPr>
        <w:t> </w:t>
      </w:r>
      <w:r>
        <w:rPr/>
        <w:t>og</w:t>
      </w:r>
      <w:r>
        <w:rPr>
          <w:spacing w:val="39"/>
        </w:rPr>
        <w:t> </w:t>
      </w:r>
      <w:r>
        <w:rPr/>
        <w:t>marsk).</w:t>
      </w:r>
      <w:r>
        <w:rPr>
          <w:spacing w:val="40"/>
        </w:rPr>
        <w:t> </w:t>
      </w:r>
      <w:r>
        <w:rPr/>
        <w:t>Lavtliggende</w:t>
      </w:r>
      <w:r>
        <w:rPr>
          <w:spacing w:val="39"/>
        </w:rPr>
        <w:t> </w:t>
      </w:r>
      <w:r>
        <w:rPr/>
        <w:t>områder</w:t>
      </w:r>
      <w:r>
        <w:rPr>
          <w:spacing w:val="40"/>
        </w:rPr>
        <w:t> </w:t>
      </w:r>
      <w:r>
        <w:rPr/>
        <w:t>(0</w:t>
      </w:r>
      <w:r>
        <w:rPr>
          <w:spacing w:val="39"/>
        </w:rPr>
        <w:t> </w:t>
      </w:r>
      <w:r>
        <w:rPr/>
        <w:t>-</w:t>
      </w:r>
      <w:r>
        <w:rPr>
          <w:spacing w:val="40"/>
        </w:rPr>
        <w:t> </w:t>
      </w:r>
      <w:r>
        <w:rPr>
          <w:spacing w:val="-17"/>
        </w:rPr>
        <w:t>3</w:t>
      </w:r>
    </w:p>
    <w:p>
      <w:pPr>
        <w:pStyle w:val="BodyText"/>
        <w:spacing w:line="252" w:lineRule="auto"/>
        <w:ind w:left="329" w:right="1131"/>
        <w:jc w:val="both"/>
      </w:pPr>
      <w:r>
        <w:rPr/>
        <w:t>m)</w:t>
      </w:r>
      <w:r>
        <w:rPr>
          <w:spacing w:val="-16"/>
        </w:rPr>
        <w:t> </w:t>
      </w:r>
      <w:r>
        <w:rPr/>
        <w:t>er</w:t>
      </w:r>
      <w:r>
        <w:rPr>
          <w:spacing w:val="-15"/>
        </w:rPr>
        <w:t> </w:t>
      </w:r>
      <w:r>
        <w:rPr/>
        <w:t>identificeret</w:t>
      </w:r>
      <w:r>
        <w:rPr>
          <w:spacing w:val="-16"/>
        </w:rPr>
        <w:t> </w:t>
      </w:r>
      <w:r>
        <w:rPr/>
        <w:t>ud</w:t>
      </w:r>
      <w:r>
        <w:rPr>
          <w:spacing w:val="-15"/>
        </w:rPr>
        <w:t> </w:t>
      </w:r>
      <w:r>
        <w:rPr/>
        <w:t>fra</w:t>
      </w:r>
      <w:r>
        <w:rPr>
          <w:spacing w:val="-14"/>
        </w:rPr>
        <w:t> </w:t>
      </w:r>
      <w:r>
        <w:rPr/>
        <w:t>Danmarks</w:t>
      </w:r>
      <w:r>
        <w:rPr>
          <w:spacing w:val="-16"/>
        </w:rPr>
        <w:t> </w:t>
      </w:r>
      <w:r>
        <w:rPr/>
        <w:t>Højdemodel, og opfyldsområder i tilknytning til større </w:t>
      </w:r>
      <w:r>
        <w:rPr>
          <w:spacing w:val="-5"/>
        </w:rPr>
        <w:t>hav- </w:t>
      </w:r>
      <w:r>
        <w:rPr/>
        <w:t>ne/havnebyer er digitaliseret på baggrund af </w:t>
      </w:r>
      <w:r>
        <w:rPr>
          <w:spacing w:val="-7"/>
        </w:rPr>
        <w:t>de </w:t>
      </w:r>
      <w:r>
        <w:rPr/>
        <w:t>nyeste tilgængelige</w:t>
      </w:r>
      <w:r>
        <w:rPr>
          <w:spacing w:val="-3"/>
        </w:rPr>
        <w:t> </w:t>
      </w:r>
      <w:r>
        <w:rPr/>
        <w:t>ortofotos.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Kortlægningen understøttes af beregnede </w:t>
      </w:r>
      <w:r>
        <w:rPr>
          <w:spacing w:val="-5"/>
        </w:rPr>
        <w:t>æn- </w:t>
      </w:r>
      <w:r>
        <w:rPr/>
        <w:t>dringsrater baseret på tidsserier af udvalgte </w:t>
      </w:r>
      <w:r>
        <w:rPr>
          <w:spacing w:val="-6"/>
        </w:rPr>
        <w:t>be- </w:t>
      </w:r>
      <w:r>
        <w:rPr/>
        <w:t>regnede koter fra Geodatastyrelsens fikspunkt- database, der anvendes som</w:t>
      </w:r>
      <w:r>
        <w:rPr>
          <w:spacing w:val="-24"/>
        </w:rPr>
        <w:t> </w:t>
      </w:r>
      <w:r>
        <w:rPr/>
        <w:t>valideringsgrundlag for</w:t>
      </w:r>
      <w:r>
        <w:rPr>
          <w:spacing w:val="-2"/>
        </w:rPr>
        <w:t> </w:t>
      </w:r>
      <w:r>
        <w:rPr/>
        <w:t>kortlægningen.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Kortet repræsenterer et første bud på en ud- pegning af områder med forøget sandsynlighed for lokale sætninger. Dette vil forventeligt dan- ne baggrund for et videre udviklings- og forsk-</w:t>
      </w:r>
    </w:p>
    <w:p>
      <w:pPr>
        <w:pStyle w:val="BodyText"/>
        <w:spacing w:line="228" w:lineRule="auto"/>
        <w:ind w:left="329" w:right="1131"/>
        <w:jc w:val="both"/>
      </w:pPr>
      <w:r>
        <w:rPr/>
        <w:t>ningsarbejde med henblik på en egentlig kort- lægning af lokale sætninger udtrykt i absolutte værdier.</w:t>
      </w:r>
    </w:p>
    <w:p>
      <w:pPr>
        <w:pStyle w:val="BodyText"/>
        <w:spacing w:line="252" w:lineRule="auto" w:before="14"/>
        <w:ind w:left="329" w:right="1131" w:firstLine="234"/>
        <w:jc w:val="both"/>
      </w:pPr>
      <w:r>
        <w:rPr/>
        <w:t>Kortet kan tilgås og  hentes  som  et  </w:t>
      </w:r>
      <w:r>
        <w:rPr>
          <w:spacing w:val="-3"/>
        </w:rPr>
        <w:t>GIS-  </w:t>
      </w:r>
      <w:r>
        <w:rPr/>
        <w:t>lag fra </w:t>
      </w:r>
      <w:hyperlink r:id="rId14">
        <w:r>
          <w:rPr>
            <w:color w:val="FF0000"/>
          </w:rPr>
          <w:t>http://miljoegis.mim.dk/?profile=</w:t>
        </w:r>
      </w:hyperlink>
      <w:r>
        <w:rPr>
          <w:color w:val="FF0000"/>
        </w:rPr>
        <w:t> </w:t>
      </w:r>
      <w:hyperlink r:id="rId14">
        <w:r>
          <w:rPr>
            <w:color w:val="FF0000"/>
          </w:rPr>
          <w:t>miljoegis-klimatilpasningsplaner</w:t>
        </w:r>
      </w:hyperlink>
      <w:r>
        <w:rPr/>
        <w:t>.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0" w:right="0"/>
          <w:cols w:num="2" w:equalWidth="0">
            <w:col w:w="5769" w:space="40"/>
            <w:col w:w="610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</w:p>
    <w:p>
      <w:pPr>
        <w:pStyle w:val="BodyText"/>
        <w:ind w:left="1615"/>
        <w:rPr>
          <w:sz w:val="20"/>
        </w:rPr>
      </w:pPr>
      <w:r>
        <w:rPr>
          <w:sz w:val="20"/>
        </w:rPr>
        <w:drawing>
          <wp:inline distT="0" distB="0" distL="0" distR="0">
            <wp:extent cx="5484685" cy="6335458"/>
            <wp:effectExtent l="0" t="0" r="0" b="0"/>
            <wp:docPr id="7" name="image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4685" cy="633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13"/>
        </w:rPr>
      </w:pPr>
    </w:p>
    <w:p>
      <w:pPr>
        <w:spacing w:before="104"/>
        <w:ind w:left="1133" w:right="0" w:firstLine="0"/>
        <w:jc w:val="left"/>
        <w:rPr>
          <w:rFonts w:ascii="Arial" w:hAnsi="Arial"/>
          <w:sz w:val="20"/>
        </w:rPr>
      </w:pPr>
      <w:bookmarkStart w:name="_bookmark2" w:id="3"/>
      <w:bookmarkEnd w:id="3"/>
      <w:r>
        <w:rPr/>
      </w:r>
      <w:r>
        <w:rPr>
          <w:rFonts w:ascii="Arial" w:hAnsi="Arial"/>
          <w:sz w:val="20"/>
        </w:rPr>
        <w:t>Screeningskort over områder med forøget sandsynlighed for landsænkning.</w:t>
      </w:r>
    </w:p>
    <w:p>
      <w:pPr>
        <w:pStyle w:val="BodyText"/>
        <w:spacing w:before="8"/>
        <w:rPr>
          <w:rFonts w:ascii="Arial"/>
          <w:sz w:val="22"/>
        </w:rPr>
      </w:pPr>
    </w:p>
    <w:p>
      <w:pPr>
        <w:spacing w:before="0"/>
        <w:ind w:left="1133" w:right="0" w:firstLine="0"/>
        <w:jc w:val="left"/>
        <w:rPr>
          <w:rFonts w:ascii="Arial"/>
          <w:i/>
          <w:sz w:val="20"/>
        </w:rPr>
      </w:pPr>
      <w:r>
        <w:rPr>
          <w:rFonts w:ascii="Arial"/>
          <w:i/>
          <w:sz w:val="20"/>
        </w:rPr>
        <w:t>Areas with an increased probability of land subsidence in Denmark.</w:t>
      </w:r>
    </w:p>
    <w:p>
      <w:pPr>
        <w:pStyle w:val="BodyText"/>
        <w:spacing w:before="8"/>
        <w:rPr>
          <w:rFonts w:ascii="Arial"/>
          <w:i/>
          <w:sz w:val="22"/>
        </w:rPr>
      </w:pPr>
    </w:p>
    <w:p>
      <w:pPr>
        <w:spacing w:before="0"/>
        <w:ind w:left="1133" w:right="0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w:t>URL </w:t>
      </w:r>
      <w:hyperlink r:id="rId14">
        <w:r>
          <w:rPr>
            <w:rFonts w:ascii="Arial"/>
            <w:color w:val="FF0000"/>
            <w:sz w:val="20"/>
          </w:rPr>
          <w:t>http://miljoegis.mim.dk/?profile=miljoegis-klimatilpasningsplaner</w:t>
        </w:r>
      </w:hyperlink>
    </w:p>
    <w:p>
      <w:pPr>
        <w:spacing w:after="0"/>
        <w:jc w:val="left"/>
        <w:rPr>
          <w:rFonts w:ascii="Arial"/>
          <w:sz w:val="20"/>
        </w:rPr>
        <w:sectPr>
          <w:footerReference w:type="default" r:id="rId16"/>
          <w:pgSz w:w="11910" w:h="16840"/>
          <w:pgMar w:footer="546" w:header="0" w:top="1580" w:bottom="740" w:left="0" w:right="0"/>
        </w:sectPr>
      </w:pPr>
    </w:p>
    <w:p>
      <w:pPr>
        <w:pStyle w:val="BodyText"/>
        <w:spacing w:before="10"/>
        <w:rPr>
          <w:rFonts w:ascii="Arial"/>
          <w:sz w:val="28"/>
        </w:rPr>
      </w:pPr>
    </w:p>
    <w:p>
      <w:pPr>
        <w:spacing w:line="463" w:lineRule="auto" w:before="111"/>
        <w:ind w:left="1133" w:right="6720" w:firstLine="0"/>
        <w:jc w:val="left"/>
        <w:rPr>
          <w:rFonts w:ascii="Arial"/>
          <w:b/>
          <w:sz w:val="45"/>
        </w:rPr>
      </w:pPr>
      <w:r>
        <w:rPr>
          <w:rFonts w:ascii="Arial"/>
          <w:b/>
          <w:sz w:val="45"/>
        </w:rPr>
        <w:t>Kapitel 1 Indledning</w:t>
      </w:r>
    </w:p>
    <w:p>
      <w:pPr>
        <w:pStyle w:val="BodyText"/>
        <w:spacing w:before="8"/>
        <w:rPr>
          <w:rFonts w:ascii="Arial"/>
          <w:b/>
          <w:sz w:val="13"/>
        </w:rPr>
      </w:pPr>
    </w:p>
    <w:p>
      <w:pPr>
        <w:spacing w:after="0"/>
        <w:rPr>
          <w:rFonts w:ascii="Arial"/>
          <w:sz w:val="13"/>
        </w:rPr>
        <w:sectPr>
          <w:footerReference w:type="default" r:id="rId18"/>
          <w:pgSz w:w="11910" w:h="16840"/>
          <w:pgMar w:footer="0" w:header="0" w:top="1580" w:bottom="280" w:left="0" w:right="0"/>
        </w:sectPr>
      </w:pPr>
    </w:p>
    <w:p>
      <w:pPr>
        <w:pStyle w:val="Heading2"/>
        <w:numPr>
          <w:ilvl w:val="1"/>
          <w:numId w:val="2"/>
        </w:numPr>
        <w:tabs>
          <w:tab w:pos="1890" w:val="left" w:leader="none"/>
          <w:tab w:pos="1891" w:val="left" w:leader="none"/>
        </w:tabs>
        <w:spacing w:line="240" w:lineRule="auto" w:before="110" w:after="0"/>
        <w:ind w:left="1890" w:right="0" w:hanging="757"/>
        <w:jc w:val="left"/>
      </w:pPr>
      <w:bookmarkStart w:name="_bookmark3" w:id="4"/>
      <w:bookmarkEnd w:id="4"/>
      <w:r>
        <w:rPr>
          <w:b w:val="0"/>
        </w:rPr>
      </w:r>
      <w:bookmarkStart w:name="_bookmark3" w:id="5"/>
      <w:bookmarkEnd w:id="5"/>
      <w:r>
        <w:rPr/>
        <w:t>B</w:t>
      </w:r>
      <w:r>
        <w:rPr/>
        <w:t>aggrund</w:t>
      </w:r>
    </w:p>
    <w:p>
      <w:pPr>
        <w:pStyle w:val="BodyText"/>
        <w:spacing w:line="252" w:lineRule="auto" w:before="247"/>
        <w:ind w:left="1133"/>
        <w:jc w:val="both"/>
      </w:pPr>
      <w:r>
        <w:rPr/>
        <w:t>Den generelle landhævning, som </w:t>
      </w:r>
      <w:r>
        <w:rPr>
          <w:spacing w:val="-3"/>
        </w:rPr>
        <w:t>kendetegner </w:t>
      </w:r>
      <w:r>
        <w:rPr/>
        <w:t>Danmarks vertikalbevægelse i postglacial tid, </w:t>
      </w:r>
      <w:r>
        <w:rPr>
          <w:spacing w:val="-8"/>
        </w:rPr>
        <w:t>er </w:t>
      </w:r>
      <w:r>
        <w:rPr/>
        <w:t>beregnet og modelleret af DTU Space på </w:t>
      </w:r>
      <w:r>
        <w:rPr>
          <w:spacing w:val="-4"/>
        </w:rPr>
        <w:t>bag- </w:t>
      </w:r>
      <w:r>
        <w:rPr/>
        <w:t>grund af GPS- og nivellementsdata fra</w:t>
      </w:r>
      <w:r>
        <w:rPr>
          <w:spacing w:val="-22"/>
        </w:rPr>
        <w:t> </w:t>
      </w:r>
      <w:r>
        <w:rPr/>
        <w:t>Geodata- styrelsen.</w:t>
      </w:r>
    </w:p>
    <w:p>
      <w:pPr>
        <w:pStyle w:val="BodyText"/>
        <w:spacing w:line="252" w:lineRule="auto"/>
        <w:ind w:left="1055" w:firstLine="234"/>
        <w:jc w:val="right"/>
      </w:pPr>
      <w:r>
        <w:rPr/>
        <w:pict>
          <v:shape style="position:absolute;margin-left:87.676003pt;margin-top:175.287857pt;width:9.3pt;height:20.75pt;mso-position-horizontal-relative:page;mso-position-vertical-relative:paragraph;z-index:-36280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4"/>
                      <w:sz w:val="24"/>
                    </w:rPr>
                    <w:t>±</w:t>
                  </w:r>
                </w:p>
              </w:txbxContent>
            </v:textbox>
            <w10:wrap type="none"/>
          </v:shape>
        </w:pict>
      </w:r>
      <w:r>
        <w:rPr/>
        <w:t>Udover den generelle landhævning </w:t>
      </w:r>
      <w:r>
        <w:rPr>
          <w:spacing w:val="-3"/>
        </w:rPr>
        <w:t>forekom-</w:t>
      </w:r>
      <w:r>
        <w:rPr>
          <w:w w:val="99"/>
        </w:rPr>
        <w:t> </w:t>
      </w:r>
      <w:r>
        <w:rPr/>
        <w:t>mer der en række regionale og lokale </w:t>
      </w:r>
      <w:r>
        <w:rPr>
          <w:spacing w:val="-3"/>
        </w:rPr>
        <w:t>vertikale</w:t>
      </w:r>
      <w:r>
        <w:rPr>
          <w:w w:val="99"/>
        </w:rPr>
        <w:t> </w:t>
      </w:r>
      <w:r>
        <w:rPr/>
        <w:t>landbevægelser hovedsaglig i form af sætninger.</w:t>
      </w:r>
      <w:r>
        <w:rPr>
          <w:w w:val="99"/>
        </w:rPr>
        <w:t> </w:t>
      </w:r>
      <w:r>
        <w:rPr/>
        <w:t>Sætninger kan </w:t>
      </w:r>
      <w:r>
        <w:rPr>
          <w:spacing w:val="-3"/>
        </w:rPr>
        <w:t>have </w:t>
      </w:r>
      <w:r>
        <w:rPr/>
        <w:t>oprindelse i den under-</w:t>
      </w:r>
      <w:r>
        <w:rPr>
          <w:w w:val="99"/>
        </w:rPr>
        <w:t> </w:t>
      </w:r>
      <w:r>
        <w:rPr/>
        <w:t>liggende geologi, f.eks. i forbindelse med </w:t>
      </w:r>
      <w:r>
        <w:rPr>
          <w:spacing w:val="-5"/>
        </w:rPr>
        <w:t>kon-</w:t>
      </w:r>
      <w:r>
        <w:rPr>
          <w:w w:val="99"/>
        </w:rPr>
        <w:t> </w:t>
      </w:r>
      <w:r>
        <w:rPr/>
        <w:t>solidering af sedimenter, eller være af </w:t>
      </w:r>
      <w:r>
        <w:rPr>
          <w:spacing w:val="-3"/>
        </w:rPr>
        <w:t>geotek-</w:t>
      </w:r>
      <w:r>
        <w:rPr>
          <w:w w:val="99"/>
        </w:rPr>
        <w:t> </w:t>
      </w:r>
      <w:r>
        <w:rPr/>
        <w:t>nisk karakter, f.eks. et kajområde, et dige </w:t>
      </w:r>
      <w:r>
        <w:rPr>
          <w:spacing w:val="-4"/>
        </w:rPr>
        <w:t>eller</w:t>
      </w:r>
      <w:r>
        <w:rPr>
          <w:w w:val="99"/>
        </w:rPr>
        <w:t> </w:t>
      </w:r>
      <w:r>
        <w:rPr/>
        <w:t>en bygning, der sætter sig. Erfaringsvis kan </w:t>
      </w:r>
      <w:r>
        <w:rPr>
          <w:spacing w:val="-3"/>
        </w:rPr>
        <w:t>loka-</w:t>
      </w:r>
      <w:r>
        <w:rPr>
          <w:w w:val="99"/>
        </w:rPr>
        <w:t> </w:t>
      </w:r>
      <w:r>
        <w:rPr/>
        <w:t>le sætninger være af en størrelsesorden på op </w:t>
      </w:r>
      <w:r>
        <w:rPr>
          <w:spacing w:val="-5"/>
        </w:rPr>
        <w:t>til</w:t>
      </w:r>
      <w:r>
        <w:rPr>
          <w:w w:val="99"/>
        </w:rPr>
        <w:t> </w:t>
      </w:r>
      <w:r>
        <w:rPr/>
        <w:t>10 mm om året, hvilket på nuværende tidspunkt</w:t>
      </w:r>
      <w:r>
        <w:rPr>
          <w:w w:val="99"/>
        </w:rPr>
        <w:t> </w:t>
      </w:r>
      <w:r>
        <w:rPr/>
        <w:t>langt overstiger effekten af de seneste </w:t>
      </w:r>
      <w:r>
        <w:rPr>
          <w:spacing w:val="-3"/>
        </w:rPr>
        <w:t>beregnede</w:t>
      </w:r>
      <w:r>
        <w:rPr>
          <w:w w:val="99"/>
        </w:rPr>
        <w:t> </w:t>
      </w:r>
      <w:r>
        <w:rPr/>
        <w:t>middelværdier for den globale havspejlsstigning</w:t>
      </w:r>
      <w:r>
        <w:rPr>
          <w:w w:val="99"/>
        </w:rPr>
        <w:t> </w:t>
      </w:r>
      <w:r>
        <w:rPr/>
        <w:t>på 3,2 0,4 mm/år [1993–2013] (</w:t>
      </w:r>
      <w:hyperlink w:history="true" w:anchor="_bookmark47">
        <w:r>
          <w:rPr>
            <w:color w:val="0000FF"/>
          </w:rPr>
          <w:t>Nerem et </w:t>
        </w:r>
        <w:r>
          <w:rPr>
            <w:color w:val="0000FF"/>
            <w:spacing w:val="-5"/>
          </w:rPr>
          <w:t>al.</w:t>
        </w:r>
      </w:hyperlink>
      <w:r>
        <w:rPr>
          <w:spacing w:val="-5"/>
        </w:rPr>
        <w:t>,</w:t>
      </w:r>
      <w:r>
        <w:rPr>
          <w:w w:val="99"/>
        </w:rPr>
        <w:t> </w:t>
      </w:r>
      <w:hyperlink w:history="true" w:anchor="_bookmark47">
        <w:r>
          <w:rPr>
            <w:color w:val="0000FF"/>
          </w:rPr>
          <w:t>2010</w:t>
        </w:r>
      </w:hyperlink>
      <w:r>
        <w:rPr/>
        <w:t>; </w:t>
      </w:r>
      <w:hyperlink w:history="true" w:anchor="_bookmark53">
        <w:r>
          <w:rPr>
            <w:color w:val="0000FF"/>
          </w:rPr>
          <w:t>Stocker et al.</w:t>
        </w:r>
      </w:hyperlink>
      <w:r>
        <w:rPr/>
        <w:t>, </w:t>
      </w:r>
      <w:hyperlink w:history="true" w:anchor="_bookmark53">
        <w:r>
          <w:rPr>
            <w:color w:val="0000FF"/>
          </w:rPr>
          <w:t>2013</w:t>
        </w:r>
      </w:hyperlink>
      <w:r>
        <w:rPr/>
        <w:t>) og den </w:t>
      </w:r>
      <w:r>
        <w:rPr>
          <w:spacing w:val="-3"/>
        </w:rPr>
        <w:t>overordnede</w:t>
      </w:r>
      <w:r>
        <w:rPr>
          <w:w w:val="99"/>
        </w:rPr>
        <w:t> </w:t>
      </w:r>
      <w:r>
        <w:rPr/>
        <w:t>landhævning på 0–2 mm/år (</w:t>
      </w:r>
      <w:hyperlink w:history="true" w:anchor="_bookmark51">
        <w:r>
          <w:rPr>
            <w:color w:val="0000FF"/>
          </w:rPr>
          <w:t>Knudsen and </w:t>
        </w:r>
        <w:r>
          <w:rPr>
            <w:color w:val="0000FF"/>
            <w:spacing w:val="-10"/>
          </w:rPr>
          <w:t>Vogn-</w:t>
        </w:r>
      </w:hyperlink>
    </w:p>
    <w:p>
      <w:pPr>
        <w:pStyle w:val="BodyText"/>
        <w:spacing w:line="263" w:lineRule="exact"/>
        <w:ind w:left="1133"/>
      </w:pPr>
      <w:hyperlink w:history="true" w:anchor="_bookmark51">
        <w:r>
          <w:rPr>
            <w:color w:val="0000FF"/>
          </w:rPr>
          <w:t>sen</w:t>
        </w:r>
      </w:hyperlink>
      <w:r>
        <w:rPr/>
        <w:t>, </w:t>
      </w:r>
      <w:hyperlink w:history="true" w:anchor="_bookmark51">
        <w:r>
          <w:rPr>
            <w:color w:val="0000FF"/>
          </w:rPr>
          <w:t>2010</w:t>
        </w:r>
      </w:hyperlink>
      <w:r>
        <w:rPr/>
        <w:t>).</w:t>
      </w:r>
    </w:p>
    <w:p>
      <w:pPr>
        <w:pStyle w:val="BodyText"/>
        <w:spacing w:line="252" w:lineRule="auto" w:before="8"/>
        <w:ind w:left="1133" w:firstLine="234"/>
        <w:jc w:val="both"/>
      </w:pPr>
      <w:r>
        <w:rPr>
          <w:spacing w:val="-3"/>
        </w:rPr>
        <w:t>Viden </w:t>
      </w:r>
      <w:r>
        <w:rPr/>
        <w:t>om lokale sætninger, og hvor de </w:t>
      </w:r>
      <w:r>
        <w:rPr>
          <w:spacing w:val="-6"/>
        </w:rPr>
        <w:t>kan </w:t>
      </w:r>
      <w:r>
        <w:rPr/>
        <w:t>forekomme, er derfor et meget vigtigt input </w:t>
      </w:r>
      <w:r>
        <w:rPr>
          <w:spacing w:val="-5"/>
        </w:rPr>
        <w:t>til </w:t>
      </w:r>
      <w:r>
        <w:rPr/>
        <w:t>brug for klimatilpasningsindsatsen i </w:t>
      </w:r>
      <w:r>
        <w:rPr>
          <w:spacing w:val="-4"/>
        </w:rPr>
        <w:t>kommuner- </w:t>
      </w:r>
      <w:r>
        <w:rPr/>
        <w:t>ne, men også for forsyningsselskaberne i</w:t>
      </w:r>
      <w:r>
        <w:rPr>
          <w:spacing w:val="-29"/>
        </w:rPr>
        <w:t> </w:t>
      </w:r>
      <w:r>
        <w:rPr/>
        <w:t>forbin- delse med anlæg af nye kloakker. Geodatasty- relsen, Kystdirektoratet og DTU Space har </w:t>
      </w:r>
      <w:r>
        <w:rPr>
          <w:spacing w:val="-4"/>
        </w:rPr>
        <w:t>vha. </w:t>
      </w:r>
      <w:r>
        <w:rPr/>
        <w:t>Danmarks Højdemodel (DHM) anvist en </w:t>
      </w:r>
      <w:r>
        <w:rPr>
          <w:spacing w:val="-4"/>
        </w:rPr>
        <w:t>meto- </w:t>
      </w:r>
      <w:r>
        <w:rPr/>
        <w:t>de til at integrere viden om lokale </w:t>
      </w:r>
      <w:r>
        <w:rPr>
          <w:spacing w:val="-3"/>
        </w:rPr>
        <w:t>sætningsfor- </w:t>
      </w:r>
      <w:r>
        <w:rPr/>
        <w:t>hold, havspejlsstigning og isostatisk </w:t>
      </w:r>
      <w:r>
        <w:rPr>
          <w:spacing w:val="-3"/>
        </w:rPr>
        <w:t>landhæv- </w:t>
      </w:r>
      <w:r>
        <w:rPr/>
        <w:t>ning. Metoden kan anvendes til at foretage </w:t>
      </w:r>
      <w:r>
        <w:rPr>
          <w:spacing w:val="-5"/>
        </w:rPr>
        <w:t>kon- </w:t>
      </w:r>
      <w:r>
        <w:rPr/>
        <w:t>sekvensberegninger af fremtidige stormflods- og oversvømmelseshændelser </w:t>
      </w:r>
      <w:r>
        <w:rPr>
          <w:spacing w:val="-4"/>
        </w:rPr>
        <w:t>(</w:t>
      </w:r>
      <w:hyperlink w:history="true" w:anchor="_bookmark54">
        <w:r>
          <w:rPr>
            <w:color w:val="0000FF"/>
            <w:spacing w:val="-4"/>
          </w:rPr>
          <w:t>Vognsen </w:t>
        </w:r>
        <w:r>
          <w:rPr>
            <w:color w:val="0000FF"/>
          </w:rPr>
          <w:t>et </w:t>
        </w:r>
        <w:r>
          <w:rPr>
            <w:color w:val="0000FF"/>
            <w:spacing w:val="-6"/>
          </w:rPr>
          <w:t>al.</w:t>
        </w:r>
      </w:hyperlink>
      <w:r>
        <w:rPr>
          <w:spacing w:val="-6"/>
        </w:rPr>
        <w:t>, </w:t>
      </w:r>
      <w:hyperlink w:history="true" w:anchor="_bookmark54">
        <w:r>
          <w:rPr>
            <w:color w:val="0000FF"/>
          </w:rPr>
          <w:t>2013</w:t>
        </w:r>
      </w:hyperlink>
      <w:r>
        <w:rPr/>
        <w:t>). Dette arbejde har affødt stor interesse </w:t>
      </w:r>
      <w:r>
        <w:rPr>
          <w:spacing w:val="-6"/>
        </w:rPr>
        <w:t>for </w:t>
      </w:r>
      <w:r>
        <w:rPr/>
        <w:t>at</w:t>
      </w:r>
      <w:r>
        <w:rPr>
          <w:spacing w:val="-16"/>
        </w:rPr>
        <w:t> </w:t>
      </w:r>
      <w:r>
        <w:rPr/>
        <w:t>få</w:t>
      </w:r>
      <w:r>
        <w:rPr>
          <w:spacing w:val="-15"/>
        </w:rPr>
        <w:t> </w:t>
      </w:r>
      <w:r>
        <w:rPr/>
        <w:t>identificeret</w:t>
      </w:r>
      <w:r>
        <w:rPr>
          <w:spacing w:val="-15"/>
        </w:rPr>
        <w:t> </w:t>
      </w:r>
      <w:r>
        <w:rPr/>
        <w:t>områder</w:t>
      </w:r>
      <w:r>
        <w:rPr>
          <w:spacing w:val="-15"/>
        </w:rPr>
        <w:t> </w:t>
      </w:r>
      <w:r>
        <w:rPr/>
        <w:t>med</w:t>
      </w:r>
      <w:r>
        <w:rPr>
          <w:spacing w:val="-15"/>
        </w:rPr>
        <w:t> </w:t>
      </w:r>
      <w:r>
        <w:rPr/>
        <w:t>forhøjet</w:t>
      </w:r>
      <w:r>
        <w:rPr>
          <w:spacing w:val="-15"/>
        </w:rPr>
        <w:t> </w:t>
      </w:r>
      <w:r>
        <w:rPr/>
        <w:t>risiko</w:t>
      </w:r>
      <w:r>
        <w:rPr>
          <w:spacing w:val="-16"/>
        </w:rPr>
        <w:t> </w:t>
      </w:r>
      <w:r>
        <w:rPr>
          <w:spacing w:val="-5"/>
        </w:rPr>
        <w:t>for </w:t>
      </w:r>
      <w:r>
        <w:rPr/>
        <w:t>sætninger, og en kortlægning af sætninger på</w:t>
      </w:r>
      <w:r>
        <w:rPr>
          <w:spacing w:val="-18"/>
        </w:rPr>
        <w:t> </w:t>
      </w:r>
      <w:r>
        <w:rPr>
          <w:spacing w:val="-6"/>
        </w:rPr>
        <w:t>re- </w:t>
      </w:r>
      <w:r>
        <w:rPr/>
        <w:t>gional</w:t>
      </w:r>
      <w:r>
        <w:rPr>
          <w:spacing w:val="-7"/>
        </w:rPr>
        <w:t> </w:t>
      </w:r>
      <w:r>
        <w:rPr/>
        <w:t>og</w:t>
      </w:r>
      <w:r>
        <w:rPr>
          <w:spacing w:val="-6"/>
        </w:rPr>
        <w:t> </w:t>
      </w:r>
      <w:r>
        <w:rPr/>
        <w:t>lokal</w:t>
      </w:r>
      <w:r>
        <w:rPr>
          <w:spacing w:val="-7"/>
        </w:rPr>
        <w:t> </w:t>
      </w:r>
      <w:r>
        <w:rPr/>
        <w:t>skala</w:t>
      </w:r>
      <w:r>
        <w:rPr>
          <w:spacing w:val="-6"/>
        </w:rPr>
        <w:t> </w:t>
      </w:r>
      <w:r>
        <w:rPr/>
        <w:t>er</w:t>
      </w:r>
      <w:r>
        <w:rPr>
          <w:spacing w:val="-6"/>
        </w:rPr>
        <w:t> </w:t>
      </w:r>
      <w:r>
        <w:rPr/>
        <w:t>derfor</w:t>
      </w:r>
      <w:r>
        <w:rPr>
          <w:spacing w:val="-6"/>
        </w:rPr>
        <w:t> </w:t>
      </w:r>
      <w:r>
        <w:rPr/>
        <w:t>et</w:t>
      </w:r>
      <w:r>
        <w:rPr>
          <w:spacing w:val="-6"/>
        </w:rPr>
        <w:t> </w:t>
      </w:r>
      <w:r>
        <w:rPr/>
        <w:t>efterspurgt</w:t>
      </w:r>
      <w:r>
        <w:rPr>
          <w:spacing w:val="-7"/>
        </w:rPr>
        <w:t> </w:t>
      </w:r>
      <w:r>
        <w:rPr>
          <w:spacing w:val="-3"/>
        </w:rPr>
        <w:t>pro-</w:t>
      </w:r>
    </w:p>
    <w:p>
      <w:pPr>
        <w:pStyle w:val="BodyText"/>
        <w:spacing w:before="177"/>
        <w:ind w:left="329"/>
      </w:pPr>
      <w:r>
        <w:rPr/>
        <w:br w:type="column"/>
      </w:r>
      <w:r>
        <w:rPr/>
        <w:t>dukt i mange kommuner.</w:t>
      </w:r>
    </w:p>
    <w:p>
      <w:pPr>
        <w:pStyle w:val="BodyText"/>
        <w:spacing w:line="252" w:lineRule="auto" w:before="13"/>
        <w:ind w:left="329" w:right="1131" w:firstLine="234"/>
        <w:jc w:val="both"/>
      </w:pPr>
      <w:r>
        <w:rPr/>
        <w:t>Denne rapport dokumenterer fremstillingen</w:t>
      </w:r>
      <w:r>
        <w:rPr>
          <w:spacing w:val="-25"/>
        </w:rPr>
        <w:t> </w:t>
      </w:r>
      <w:r>
        <w:rPr>
          <w:spacing w:val="-8"/>
        </w:rPr>
        <w:t>af </w:t>
      </w:r>
      <w:r>
        <w:rPr/>
        <w:t>et</w:t>
      </w:r>
      <w:r>
        <w:rPr>
          <w:spacing w:val="-8"/>
        </w:rPr>
        <w:t> </w:t>
      </w:r>
      <w:r>
        <w:rPr/>
        <w:t>screeningskort</w:t>
      </w:r>
      <w:r>
        <w:rPr>
          <w:spacing w:val="-7"/>
        </w:rPr>
        <w:t> </w:t>
      </w:r>
      <w:r>
        <w:rPr/>
        <w:t>til</w:t>
      </w:r>
      <w:r>
        <w:rPr>
          <w:spacing w:val="-8"/>
        </w:rPr>
        <w:t> </w:t>
      </w:r>
      <w:r>
        <w:rPr/>
        <w:t>brug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/>
        <w:t>udpegning</w:t>
      </w:r>
      <w:r>
        <w:rPr>
          <w:spacing w:val="-7"/>
        </w:rPr>
        <w:t> </w:t>
      </w:r>
      <w:r>
        <w:rPr/>
        <w:t>af</w:t>
      </w:r>
      <w:r>
        <w:rPr>
          <w:spacing w:val="-7"/>
        </w:rPr>
        <w:t> </w:t>
      </w:r>
      <w:r>
        <w:rPr>
          <w:spacing w:val="-3"/>
        </w:rPr>
        <w:t>områ- </w:t>
      </w:r>
      <w:r>
        <w:rPr/>
        <w:t>der i Danmark med forhøjet risiko for</w:t>
      </w:r>
      <w:r>
        <w:rPr>
          <w:spacing w:val="-23"/>
        </w:rPr>
        <w:t> </w:t>
      </w:r>
      <w:r>
        <w:rPr>
          <w:spacing w:val="-4"/>
        </w:rPr>
        <w:t>sætninger.</w:t>
      </w:r>
    </w:p>
    <w:p>
      <w:pPr>
        <w:pStyle w:val="BodyText"/>
        <w:spacing w:before="8"/>
        <w:rPr>
          <w:sz w:val="39"/>
        </w:rPr>
      </w:pPr>
    </w:p>
    <w:p>
      <w:pPr>
        <w:pStyle w:val="Heading2"/>
        <w:numPr>
          <w:ilvl w:val="1"/>
          <w:numId w:val="2"/>
        </w:numPr>
        <w:tabs>
          <w:tab w:pos="1086" w:val="left" w:leader="none"/>
          <w:tab w:pos="1087" w:val="left" w:leader="none"/>
        </w:tabs>
        <w:spacing w:line="240" w:lineRule="auto" w:before="0" w:after="0"/>
        <w:ind w:left="1086" w:right="0" w:hanging="757"/>
        <w:jc w:val="left"/>
      </w:pPr>
      <w:bookmarkStart w:name="_bookmark4" w:id="6"/>
      <w:bookmarkEnd w:id="6"/>
      <w:r>
        <w:rPr>
          <w:b w:val="0"/>
        </w:rPr>
      </w:r>
      <w:bookmarkStart w:name="_bookmark4" w:id="7"/>
      <w:bookmarkEnd w:id="7"/>
      <w:r>
        <w:rPr/>
        <w:t>K</w:t>
      </w:r>
      <w:r>
        <w:rPr/>
        <w:t>ortlægning</w:t>
      </w:r>
    </w:p>
    <w:p>
      <w:pPr>
        <w:pStyle w:val="BodyText"/>
        <w:spacing w:line="252" w:lineRule="auto" w:before="247"/>
        <w:ind w:left="329" w:right="1131"/>
        <w:jc w:val="both"/>
      </w:pPr>
      <w:r>
        <w:rPr/>
        <w:t>Kortlægning af vertikal landbevægelse og </w:t>
      </w:r>
      <w:r>
        <w:rPr>
          <w:spacing w:val="-5"/>
        </w:rPr>
        <w:t>ud- </w:t>
      </w:r>
      <w:r>
        <w:rPr/>
        <w:t>pegning af områder med risiko for sætninger </w:t>
      </w:r>
      <w:r>
        <w:rPr>
          <w:spacing w:val="-6"/>
        </w:rPr>
        <w:t>er </w:t>
      </w:r>
      <w:r>
        <w:rPr/>
        <w:t>vanskelig, og der eksisterer ikke noget</w:t>
      </w:r>
      <w:r>
        <w:rPr>
          <w:spacing w:val="-38"/>
        </w:rPr>
        <w:t> </w:t>
      </w:r>
      <w:r>
        <w:rPr>
          <w:spacing w:val="-3"/>
        </w:rPr>
        <w:t>enkeltstå- </w:t>
      </w:r>
      <w:r>
        <w:rPr/>
        <w:t>ende datasæt, som egner sig som grundlag </w:t>
      </w:r>
      <w:r>
        <w:rPr>
          <w:spacing w:val="-6"/>
        </w:rPr>
        <w:t>for </w:t>
      </w:r>
      <w:r>
        <w:rPr/>
        <w:t>denne type</w:t>
      </w:r>
      <w:r>
        <w:rPr>
          <w:spacing w:val="-3"/>
        </w:rPr>
        <w:t> </w:t>
      </w:r>
      <w:r>
        <w:rPr/>
        <w:t>kortlægning.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For Danmarks vedkommende findes der </w:t>
      </w:r>
      <w:r>
        <w:rPr>
          <w:spacing w:val="-4"/>
        </w:rPr>
        <w:t>fire</w:t>
      </w:r>
      <w:r>
        <w:rPr>
          <w:spacing w:val="52"/>
        </w:rPr>
        <w:t> </w:t>
      </w:r>
      <w:r>
        <w:rPr/>
        <w:t>forskellige metoder, som kan bringes</w:t>
      </w:r>
      <w:r>
        <w:rPr>
          <w:spacing w:val="-45"/>
        </w:rPr>
        <w:t> </w:t>
      </w:r>
      <w:r>
        <w:rPr/>
        <w:t>i </w:t>
      </w:r>
      <w:r>
        <w:rPr>
          <w:spacing w:val="-4"/>
        </w:rPr>
        <w:t>anvendel- </w:t>
      </w:r>
      <w:r>
        <w:rPr/>
        <w:t>se.</w:t>
      </w:r>
      <w:r>
        <w:rPr>
          <w:spacing w:val="-17"/>
        </w:rPr>
        <w:t> </w:t>
      </w:r>
      <w:r>
        <w:rPr/>
        <w:t>Hver</w:t>
      </w:r>
      <w:r>
        <w:rPr>
          <w:spacing w:val="-16"/>
        </w:rPr>
        <w:t> </w:t>
      </w:r>
      <w:r>
        <w:rPr/>
        <w:t>af</w:t>
      </w:r>
      <w:r>
        <w:rPr>
          <w:spacing w:val="-16"/>
        </w:rPr>
        <w:t> </w:t>
      </w:r>
      <w:r>
        <w:rPr/>
        <w:t>disse</w:t>
      </w:r>
      <w:r>
        <w:rPr>
          <w:spacing w:val="-16"/>
        </w:rPr>
        <w:t> </w:t>
      </w:r>
      <w:r>
        <w:rPr/>
        <w:t>metoder</w:t>
      </w:r>
      <w:r>
        <w:rPr>
          <w:spacing w:val="-16"/>
        </w:rPr>
        <w:t> </w:t>
      </w:r>
      <w:r>
        <w:rPr/>
        <w:t>er</w:t>
      </w:r>
      <w:r>
        <w:rPr>
          <w:spacing w:val="-16"/>
        </w:rPr>
        <w:t> </w:t>
      </w:r>
      <w:r>
        <w:rPr/>
        <w:t>baseret</w:t>
      </w:r>
      <w:r>
        <w:rPr>
          <w:spacing w:val="-16"/>
        </w:rPr>
        <w:t> </w:t>
      </w:r>
      <w:r>
        <w:rPr/>
        <w:t>på</w:t>
      </w:r>
      <w:r>
        <w:rPr>
          <w:spacing w:val="-16"/>
        </w:rPr>
        <w:t> </w:t>
      </w:r>
      <w:r>
        <w:rPr/>
        <w:t>meget</w:t>
      </w:r>
      <w:r>
        <w:rPr>
          <w:spacing w:val="-16"/>
        </w:rPr>
        <w:t> </w:t>
      </w:r>
      <w:r>
        <w:rPr/>
        <w:t>for- skellige typer af data, som er beskrevet</w:t>
      </w:r>
      <w:r>
        <w:rPr>
          <w:spacing w:val="-33"/>
        </w:rPr>
        <w:t> </w:t>
      </w:r>
      <w:r>
        <w:rPr/>
        <w:t>nærmere herunder.</w:t>
      </w:r>
    </w:p>
    <w:p>
      <w:pPr>
        <w:pStyle w:val="BodyText"/>
        <w:spacing w:before="2"/>
        <w:rPr>
          <w:sz w:val="39"/>
        </w:rPr>
      </w:pPr>
    </w:p>
    <w:p>
      <w:pPr>
        <w:pStyle w:val="Heading2"/>
        <w:numPr>
          <w:ilvl w:val="1"/>
          <w:numId w:val="2"/>
        </w:numPr>
        <w:tabs>
          <w:tab w:pos="1086" w:val="left" w:leader="none"/>
          <w:tab w:pos="1087" w:val="left" w:leader="none"/>
        </w:tabs>
        <w:spacing w:line="240" w:lineRule="auto" w:before="0" w:after="0"/>
        <w:ind w:left="1086" w:right="0" w:hanging="757"/>
        <w:jc w:val="left"/>
      </w:pPr>
      <w:bookmarkStart w:name="_bookmark5" w:id="8"/>
      <w:bookmarkEnd w:id="8"/>
      <w:r>
        <w:rPr>
          <w:b w:val="0"/>
        </w:rPr>
      </w:r>
      <w:bookmarkStart w:name="_bookmark5" w:id="9"/>
      <w:bookmarkEnd w:id="9"/>
      <w:r>
        <w:rPr>
          <w:spacing w:val="-3"/>
        </w:rPr>
        <w:t>T</w:t>
      </w:r>
      <w:r>
        <w:rPr>
          <w:spacing w:val="-3"/>
        </w:rPr>
        <w:t>opografiske</w:t>
      </w:r>
      <w:r>
        <w:rPr>
          <w:spacing w:val="3"/>
        </w:rPr>
        <w:t> </w:t>
      </w:r>
      <w:r>
        <w:rPr/>
        <w:t>kort</w:t>
      </w:r>
    </w:p>
    <w:p>
      <w:pPr>
        <w:pStyle w:val="BodyText"/>
        <w:spacing w:line="252" w:lineRule="auto" w:before="246"/>
        <w:ind w:left="319" w:right="1131"/>
        <w:jc w:val="right"/>
      </w:pPr>
      <w:r>
        <w:rPr/>
        <w:t>Den</w:t>
      </w:r>
      <w:r>
        <w:rPr>
          <w:spacing w:val="31"/>
        </w:rPr>
        <w:t> </w:t>
      </w:r>
      <w:r>
        <w:rPr/>
        <w:t>første</w:t>
      </w:r>
      <w:r>
        <w:rPr>
          <w:spacing w:val="32"/>
        </w:rPr>
        <w:t> </w:t>
      </w:r>
      <w:r>
        <w:rPr/>
        <w:t>systematiske</w:t>
      </w:r>
      <w:r>
        <w:rPr>
          <w:spacing w:val="32"/>
        </w:rPr>
        <w:t> </w:t>
      </w:r>
      <w:r>
        <w:rPr/>
        <w:t>opmåling</w:t>
      </w:r>
      <w:r>
        <w:rPr>
          <w:spacing w:val="31"/>
        </w:rPr>
        <w:t> </w:t>
      </w:r>
      <w:r>
        <w:rPr/>
        <w:t>af</w:t>
      </w:r>
      <w:r>
        <w:rPr>
          <w:spacing w:val="32"/>
        </w:rPr>
        <w:t> </w:t>
      </w:r>
      <w:r>
        <w:rPr/>
        <w:t>Danmark</w:t>
      </w:r>
      <w:r>
        <w:rPr>
          <w:w w:val="99"/>
        </w:rPr>
        <w:t> </w:t>
      </w:r>
      <w:r>
        <w:rPr/>
        <w:t>med angivelse af terrænhøjden i</w:t>
      </w:r>
      <w:r>
        <w:rPr>
          <w:spacing w:val="32"/>
        </w:rPr>
        <w:t> </w:t>
      </w:r>
      <w:r>
        <w:rPr/>
        <w:t>lokale</w:t>
      </w:r>
      <w:r>
        <w:rPr>
          <w:spacing w:val="55"/>
        </w:rPr>
        <w:t> </w:t>
      </w:r>
      <w:r>
        <w:rPr>
          <w:spacing w:val="-3"/>
        </w:rPr>
        <w:t>mini-</w:t>
      </w:r>
      <w:r>
        <w:rPr>
          <w:w w:val="99"/>
        </w:rPr>
        <w:t> </w:t>
      </w:r>
      <w:r>
        <w:rPr/>
        <w:t>ma og maksima blev foretaget</w:t>
      </w:r>
      <w:r>
        <w:rPr>
          <w:spacing w:val="8"/>
        </w:rPr>
        <w:t> </w:t>
      </w:r>
      <w:r>
        <w:rPr/>
        <w:t>af</w:t>
      </w:r>
      <w:r>
        <w:rPr>
          <w:spacing w:val="51"/>
        </w:rPr>
        <w:t> </w:t>
      </w:r>
      <w:r>
        <w:rPr/>
        <w:t>Generalsta-</w:t>
      </w:r>
      <w:r>
        <w:rPr>
          <w:w w:val="99"/>
        </w:rPr>
        <w:t> </w:t>
      </w:r>
      <w:r>
        <w:rPr/>
        <w:t>bens</w:t>
      </w:r>
      <w:r>
        <w:rPr>
          <w:spacing w:val="-23"/>
        </w:rPr>
        <w:t> </w:t>
      </w:r>
      <w:r>
        <w:rPr/>
        <w:t>topografiske</w:t>
      </w:r>
      <w:r>
        <w:rPr>
          <w:spacing w:val="-23"/>
        </w:rPr>
        <w:t> </w:t>
      </w:r>
      <w:r>
        <w:rPr/>
        <w:t>afdeling</w:t>
      </w:r>
      <w:r>
        <w:rPr>
          <w:spacing w:val="-23"/>
        </w:rPr>
        <w:t> </w:t>
      </w:r>
      <w:r>
        <w:rPr/>
        <w:t>i</w:t>
      </w:r>
      <w:r>
        <w:rPr>
          <w:spacing w:val="-23"/>
        </w:rPr>
        <w:t> </w:t>
      </w:r>
      <w:r>
        <w:rPr/>
        <w:t>perioden</w:t>
      </w:r>
      <w:r>
        <w:rPr>
          <w:spacing w:val="-23"/>
        </w:rPr>
        <w:t> </w:t>
      </w:r>
      <w:r>
        <w:rPr/>
        <w:t>1842-1887.</w:t>
      </w:r>
      <w:r>
        <w:rPr>
          <w:w w:val="99"/>
        </w:rPr>
        <w:t> </w:t>
      </w:r>
      <w:r>
        <w:rPr/>
        <w:t>Denne opmåling resulterede i Bybladene</w:t>
      </w:r>
      <w:r>
        <w:rPr>
          <w:spacing w:val="15"/>
        </w:rPr>
        <w:t> </w:t>
      </w:r>
      <w:r>
        <w:rPr/>
        <w:t>(1.</w:t>
      </w:r>
      <w:r>
        <w:rPr>
          <w:spacing w:val="4"/>
        </w:rPr>
        <w:t> </w:t>
      </w:r>
      <w:r>
        <w:rPr>
          <w:spacing w:val="-7"/>
        </w:rPr>
        <w:t>ny-</w:t>
      </w:r>
      <w:r>
        <w:rPr>
          <w:w w:val="99"/>
        </w:rPr>
        <w:t> </w:t>
      </w:r>
      <w:r>
        <w:rPr/>
        <w:t>opmåling) (</w:t>
      </w:r>
      <w:hyperlink w:history="true" w:anchor="_bookmark44">
        <w:r>
          <w:rPr>
            <w:color w:val="0000FF"/>
          </w:rPr>
          <w:t>Korsgaard</w:t>
        </w:r>
      </w:hyperlink>
      <w:r>
        <w:rPr/>
        <w:t>, </w:t>
      </w:r>
      <w:hyperlink w:history="true" w:anchor="_bookmark44">
        <w:r>
          <w:rPr>
            <w:color w:val="0000FF"/>
          </w:rPr>
          <w:t>2006</w:t>
        </w:r>
      </w:hyperlink>
      <w:r>
        <w:rPr/>
        <w:t>).</w:t>
      </w:r>
      <w:r>
        <w:rPr>
          <w:spacing w:val="55"/>
        </w:rPr>
        <w:t> </w:t>
      </w:r>
      <w:r>
        <w:rPr/>
        <w:t>Terrænhøjden</w:t>
      </w:r>
      <w:r>
        <w:rPr>
          <w:spacing w:val="58"/>
        </w:rPr>
        <w:t> </w:t>
      </w:r>
      <w:r>
        <w:rPr>
          <w:spacing w:val="-15"/>
        </w:rPr>
        <w:t>i</w:t>
      </w:r>
      <w:r>
        <w:rPr>
          <w:w w:val="99"/>
        </w:rPr>
        <w:t> </w:t>
      </w:r>
      <w:r>
        <w:rPr/>
        <w:t>Bybladene er angivet i fod med en</w:t>
      </w:r>
      <w:r>
        <w:rPr>
          <w:spacing w:val="-28"/>
        </w:rPr>
        <w:t> </w:t>
      </w:r>
      <w:r>
        <w:rPr/>
        <w:t>decimals</w:t>
      </w:r>
      <w:r>
        <w:rPr>
          <w:spacing w:val="-4"/>
        </w:rPr>
        <w:t> nøj-</w:t>
      </w:r>
      <w:r>
        <w:rPr>
          <w:w w:val="99"/>
        </w:rPr>
        <w:t> </w:t>
      </w:r>
      <w:r>
        <w:rPr/>
        <w:t>agtighed. Nordslesvig blev først opmålt</w:t>
      </w:r>
      <w:r>
        <w:rPr>
          <w:spacing w:val="57"/>
        </w:rPr>
        <w:t> </w:t>
      </w:r>
      <w:r>
        <w:rPr/>
        <w:t>i</w:t>
      </w:r>
      <w:r>
        <w:rPr>
          <w:spacing w:val="12"/>
        </w:rPr>
        <w:t> </w:t>
      </w:r>
      <w:r>
        <w:rPr>
          <w:spacing w:val="-3"/>
        </w:rPr>
        <w:t>perio-</w:t>
      </w:r>
      <w:r>
        <w:rPr>
          <w:w w:val="99"/>
        </w:rPr>
        <w:t> </w:t>
      </w:r>
      <w:r>
        <w:rPr/>
        <w:t>den</w:t>
      </w:r>
      <w:r>
        <w:rPr>
          <w:spacing w:val="-11"/>
        </w:rPr>
        <w:t> </w:t>
      </w:r>
      <w:r>
        <w:rPr/>
        <w:t>1924-38.</w:t>
      </w:r>
      <w:r>
        <w:rPr>
          <w:spacing w:val="-10"/>
        </w:rPr>
        <w:t> </w:t>
      </w:r>
      <w:r>
        <w:rPr/>
        <w:t>I</w:t>
      </w:r>
      <w:r>
        <w:rPr>
          <w:spacing w:val="-10"/>
        </w:rPr>
        <w:t> </w:t>
      </w:r>
      <w:r>
        <w:rPr/>
        <w:t>bybladene</w:t>
      </w:r>
      <w:r>
        <w:rPr>
          <w:spacing w:val="-11"/>
        </w:rPr>
        <w:t> </w:t>
      </w:r>
      <w:r>
        <w:rPr/>
        <w:t>for</w:t>
      </w:r>
      <w:r>
        <w:rPr>
          <w:spacing w:val="-10"/>
        </w:rPr>
        <w:t> </w:t>
      </w:r>
      <w:r>
        <w:rPr/>
        <w:t>Nordslesvig</w:t>
      </w:r>
      <w:r>
        <w:rPr>
          <w:spacing w:val="-10"/>
        </w:rPr>
        <w:t> </w:t>
      </w:r>
      <w:r>
        <w:rPr/>
        <w:t>er</w:t>
      </w:r>
      <w:r>
        <w:rPr>
          <w:spacing w:val="-11"/>
        </w:rPr>
        <w:t> </w:t>
      </w:r>
      <w:r>
        <w:rPr>
          <w:spacing w:val="-4"/>
        </w:rPr>
        <w:t>høj-</w:t>
      </w:r>
      <w:r>
        <w:rPr>
          <w:w w:val="99"/>
        </w:rPr>
        <w:t> </w:t>
      </w:r>
      <w:r>
        <w:rPr/>
        <w:t>der</w:t>
      </w:r>
      <w:r>
        <w:rPr>
          <w:spacing w:val="-13"/>
        </w:rPr>
        <w:t> </w:t>
      </w:r>
      <w:r>
        <w:rPr/>
        <w:t>angivet</w:t>
      </w:r>
      <w:r>
        <w:rPr>
          <w:spacing w:val="-13"/>
        </w:rPr>
        <w:t> </w:t>
      </w:r>
      <w:r>
        <w:rPr/>
        <w:t>i</w:t>
      </w:r>
      <w:r>
        <w:rPr>
          <w:spacing w:val="-13"/>
        </w:rPr>
        <w:t> </w:t>
      </w:r>
      <w:r>
        <w:rPr/>
        <w:t>meter</w:t>
      </w:r>
      <w:r>
        <w:rPr>
          <w:spacing w:val="-13"/>
        </w:rPr>
        <w:t> </w:t>
      </w:r>
      <w:r>
        <w:rPr/>
        <w:t>med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decimals</w:t>
      </w:r>
      <w:r>
        <w:rPr>
          <w:spacing w:val="-13"/>
        </w:rPr>
        <w:t> </w:t>
      </w:r>
      <w:r>
        <w:rPr>
          <w:spacing w:val="-2"/>
        </w:rPr>
        <w:t>nøjagtighed.</w:t>
      </w:r>
    </w:p>
    <w:p>
      <w:pPr>
        <w:pStyle w:val="BodyText"/>
        <w:spacing w:line="252" w:lineRule="auto"/>
        <w:ind w:left="329" w:right="1131" w:firstLine="234"/>
        <w:jc w:val="both"/>
      </w:pPr>
      <w:r>
        <w:rPr>
          <w:spacing w:val="-9"/>
        </w:rPr>
        <w:t>Ved </w:t>
      </w:r>
      <w:r>
        <w:rPr/>
        <w:t>at digitalisere terrænhøjdeinformationer  i bybladene og sammenholde disse med </w:t>
      </w:r>
      <w:r>
        <w:rPr>
          <w:spacing w:val="-4"/>
        </w:rPr>
        <w:t>Dan- </w:t>
      </w:r>
      <w:r>
        <w:rPr/>
        <w:t>marks Højdemodel kan ændringer i terrænhøj- den over tid beregnes. Institut for </w:t>
      </w:r>
      <w:r>
        <w:rPr>
          <w:spacing w:val="-3"/>
        </w:rPr>
        <w:t>Agroøkologi </w:t>
      </w:r>
      <w:r>
        <w:rPr/>
        <w:t>ved Aarhus Universitet </w:t>
      </w:r>
      <w:r>
        <w:rPr>
          <w:spacing w:val="-4"/>
        </w:rPr>
        <w:t>(AU) </w:t>
      </w:r>
      <w:r>
        <w:rPr/>
        <w:t>har anvendt denne metode til at beskrive udviklingen for </w:t>
      </w:r>
      <w:r>
        <w:rPr>
          <w:spacing w:val="-3"/>
        </w:rPr>
        <w:t>tørvejorde </w:t>
      </w:r>
      <w:r>
        <w:rPr/>
        <w:t>i Danmark, og kvantificere reduktionen af</w:t>
      </w:r>
      <w:r>
        <w:rPr>
          <w:spacing w:val="-29"/>
        </w:rPr>
        <w:t> </w:t>
      </w:r>
      <w:r>
        <w:rPr>
          <w:spacing w:val="-4"/>
        </w:rPr>
        <w:t>tørve- </w:t>
      </w:r>
      <w:r>
        <w:rPr>
          <w:spacing w:val="-3"/>
        </w:rPr>
        <w:t>moser. </w:t>
      </w:r>
      <w:r>
        <w:rPr>
          <w:spacing w:val="-7"/>
        </w:rPr>
        <w:t>AU </w:t>
      </w:r>
      <w:r>
        <w:rPr/>
        <w:t>har bl.a. arbejdet med Store</w:t>
      </w:r>
      <w:r>
        <w:rPr>
          <w:spacing w:val="55"/>
        </w:rPr>
        <w:t> </w:t>
      </w:r>
      <w:r>
        <w:rPr>
          <w:spacing w:val="-5"/>
        </w:rPr>
        <w:t>Vildmo-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0" w:right="0"/>
          <w:cols w:num="2" w:equalWidth="0">
            <w:col w:w="5769" w:space="40"/>
            <w:col w:w="6101"/>
          </w:cols>
        </w:sectPr>
      </w:pPr>
    </w:p>
    <w:p>
      <w:pPr>
        <w:pStyle w:val="BodyText"/>
        <w:spacing w:line="252" w:lineRule="auto" w:before="71"/>
        <w:ind w:left="1133"/>
        <w:jc w:val="both"/>
      </w:pPr>
      <w:r>
        <w:rPr/>
        <w:t>se, som er en højmose. Her har </w:t>
      </w:r>
      <w:r>
        <w:rPr>
          <w:spacing w:val="-7"/>
        </w:rPr>
        <w:t>AU </w:t>
      </w:r>
      <w:r>
        <w:rPr>
          <w:spacing w:val="-2"/>
        </w:rPr>
        <w:t>digitaliseret </w:t>
      </w:r>
      <w:r>
        <w:rPr/>
        <w:t>ca. 14.000 højdekoter fra de gamle byblade. </w:t>
      </w:r>
      <w:r>
        <w:rPr>
          <w:spacing w:val="-7"/>
        </w:rPr>
        <w:t>Til- </w:t>
      </w:r>
      <w:r>
        <w:rPr/>
        <w:t>svarende</w:t>
      </w:r>
      <w:r>
        <w:rPr>
          <w:spacing w:val="-16"/>
        </w:rPr>
        <w:t> </w:t>
      </w:r>
      <w:r>
        <w:rPr/>
        <w:t>har</w:t>
      </w:r>
      <w:r>
        <w:rPr>
          <w:spacing w:val="-15"/>
        </w:rPr>
        <w:t> </w:t>
      </w:r>
      <w:r>
        <w:rPr>
          <w:spacing w:val="-7"/>
        </w:rPr>
        <w:t>AU</w:t>
      </w:r>
      <w:r>
        <w:rPr>
          <w:spacing w:val="-15"/>
        </w:rPr>
        <w:t> </w:t>
      </w:r>
      <w:r>
        <w:rPr/>
        <w:t>digitaliseret</w:t>
      </w:r>
      <w:r>
        <w:rPr>
          <w:spacing w:val="-15"/>
        </w:rPr>
        <w:t> </w:t>
      </w:r>
      <w:r>
        <w:rPr/>
        <w:t>ca.</w:t>
      </w:r>
      <w:r>
        <w:rPr>
          <w:spacing w:val="-15"/>
        </w:rPr>
        <w:t> </w:t>
      </w:r>
      <w:r>
        <w:rPr/>
        <w:t>13.000</w:t>
      </w:r>
      <w:r>
        <w:rPr>
          <w:spacing w:val="-15"/>
        </w:rPr>
        <w:t> </w:t>
      </w:r>
      <w:r>
        <w:rPr/>
        <w:t>koter</w:t>
      </w:r>
      <w:r>
        <w:rPr>
          <w:spacing w:val="-15"/>
        </w:rPr>
        <w:t> </w:t>
      </w:r>
      <w:r>
        <w:rPr>
          <w:spacing w:val="-5"/>
        </w:rPr>
        <w:t>fra </w:t>
      </w:r>
      <w:r>
        <w:rPr/>
        <w:t>Ryås opland, og der findes tilsvarende data </w:t>
      </w:r>
      <w:r>
        <w:rPr>
          <w:spacing w:val="-5"/>
        </w:rPr>
        <w:t>fra </w:t>
      </w:r>
      <w:r>
        <w:rPr/>
        <w:t>ådalene tilhørende Suså, Skjern Å og</w:t>
      </w:r>
      <w:r>
        <w:rPr>
          <w:spacing w:val="-14"/>
        </w:rPr>
        <w:t> </w:t>
      </w:r>
      <w:r>
        <w:rPr/>
        <w:t>Nørreå.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Der foreligger, så vidt vides, ikke andre </w:t>
      </w:r>
      <w:r>
        <w:rPr>
          <w:spacing w:val="-4"/>
        </w:rPr>
        <w:t>til- </w:t>
      </w:r>
      <w:r>
        <w:rPr/>
        <w:t>gængelige digitaliseringer af </w:t>
      </w:r>
      <w:r>
        <w:rPr>
          <w:spacing w:val="-2"/>
        </w:rPr>
        <w:t>højdeinformationer </w:t>
      </w:r>
      <w:r>
        <w:rPr/>
        <w:t>fra bybladene. Det er således kun de 4 </w:t>
      </w:r>
      <w:r>
        <w:rPr>
          <w:spacing w:val="-3"/>
        </w:rPr>
        <w:t>ådale,</w:t>
      </w:r>
      <w:r>
        <w:rPr>
          <w:spacing w:val="54"/>
        </w:rPr>
        <w:t> </w:t>
      </w:r>
      <w:r>
        <w:rPr/>
        <w:t>hvorfra højdeinformationer fra bybladene </w:t>
      </w:r>
      <w:r>
        <w:rPr>
          <w:spacing w:val="-4"/>
        </w:rPr>
        <w:t>umid- </w:t>
      </w:r>
      <w:r>
        <w:rPr/>
        <w:t>delbart er tilgængelige digitalt. Der er knyttet </w:t>
      </w:r>
      <w:r>
        <w:rPr>
          <w:spacing w:val="-8"/>
        </w:rPr>
        <w:t>en </w:t>
      </w:r>
      <w:r>
        <w:rPr/>
        <w:t>relativ stor usikkerhed til højdeinformationer </w:t>
      </w:r>
      <w:r>
        <w:rPr>
          <w:spacing w:val="-17"/>
        </w:rPr>
        <w:t>i </w:t>
      </w:r>
      <w:r>
        <w:rPr/>
        <w:t>bybladene, dels i forbindelse med selve </w:t>
      </w:r>
      <w:r>
        <w:rPr>
          <w:spacing w:val="-4"/>
        </w:rPr>
        <w:t>opmå- </w:t>
      </w:r>
      <w:r>
        <w:rPr/>
        <w:t>lingen ved, at højdeinformationen kun er</w:t>
      </w:r>
      <w:r>
        <w:rPr>
          <w:spacing w:val="-35"/>
        </w:rPr>
        <w:t> </w:t>
      </w:r>
      <w:r>
        <w:rPr>
          <w:spacing w:val="-5"/>
        </w:rPr>
        <w:t>angivet </w:t>
      </w:r>
      <w:r>
        <w:rPr/>
        <w:t>med en decimal, og dels i forbindelse med</w:t>
      </w:r>
      <w:r>
        <w:rPr>
          <w:spacing w:val="-39"/>
        </w:rPr>
        <w:t> </w:t>
      </w:r>
      <w:r>
        <w:rPr>
          <w:spacing w:val="-3"/>
        </w:rPr>
        <w:t>trans- </w:t>
      </w:r>
      <w:r>
        <w:rPr/>
        <w:t>formationen fra det gamle datum til DVR90. </w:t>
      </w:r>
      <w:r>
        <w:rPr>
          <w:spacing w:val="-6"/>
        </w:rPr>
        <w:t>Li- </w:t>
      </w:r>
      <w:r>
        <w:rPr/>
        <w:t>geledes må der tages højde for den </w:t>
      </w:r>
      <w:r>
        <w:rPr>
          <w:spacing w:val="-3"/>
        </w:rPr>
        <w:t>overordne- </w:t>
      </w:r>
      <w:r>
        <w:rPr/>
        <w:t>de absolutte fejl på DVR90 koten i DHM. </w:t>
      </w:r>
      <w:r>
        <w:rPr>
          <w:spacing w:val="-5"/>
        </w:rPr>
        <w:t>Den </w:t>
      </w:r>
      <w:r>
        <w:rPr/>
        <w:t>absolutte fejl på koten i DHM/Terræn er </w:t>
      </w:r>
      <w:r>
        <w:rPr>
          <w:spacing w:val="-4"/>
        </w:rPr>
        <w:t>bereg- </w:t>
      </w:r>
      <w:r>
        <w:rPr/>
        <w:t>net</w:t>
      </w:r>
      <w:r>
        <w:rPr>
          <w:spacing w:val="-10"/>
        </w:rPr>
        <w:t> </w:t>
      </w:r>
      <w:r>
        <w:rPr/>
        <w:t>til</w:t>
      </w:r>
      <w:r>
        <w:rPr>
          <w:spacing w:val="-10"/>
        </w:rPr>
        <w:t> </w:t>
      </w:r>
      <w:r>
        <w:rPr/>
        <w:t>5,9</w:t>
      </w:r>
      <w:r>
        <w:rPr>
          <w:spacing w:val="-9"/>
        </w:rPr>
        <w:t> </w:t>
      </w:r>
      <w:r>
        <w:rPr/>
        <w:t>cm</w:t>
      </w:r>
      <w:r>
        <w:rPr>
          <w:spacing w:val="-10"/>
        </w:rPr>
        <w:t> </w:t>
      </w:r>
      <w:r>
        <w:rPr/>
        <w:t>(RMSE)</w:t>
      </w:r>
      <w:r>
        <w:rPr>
          <w:spacing w:val="-10"/>
        </w:rPr>
        <w:t> </w:t>
      </w:r>
      <w:r>
        <w:rPr/>
        <w:t>for</w:t>
      </w:r>
      <w:r>
        <w:rPr>
          <w:spacing w:val="-9"/>
        </w:rPr>
        <w:t> </w:t>
      </w:r>
      <w:r>
        <w:rPr/>
        <w:t>veldefinerede</w:t>
      </w:r>
      <w:r>
        <w:rPr>
          <w:spacing w:val="-10"/>
        </w:rPr>
        <w:t> </w:t>
      </w:r>
      <w:r>
        <w:rPr>
          <w:spacing w:val="-3"/>
        </w:rPr>
        <w:t>områder </w:t>
      </w:r>
      <w:r>
        <w:rPr/>
        <w:t>(</w:t>
      </w:r>
      <w:hyperlink w:history="true" w:anchor="_bookmark52">
        <w:r>
          <w:rPr>
            <w:color w:val="0000FF"/>
          </w:rPr>
          <w:t>Rosenkranz and Frederiksen</w:t>
        </w:r>
      </w:hyperlink>
      <w:r>
        <w:rPr/>
        <w:t>,</w:t>
      </w:r>
      <w:r>
        <w:rPr>
          <w:spacing w:val="-5"/>
        </w:rPr>
        <w:t> </w:t>
      </w:r>
      <w:hyperlink w:history="true" w:anchor="_bookmark52">
        <w:r>
          <w:rPr>
            <w:color w:val="0000FF"/>
          </w:rPr>
          <w:t>2011</w:t>
        </w:r>
      </w:hyperlink>
      <w:r>
        <w:rPr/>
        <w:t>).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Betydningen af disse relativt store </w:t>
      </w:r>
      <w:r>
        <w:rPr>
          <w:spacing w:val="-3"/>
        </w:rPr>
        <w:t>usikkerhe- </w:t>
      </w:r>
      <w:r>
        <w:rPr/>
        <w:t>der</w:t>
      </w:r>
      <w:r>
        <w:rPr>
          <w:spacing w:val="-22"/>
        </w:rPr>
        <w:t> </w:t>
      </w:r>
      <w:r>
        <w:rPr/>
        <w:t>på</w:t>
      </w:r>
      <w:r>
        <w:rPr>
          <w:spacing w:val="-21"/>
        </w:rPr>
        <w:t> </w:t>
      </w:r>
      <w:r>
        <w:rPr/>
        <w:t>såvel</w:t>
      </w:r>
      <w:r>
        <w:rPr>
          <w:spacing w:val="-22"/>
        </w:rPr>
        <w:t> </w:t>
      </w:r>
      <w:r>
        <w:rPr/>
        <w:t>de</w:t>
      </w:r>
      <w:r>
        <w:rPr>
          <w:spacing w:val="-21"/>
        </w:rPr>
        <w:t> </w:t>
      </w:r>
      <w:r>
        <w:rPr/>
        <w:t>historiske</w:t>
      </w:r>
      <w:r>
        <w:rPr>
          <w:spacing w:val="-21"/>
        </w:rPr>
        <w:t> </w:t>
      </w:r>
      <w:r>
        <w:rPr/>
        <w:t>terrænhøjdeinformatio- ner som på DVR90 terrænkoten fra DHM </w:t>
      </w:r>
      <w:r>
        <w:rPr>
          <w:spacing w:val="-5"/>
        </w:rPr>
        <w:t>kan </w:t>
      </w:r>
      <w:r>
        <w:rPr/>
        <w:t>til dels ophæves af værdien af at </w:t>
      </w:r>
      <w:r>
        <w:rPr>
          <w:spacing w:val="-3"/>
        </w:rPr>
        <w:t>have </w:t>
      </w:r>
      <w:r>
        <w:rPr/>
        <w:t>et </w:t>
      </w:r>
      <w:r>
        <w:rPr>
          <w:spacing w:val="-3"/>
        </w:rPr>
        <w:t>relativt </w:t>
      </w:r>
      <w:r>
        <w:rPr/>
        <w:t>langt tidsinterval imellem</w:t>
      </w:r>
      <w:r>
        <w:rPr>
          <w:spacing w:val="-6"/>
        </w:rPr>
        <w:t> </w:t>
      </w:r>
      <w:r>
        <w:rPr/>
        <w:t>målingerne.</w:t>
      </w:r>
    </w:p>
    <w:p>
      <w:pPr>
        <w:pStyle w:val="BodyText"/>
        <w:rPr>
          <w:sz w:val="38"/>
        </w:rPr>
      </w:pPr>
    </w:p>
    <w:p>
      <w:pPr>
        <w:pStyle w:val="Heading2"/>
        <w:numPr>
          <w:ilvl w:val="1"/>
          <w:numId w:val="2"/>
        </w:numPr>
        <w:tabs>
          <w:tab w:pos="1890" w:val="left" w:leader="none"/>
          <w:tab w:pos="1891" w:val="left" w:leader="none"/>
        </w:tabs>
        <w:spacing w:line="240" w:lineRule="auto" w:before="1" w:after="0"/>
        <w:ind w:left="1890" w:right="0" w:hanging="757"/>
        <w:jc w:val="left"/>
      </w:pPr>
      <w:bookmarkStart w:name="_bookmark6" w:id="10"/>
      <w:bookmarkEnd w:id="10"/>
      <w:r>
        <w:rPr>
          <w:b w:val="0"/>
        </w:rPr>
      </w:r>
      <w:bookmarkStart w:name="_bookmark6" w:id="11"/>
      <w:bookmarkEnd w:id="11"/>
      <w:r>
        <w:rPr/>
        <w:t>InSAR/PSI</w:t>
      </w:r>
    </w:p>
    <w:p>
      <w:pPr>
        <w:pStyle w:val="BodyText"/>
        <w:tabs>
          <w:tab w:pos="1604" w:val="left" w:leader="none"/>
          <w:tab w:pos="2686" w:val="left" w:leader="none"/>
          <w:tab w:pos="3078" w:val="left" w:leader="none"/>
          <w:tab w:pos="3774" w:val="left" w:leader="none"/>
          <w:tab w:pos="5396" w:val="left" w:leader="none"/>
        </w:tabs>
        <w:spacing w:line="252" w:lineRule="auto" w:before="246"/>
        <w:ind w:left="1133"/>
      </w:pPr>
      <w:r>
        <w:rPr/>
        <w:t>Interferometric Synthetic Aperture Radar </w:t>
      </w:r>
      <w:r>
        <w:rPr>
          <w:spacing w:val="-5"/>
        </w:rPr>
        <w:t>(In- </w:t>
      </w:r>
      <w:r>
        <w:rPr/>
        <w:t>SAR) og Persistant Scatterer Interferometry (PSI) er metoder,  som  er  udviklet  specifikt  til  beregning  af  vertikal  landbevægelse   </w:t>
      </w:r>
      <w:r>
        <w:rPr>
          <w:spacing w:val="-8"/>
        </w:rPr>
        <w:t>ud </w:t>
      </w:r>
      <w:r>
        <w:rPr/>
        <w:t>fra</w:t>
        <w:tab/>
        <w:t>tidsserier</w:t>
        <w:tab/>
        <w:t>af</w:t>
        <w:tab/>
        <w:t>radar</w:t>
        <w:tab/>
        <w:t>satellitbilleder.</w:t>
        <w:tab/>
      </w:r>
      <w:r>
        <w:rPr>
          <w:spacing w:val="-16"/>
        </w:rPr>
        <w:t>Ved </w:t>
      </w:r>
      <w:r>
        <w:rPr/>
        <w:t>hjælp af PSI teknologien kan </w:t>
      </w:r>
      <w:r>
        <w:rPr>
          <w:spacing w:val="-2"/>
        </w:rPr>
        <w:t>ændringsrater </w:t>
      </w:r>
      <w:r>
        <w:rPr/>
        <w:t>beregnes for ’permanente reflektorer’, </w:t>
      </w:r>
      <w:r>
        <w:rPr>
          <w:spacing w:val="-3"/>
        </w:rPr>
        <w:t>f.eks. </w:t>
      </w:r>
      <w:r>
        <w:rPr/>
        <w:t>tagkonstruktioner og master, såfremt der </w:t>
      </w:r>
      <w:r>
        <w:rPr>
          <w:spacing w:val="-9"/>
        </w:rPr>
        <w:t>er </w:t>
      </w:r>
      <w:r>
        <w:rPr/>
        <w:t>tilstrækkeligt lange tidsserier af  </w:t>
      </w:r>
      <w:r>
        <w:rPr>
          <w:spacing w:val="-2"/>
        </w:rPr>
        <w:t>radarbilleder  </w:t>
      </w:r>
      <w:r>
        <w:rPr/>
        <w:t>til rådighed. Ændringsrater kan på denne </w:t>
      </w:r>
      <w:r>
        <w:rPr>
          <w:spacing w:val="-5"/>
        </w:rPr>
        <w:t>måde </w:t>
      </w:r>
      <w:r>
        <w:rPr/>
        <w:t>beregnes med en præcision på ned til 1 </w:t>
      </w:r>
      <w:r>
        <w:rPr>
          <w:spacing w:val="-4"/>
        </w:rPr>
        <w:t>mm/år </w:t>
      </w:r>
      <w:r>
        <w:rPr/>
        <w:t>vertikalt med en plannøjagtighed på 1-2 </w:t>
      </w:r>
      <w:r>
        <w:rPr>
          <w:spacing w:val="-3"/>
        </w:rPr>
        <w:t>meter </w:t>
      </w:r>
      <w:r>
        <w:rPr/>
        <w:t>(se </w:t>
      </w:r>
      <w:hyperlink r:id="rId20">
        <w:r>
          <w:rPr>
            <w:color w:val="FF0000"/>
          </w:rPr>
          <w:t>http://www.altamira-information.com/html/</w:t>
        </w:r>
      </w:hyperlink>
      <w:r>
        <w:rPr>
          <w:color w:val="FF0000"/>
        </w:rPr>
        <w:t> </w:t>
      </w:r>
      <w:hyperlink r:id="rId20">
        <w:r>
          <w:rPr>
            <w:color w:val="FF0000"/>
          </w:rPr>
          <w:t>1-18392-InSAR-Stable-Point-Network-SPN.</w:t>
        </w:r>
      </w:hyperlink>
      <w:r>
        <w:rPr>
          <w:color w:val="FF0000"/>
        </w:rPr>
        <w:t> </w:t>
      </w:r>
      <w:hyperlink r:id="rId20">
        <w:r>
          <w:rPr>
            <w:color w:val="FF0000"/>
          </w:rPr>
          <w:t>php</w:t>
        </w:r>
      </w:hyperlink>
      <w:r>
        <w:rPr/>
        <w:t>). Det skal bemærkes, at ændringsraterne </w:t>
      </w:r>
      <w:r>
        <w:rPr>
          <w:spacing w:val="-7"/>
        </w:rPr>
        <w:t>be- </w:t>
      </w:r>
      <w:r>
        <w:rPr/>
        <w:t>stemmes relativt i forhold til området og </w:t>
      </w:r>
      <w:r>
        <w:rPr>
          <w:spacing w:val="-3"/>
        </w:rPr>
        <w:t>således </w:t>
      </w:r>
      <w:r>
        <w:rPr/>
        <w:t>ikke er relateret til en geodætisk</w:t>
      </w:r>
      <w:r>
        <w:rPr>
          <w:spacing w:val="-13"/>
        </w:rPr>
        <w:t> </w:t>
      </w:r>
      <w:r>
        <w:rPr/>
        <w:t>reference.</w:t>
      </w:r>
    </w:p>
    <w:p>
      <w:pPr>
        <w:pStyle w:val="BodyText"/>
        <w:spacing w:line="252" w:lineRule="auto"/>
        <w:ind w:left="1133" w:firstLine="234"/>
        <w:jc w:val="both"/>
      </w:pPr>
      <w:r>
        <w:rPr>
          <w:spacing w:val="-4"/>
        </w:rPr>
        <w:t>ABSRATE </w:t>
      </w:r>
      <w:r>
        <w:rPr/>
        <w:t>projektet viste, at rater for </w:t>
      </w:r>
      <w:r>
        <w:rPr>
          <w:spacing w:val="-4"/>
        </w:rPr>
        <w:t>vertikal </w:t>
      </w:r>
      <w:r>
        <w:rPr/>
        <w:t>landbevægelse beregnet vha. PSI-teknologien </w:t>
      </w:r>
      <w:r>
        <w:rPr>
          <w:spacing w:val="-16"/>
        </w:rPr>
        <w:t>i </w:t>
      </w:r>
      <w:r>
        <w:rPr/>
        <w:t>noget </w:t>
      </w:r>
      <w:r>
        <w:rPr>
          <w:spacing w:val="20"/>
        </w:rPr>
        <w:t> </w:t>
      </w:r>
      <w:r>
        <w:rPr/>
        <w:t>omfang </w:t>
      </w:r>
      <w:r>
        <w:rPr>
          <w:spacing w:val="21"/>
        </w:rPr>
        <w:t> </w:t>
      </w:r>
      <w:r>
        <w:rPr/>
        <w:t>kan </w:t>
      </w:r>
      <w:r>
        <w:rPr>
          <w:spacing w:val="20"/>
        </w:rPr>
        <w:t> </w:t>
      </w:r>
      <w:r>
        <w:rPr/>
        <w:t>forklares </w:t>
      </w:r>
      <w:r>
        <w:rPr>
          <w:spacing w:val="21"/>
        </w:rPr>
        <w:t> </w:t>
      </w:r>
      <w:r>
        <w:rPr/>
        <w:t>ud </w:t>
      </w:r>
      <w:r>
        <w:rPr>
          <w:spacing w:val="20"/>
        </w:rPr>
        <w:t> </w:t>
      </w:r>
      <w:r>
        <w:rPr/>
        <w:t>fra </w:t>
      </w:r>
      <w:r>
        <w:rPr>
          <w:spacing w:val="21"/>
        </w:rPr>
        <w:t> </w:t>
      </w:r>
      <w:r>
        <w:rPr/>
        <w:t>geologi-</w:t>
      </w:r>
    </w:p>
    <w:p>
      <w:pPr>
        <w:pStyle w:val="BodyText"/>
        <w:spacing w:line="213" w:lineRule="auto" w:before="8"/>
        <w:ind w:left="1133"/>
      </w:pPr>
      <w:r>
        <w:rPr/>
        <w:t>ske forhold (</w:t>
      </w:r>
      <w:hyperlink w:history="true" w:anchor="_bookmark41">
        <w:r>
          <w:rPr>
            <w:color w:val="0000FF"/>
          </w:rPr>
          <w:t>Knudsen et al.</w:t>
        </w:r>
      </w:hyperlink>
      <w:r>
        <w:rPr/>
        <w:t>, </w:t>
      </w:r>
      <w:hyperlink w:history="true" w:anchor="_bookmark41">
        <w:r>
          <w:rPr>
            <w:color w:val="0000FF"/>
          </w:rPr>
          <w:t>2009</w:t>
        </w:r>
      </w:hyperlink>
      <w:r>
        <w:rPr/>
        <w:t>). De </w:t>
      </w:r>
      <w:r>
        <w:rPr>
          <w:spacing w:val="-3"/>
        </w:rPr>
        <w:t>større</w:t>
      </w:r>
      <w:r>
        <w:rPr>
          <w:spacing w:val="54"/>
        </w:rPr>
        <w:t> </w:t>
      </w:r>
      <w:r>
        <w:rPr/>
        <w:t>sætningsrater</w:t>
      </w:r>
      <w:r>
        <w:rPr>
          <w:spacing w:val="20"/>
        </w:rPr>
        <w:t> </w:t>
      </w:r>
      <w:r>
        <w:rPr/>
        <w:t>forekommer</w:t>
      </w:r>
      <w:r>
        <w:rPr>
          <w:spacing w:val="20"/>
        </w:rPr>
        <w:t> </w:t>
      </w:r>
      <w:r>
        <w:rPr/>
        <w:t>i</w:t>
      </w:r>
      <w:r>
        <w:rPr>
          <w:spacing w:val="20"/>
        </w:rPr>
        <w:t> </w:t>
      </w:r>
      <w:r>
        <w:rPr/>
        <w:t>områder</w:t>
      </w:r>
      <w:r>
        <w:rPr>
          <w:spacing w:val="21"/>
        </w:rPr>
        <w:t> </w:t>
      </w:r>
      <w:r>
        <w:rPr/>
        <w:t>med</w:t>
      </w:r>
      <w:r>
        <w:rPr>
          <w:spacing w:val="20"/>
        </w:rPr>
        <w:t> </w:t>
      </w:r>
      <w:r>
        <w:rPr>
          <w:spacing w:val="-5"/>
        </w:rPr>
        <w:t>ikke-</w:t>
      </w:r>
    </w:p>
    <w:p>
      <w:pPr>
        <w:pStyle w:val="BodyText"/>
        <w:spacing w:line="252" w:lineRule="auto" w:before="71"/>
        <w:ind w:left="329" w:right="1131"/>
        <w:jc w:val="both"/>
      </w:pPr>
      <w:r>
        <w:rPr/>
        <w:br w:type="column"/>
      </w:r>
      <w:r>
        <w:rPr/>
        <w:t>konsoliderede postglaciale aflejringer samt </w:t>
      </w:r>
      <w:r>
        <w:rPr>
          <w:spacing w:val="-5"/>
        </w:rPr>
        <w:t>op- </w:t>
      </w:r>
      <w:r>
        <w:rPr/>
        <w:t>fyld, hvor der var anlagt f.eks. jernbaner, </w:t>
      </w:r>
      <w:r>
        <w:rPr>
          <w:spacing w:val="-4"/>
        </w:rPr>
        <w:t>havne </w:t>
      </w:r>
      <w:r>
        <w:rPr/>
        <w:t>eller lignende anlæg. Projektet viste dog også,</w:t>
      </w:r>
      <w:r>
        <w:rPr>
          <w:spacing w:val="-27"/>
        </w:rPr>
        <w:t> </w:t>
      </w:r>
      <w:r>
        <w:rPr>
          <w:spacing w:val="-7"/>
        </w:rPr>
        <w:t>at </w:t>
      </w:r>
      <w:r>
        <w:rPr/>
        <w:t>der</w:t>
      </w:r>
      <w:r>
        <w:rPr>
          <w:spacing w:val="-6"/>
        </w:rPr>
        <w:t> </w:t>
      </w:r>
      <w:r>
        <w:rPr/>
        <w:t>er</w:t>
      </w:r>
      <w:r>
        <w:rPr>
          <w:spacing w:val="-6"/>
        </w:rPr>
        <w:t> </w:t>
      </w:r>
      <w:r>
        <w:rPr/>
        <w:t>meget</w:t>
      </w:r>
      <w:r>
        <w:rPr>
          <w:spacing w:val="-6"/>
        </w:rPr>
        <w:t> </w:t>
      </w:r>
      <w:r>
        <w:rPr/>
        <w:t>store</w:t>
      </w:r>
      <w:r>
        <w:rPr>
          <w:spacing w:val="-6"/>
        </w:rPr>
        <w:t> </w:t>
      </w:r>
      <w:r>
        <w:rPr/>
        <w:t>udsving</w:t>
      </w:r>
      <w:r>
        <w:rPr>
          <w:spacing w:val="-6"/>
        </w:rPr>
        <w:t> </w:t>
      </w:r>
      <w:r>
        <w:rPr/>
        <w:t>i</w:t>
      </w:r>
      <w:r>
        <w:rPr>
          <w:spacing w:val="-6"/>
        </w:rPr>
        <w:t> </w:t>
      </w:r>
      <w:r>
        <w:rPr/>
        <w:t>værdierne,</w:t>
      </w:r>
      <w:r>
        <w:rPr>
          <w:spacing w:val="-5"/>
        </w:rPr>
        <w:t> </w:t>
      </w:r>
      <w:r>
        <w:rPr/>
        <w:t>som</w:t>
      </w:r>
      <w:r>
        <w:rPr>
          <w:spacing w:val="-6"/>
        </w:rPr>
        <w:t> ikke </w:t>
      </w:r>
      <w:r>
        <w:rPr/>
        <w:t>kan relateres til de geologiske forhold, samt </w:t>
      </w:r>
      <w:r>
        <w:rPr>
          <w:spacing w:val="-7"/>
        </w:rPr>
        <w:t>at </w:t>
      </w:r>
      <w:r>
        <w:rPr/>
        <w:t>der ikke kunne identificeres permanente reflek- torer i større</w:t>
      </w:r>
      <w:r>
        <w:rPr>
          <w:spacing w:val="-5"/>
        </w:rPr>
        <w:t> </w:t>
      </w:r>
      <w:r>
        <w:rPr/>
        <w:t>områder.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Senere</w:t>
      </w:r>
      <w:r>
        <w:rPr>
          <w:spacing w:val="-15"/>
        </w:rPr>
        <w:t> </w:t>
      </w:r>
      <w:r>
        <w:rPr/>
        <w:t>undersøgelser</w:t>
      </w:r>
      <w:r>
        <w:rPr>
          <w:spacing w:val="-14"/>
        </w:rPr>
        <w:t> </w:t>
      </w:r>
      <w:r>
        <w:rPr/>
        <w:t>i</w:t>
      </w:r>
      <w:r>
        <w:rPr>
          <w:spacing w:val="-15"/>
        </w:rPr>
        <w:t> </w:t>
      </w:r>
      <w:r>
        <w:rPr/>
        <w:t>regi</w:t>
      </w:r>
      <w:r>
        <w:rPr>
          <w:spacing w:val="-15"/>
        </w:rPr>
        <w:t> </w:t>
      </w:r>
      <w:r>
        <w:rPr/>
        <w:t>af</w:t>
      </w:r>
      <w:r>
        <w:rPr>
          <w:spacing w:val="-14"/>
        </w:rPr>
        <w:t> </w:t>
      </w:r>
      <w:r>
        <w:rPr/>
        <w:t>TERRAFIRMA projekterne (</w:t>
      </w:r>
      <w:hyperlink w:history="true" w:anchor="_bookmark42">
        <w:r>
          <w:rPr>
            <w:color w:val="0000FF"/>
          </w:rPr>
          <w:t>ESA</w:t>
        </w:r>
      </w:hyperlink>
      <w:r>
        <w:rPr/>
        <w:t>, </w:t>
      </w:r>
      <w:hyperlink w:history="true" w:anchor="_bookmark42">
        <w:r>
          <w:rPr>
            <w:color w:val="0000FF"/>
          </w:rPr>
          <w:t>2009</w:t>
        </w:r>
      </w:hyperlink>
      <w:r>
        <w:rPr/>
        <w:t>; </w:t>
      </w:r>
      <w:hyperlink w:history="true" w:anchor="_bookmark49">
        <w:r>
          <w:rPr>
            <w:color w:val="0000FF"/>
          </w:rPr>
          <w:t>Pedersen et al.</w:t>
        </w:r>
      </w:hyperlink>
      <w:r>
        <w:rPr/>
        <w:t>, </w:t>
      </w:r>
      <w:hyperlink w:history="true" w:anchor="_bookmark49">
        <w:r>
          <w:rPr>
            <w:color w:val="0000FF"/>
            <w:spacing w:val="-5"/>
          </w:rPr>
          <w:t>2011</w:t>
        </w:r>
      </w:hyperlink>
      <w:r>
        <w:rPr>
          <w:spacing w:val="-5"/>
        </w:rPr>
        <w:t>) </w:t>
      </w:r>
      <w:r>
        <w:rPr/>
        <w:t>og PanGeo projektet under </w:t>
      </w:r>
      <w:r>
        <w:rPr>
          <w:spacing w:val="-4"/>
        </w:rPr>
        <w:t>EU’s </w:t>
      </w:r>
      <w:r>
        <w:rPr/>
        <w:t>7. rammepro- gram har anvendt PSI teknologien i en paneuro- pæisk målestok. I PanGeo er ændringsrater </w:t>
      </w:r>
      <w:r>
        <w:rPr>
          <w:spacing w:val="-5"/>
        </w:rPr>
        <w:t>for </w:t>
      </w:r>
      <w:r>
        <w:rPr/>
        <w:t>naturlige</w:t>
      </w:r>
      <w:r>
        <w:rPr>
          <w:spacing w:val="-10"/>
        </w:rPr>
        <w:t> </w:t>
      </w:r>
      <w:r>
        <w:rPr/>
        <w:t>reflektorer</w:t>
      </w:r>
      <w:r>
        <w:rPr>
          <w:spacing w:val="-10"/>
        </w:rPr>
        <w:t> </w:t>
      </w:r>
      <w:r>
        <w:rPr/>
        <w:t>beregnet</w:t>
      </w:r>
      <w:r>
        <w:rPr>
          <w:spacing w:val="-9"/>
        </w:rPr>
        <w:t> </w:t>
      </w:r>
      <w:r>
        <w:rPr/>
        <w:t>for</w:t>
      </w:r>
      <w:r>
        <w:rPr>
          <w:spacing w:val="-10"/>
        </w:rPr>
        <w:t> </w:t>
      </w:r>
      <w:r>
        <w:rPr/>
        <w:t>2</w:t>
      </w:r>
      <w:r>
        <w:rPr>
          <w:spacing w:val="-9"/>
        </w:rPr>
        <w:t> </w:t>
      </w:r>
      <w:r>
        <w:rPr/>
        <w:t>byer</w:t>
      </w:r>
      <w:r>
        <w:rPr>
          <w:spacing w:val="-10"/>
        </w:rPr>
        <w:t> </w:t>
      </w:r>
      <w:r>
        <w:rPr/>
        <w:t>for</w:t>
      </w:r>
      <w:r>
        <w:rPr>
          <w:spacing w:val="-10"/>
        </w:rPr>
        <w:t> </w:t>
      </w:r>
      <w:r>
        <w:rPr>
          <w:spacing w:val="-5"/>
        </w:rPr>
        <w:t>hvert </w:t>
      </w:r>
      <w:r>
        <w:rPr/>
        <w:t>af </w:t>
      </w:r>
      <w:r>
        <w:rPr>
          <w:spacing w:val="-4"/>
        </w:rPr>
        <w:t>EU’s </w:t>
      </w:r>
      <w:r>
        <w:rPr/>
        <w:t>medlemsstater; for Danmarks </w:t>
      </w:r>
      <w:r>
        <w:rPr>
          <w:spacing w:val="-3"/>
        </w:rPr>
        <w:t>vedkom- </w:t>
      </w:r>
      <w:r>
        <w:rPr/>
        <w:t>mende</w:t>
      </w:r>
      <w:r>
        <w:rPr>
          <w:spacing w:val="-12"/>
        </w:rPr>
        <w:t> </w:t>
      </w:r>
      <w:r>
        <w:rPr/>
        <w:t>Aalborg</w:t>
      </w:r>
      <w:r>
        <w:rPr>
          <w:spacing w:val="-10"/>
        </w:rPr>
        <w:t> </w:t>
      </w:r>
      <w:r>
        <w:rPr/>
        <w:t>og</w:t>
      </w:r>
      <w:r>
        <w:rPr>
          <w:spacing w:val="-11"/>
        </w:rPr>
        <w:t> </w:t>
      </w:r>
      <w:r>
        <w:rPr/>
        <w:t>København.</w:t>
      </w:r>
      <w:r>
        <w:rPr>
          <w:spacing w:val="-11"/>
        </w:rPr>
        <w:t> </w:t>
      </w:r>
      <w:r>
        <w:rPr/>
        <w:t>Her</w:t>
      </w:r>
      <w:r>
        <w:rPr>
          <w:spacing w:val="-11"/>
        </w:rPr>
        <w:t> </w:t>
      </w:r>
      <w:r>
        <w:rPr/>
        <w:t>fokuseres</w:t>
      </w:r>
      <w:r>
        <w:rPr>
          <w:spacing w:val="-10"/>
        </w:rPr>
        <w:t> </w:t>
      </w:r>
      <w:r>
        <w:rPr>
          <w:spacing w:val="-7"/>
        </w:rPr>
        <w:t>på </w:t>
      </w:r>
      <w:r>
        <w:rPr/>
        <w:t>små lokale områder, hvor der er målt relativt</w:t>
      </w:r>
      <w:r>
        <w:rPr>
          <w:spacing w:val="-41"/>
        </w:rPr>
        <w:t> </w:t>
      </w:r>
      <w:r>
        <w:rPr>
          <w:spacing w:val="-4"/>
        </w:rPr>
        <w:t>hø- </w:t>
      </w:r>
      <w:r>
        <w:rPr/>
        <w:t>je sætningsrater med PSI teknologien, og </w:t>
      </w:r>
      <w:r>
        <w:rPr>
          <w:spacing w:val="-3"/>
        </w:rPr>
        <w:t>poten- </w:t>
      </w:r>
      <w:r>
        <w:rPr/>
        <w:t>tielt ustabile områder udpeges ud fra </w:t>
      </w:r>
      <w:r>
        <w:rPr>
          <w:spacing w:val="-3"/>
        </w:rPr>
        <w:t>geologiske </w:t>
      </w:r>
      <w:r>
        <w:rPr/>
        <w:t>forhold</w:t>
      </w:r>
      <w:r>
        <w:rPr>
          <w:spacing w:val="-14"/>
        </w:rPr>
        <w:t> </w:t>
      </w:r>
      <w:r>
        <w:rPr/>
        <w:t>(</w:t>
      </w:r>
      <w:hyperlink w:history="true" w:anchor="_bookmark45">
        <w:r>
          <w:rPr>
            <w:color w:val="0000FF"/>
          </w:rPr>
          <w:t>Jakobsen</w:t>
        </w:r>
        <w:r>
          <w:rPr>
            <w:color w:val="0000FF"/>
            <w:spacing w:val="-14"/>
          </w:rPr>
          <w:t> </w:t>
        </w:r>
        <w:r>
          <w:rPr>
            <w:color w:val="0000FF"/>
          </w:rPr>
          <w:t>and</w:t>
        </w:r>
        <w:r>
          <w:rPr>
            <w:color w:val="0000FF"/>
            <w:spacing w:val="-14"/>
          </w:rPr>
          <w:t> </w:t>
        </w:r>
        <w:r>
          <w:rPr>
            <w:color w:val="0000FF"/>
          </w:rPr>
          <w:t>Pedersen</w:t>
        </w:r>
      </w:hyperlink>
      <w:r>
        <w:rPr/>
        <w:t>,</w:t>
      </w:r>
      <w:r>
        <w:rPr>
          <w:spacing w:val="-14"/>
        </w:rPr>
        <w:t> </w:t>
      </w:r>
      <w:hyperlink w:history="true" w:anchor="_bookmark45">
        <w:r>
          <w:rPr>
            <w:color w:val="0000FF"/>
          </w:rPr>
          <w:t>2013a</w:t>
        </w:r>
      </w:hyperlink>
      <w:r>
        <w:rPr/>
        <w:t>,</w:t>
      </w:r>
      <w:hyperlink w:history="true" w:anchor="_bookmark48">
        <w:r>
          <w:rPr>
            <w:color w:val="0000FF"/>
          </w:rPr>
          <w:t>b</w:t>
        </w:r>
      </w:hyperlink>
      <w:r>
        <w:rPr/>
        <w:t>;</w:t>
      </w:r>
      <w:r>
        <w:rPr>
          <w:spacing w:val="-14"/>
        </w:rPr>
        <w:t> </w:t>
      </w:r>
      <w:hyperlink w:history="true" w:anchor="_bookmark50">
        <w:r>
          <w:rPr>
            <w:color w:val="0000FF"/>
            <w:spacing w:val="-4"/>
          </w:rPr>
          <w:t>Jakob-</w:t>
        </w:r>
      </w:hyperlink>
      <w:r>
        <w:rPr>
          <w:color w:val="0000FF"/>
          <w:spacing w:val="-4"/>
        </w:rPr>
        <w:t> </w:t>
      </w:r>
      <w:hyperlink w:history="true" w:anchor="_bookmark50">
        <w:r>
          <w:rPr>
            <w:color w:val="0000FF"/>
          </w:rPr>
          <w:t>sen et al.</w:t>
        </w:r>
      </w:hyperlink>
      <w:r>
        <w:rPr/>
        <w:t>, </w:t>
      </w:r>
      <w:hyperlink w:history="true" w:anchor="_bookmark50">
        <w:r>
          <w:rPr>
            <w:color w:val="0000FF"/>
          </w:rPr>
          <w:t>2013</w:t>
        </w:r>
      </w:hyperlink>
      <w:r>
        <w:rPr/>
        <w:t>). De potentielt ustabile </w:t>
      </w:r>
      <w:r>
        <w:rPr>
          <w:spacing w:val="-3"/>
        </w:rPr>
        <w:t>områ- </w:t>
      </w:r>
      <w:r>
        <w:rPr/>
        <w:t>der karakteriseres som områder med postglacia- le</w:t>
      </w:r>
      <w:r>
        <w:rPr>
          <w:spacing w:val="-17"/>
        </w:rPr>
        <w:t> </w:t>
      </w:r>
      <w:r>
        <w:rPr/>
        <w:t>ferskvandsaflejringer,</w:t>
      </w:r>
      <w:r>
        <w:rPr>
          <w:spacing w:val="-17"/>
        </w:rPr>
        <w:t> </w:t>
      </w:r>
      <w:r>
        <w:rPr/>
        <w:t>fortrinsvis</w:t>
      </w:r>
      <w:r>
        <w:rPr>
          <w:spacing w:val="-16"/>
        </w:rPr>
        <w:t> </w:t>
      </w:r>
      <w:r>
        <w:rPr>
          <w:spacing w:val="-4"/>
        </w:rPr>
        <w:t>tørv,</w:t>
      </w:r>
      <w:r>
        <w:rPr>
          <w:spacing w:val="-17"/>
        </w:rPr>
        <w:t> </w:t>
      </w:r>
      <w:r>
        <w:rPr/>
        <w:t>men</w:t>
      </w:r>
      <w:r>
        <w:rPr>
          <w:spacing w:val="-16"/>
        </w:rPr>
        <w:t> </w:t>
      </w:r>
      <w:r>
        <w:rPr>
          <w:spacing w:val="-5"/>
        </w:rPr>
        <w:t>og- </w:t>
      </w:r>
      <w:r>
        <w:rPr/>
        <w:t>så postglacialt ler og senglacialt </w:t>
      </w:r>
      <w:r>
        <w:rPr>
          <w:spacing w:val="-3"/>
        </w:rPr>
        <w:t>ler, </w:t>
      </w:r>
      <w:r>
        <w:rPr/>
        <w:t>inddæmme- de</w:t>
      </w:r>
      <w:r>
        <w:rPr>
          <w:spacing w:val="-7"/>
        </w:rPr>
        <w:t> </w:t>
      </w:r>
      <w:r>
        <w:rPr/>
        <w:t>arealer</w:t>
      </w:r>
      <w:r>
        <w:rPr>
          <w:spacing w:val="-8"/>
        </w:rPr>
        <w:t> </w:t>
      </w:r>
      <w:r>
        <w:rPr/>
        <w:t>samt</w:t>
      </w:r>
      <w:r>
        <w:rPr>
          <w:spacing w:val="-7"/>
        </w:rPr>
        <w:t> </w:t>
      </w:r>
      <w:r>
        <w:rPr/>
        <w:t>områder</w:t>
      </w:r>
      <w:r>
        <w:rPr>
          <w:spacing w:val="-6"/>
        </w:rPr>
        <w:t> </w:t>
      </w:r>
      <w:r>
        <w:rPr/>
        <w:t>med</w:t>
      </w:r>
      <w:r>
        <w:rPr>
          <w:spacing w:val="-8"/>
        </w:rPr>
        <w:t> </w:t>
      </w:r>
      <w:r>
        <w:rPr/>
        <w:t>opfyldning</w:t>
      </w:r>
      <w:r>
        <w:rPr>
          <w:spacing w:val="-7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3"/>
        </w:rPr>
        <w:t>typisk </w:t>
      </w:r>
      <w:r>
        <w:rPr/>
        <w:t>arealer i tilknytning til havne og broer, men </w:t>
      </w:r>
      <w:r>
        <w:rPr>
          <w:spacing w:val="-4"/>
        </w:rPr>
        <w:t>og- </w:t>
      </w:r>
      <w:r>
        <w:rPr/>
        <w:t>så f.eks. forhenværende lossepladser. Imidlertid er 19 ud af i de alt 20 områder med høje </w:t>
      </w:r>
      <w:r>
        <w:rPr>
          <w:spacing w:val="-5"/>
        </w:rPr>
        <w:t>PSI- </w:t>
      </w:r>
      <w:r>
        <w:rPr/>
        <w:t>beregnede sætningsrater karakteriseret som </w:t>
      </w:r>
      <w:r>
        <w:rPr>
          <w:spacing w:val="-5"/>
        </w:rPr>
        <w:t>op- </w:t>
      </w:r>
      <w:r>
        <w:rPr/>
        <w:t>fyldsområder. Et enkelt område i København </w:t>
      </w:r>
      <w:r>
        <w:rPr>
          <w:spacing w:val="-6"/>
        </w:rPr>
        <w:t>er </w:t>
      </w:r>
      <w:r>
        <w:rPr/>
        <w:t>karakteriseret som en</w:t>
      </w:r>
      <w:r>
        <w:rPr>
          <w:spacing w:val="-5"/>
        </w:rPr>
        <w:t> </w:t>
      </w:r>
      <w:r>
        <w:rPr/>
        <w:t>tørvejord.</w:t>
      </w:r>
    </w:p>
    <w:p>
      <w:pPr>
        <w:pStyle w:val="BodyText"/>
        <w:spacing w:line="256" w:lineRule="exact"/>
        <w:ind w:left="563"/>
      </w:pPr>
      <w:r>
        <w:rPr/>
        <w:t>PSI teknologien er potentielt lovende. Anven-</w:t>
      </w:r>
    </w:p>
    <w:p>
      <w:pPr>
        <w:pStyle w:val="BodyText"/>
        <w:spacing w:line="252" w:lineRule="auto" w:before="7"/>
        <w:ind w:left="329" w:right="1131"/>
        <w:jc w:val="both"/>
      </w:pPr>
      <w:r>
        <w:rPr/>
        <w:t>delse af teknologien til landsdækkende kortlæg- ning af sætninger er imidlertid begrænset af en række forhold.</w:t>
      </w:r>
    </w:p>
    <w:p>
      <w:pPr>
        <w:pStyle w:val="BodyText"/>
        <w:spacing w:line="252" w:lineRule="auto" w:before="196"/>
        <w:ind w:left="797" w:right="1131"/>
        <w:jc w:val="both"/>
      </w:pPr>
      <w:r>
        <w:rPr/>
        <w:pict>
          <v:shape style="position:absolute;margin-left:318.451996pt;margin-top:11.737847pt;width:6pt;height:20.75pt;mso-position-horizontal-relative:page;mso-position-vertical-relative:paragraph;z-index:1240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Der kan kun beregnes ændringsrater for </w:t>
      </w:r>
      <w:r>
        <w:rPr>
          <w:spacing w:val="-7"/>
        </w:rPr>
        <w:t>de </w:t>
      </w:r>
      <w:r>
        <w:rPr/>
        <w:t>steder, hvor der forefindes permanente </w:t>
      </w:r>
      <w:r>
        <w:rPr>
          <w:spacing w:val="-5"/>
        </w:rPr>
        <w:t>re- </w:t>
      </w:r>
      <w:r>
        <w:rPr/>
        <w:t>flektorer,</w:t>
      </w:r>
      <w:r>
        <w:rPr>
          <w:spacing w:val="-9"/>
        </w:rPr>
        <w:t> </w:t>
      </w:r>
      <w:r>
        <w:rPr/>
        <w:t>som</w:t>
      </w:r>
      <w:r>
        <w:rPr>
          <w:spacing w:val="-9"/>
        </w:rPr>
        <w:t> </w:t>
      </w:r>
      <w:r>
        <w:rPr/>
        <w:t>giver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kraftig</w:t>
      </w:r>
      <w:r>
        <w:rPr>
          <w:spacing w:val="-9"/>
        </w:rPr>
        <w:t> </w:t>
      </w:r>
      <w:r>
        <w:rPr/>
        <w:t>tilbagespred- ning</w:t>
      </w:r>
      <w:r>
        <w:rPr>
          <w:spacing w:val="-16"/>
        </w:rPr>
        <w:t> </w:t>
      </w:r>
      <w:r>
        <w:rPr/>
        <w:t>af</w:t>
      </w:r>
      <w:r>
        <w:rPr>
          <w:spacing w:val="-16"/>
        </w:rPr>
        <w:t> </w:t>
      </w:r>
      <w:r>
        <w:rPr/>
        <w:t>radarsignalet</w:t>
      </w:r>
      <w:r>
        <w:rPr>
          <w:spacing w:val="-15"/>
        </w:rPr>
        <w:t> </w:t>
      </w:r>
      <w:r>
        <w:rPr/>
        <w:t>fra</w:t>
      </w:r>
      <w:r>
        <w:rPr>
          <w:spacing w:val="-15"/>
        </w:rPr>
        <w:t> </w:t>
      </w:r>
      <w:r>
        <w:rPr/>
        <w:t>satellitten</w:t>
      </w:r>
      <w:r>
        <w:rPr>
          <w:spacing w:val="-16"/>
        </w:rPr>
        <w:t> </w:t>
      </w:r>
      <w:r>
        <w:rPr/>
        <w:t>(der</w:t>
      </w:r>
      <w:r>
        <w:rPr>
          <w:spacing w:val="-16"/>
        </w:rPr>
        <w:t> </w:t>
      </w:r>
      <w:r>
        <w:rPr/>
        <w:t>er</w:t>
      </w:r>
      <w:r>
        <w:rPr>
          <w:spacing w:val="-16"/>
        </w:rPr>
        <w:t> </w:t>
      </w:r>
      <w:r>
        <w:rPr>
          <w:spacing w:val="-6"/>
        </w:rPr>
        <w:t>en </w:t>
      </w:r>
      <w:r>
        <w:rPr/>
        <w:t>markant</w:t>
      </w:r>
      <w:r>
        <w:rPr>
          <w:spacing w:val="-10"/>
        </w:rPr>
        <w:t> </w:t>
      </w:r>
      <w:r>
        <w:rPr/>
        <w:t>større</w:t>
      </w:r>
      <w:r>
        <w:rPr>
          <w:spacing w:val="-9"/>
        </w:rPr>
        <w:t> </w:t>
      </w:r>
      <w:r>
        <w:rPr/>
        <w:t>tæthed</w:t>
      </w:r>
      <w:r>
        <w:rPr>
          <w:spacing w:val="-9"/>
        </w:rPr>
        <w:t> </w:t>
      </w:r>
      <w:r>
        <w:rPr/>
        <w:t>af</w:t>
      </w:r>
      <w:r>
        <w:rPr>
          <w:spacing w:val="-9"/>
        </w:rPr>
        <w:t> </w:t>
      </w:r>
      <w:r>
        <w:rPr/>
        <w:t>permanente</w:t>
      </w:r>
      <w:r>
        <w:rPr>
          <w:spacing w:val="-9"/>
        </w:rPr>
        <w:t> </w:t>
      </w:r>
      <w:r>
        <w:rPr>
          <w:spacing w:val="-3"/>
        </w:rPr>
        <w:t>reflek- </w:t>
      </w:r>
      <w:r>
        <w:rPr/>
        <w:t>torer i byområder sammenlignet med </w:t>
      </w:r>
      <w:r>
        <w:rPr>
          <w:spacing w:val="-5"/>
        </w:rPr>
        <w:t>det </w:t>
      </w:r>
      <w:r>
        <w:rPr/>
        <w:t>åbne</w:t>
      </w:r>
      <w:r>
        <w:rPr>
          <w:spacing w:val="-2"/>
        </w:rPr>
        <w:t> </w:t>
      </w:r>
      <w:r>
        <w:rPr/>
        <w:t>land),</w:t>
      </w:r>
    </w:p>
    <w:p>
      <w:pPr>
        <w:pStyle w:val="BodyText"/>
        <w:spacing w:line="252" w:lineRule="auto"/>
        <w:ind w:left="797" w:right="1120"/>
      </w:pPr>
      <w:r>
        <w:rPr/>
        <w:pict>
          <v:shape style="position:absolute;margin-left:318.451996pt;margin-top:1.937845pt;width:6pt;height:20.75pt;mso-position-horizontal-relative:page;mso-position-vertical-relative:paragraph;z-index:1264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der kan kun beregnes relative ændringsra- ter; ikke absolutte rater eller koter,</w:t>
      </w:r>
    </w:p>
    <w:p>
      <w:pPr>
        <w:pStyle w:val="BodyText"/>
        <w:spacing w:line="252" w:lineRule="auto"/>
        <w:ind w:left="797" w:right="1031"/>
      </w:pPr>
      <w:r>
        <w:rPr/>
        <w:pict>
          <v:shape style="position:absolute;margin-left:318.451996pt;margin-top:1.937839pt;width:6pt;height:20.75pt;mso-position-horizontal-relative:page;mso-position-vertical-relative:paragraph;z-index:1288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8.451996pt;margin-top:45.275837pt;width:6pt;height:20.75pt;mso-position-horizontal-relative:page;mso-position-vertical-relative:paragraph;z-index:1312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der kan kun beregnes ændringsrater for de steder, hvor der er en tilstrækkelig lang tids- serie af radar satellitbilleder til rådighed, beregninger af PSI-ændringsrater er ikke triviel. Der er kun en lille håndfuld institu- tioner, der er i stand til at udføre beregnin- gerne,</w:t>
      </w:r>
    </w:p>
    <w:p>
      <w:pPr>
        <w:spacing w:after="0" w:line="252" w:lineRule="auto"/>
        <w:sectPr>
          <w:footerReference w:type="default" r:id="rId19"/>
          <w:pgSz w:w="11910" w:h="16840"/>
          <w:pgMar w:footer="546" w:header="0" w:top="1060" w:bottom="740" w:left="0" w:right="0"/>
          <w:pgNumType w:start="8"/>
          <w:cols w:num="2" w:equalWidth="0">
            <w:col w:w="5769" w:space="40"/>
            <w:col w:w="6101"/>
          </w:cols>
        </w:sectPr>
      </w:pPr>
    </w:p>
    <w:p>
      <w:pPr>
        <w:pStyle w:val="BodyText"/>
        <w:spacing w:before="10"/>
        <w:rPr>
          <w:sz w:val="4"/>
        </w:rPr>
      </w:pPr>
    </w:p>
    <w:p>
      <w:pPr>
        <w:pStyle w:val="BodyText"/>
        <w:ind w:left="1133" w:right="-72"/>
        <w:rPr>
          <w:sz w:val="20"/>
        </w:rPr>
      </w:pPr>
      <w:r>
        <w:rPr>
          <w:sz w:val="20"/>
        </w:rPr>
        <w:drawing>
          <wp:inline distT="0" distB="0" distL="0" distR="0">
            <wp:extent cx="2956559" cy="2208180"/>
            <wp:effectExtent l="0" t="0" r="0" b="0"/>
            <wp:docPr id="9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559" cy="220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76" w:lineRule="auto" w:before="178"/>
        <w:ind w:left="1133" w:right="0" w:firstLine="0"/>
        <w:jc w:val="both"/>
        <w:rPr>
          <w:rFonts w:ascii="Arial" w:hAnsi="Arial"/>
          <w:sz w:val="20"/>
        </w:rPr>
      </w:pPr>
      <w:bookmarkStart w:name="_bookmark7" w:id="12"/>
      <w:bookmarkEnd w:id="12"/>
      <w:r>
        <w:rPr/>
      </w:r>
      <w:r>
        <w:rPr>
          <w:rFonts w:ascii="Arial" w:hAnsi="Arial"/>
          <w:sz w:val="22"/>
        </w:rPr>
        <w:t>Figur 1:</w:t>
      </w:r>
      <w:r>
        <w:rPr>
          <w:rFonts w:ascii="Arial" w:hAnsi="Arial"/>
          <w:spacing w:val="-42"/>
          <w:sz w:val="22"/>
        </w:rPr>
        <w:t> </w:t>
      </w:r>
      <w:r>
        <w:rPr>
          <w:rFonts w:ascii="Arial" w:hAnsi="Arial"/>
          <w:sz w:val="20"/>
        </w:rPr>
        <w:t>Nivellementsbolt – den mest udbredte </w:t>
      </w:r>
      <w:r>
        <w:rPr>
          <w:rFonts w:ascii="Arial" w:hAnsi="Arial"/>
          <w:spacing w:val="-4"/>
          <w:sz w:val="20"/>
        </w:rPr>
        <w:t>etab- </w:t>
      </w:r>
      <w:r>
        <w:rPr>
          <w:rFonts w:ascii="Arial" w:hAnsi="Arial"/>
          <w:sz w:val="20"/>
        </w:rPr>
        <w:t>leringsform </w:t>
      </w:r>
      <w:r>
        <w:rPr>
          <w:rFonts w:ascii="Arial" w:hAnsi="Arial"/>
          <w:spacing w:val="-3"/>
          <w:sz w:val="20"/>
        </w:rPr>
        <w:t>for</w:t>
      </w:r>
      <w:r>
        <w:rPr>
          <w:rFonts w:ascii="Arial" w:hAnsi="Arial"/>
          <w:sz w:val="20"/>
        </w:rPr>
        <w:t> fikspunkter.</w:t>
      </w:r>
    </w:p>
    <w:p>
      <w:pPr>
        <w:pStyle w:val="BodyText"/>
        <w:rPr>
          <w:rFonts w:ascii="Arial"/>
        </w:rPr>
      </w:pPr>
    </w:p>
    <w:p>
      <w:pPr>
        <w:pStyle w:val="BodyText"/>
        <w:spacing w:line="252" w:lineRule="auto" w:before="141"/>
        <w:ind w:left="1602"/>
        <w:jc w:val="both"/>
      </w:pPr>
      <w:r>
        <w:rPr/>
        <w:pict>
          <v:shape style="position:absolute;margin-left:68.274002pt;margin-top:8.987833pt;width:6pt;height:20.75pt;mso-position-horizontal-relative:page;mso-position-vertical-relative:paragraph;z-index:1336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det er vanskeligt at identificere det </w:t>
      </w:r>
      <w:r>
        <w:rPr>
          <w:spacing w:val="-3"/>
        </w:rPr>
        <w:t>fysiske </w:t>
      </w:r>
      <w:r>
        <w:rPr/>
        <w:t>punkt, som udgør den naturlige</w:t>
      </w:r>
      <w:r>
        <w:rPr>
          <w:spacing w:val="-38"/>
        </w:rPr>
        <w:t> </w:t>
      </w:r>
      <w:r>
        <w:rPr/>
        <w:t>permanente reflektor,</w:t>
      </w:r>
    </w:p>
    <w:p>
      <w:pPr>
        <w:pStyle w:val="BodyText"/>
        <w:spacing w:line="252" w:lineRule="auto"/>
        <w:ind w:left="1602"/>
        <w:jc w:val="both"/>
      </w:pPr>
      <w:r>
        <w:rPr/>
        <w:pict>
          <v:shape style="position:absolute;margin-left:68.274002pt;margin-top:1.937858pt;width:6pt;height:20.75pt;mso-position-horizontal-relative:page;mso-position-vertical-relative:paragraph;z-index:1360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der er p.t. kun udført beregninger for nogle få mindre testområder i Danmark.</w:t>
      </w:r>
    </w:p>
    <w:p>
      <w:pPr>
        <w:pStyle w:val="BodyText"/>
        <w:spacing w:before="6"/>
        <w:rPr>
          <w:sz w:val="39"/>
        </w:rPr>
      </w:pPr>
    </w:p>
    <w:p>
      <w:pPr>
        <w:pStyle w:val="Heading2"/>
        <w:numPr>
          <w:ilvl w:val="1"/>
          <w:numId w:val="2"/>
        </w:numPr>
        <w:tabs>
          <w:tab w:pos="1890" w:val="left" w:leader="none"/>
          <w:tab w:pos="1891" w:val="left" w:leader="none"/>
        </w:tabs>
        <w:spacing w:line="295" w:lineRule="auto" w:before="1" w:after="0"/>
        <w:ind w:left="1890" w:right="0" w:hanging="757"/>
        <w:jc w:val="left"/>
      </w:pPr>
      <w:bookmarkStart w:name="_bookmark8" w:id="13"/>
      <w:bookmarkEnd w:id="13"/>
      <w:r>
        <w:rPr>
          <w:b w:val="0"/>
        </w:rPr>
      </w:r>
      <w:bookmarkStart w:name="_bookmark8" w:id="14"/>
      <w:bookmarkEnd w:id="14"/>
      <w:r>
        <w:rPr/>
        <w:t>Andre</w:t>
      </w:r>
      <w:r>
        <w:rPr/>
        <w:t> tematiske </w:t>
      </w:r>
      <w:r>
        <w:rPr>
          <w:spacing w:val="-3"/>
        </w:rPr>
        <w:t>kortlæg- </w:t>
      </w:r>
      <w:r>
        <w:rPr/>
        <w:t>ninger</w:t>
      </w:r>
    </w:p>
    <w:p>
      <w:pPr>
        <w:pStyle w:val="BodyText"/>
        <w:spacing w:line="252" w:lineRule="auto" w:before="164"/>
        <w:ind w:left="1133"/>
        <w:jc w:val="both"/>
      </w:pPr>
      <w:r>
        <w:rPr/>
        <w:t>Der er belæg for at antage, at kvartærgeologi- ske</w:t>
      </w:r>
      <w:r>
        <w:rPr>
          <w:spacing w:val="-10"/>
        </w:rPr>
        <w:t> </w:t>
      </w:r>
      <w:r>
        <w:rPr/>
        <w:t>og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række</w:t>
      </w:r>
      <w:r>
        <w:rPr>
          <w:spacing w:val="-9"/>
        </w:rPr>
        <w:t> </w:t>
      </w:r>
      <w:r>
        <w:rPr/>
        <w:t>øvrige</w:t>
      </w:r>
      <w:r>
        <w:rPr>
          <w:spacing w:val="-9"/>
        </w:rPr>
        <w:t> </w:t>
      </w:r>
      <w:r>
        <w:rPr/>
        <w:t>forhold</w:t>
      </w:r>
      <w:r>
        <w:rPr>
          <w:spacing w:val="-10"/>
        </w:rPr>
        <w:t> </w:t>
      </w:r>
      <w:r>
        <w:rPr/>
        <w:t>er</w:t>
      </w:r>
      <w:r>
        <w:rPr>
          <w:spacing w:val="-9"/>
        </w:rPr>
        <w:t> </w:t>
      </w:r>
      <w:r>
        <w:rPr/>
        <w:t>korreleret</w:t>
      </w:r>
      <w:r>
        <w:rPr>
          <w:spacing w:val="-9"/>
        </w:rPr>
        <w:t> </w:t>
      </w:r>
      <w:r>
        <w:rPr>
          <w:spacing w:val="-5"/>
        </w:rPr>
        <w:t>med </w:t>
      </w:r>
      <w:r>
        <w:rPr/>
        <w:t>forekomst og størrelse af sætningsrater på </w:t>
      </w:r>
      <w:r>
        <w:rPr>
          <w:spacing w:val="-4"/>
        </w:rPr>
        <w:t>lokal </w:t>
      </w:r>
      <w:r>
        <w:rPr/>
        <w:t>skala. Denne antagelse bekræftes til dels af </w:t>
      </w:r>
      <w:r>
        <w:rPr>
          <w:spacing w:val="-4"/>
        </w:rPr>
        <w:t>stu- </w:t>
      </w:r>
      <w:r>
        <w:rPr/>
        <w:t>dierne med anvendelse af</w:t>
      </w:r>
      <w:r>
        <w:rPr>
          <w:spacing w:val="-7"/>
        </w:rPr>
        <w:t> </w:t>
      </w:r>
      <w:r>
        <w:rPr/>
        <w:t>PSI.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Danmark er forholdsvist detaljeret </w:t>
      </w:r>
      <w:r>
        <w:rPr>
          <w:spacing w:val="-3"/>
        </w:rPr>
        <w:t>kortlagt, </w:t>
      </w:r>
      <w:r>
        <w:rPr/>
        <w:t>og vha. tematiske kortlægninger kan en </w:t>
      </w:r>
      <w:r>
        <w:rPr>
          <w:spacing w:val="-3"/>
        </w:rPr>
        <w:t>lands- </w:t>
      </w:r>
      <w:r>
        <w:rPr/>
        <w:t>dækkende kortlægning over sætninger fremstil- les. Ulemper ved denne metode er imidlertid, </w:t>
      </w:r>
      <w:r>
        <w:rPr>
          <w:spacing w:val="-8"/>
        </w:rPr>
        <w:t>at </w:t>
      </w:r>
      <w:r>
        <w:rPr/>
        <w:t>der kræves et særdeles omfattende </w:t>
      </w:r>
      <w:r>
        <w:rPr>
          <w:spacing w:val="-3"/>
        </w:rPr>
        <w:t>validerings- </w:t>
      </w:r>
      <w:r>
        <w:rPr/>
        <w:t>grundlag af data, som skal være jævnt </w:t>
      </w:r>
      <w:r>
        <w:rPr>
          <w:spacing w:val="-3"/>
        </w:rPr>
        <w:t>fordelt </w:t>
      </w:r>
      <w:r>
        <w:rPr/>
        <w:t>geografisk</w:t>
      </w:r>
      <w:r>
        <w:rPr>
          <w:spacing w:val="16"/>
        </w:rPr>
        <w:t> </w:t>
      </w:r>
      <w:r>
        <w:rPr/>
        <w:t>og</w:t>
      </w:r>
      <w:r>
        <w:rPr>
          <w:spacing w:val="17"/>
        </w:rPr>
        <w:t> </w:t>
      </w:r>
      <w:r>
        <w:rPr/>
        <w:t>på</w:t>
      </w:r>
      <w:r>
        <w:rPr>
          <w:spacing w:val="16"/>
        </w:rPr>
        <w:t> </w:t>
      </w:r>
      <w:r>
        <w:rPr/>
        <w:t>tværs</w:t>
      </w:r>
      <w:r>
        <w:rPr>
          <w:spacing w:val="17"/>
        </w:rPr>
        <w:t> </w:t>
      </w:r>
      <w:r>
        <w:rPr/>
        <w:t>af</w:t>
      </w:r>
      <w:r>
        <w:rPr>
          <w:spacing w:val="16"/>
        </w:rPr>
        <w:t> </w:t>
      </w:r>
      <w:r>
        <w:rPr/>
        <w:t>geologiske</w:t>
      </w:r>
      <w:r>
        <w:rPr>
          <w:spacing w:val="17"/>
        </w:rPr>
        <w:t> </w:t>
      </w:r>
      <w:r>
        <w:rPr/>
        <w:t>zoner,</w:t>
      </w:r>
      <w:r>
        <w:rPr>
          <w:spacing w:val="16"/>
        </w:rPr>
        <w:t> </w:t>
      </w:r>
      <w:r>
        <w:rPr>
          <w:spacing w:val="-6"/>
        </w:rPr>
        <w:t>så-</w:t>
      </w:r>
    </w:p>
    <w:p>
      <w:pPr>
        <w:pStyle w:val="BodyText"/>
        <w:spacing w:line="252" w:lineRule="auto" w:before="71"/>
        <w:ind w:left="329" w:right="1131"/>
        <w:jc w:val="both"/>
      </w:pPr>
      <w:r>
        <w:rPr/>
        <w:br w:type="column"/>
      </w:r>
      <w:r>
        <w:rPr/>
        <w:t>fremt det ønskes at </w:t>
      </w:r>
      <w:r>
        <w:rPr>
          <w:spacing w:val="-3"/>
        </w:rPr>
        <w:t>lave </w:t>
      </w:r>
      <w:r>
        <w:rPr/>
        <w:t>en differentieret </w:t>
      </w:r>
      <w:r>
        <w:rPr>
          <w:spacing w:val="-4"/>
        </w:rPr>
        <w:t>kort- </w:t>
      </w:r>
      <w:r>
        <w:rPr/>
        <w:t>lægning af ændringsrater, dvs. en kortlægning</w:t>
      </w:r>
      <w:r>
        <w:rPr>
          <w:spacing w:val="-33"/>
        </w:rPr>
        <w:t> </w:t>
      </w:r>
      <w:r>
        <w:rPr>
          <w:spacing w:val="-7"/>
        </w:rPr>
        <w:t>af </w:t>
      </w:r>
      <w:r>
        <w:rPr/>
        <w:t>ændringsrater angivet i absolutte</w:t>
      </w:r>
      <w:r>
        <w:rPr>
          <w:spacing w:val="-14"/>
        </w:rPr>
        <w:t> </w:t>
      </w:r>
      <w:r>
        <w:rPr/>
        <w:t>værdier.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Endvidere</w:t>
      </w:r>
      <w:r>
        <w:rPr>
          <w:spacing w:val="-15"/>
        </w:rPr>
        <w:t> </w:t>
      </w:r>
      <w:r>
        <w:rPr/>
        <w:t>er</w:t>
      </w:r>
      <w:r>
        <w:rPr>
          <w:spacing w:val="-15"/>
        </w:rPr>
        <w:t> </w:t>
      </w:r>
      <w:r>
        <w:rPr/>
        <w:t>det</w:t>
      </w:r>
      <w:r>
        <w:rPr>
          <w:spacing w:val="-15"/>
        </w:rPr>
        <w:t> </w:t>
      </w:r>
      <w:r>
        <w:rPr/>
        <w:t>vanskeligt</w:t>
      </w:r>
      <w:r>
        <w:rPr>
          <w:spacing w:val="-15"/>
        </w:rPr>
        <w:t> </w:t>
      </w:r>
      <w:r>
        <w:rPr/>
        <w:t>at</w:t>
      </w:r>
      <w:r>
        <w:rPr>
          <w:spacing w:val="-15"/>
        </w:rPr>
        <w:t> </w:t>
      </w:r>
      <w:r>
        <w:rPr/>
        <w:t>vurdere</w:t>
      </w:r>
      <w:r>
        <w:rPr>
          <w:spacing w:val="-15"/>
        </w:rPr>
        <w:t> </w:t>
      </w:r>
      <w:r>
        <w:rPr>
          <w:spacing w:val="-4"/>
        </w:rPr>
        <w:t>usikker- </w:t>
      </w:r>
      <w:r>
        <w:rPr/>
        <w:t>heden</w:t>
      </w:r>
      <w:r>
        <w:rPr>
          <w:spacing w:val="-13"/>
        </w:rPr>
        <w:t> </w:t>
      </w:r>
      <w:r>
        <w:rPr/>
        <w:t>på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enkelte</w:t>
      </w:r>
      <w:r>
        <w:rPr>
          <w:spacing w:val="-13"/>
        </w:rPr>
        <w:t> </w:t>
      </w:r>
      <w:r>
        <w:rPr/>
        <w:t>tematiske</w:t>
      </w:r>
      <w:r>
        <w:rPr>
          <w:spacing w:val="-12"/>
        </w:rPr>
        <w:t> </w:t>
      </w:r>
      <w:r>
        <w:rPr/>
        <w:t>kort,</w:t>
      </w:r>
      <w:r>
        <w:rPr>
          <w:spacing w:val="-12"/>
        </w:rPr>
        <w:t> </w:t>
      </w:r>
      <w:r>
        <w:rPr/>
        <w:t>som</w:t>
      </w:r>
      <w:r>
        <w:rPr>
          <w:spacing w:val="-12"/>
        </w:rPr>
        <w:t> </w:t>
      </w:r>
      <w:r>
        <w:rPr/>
        <w:t>sjældent er angivet, og som bl.a. knytter sig til skalaen i det kortmateriale, som ligger til grund for </w:t>
      </w:r>
      <w:r>
        <w:rPr>
          <w:spacing w:val="-3"/>
        </w:rPr>
        <w:t>f.eks. </w:t>
      </w:r>
      <w:r>
        <w:rPr/>
        <w:t>kvartærgeologiske</w:t>
      </w:r>
      <w:r>
        <w:rPr>
          <w:spacing w:val="-2"/>
        </w:rPr>
        <w:t> </w:t>
      </w:r>
      <w:r>
        <w:rPr/>
        <w:t>kort.</w:t>
      </w:r>
    </w:p>
    <w:p>
      <w:pPr>
        <w:pStyle w:val="BodyText"/>
        <w:spacing w:before="4"/>
        <w:rPr>
          <w:sz w:val="39"/>
        </w:rPr>
      </w:pPr>
    </w:p>
    <w:p>
      <w:pPr>
        <w:pStyle w:val="Heading2"/>
        <w:numPr>
          <w:ilvl w:val="1"/>
          <w:numId w:val="2"/>
        </w:numPr>
        <w:tabs>
          <w:tab w:pos="1086" w:val="left" w:leader="none"/>
          <w:tab w:pos="1087" w:val="left" w:leader="none"/>
          <w:tab w:pos="2840" w:val="left" w:leader="none"/>
          <w:tab w:pos="3361" w:val="left" w:leader="none"/>
        </w:tabs>
        <w:spacing w:line="295" w:lineRule="auto" w:before="0" w:after="0"/>
        <w:ind w:left="1086" w:right="1131" w:hanging="757"/>
        <w:jc w:val="left"/>
      </w:pPr>
      <w:bookmarkStart w:name="_bookmark9" w:id="15"/>
      <w:bookmarkEnd w:id="15"/>
      <w:r>
        <w:rPr>
          <w:b w:val="0"/>
        </w:rPr>
      </w:r>
      <w:bookmarkStart w:name="_bookmark9" w:id="16"/>
      <w:bookmarkEnd w:id="16"/>
      <w:r>
        <w:rPr/>
        <w:t>Tidsserier</w:t>
      </w:r>
      <w:r>
        <w:rPr/>
        <w:tab/>
        <w:t>af</w:t>
        <w:tab/>
      </w:r>
      <w:r>
        <w:rPr>
          <w:spacing w:val="-1"/>
        </w:rPr>
        <w:t>beregnede </w:t>
      </w:r>
      <w:r>
        <w:rPr/>
        <w:t>koter på</w:t>
      </w:r>
      <w:r>
        <w:rPr>
          <w:spacing w:val="11"/>
        </w:rPr>
        <w:t> </w:t>
      </w:r>
      <w:r>
        <w:rPr/>
        <w:t>fikspunkter</w:t>
      </w:r>
    </w:p>
    <w:p>
      <w:pPr>
        <w:pStyle w:val="BodyText"/>
        <w:spacing w:line="252" w:lineRule="auto" w:before="164"/>
        <w:ind w:left="329" w:right="1131"/>
        <w:jc w:val="both"/>
      </w:pPr>
      <w:r>
        <w:rPr/>
        <w:t>Geodatastyrelsens database over</w:t>
      </w:r>
      <w:r>
        <w:rPr>
          <w:spacing w:val="-35"/>
        </w:rPr>
        <w:t> </w:t>
      </w:r>
      <w:r>
        <w:rPr>
          <w:spacing w:val="-2"/>
        </w:rPr>
        <w:t>planfikspunkter </w:t>
      </w:r>
      <w:r>
        <w:rPr/>
        <w:t>og højdefikspunkter i Danmark - i det følgen- de kaldet ’fikspunktdatabasen’ - indeholder nuværende og historiske beregnede koter </w:t>
      </w:r>
      <w:r>
        <w:rPr>
          <w:spacing w:val="-5"/>
        </w:rPr>
        <w:t>for </w:t>
      </w:r>
      <w:r>
        <w:rPr/>
        <w:t>hele Danmark. Webtjenesten </w:t>
      </w:r>
      <w:r>
        <w:rPr>
          <w:spacing w:val="-3"/>
        </w:rPr>
        <w:t>’Valdemar’ </w:t>
      </w:r>
      <w:r>
        <w:rPr/>
        <w:t>(</w:t>
      </w:r>
      <w:hyperlink r:id="rId22">
        <w:r>
          <w:rPr>
            <w:color w:val="FF0000"/>
          </w:rPr>
          <w:t>http://</w:t>
        </w:r>
      </w:hyperlink>
      <w:r>
        <w:rPr>
          <w:color w:val="FF0000"/>
        </w:rPr>
        <w:t> </w:t>
      </w:r>
      <w:hyperlink r:id="rId22">
        <w:r>
          <w:rPr>
            <w:color w:val="FF0000"/>
          </w:rPr>
          <w:t>www.gst.dk/Emner/Referencenet/Referencenet/</w:t>
        </w:r>
      </w:hyperlink>
      <w:r>
        <w:rPr>
          <w:color w:val="FF0000"/>
        </w:rPr>
        <w:t> </w:t>
      </w:r>
      <w:hyperlink r:id="rId22">
        <w:r>
          <w:rPr>
            <w:color w:val="FF0000"/>
          </w:rPr>
          <w:t>Valdemar+%28internettjeneste%29/</w:t>
        </w:r>
      </w:hyperlink>
      <w:r>
        <w:rPr/>
        <w:t>)</w:t>
      </w:r>
      <w:r>
        <w:rPr>
          <w:spacing w:val="-29"/>
        </w:rPr>
        <w:t> </w:t>
      </w:r>
      <w:r>
        <w:rPr/>
        <w:t>indeholder en tekstbeskrivelse og en skitse for </w:t>
      </w:r>
      <w:r>
        <w:rPr>
          <w:spacing w:val="-3"/>
        </w:rPr>
        <w:t>hovedparten </w:t>
      </w:r>
      <w:r>
        <w:rPr/>
        <w:t>af fikspunkterne i databasen. Et typisk</w:t>
      </w:r>
      <w:r>
        <w:rPr>
          <w:spacing w:val="-26"/>
        </w:rPr>
        <w:t> </w:t>
      </w:r>
      <w:r>
        <w:rPr/>
        <w:t>fikspunkt udgøres af en nivellementsbolt, der er indmuret i ydermuren på en bygning, bro eller lignende (Figur</w:t>
      </w:r>
      <w:r>
        <w:rPr>
          <w:spacing w:val="-2"/>
        </w:rPr>
        <w:t> </w:t>
      </w:r>
      <w:hyperlink w:history="true" w:anchor="_bookmark7">
        <w:r>
          <w:rPr>
            <w:color w:val="FF0000"/>
          </w:rPr>
          <w:t>1</w:t>
        </w:r>
      </w:hyperlink>
      <w:r>
        <w:rPr/>
        <w:t>).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Der kan beregnes ændringsrater for de </w:t>
      </w:r>
      <w:r>
        <w:rPr>
          <w:spacing w:val="-3"/>
        </w:rPr>
        <w:t>fiks- </w:t>
      </w:r>
      <w:r>
        <w:rPr/>
        <w:t>punkter, som er indmålt to eller flere</w:t>
      </w:r>
      <w:r>
        <w:rPr>
          <w:spacing w:val="57"/>
        </w:rPr>
        <w:t> </w:t>
      </w:r>
      <w:r>
        <w:rPr>
          <w:spacing w:val="-3"/>
        </w:rPr>
        <w:t>gange.</w:t>
      </w:r>
    </w:p>
    <w:p>
      <w:pPr>
        <w:pStyle w:val="BodyText"/>
        <w:spacing w:line="274" w:lineRule="exact"/>
        <w:ind w:left="329"/>
      </w:pPr>
      <w:r>
        <w:rPr/>
        <w:t>Ulemperne ved denne metode er</w:t>
      </w:r>
    </w:p>
    <w:p>
      <w:pPr>
        <w:pStyle w:val="BodyText"/>
        <w:spacing w:line="252" w:lineRule="auto" w:before="150"/>
        <w:ind w:left="797" w:right="1131"/>
        <w:jc w:val="both"/>
      </w:pPr>
      <w:r>
        <w:rPr/>
        <w:pict>
          <v:shape style="position:absolute;margin-left:318.451996pt;margin-top:9.437858pt;width:6pt;height:20.75pt;mso-position-horizontal-relative:page;mso-position-vertical-relative:paragraph;z-index:1384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at fikspunkterne ikke er homogent fordelt ud over landet,</w:t>
      </w:r>
    </w:p>
    <w:p>
      <w:pPr>
        <w:pStyle w:val="BodyText"/>
        <w:spacing w:line="252" w:lineRule="auto"/>
        <w:ind w:left="797" w:right="1131"/>
        <w:jc w:val="both"/>
      </w:pPr>
      <w:r>
        <w:rPr/>
        <w:pict>
          <v:shape style="position:absolute;margin-left:318.451996pt;margin-top:1.937859pt;width:6pt;height:20.75pt;mso-position-horizontal-relative:page;mso-position-vertical-relative:paragraph;z-index:1408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at der er relativt få højdefikspunkter med </w:t>
      </w:r>
      <w:r>
        <w:rPr>
          <w:spacing w:val="-6"/>
        </w:rPr>
        <w:t>to </w:t>
      </w:r>
      <w:r>
        <w:rPr/>
        <w:t>eller flere målinger, som befinder sig på </w:t>
      </w:r>
      <w:r>
        <w:rPr>
          <w:spacing w:val="-5"/>
        </w:rPr>
        <w:t>di- </w:t>
      </w:r>
      <w:r>
        <w:rPr/>
        <w:t>gital form,</w:t>
      </w:r>
    </w:p>
    <w:p>
      <w:pPr>
        <w:pStyle w:val="BodyText"/>
        <w:spacing w:line="252" w:lineRule="auto"/>
        <w:ind w:left="797" w:right="1131"/>
        <w:jc w:val="both"/>
      </w:pPr>
      <w:r>
        <w:rPr/>
        <w:pict>
          <v:shape style="position:absolute;margin-left:318.451996pt;margin-top:1.937853pt;width:6pt;height:20.75pt;mso-position-horizontal-relative:page;mso-position-vertical-relative:paragraph;z-index:1432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at en stor del af de ældste fikspunktkoter,   i fikspunktdatabasen, er af ukendt og </w:t>
      </w:r>
      <w:r>
        <w:rPr>
          <w:spacing w:val="-7"/>
        </w:rPr>
        <w:t>va- </w:t>
      </w:r>
      <w:r>
        <w:rPr/>
        <w:t>rierende kvalitet grundet forskellige </w:t>
      </w:r>
      <w:r>
        <w:rPr>
          <w:spacing w:val="-3"/>
        </w:rPr>
        <w:t>opmå- </w:t>
      </w:r>
      <w:r>
        <w:rPr/>
        <w:t>lingsmetoder og</w:t>
      </w:r>
      <w:r>
        <w:rPr>
          <w:spacing w:val="-8"/>
        </w:rPr>
        <w:t> </w:t>
      </w:r>
      <w:r>
        <w:rPr/>
        <w:t>beregningsprincipper.</w:t>
      </w:r>
    </w:p>
    <w:p>
      <w:pPr>
        <w:spacing w:after="0" w:line="252" w:lineRule="auto"/>
        <w:jc w:val="both"/>
        <w:sectPr>
          <w:pgSz w:w="11910" w:h="16840"/>
          <w:pgMar w:header="0" w:footer="546" w:top="1060" w:bottom="740" w:left="0" w:right="0"/>
          <w:cols w:num="2" w:equalWidth="0">
            <w:col w:w="5769" w:space="40"/>
            <w:col w:w="6101"/>
          </w:cols>
        </w:sectPr>
      </w:pPr>
    </w:p>
    <w:p>
      <w:pPr>
        <w:pStyle w:val="BodyText"/>
        <w:spacing w:before="10"/>
        <w:rPr>
          <w:sz w:val="28"/>
        </w:rPr>
      </w:pPr>
    </w:p>
    <w:p>
      <w:pPr>
        <w:spacing w:line="463" w:lineRule="auto" w:before="111"/>
        <w:ind w:left="1133" w:right="8799" w:firstLine="0"/>
        <w:jc w:val="left"/>
        <w:rPr>
          <w:rFonts w:ascii="Arial"/>
          <w:b/>
          <w:sz w:val="45"/>
        </w:rPr>
      </w:pPr>
      <w:r>
        <w:rPr>
          <w:rFonts w:ascii="Arial"/>
          <w:b/>
          <w:sz w:val="45"/>
        </w:rPr>
        <w:t>Kapitel 2 Metode</w:t>
      </w:r>
    </w:p>
    <w:p>
      <w:pPr>
        <w:pStyle w:val="BodyText"/>
        <w:spacing w:before="3"/>
        <w:rPr>
          <w:rFonts w:ascii="Arial"/>
          <w:b/>
          <w:sz w:val="12"/>
        </w:rPr>
      </w:pPr>
    </w:p>
    <w:p>
      <w:pPr>
        <w:spacing w:after="0"/>
        <w:rPr>
          <w:rFonts w:ascii="Arial"/>
          <w:sz w:val="12"/>
        </w:rPr>
        <w:sectPr>
          <w:footerReference w:type="default" r:id="rId23"/>
          <w:pgSz w:w="11910" w:h="16840"/>
          <w:pgMar w:footer="0" w:header="0" w:top="1580" w:bottom="280" w:left="0" w:right="0"/>
        </w:sectPr>
      </w:pPr>
    </w:p>
    <w:p>
      <w:pPr>
        <w:pStyle w:val="BodyText"/>
        <w:spacing w:line="252" w:lineRule="auto" w:before="97"/>
        <w:ind w:left="1133"/>
        <w:jc w:val="both"/>
      </w:pPr>
      <w:bookmarkStart w:name="_bookmark10" w:id="17"/>
      <w:bookmarkEnd w:id="17"/>
      <w:r>
        <w:rPr/>
      </w:r>
      <w:r>
        <w:rPr/>
        <w:t>Denne rapport beskriver et indledende arbejde, som har til formål at fremkomme med et </w:t>
      </w:r>
      <w:r>
        <w:rPr>
          <w:spacing w:val="-3"/>
        </w:rPr>
        <w:t>første </w:t>
      </w:r>
      <w:r>
        <w:rPr/>
        <w:t>bud på en udpegning af områder i Danmark</w:t>
      </w:r>
      <w:r>
        <w:rPr>
          <w:spacing w:val="-31"/>
        </w:rPr>
        <w:t> </w:t>
      </w:r>
      <w:r>
        <w:rPr>
          <w:spacing w:val="-6"/>
        </w:rPr>
        <w:t>med </w:t>
      </w:r>
      <w:r>
        <w:rPr/>
        <w:t>øget sandsynlighed for betydende sætninger.</w:t>
      </w:r>
      <w:r>
        <w:rPr>
          <w:spacing w:val="-40"/>
        </w:rPr>
        <w:t> </w:t>
      </w:r>
      <w:r>
        <w:rPr>
          <w:spacing w:val="-9"/>
        </w:rPr>
        <w:t>Ar- </w:t>
      </w:r>
      <w:r>
        <w:rPr/>
        <w:t>bejdet har haft kort tidshorisont og </w:t>
      </w:r>
      <w:r>
        <w:rPr>
          <w:spacing w:val="-3"/>
        </w:rPr>
        <w:t>begrænsede </w:t>
      </w:r>
      <w:r>
        <w:rPr/>
        <w:t>ressourcer til rådighed. Der blev derfor på et</w:t>
      </w:r>
      <w:r>
        <w:rPr>
          <w:spacing w:val="-27"/>
        </w:rPr>
        <w:t> </w:t>
      </w:r>
      <w:r>
        <w:rPr>
          <w:spacing w:val="-4"/>
        </w:rPr>
        <w:t>tid- </w:t>
      </w:r>
      <w:r>
        <w:rPr/>
        <w:t>ligt tidspunkt besluttet, at kortlægningen </w:t>
      </w:r>
      <w:r>
        <w:rPr>
          <w:spacing w:val="-3"/>
        </w:rPr>
        <w:t>skulle </w:t>
      </w:r>
      <w:r>
        <w:rPr/>
        <w:t>tage udgangspunkt i eksisterende data og</w:t>
      </w:r>
      <w:r>
        <w:rPr>
          <w:spacing w:val="-19"/>
        </w:rPr>
        <w:t> </w:t>
      </w:r>
      <w:r>
        <w:rPr/>
        <w:t>kort.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Arbejdshypotesen er, at sætningsrater i Dan- mark er tæt koblet til kvartærgeologiske forhold samt menneskelig aktivitet.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Arbejdet tager på baggrund af denne </w:t>
      </w:r>
      <w:r>
        <w:rPr>
          <w:spacing w:val="-4"/>
        </w:rPr>
        <w:t>hypote- </w:t>
      </w:r>
      <w:r>
        <w:rPr/>
        <w:t>se afsæt i digitale geodata fra Aarhus </w:t>
      </w:r>
      <w:r>
        <w:rPr>
          <w:spacing w:val="-6"/>
        </w:rPr>
        <w:t>Univer- </w:t>
      </w:r>
      <w:r>
        <w:rPr/>
        <w:t>sitet, </w:t>
      </w:r>
      <w:r>
        <w:rPr>
          <w:spacing w:val="-4"/>
        </w:rPr>
        <w:t>hhv. </w:t>
      </w:r>
      <w:r>
        <w:rPr/>
        <w:t>Institut for Agroøkologi og Institut for Geoscience, samt øvrige tilgængelige </w:t>
      </w:r>
      <w:r>
        <w:rPr>
          <w:spacing w:val="-3"/>
        </w:rPr>
        <w:t>digita- </w:t>
      </w:r>
      <w:r>
        <w:rPr/>
        <w:t>le data. Disse data er sammensat med henblik</w:t>
      </w:r>
      <w:r>
        <w:rPr>
          <w:spacing w:val="-29"/>
        </w:rPr>
        <w:t> </w:t>
      </w:r>
      <w:r>
        <w:rPr>
          <w:spacing w:val="-7"/>
        </w:rPr>
        <w:t>på </w:t>
      </w:r>
      <w:r>
        <w:rPr/>
        <w:t>fremstilling af et kort til udpegning af </w:t>
      </w:r>
      <w:r>
        <w:rPr>
          <w:spacing w:val="-5"/>
        </w:rPr>
        <w:t>områder, </w:t>
      </w:r>
      <w:r>
        <w:rPr/>
        <w:t>hvor der vurderes at være en forøget</w:t>
      </w:r>
      <w:r>
        <w:rPr>
          <w:spacing w:val="-42"/>
        </w:rPr>
        <w:t> </w:t>
      </w:r>
      <w:r>
        <w:rPr/>
        <w:t>sandsynlig- hed for landsænkning i</w:t>
      </w:r>
      <w:r>
        <w:rPr>
          <w:spacing w:val="-5"/>
        </w:rPr>
        <w:t> </w:t>
      </w:r>
      <w:r>
        <w:rPr/>
        <w:t>dag.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Danmarks Højdemodel er anvendt til at </w:t>
      </w:r>
      <w:r>
        <w:rPr>
          <w:spacing w:val="-3"/>
        </w:rPr>
        <w:t>iden- </w:t>
      </w:r>
      <w:r>
        <w:rPr/>
        <w:t>tificere lavtliggende områder, ligesom ortofotos er</w:t>
      </w:r>
      <w:r>
        <w:rPr>
          <w:spacing w:val="-10"/>
        </w:rPr>
        <w:t> </w:t>
      </w:r>
      <w:r>
        <w:rPr/>
        <w:t>anvendt</w:t>
      </w:r>
      <w:r>
        <w:rPr>
          <w:spacing w:val="-9"/>
        </w:rPr>
        <w:t> </w:t>
      </w:r>
      <w:r>
        <w:rPr/>
        <w:t>til</w:t>
      </w:r>
      <w:r>
        <w:rPr>
          <w:spacing w:val="-9"/>
        </w:rPr>
        <w:t> </w:t>
      </w:r>
      <w:r>
        <w:rPr/>
        <w:t>at</w:t>
      </w:r>
      <w:r>
        <w:rPr>
          <w:spacing w:val="-10"/>
        </w:rPr>
        <w:t> </w:t>
      </w:r>
      <w:r>
        <w:rPr/>
        <w:t>identificere</w:t>
      </w:r>
      <w:r>
        <w:rPr>
          <w:spacing w:val="-9"/>
        </w:rPr>
        <w:t> </w:t>
      </w:r>
      <w:r>
        <w:rPr/>
        <w:t>opfyldsområder</w:t>
      </w:r>
      <w:r>
        <w:rPr>
          <w:spacing w:val="-9"/>
        </w:rPr>
        <w:t> </w:t>
      </w:r>
      <w:r>
        <w:rPr/>
        <w:t>i</w:t>
      </w:r>
      <w:r>
        <w:rPr>
          <w:spacing w:val="-10"/>
        </w:rPr>
        <w:t> </w:t>
      </w:r>
      <w:r>
        <w:rPr>
          <w:spacing w:val="-4"/>
        </w:rPr>
        <w:t>til- </w:t>
      </w:r>
      <w:r>
        <w:rPr/>
        <w:t>knytning til større</w:t>
      </w:r>
      <w:r>
        <w:rPr>
          <w:spacing w:val="-5"/>
        </w:rPr>
        <w:t> </w:t>
      </w:r>
      <w:r>
        <w:rPr/>
        <w:t>havne.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Endvidere</w:t>
      </w:r>
      <w:r>
        <w:rPr>
          <w:spacing w:val="-19"/>
        </w:rPr>
        <w:t> </w:t>
      </w:r>
      <w:r>
        <w:rPr/>
        <w:t>er</w:t>
      </w:r>
      <w:r>
        <w:rPr>
          <w:spacing w:val="-19"/>
        </w:rPr>
        <w:t> </w:t>
      </w:r>
      <w:r>
        <w:rPr/>
        <w:t>koter</w:t>
      </w:r>
      <w:r>
        <w:rPr>
          <w:spacing w:val="-19"/>
        </w:rPr>
        <w:t> </w:t>
      </w:r>
      <w:r>
        <w:rPr/>
        <w:t>på</w:t>
      </w:r>
      <w:r>
        <w:rPr>
          <w:spacing w:val="-19"/>
        </w:rPr>
        <w:t> </w:t>
      </w:r>
      <w:r>
        <w:rPr/>
        <w:t>højdefikspunkter</w:t>
      </w:r>
      <w:r>
        <w:rPr>
          <w:spacing w:val="-19"/>
        </w:rPr>
        <w:t> </w:t>
      </w:r>
      <w:r>
        <w:rPr>
          <w:spacing w:val="-3"/>
        </w:rPr>
        <w:t>indled- </w:t>
      </w:r>
      <w:r>
        <w:rPr/>
        <w:t>ningsvis anvendt til at vurdere og validere </w:t>
      </w:r>
      <w:r>
        <w:rPr>
          <w:spacing w:val="-5"/>
        </w:rPr>
        <w:t>ud- </w:t>
      </w:r>
      <w:r>
        <w:rPr/>
        <w:t>pegningen af områder med forøget sandsynlig- hed for</w:t>
      </w:r>
      <w:r>
        <w:rPr>
          <w:spacing w:val="-3"/>
        </w:rPr>
        <w:t> </w:t>
      </w:r>
      <w:r>
        <w:rPr/>
        <w:t>landsænkning.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I rapporten anvendes begreberne “generel landhævning”,</w:t>
      </w:r>
      <w:r>
        <w:rPr>
          <w:spacing w:val="-20"/>
        </w:rPr>
        <w:t> </w:t>
      </w:r>
      <w:r>
        <w:rPr/>
        <w:t>“vertikal</w:t>
      </w:r>
      <w:r>
        <w:rPr>
          <w:spacing w:val="-20"/>
        </w:rPr>
        <w:t> </w:t>
      </w:r>
      <w:r>
        <w:rPr/>
        <w:t>landbevægelse”,</w:t>
      </w:r>
      <w:r>
        <w:rPr>
          <w:spacing w:val="-20"/>
        </w:rPr>
        <w:t> </w:t>
      </w:r>
      <w:r>
        <w:rPr>
          <w:spacing w:val="-3"/>
        </w:rPr>
        <w:t>“lands- </w:t>
      </w:r>
      <w:r>
        <w:rPr/>
        <w:t>ænkning” og “sætningsrate”. Begrebet </w:t>
      </w:r>
      <w:r>
        <w:rPr>
          <w:i/>
          <w:spacing w:val="-5"/>
        </w:rPr>
        <w:t>generel </w:t>
      </w:r>
      <w:r>
        <w:rPr>
          <w:i/>
        </w:rPr>
        <w:t>landhævning </w:t>
      </w:r>
      <w:r>
        <w:rPr/>
        <w:t>anvendes til beskrivelse af den</w:t>
      </w:r>
      <w:r>
        <w:rPr>
          <w:spacing w:val="-33"/>
        </w:rPr>
        <w:t> </w:t>
      </w:r>
      <w:r>
        <w:rPr>
          <w:spacing w:val="-4"/>
        </w:rPr>
        <w:t>iso- </w:t>
      </w:r>
      <w:r>
        <w:rPr/>
        <w:t>statiske landhævning. Begrebet </w:t>
      </w:r>
      <w:r>
        <w:rPr>
          <w:i/>
        </w:rPr>
        <w:t>vertikal </w:t>
      </w:r>
      <w:r>
        <w:rPr>
          <w:i/>
          <w:spacing w:val="-3"/>
        </w:rPr>
        <w:t>landbe- </w:t>
      </w:r>
      <w:r>
        <w:rPr>
          <w:i/>
        </w:rPr>
        <w:t>vægelse </w:t>
      </w:r>
      <w:r>
        <w:rPr/>
        <w:t>benyttes til at beskrive den vertikale</w:t>
      </w:r>
      <w:r>
        <w:rPr>
          <w:spacing w:val="-27"/>
        </w:rPr>
        <w:t> </w:t>
      </w:r>
      <w:r>
        <w:rPr>
          <w:spacing w:val="-5"/>
        </w:rPr>
        <w:t>be- </w:t>
      </w:r>
      <w:r>
        <w:rPr/>
        <w:t>vægelse, som følge af lokalt betingede </w:t>
      </w:r>
      <w:r>
        <w:rPr>
          <w:spacing w:val="-3"/>
        </w:rPr>
        <w:t>forhold </w:t>
      </w:r>
      <w:r>
        <w:rPr/>
        <w:t>såsom opfyld, geologi m.fl. </w:t>
      </w:r>
      <w:r>
        <w:rPr>
          <w:i/>
        </w:rPr>
        <w:t>Landsænkning </w:t>
      </w:r>
      <w:r>
        <w:rPr>
          <w:spacing w:val="-4"/>
        </w:rPr>
        <w:t>bety- </w:t>
      </w:r>
      <w:r>
        <w:rPr>
          <w:spacing w:val="-3"/>
        </w:rPr>
        <w:t>der, </w:t>
      </w:r>
      <w:r>
        <w:rPr/>
        <w:t>at et område sænker sig, og </w:t>
      </w:r>
      <w:r>
        <w:rPr>
          <w:i/>
          <w:spacing w:val="-3"/>
        </w:rPr>
        <w:t>sætningsraten </w:t>
      </w:r>
      <w:r>
        <w:rPr/>
        <w:t>beskriver</w:t>
      </w:r>
      <w:r>
        <w:rPr>
          <w:spacing w:val="-16"/>
        </w:rPr>
        <w:t> </w:t>
      </w:r>
      <w:r>
        <w:rPr/>
        <w:t>den</w:t>
      </w:r>
      <w:r>
        <w:rPr>
          <w:spacing w:val="-15"/>
        </w:rPr>
        <w:t> </w:t>
      </w:r>
      <w:r>
        <w:rPr/>
        <w:t>hastighed,</w:t>
      </w:r>
      <w:r>
        <w:rPr>
          <w:spacing w:val="-16"/>
        </w:rPr>
        <w:t> </w:t>
      </w:r>
      <w:r>
        <w:rPr/>
        <w:t>hvormed</w:t>
      </w:r>
      <w:r>
        <w:rPr>
          <w:spacing w:val="-15"/>
        </w:rPr>
        <w:t> </w:t>
      </w:r>
      <w:r>
        <w:rPr/>
        <w:t>et</w:t>
      </w:r>
      <w:r>
        <w:rPr>
          <w:spacing w:val="-15"/>
        </w:rPr>
        <w:t> </w:t>
      </w:r>
      <w:r>
        <w:rPr/>
        <w:t>område</w:t>
      </w:r>
      <w:r>
        <w:rPr>
          <w:spacing w:val="-16"/>
        </w:rPr>
        <w:t> </w:t>
      </w:r>
      <w:r>
        <w:rPr>
          <w:spacing w:val="-4"/>
        </w:rPr>
        <w:t>sæt- </w:t>
      </w:r>
      <w:r>
        <w:rPr/>
        <w:t>ter sig som følge af lokale forhold. En sætnings- rate er således identisk med værdien af den </w:t>
      </w:r>
      <w:r>
        <w:rPr>
          <w:spacing w:val="-9"/>
        </w:rPr>
        <w:t>ver- </w:t>
      </w:r>
      <w:r>
        <w:rPr/>
        <w:t>tikale landbevægelse, men med modsat</w:t>
      </w:r>
      <w:r>
        <w:rPr>
          <w:spacing w:val="-25"/>
        </w:rPr>
        <w:t> </w:t>
      </w:r>
      <w:r>
        <w:rPr/>
        <w:t>fortegn.</w:t>
      </w:r>
    </w:p>
    <w:p>
      <w:pPr>
        <w:pStyle w:val="BodyText"/>
        <w:spacing w:line="252" w:lineRule="auto" w:before="97"/>
        <w:ind w:left="329" w:right="1131" w:firstLine="234"/>
        <w:jc w:val="both"/>
      </w:pPr>
      <w:r>
        <w:rPr/>
        <w:br w:type="column"/>
      </w:r>
      <w:r>
        <w:rPr/>
        <w:t>Kortlægningen understøttes af beregnede æn- dringsrater baseret på tidsserier af udvalgte be- regnede koter fra GST’s fikspunktdatabase, der anvendes som kvantitativt valideringsgrundlag for kortlægningen.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Derudover foretages en uafhængig </w:t>
      </w:r>
      <w:r>
        <w:rPr>
          <w:spacing w:val="-4"/>
        </w:rPr>
        <w:t>kvalitativ</w:t>
      </w:r>
      <w:r>
        <w:rPr>
          <w:spacing w:val="52"/>
        </w:rPr>
        <w:t> </w:t>
      </w:r>
      <w:r>
        <w:rPr/>
        <w:t>evaluering af det færdige screeningskort ved </w:t>
      </w:r>
      <w:r>
        <w:rPr>
          <w:spacing w:val="-8"/>
        </w:rPr>
        <w:t>at </w:t>
      </w:r>
      <w:r>
        <w:rPr/>
        <w:t>sammenholde kortet med resultaterne af </w:t>
      </w:r>
      <w:r>
        <w:rPr>
          <w:spacing w:val="-4"/>
        </w:rPr>
        <w:t>udpeg- </w:t>
      </w:r>
      <w:r>
        <w:rPr/>
        <w:t>ningen af potentielt ustabile områder fra de </w:t>
      </w:r>
      <w:r>
        <w:rPr>
          <w:spacing w:val="-6"/>
        </w:rPr>
        <w:t>to </w:t>
      </w:r>
      <w:r>
        <w:rPr/>
        <w:t>danske PanGeo projekter omkring Ålborg </w:t>
      </w:r>
      <w:r>
        <w:rPr>
          <w:spacing w:val="-6"/>
        </w:rPr>
        <w:t>og </w:t>
      </w:r>
      <w:r>
        <w:rPr/>
        <w:t>København.</w:t>
      </w:r>
    </w:p>
    <w:p>
      <w:pPr>
        <w:pStyle w:val="BodyText"/>
        <w:spacing w:before="2"/>
        <w:rPr>
          <w:sz w:val="39"/>
        </w:rPr>
      </w:pPr>
    </w:p>
    <w:p>
      <w:pPr>
        <w:pStyle w:val="Heading2"/>
        <w:numPr>
          <w:ilvl w:val="1"/>
          <w:numId w:val="3"/>
        </w:numPr>
        <w:tabs>
          <w:tab w:pos="1086" w:val="left" w:leader="none"/>
          <w:tab w:pos="1087" w:val="left" w:leader="none"/>
        </w:tabs>
        <w:spacing w:line="240" w:lineRule="auto" w:before="0" w:after="0"/>
        <w:ind w:left="1086" w:right="0" w:hanging="757"/>
        <w:jc w:val="left"/>
      </w:pPr>
      <w:bookmarkStart w:name="_bookmark11" w:id="18"/>
      <w:bookmarkEnd w:id="18"/>
      <w:r>
        <w:rPr>
          <w:b w:val="0"/>
        </w:rPr>
      </w:r>
      <w:bookmarkStart w:name="_bookmark11" w:id="19"/>
      <w:bookmarkEnd w:id="19"/>
      <w:r>
        <w:rPr/>
        <w:t>Data</w:t>
      </w:r>
      <w:r>
        <w:rPr/>
        <w:t> og</w:t>
      </w:r>
      <w:r>
        <w:rPr>
          <w:spacing w:val="5"/>
        </w:rPr>
        <w:t> </w:t>
      </w:r>
      <w:r>
        <w:rPr/>
        <w:t>metadata</w:t>
      </w:r>
    </w:p>
    <w:p>
      <w:pPr>
        <w:pStyle w:val="Heading4"/>
        <w:spacing w:before="296"/>
        <w:ind w:left="329"/>
      </w:pPr>
      <w:r>
        <w:rPr/>
        <w:t>Ferskvandssedimenter</w:t>
      </w:r>
    </w:p>
    <w:p>
      <w:pPr>
        <w:pStyle w:val="BodyText"/>
        <w:spacing w:line="252" w:lineRule="auto" w:before="172"/>
        <w:ind w:left="329" w:right="1131"/>
        <w:jc w:val="both"/>
      </w:pPr>
      <w:r>
        <w:rPr/>
        <w:t>Ferskvandssedimenter er et polygontema </w:t>
      </w:r>
      <w:r>
        <w:rPr>
          <w:spacing w:val="-4"/>
        </w:rPr>
        <w:t>frem- </w:t>
      </w:r>
      <w:r>
        <w:rPr/>
        <w:t>stillet på grundlag af </w:t>
      </w:r>
      <w:r>
        <w:rPr>
          <w:spacing w:val="-3"/>
        </w:rPr>
        <w:t>GEUS’s  “Jordartskort  </w:t>
      </w:r>
      <w:r>
        <w:rPr/>
        <w:t>over Danmark 1:200.000” (</w:t>
      </w:r>
      <w:hyperlink r:id="rId24">
        <w:r>
          <w:rPr>
            <w:color w:val="FF0000"/>
          </w:rPr>
          <w:t>http://arcims.mim.</w:t>
        </w:r>
      </w:hyperlink>
      <w:r>
        <w:rPr>
          <w:color w:val="FF0000"/>
        </w:rPr>
        <w:t> </w:t>
      </w:r>
      <w:hyperlink r:id="rId24">
        <w:r>
          <w:rPr>
            <w:color w:val="FF0000"/>
          </w:rPr>
          <w:t>dk/website/geus/dk/geo/j200/beskriv.pdf</w:t>
        </w:r>
      </w:hyperlink>
      <w:r>
        <w:rPr/>
        <w:t>). </w:t>
      </w:r>
      <w:r>
        <w:rPr>
          <w:spacing w:val="-4"/>
        </w:rPr>
        <w:t>Poly- </w:t>
      </w:r>
      <w:r>
        <w:rPr/>
        <w:t>gontemaet</w:t>
      </w:r>
      <w:r>
        <w:rPr>
          <w:spacing w:val="-16"/>
        </w:rPr>
        <w:t> </w:t>
      </w:r>
      <w:r>
        <w:rPr/>
        <w:t>omfatter</w:t>
      </w:r>
      <w:r>
        <w:rPr>
          <w:spacing w:val="-16"/>
        </w:rPr>
        <w:t> </w:t>
      </w:r>
      <w:r>
        <w:rPr/>
        <w:t>alle</w:t>
      </w:r>
      <w:r>
        <w:rPr>
          <w:spacing w:val="-16"/>
        </w:rPr>
        <w:t> </w:t>
      </w:r>
      <w:r>
        <w:rPr/>
        <w:t>områder,</w:t>
      </w:r>
      <w:r>
        <w:rPr>
          <w:spacing w:val="-16"/>
        </w:rPr>
        <w:t> </w:t>
      </w:r>
      <w:r>
        <w:rPr/>
        <w:t>hvor</w:t>
      </w:r>
      <w:r>
        <w:rPr>
          <w:spacing w:val="-16"/>
        </w:rPr>
        <w:t> </w:t>
      </w:r>
      <w:r>
        <w:rPr/>
        <w:t>der</w:t>
      </w:r>
      <w:r>
        <w:rPr>
          <w:spacing w:val="-15"/>
        </w:rPr>
        <w:t> </w:t>
      </w:r>
      <w:r>
        <w:rPr/>
        <w:t>i</w:t>
      </w:r>
      <w:r>
        <w:rPr>
          <w:spacing w:val="-16"/>
        </w:rPr>
        <w:t> </w:t>
      </w:r>
      <w:r>
        <w:rPr>
          <w:spacing w:val="-3"/>
        </w:rPr>
        <w:t>Jord- </w:t>
      </w:r>
      <w:r>
        <w:rPr/>
        <w:t>artskortet er angivet forekomst af </w:t>
      </w:r>
      <w:r>
        <w:rPr>
          <w:spacing w:val="-3"/>
        </w:rPr>
        <w:t>“ferskvands- </w:t>
      </w:r>
      <w:r>
        <w:rPr/>
        <w:t>dannelser” </w:t>
      </w:r>
      <w:r>
        <w:rPr>
          <w:spacing w:val="-3"/>
        </w:rPr>
        <w:t>(tørv, </w:t>
      </w:r>
      <w:r>
        <w:rPr/>
        <w:t>gytje, </w:t>
      </w:r>
      <w:r>
        <w:rPr>
          <w:spacing w:val="-3"/>
        </w:rPr>
        <w:t>ler, </w:t>
      </w:r>
      <w:r>
        <w:rPr/>
        <w:t>sand). Kortet er </w:t>
      </w:r>
      <w:r>
        <w:rPr>
          <w:spacing w:val="-4"/>
        </w:rPr>
        <w:t>ud- </w:t>
      </w:r>
      <w:r>
        <w:rPr/>
        <w:t>arbejdet som en indikator for sætningsplagede, overfladenære jordlag og viser de </w:t>
      </w:r>
      <w:r>
        <w:rPr>
          <w:spacing w:val="-3"/>
        </w:rPr>
        <w:t>sedimenter, </w:t>
      </w:r>
      <w:r>
        <w:rPr/>
        <w:t>som må forventes at kunne være </w:t>
      </w:r>
      <w:r>
        <w:rPr>
          <w:spacing w:val="-3"/>
        </w:rPr>
        <w:t>sætningsgiven- </w:t>
      </w:r>
      <w:r>
        <w:rPr/>
        <w:t>de.</w:t>
      </w:r>
    </w:p>
    <w:p>
      <w:pPr>
        <w:pStyle w:val="BodyText"/>
        <w:spacing w:before="10"/>
        <w:rPr>
          <w:sz w:val="33"/>
        </w:rPr>
      </w:pPr>
    </w:p>
    <w:p>
      <w:pPr>
        <w:pStyle w:val="Heading4"/>
        <w:ind w:left="329"/>
      </w:pPr>
      <w:r>
        <w:rPr/>
        <w:t>Landskabselementer</w:t>
      </w:r>
    </w:p>
    <w:p>
      <w:pPr>
        <w:spacing w:before="171"/>
        <w:ind w:left="329" w:right="0" w:firstLine="0"/>
        <w:jc w:val="left"/>
        <w:rPr>
          <w:sz w:val="24"/>
        </w:rPr>
      </w:pPr>
      <w:r>
        <w:rPr>
          <w:i/>
          <w:sz w:val="24"/>
        </w:rPr>
        <w:t>Landskabselementer </w:t>
      </w:r>
      <w:r>
        <w:rPr>
          <w:sz w:val="24"/>
        </w:rPr>
        <w:t>er et polygontema</w:t>
      </w:r>
      <w:r>
        <w:rPr>
          <w:spacing w:val="56"/>
          <w:sz w:val="24"/>
        </w:rPr>
        <w:t> </w:t>
      </w:r>
      <w:r>
        <w:rPr>
          <w:sz w:val="24"/>
        </w:rPr>
        <w:t>(</w:t>
      </w:r>
      <w:r>
        <w:rPr>
          <w:color w:val="FF0000"/>
          <w:sz w:val="24"/>
        </w:rPr>
        <w:t>http:</w:t>
      </w:r>
    </w:p>
    <w:p>
      <w:pPr>
        <w:pStyle w:val="BodyText"/>
        <w:spacing w:line="252" w:lineRule="auto" w:before="13"/>
        <w:ind w:left="329" w:right="1120"/>
      </w:pPr>
      <w:r>
        <w:rPr>
          <w:color w:val="FF0000"/>
        </w:rPr>
        <w:t>//djfgeodata.dk/datasaml/jord4.html</w:t>
      </w:r>
      <w:r>
        <w:rPr/>
        <w:t>), som inde- holder følgende landskabselementer:</w:t>
      </w:r>
    </w:p>
    <w:p>
      <w:pPr>
        <w:pStyle w:val="ListParagraph"/>
        <w:numPr>
          <w:ilvl w:val="2"/>
          <w:numId w:val="3"/>
        </w:numPr>
        <w:tabs>
          <w:tab w:pos="798" w:val="left" w:leader="none"/>
        </w:tabs>
        <w:spacing w:line="291" w:lineRule="exact" w:before="181" w:after="0"/>
        <w:ind w:left="797" w:right="0" w:hanging="237"/>
        <w:jc w:val="left"/>
        <w:rPr>
          <w:sz w:val="24"/>
        </w:rPr>
      </w:pPr>
      <w:r>
        <w:rPr>
          <w:sz w:val="24"/>
        </w:rPr>
        <w:t>Marsk</w:t>
      </w:r>
    </w:p>
    <w:p>
      <w:pPr>
        <w:pStyle w:val="ListParagraph"/>
        <w:numPr>
          <w:ilvl w:val="2"/>
          <w:numId w:val="3"/>
        </w:numPr>
        <w:tabs>
          <w:tab w:pos="798" w:val="left" w:leader="none"/>
        </w:tabs>
        <w:spacing w:line="289" w:lineRule="exact" w:before="0" w:after="0"/>
        <w:ind w:left="797" w:right="0" w:hanging="237"/>
        <w:jc w:val="left"/>
        <w:rPr>
          <w:sz w:val="24"/>
        </w:rPr>
      </w:pPr>
      <w:r>
        <w:rPr>
          <w:sz w:val="24"/>
        </w:rPr>
        <w:t>Littorina og yngre marine</w:t>
      </w:r>
      <w:r>
        <w:rPr>
          <w:spacing w:val="-7"/>
          <w:sz w:val="24"/>
        </w:rPr>
        <w:t> </w:t>
      </w:r>
      <w:r>
        <w:rPr>
          <w:sz w:val="24"/>
        </w:rPr>
        <w:t>aflejringer</w:t>
      </w:r>
    </w:p>
    <w:p>
      <w:pPr>
        <w:pStyle w:val="ListParagraph"/>
        <w:numPr>
          <w:ilvl w:val="2"/>
          <w:numId w:val="3"/>
        </w:numPr>
        <w:tabs>
          <w:tab w:pos="798" w:val="left" w:leader="none"/>
        </w:tabs>
        <w:spacing w:line="289" w:lineRule="exact" w:before="0" w:after="0"/>
        <w:ind w:left="797" w:right="0" w:hanging="237"/>
        <w:jc w:val="left"/>
        <w:rPr>
          <w:sz w:val="24"/>
        </w:rPr>
      </w:pPr>
      <w:r>
        <w:rPr>
          <w:spacing w:val="-5"/>
          <w:sz w:val="24"/>
        </w:rPr>
        <w:t>Yoldia</w:t>
      </w:r>
    </w:p>
    <w:p>
      <w:pPr>
        <w:pStyle w:val="ListParagraph"/>
        <w:numPr>
          <w:ilvl w:val="2"/>
          <w:numId w:val="3"/>
        </w:numPr>
        <w:tabs>
          <w:tab w:pos="798" w:val="left" w:leader="none"/>
        </w:tabs>
        <w:spacing w:line="289" w:lineRule="exact" w:before="0" w:after="0"/>
        <w:ind w:left="797" w:right="0" w:hanging="237"/>
        <w:jc w:val="left"/>
        <w:rPr>
          <w:sz w:val="24"/>
        </w:rPr>
      </w:pPr>
      <w:r>
        <w:rPr>
          <w:sz w:val="24"/>
        </w:rPr>
        <w:t>Klit</w:t>
      </w:r>
    </w:p>
    <w:p>
      <w:pPr>
        <w:pStyle w:val="ListParagraph"/>
        <w:numPr>
          <w:ilvl w:val="2"/>
          <w:numId w:val="3"/>
        </w:numPr>
        <w:tabs>
          <w:tab w:pos="798" w:val="left" w:leader="none"/>
        </w:tabs>
        <w:spacing w:line="291" w:lineRule="exact" w:before="0" w:after="0"/>
        <w:ind w:left="797" w:right="0" w:hanging="237"/>
        <w:jc w:val="left"/>
        <w:rPr>
          <w:sz w:val="24"/>
        </w:rPr>
      </w:pPr>
      <w:r>
        <w:rPr>
          <w:sz w:val="24"/>
        </w:rPr>
        <w:t>Bakkeø</w:t>
      </w:r>
    </w:p>
    <w:p>
      <w:pPr>
        <w:spacing w:after="0" w:line="291" w:lineRule="exact"/>
        <w:jc w:val="left"/>
        <w:rPr>
          <w:sz w:val="24"/>
        </w:rPr>
        <w:sectPr>
          <w:type w:val="continuous"/>
          <w:pgSz w:w="11910" w:h="16840"/>
          <w:pgMar w:top="0" w:bottom="280" w:left="0" w:right="0"/>
          <w:cols w:num="2" w:equalWidth="0">
            <w:col w:w="5769" w:space="40"/>
            <w:col w:w="6101"/>
          </w:cols>
        </w:sectPr>
      </w:pPr>
    </w:p>
    <w:p>
      <w:pPr>
        <w:pStyle w:val="BodyText"/>
        <w:spacing w:line="252" w:lineRule="auto" w:before="71"/>
        <w:ind w:left="1602" w:right="2760"/>
      </w:pPr>
      <w:r>
        <w:rPr/>
        <w:pict>
          <v:shape style="position:absolute;margin-left:68.274002pt;margin-top:19.933849pt;width:6pt;height:20.75pt;mso-position-horizontal-relative:page;mso-position-vertical-relative:paragraph;z-index:1576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8.274002pt;margin-top:5.487849pt;width:6pt;height:20.75pt;mso-position-horizontal-relative:page;mso-position-vertical-relative:paragraph;z-index:1600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Hedeslette Ung moræne</w:t>
      </w:r>
    </w:p>
    <w:p>
      <w:pPr>
        <w:pStyle w:val="BodyText"/>
        <w:spacing w:line="252" w:lineRule="auto"/>
        <w:ind w:left="1602" w:right="1261"/>
      </w:pPr>
      <w:r>
        <w:rPr/>
        <w:pict>
          <v:shape style="position:absolute;margin-left:68.274002pt;margin-top:30.829821pt;width:6pt;height:20.75pt;mso-position-horizontal-relative:page;mso-position-vertical-relative:paragraph;z-index:1504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8.274002pt;margin-top:16.383821pt;width:6pt;height:20.75pt;mso-position-horizontal-relative:page;mso-position-vertical-relative:paragraph;z-index:1528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8.274002pt;margin-top:1.937821pt;width:6pt;height:20.75pt;mso-position-horizontal-relative:page;mso-position-vertical-relative:paragraph;z-index:1552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Inddæmmet areal Højtliggende grundfjeld Issølavning</w:t>
      </w:r>
    </w:p>
    <w:p>
      <w:pPr>
        <w:pStyle w:val="BodyText"/>
        <w:spacing w:line="273" w:lineRule="exact"/>
        <w:ind w:left="1602"/>
      </w:pPr>
      <w:r>
        <w:rPr/>
        <w:pict>
          <v:shape style="position:absolute;margin-left:68.274002pt;margin-top:1.808512pt;width:6pt;height:20.75pt;mso-position-horizontal-relative:page;mso-position-vertical-relative:paragraph;z-index:1480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Issøbakke</w:t>
      </w:r>
    </w:p>
    <w:p>
      <w:pPr>
        <w:pStyle w:val="BodyText"/>
        <w:tabs>
          <w:tab w:pos="2682" w:val="left" w:leader="none"/>
          <w:tab w:pos="4718" w:val="left" w:leader="none"/>
        </w:tabs>
        <w:spacing w:line="252" w:lineRule="auto" w:before="11"/>
        <w:ind w:left="1602"/>
      </w:pPr>
      <w:r>
        <w:rPr/>
        <w:pict>
          <v:shape style="position:absolute;margin-left:68.274002pt;margin-top:2.487862pt;width:6pt;height:20.75pt;mso-position-horizontal-relative:page;mso-position-vertical-relative:paragraph;z-index:1456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Markant</w:t>
        <w:tab/>
        <w:t>sammenhængende</w:t>
        <w:tab/>
      </w:r>
      <w:r>
        <w:rPr>
          <w:spacing w:val="-3"/>
        </w:rPr>
        <w:t>randmoræ- </w:t>
      </w:r>
      <w:r>
        <w:rPr/>
        <w:t>nelandskab</w:t>
      </w:r>
    </w:p>
    <w:p>
      <w:pPr>
        <w:pStyle w:val="BodyText"/>
        <w:spacing w:line="252" w:lineRule="auto"/>
        <w:ind w:left="1602"/>
      </w:pPr>
      <w:r>
        <w:rPr/>
        <w:pict>
          <v:shape style="position:absolute;margin-left:68.274002pt;margin-top:1.937833pt;width:6pt;height:20.75pt;mso-position-horizontal-relative:page;mso-position-vertical-relative:paragraph;z-index:1624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Mindre markant eller usammenhængende randmorænelandskab</w:t>
      </w:r>
    </w:p>
    <w:p>
      <w:pPr>
        <w:pStyle w:val="BodyText"/>
        <w:spacing w:line="274" w:lineRule="exact"/>
        <w:ind w:left="1602"/>
      </w:pPr>
      <w:r>
        <w:rPr/>
        <w:pict>
          <v:shape style="position:absolute;margin-left:68.274002pt;margin-top:1.852294pt;width:6pt;height:20.75pt;mso-position-horizontal-relative:page;mso-position-vertical-relative:paragraph;z-index:1744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Ås</w:t>
      </w:r>
    </w:p>
    <w:p>
      <w:pPr>
        <w:pStyle w:val="BodyText"/>
        <w:spacing w:line="252" w:lineRule="auto" w:before="11"/>
        <w:ind w:left="1602" w:right="1188"/>
      </w:pPr>
      <w:r>
        <w:rPr/>
        <w:pict>
          <v:shape style="position:absolute;margin-left:68.274002pt;margin-top:31.379858pt;width:6pt;height:20.75pt;mso-position-horizontal-relative:page;mso-position-vertical-relative:paragraph;z-index:1672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8.274002pt;margin-top:16.933857pt;width:6pt;height:20.75pt;mso-position-horizontal-relative:page;mso-position-vertical-relative:paragraph;z-index:1696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8.274002pt;margin-top:2.487858pt;width:6pt;height:20.75pt;mso-position-horizontal-relative:page;mso-position-vertical-relative:paragraph;z-index:1720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Markant dødislandskab Mindre markant </w:t>
      </w:r>
      <w:r>
        <w:rPr>
          <w:spacing w:val="-2"/>
        </w:rPr>
        <w:t>dødislandskab </w:t>
      </w:r>
      <w:r>
        <w:rPr/>
        <w:t>Tunneldal</w:t>
      </w:r>
    </w:p>
    <w:p>
      <w:pPr>
        <w:pStyle w:val="BodyText"/>
        <w:spacing w:line="252" w:lineRule="auto"/>
        <w:ind w:left="1602"/>
      </w:pPr>
      <w:r>
        <w:rPr/>
        <w:pict>
          <v:shape style="position:absolute;margin-left:68.274002pt;margin-top:1.937845pt;width:6pt;height:20.75pt;mso-position-horizontal-relative:page;mso-position-vertical-relative:paragraph;z-index:1648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Fremtrædende bakkeparti, der ikke tilhører de øvrige kategorier</w:t>
      </w:r>
    </w:p>
    <w:p>
      <w:pPr>
        <w:pStyle w:val="BodyText"/>
        <w:spacing w:line="252" w:lineRule="auto" w:before="115"/>
        <w:ind w:left="1133"/>
        <w:jc w:val="both"/>
      </w:pPr>
      <w:r>
        <w:rPr/>
        <w:t>Foruden de 18 nævnte landskabstyper er </w:t>
      </w:r>
      <w:r>
        <w:rPr>
          <w:spacing w:val="-5"/>
        </w:rPr>
        <w:t>der </w:t>
      </w:r>
      <w:r>
        <w:rPr/>
        <w:t>oprettet en række blandingsklasser i </w:t>
      </w:r>
      <w:r>
        <w:rPr>
          <w:spacing w:val="-4"/>
        </w:rPr>
        <w:t>områder, </w:t>
      </w:r>
      <w:r>
        <w:rPr/>
        <w:t>hvor det ikke har været muligt eller </w:t>
      </w:r>
      <w:r>
        <w:rPr>
          <w:spacing w:val="-3"/>
        </w:rPr>
        <w:t>ønskeligt   </w:t>
      </w:r>
      <w:r>
        <w:rPr/>
        <w:t>at udskille landskabstyperne fra hinanden. </w:t>
      </w:r>
      <w:r>
        <w:rPr>
          <w:spacing w:val="-6"/>
        </w:rPr>
        <w:t>Som </w:t>
      </w:r>
      <w:r>
        <w:rPr/>
        <w:t>grundkort er GI kort i 1:100.000 anvendt. </w:t>
      </w:r>
      <w:r>
        <w:rPr>
          <w:spacing w:val="-5"/>
        </w:rPr>
        <w:t>Af- </w:t>
      </w:r>
      <w:r>
        <w:rPr/>
        <w:t>grænsningen mellem de enkelte </w:t>
      </w:r>
      <w:r>
        <w:rPr>
          <w:spacing w:val="-2"/>
        </w:rPr>
        <w:t>landskabsele- </w:t>
      </w:r>
      <w:r>
        <w:rPr/>
        <w:t>menter er sket på basis af følgende</w:t>
      </w:r>
      <w:r>
        <w:rPr>
          <w:spacing w:val="-17"/>
        </w:rPr>
        <w:t> </w:t>
      </w:r>
      <w:r>
        <w:rPr/>
        <w:t>materiale:</w:t>
      </w:r>
    </w:p>
    <w:p>
      <w:pPr>
        <w:pStyle w:val="ListParagraph"/>
        <w:numPr>
          <w:ilvl w:val="0"/>
          <w:numId w:val="4"/>
        </w:numPr>
        <w:tabs>
          <w:tab w:pos="1603" w:val="left" w:leader="none"/>
        </w:tabs>
        <w:spacing w:line="240" w:lineRule="auto" w:before="113" w:after="0"/>
        <w:ind w:left="1602" w:right="0" w:hanging="297"/>
        <w:jc w:val="left"/>
        <w:rPr>
          <w:sz w:val="24"/>
        </w:rPr>
      </w:pPr>
      <w:r>
        <w:rPr>
          <w:sz w:val="24"/>
        </w:rPr>
        <w:t>Kurveplaner på GI kort i</w:t>
      </w:r>
      <w:r>
        <w:rPr>
          <w:spacing w:val="-12"/>
          <w:sz w:val="24"/>
        </w:rPr>
        <w:t> </w:t>
      </w:r>
      <w:r>
        <w:rPr>
          <w:sz w:val="24"/>
        </w:rPr>
        <w:t>1:100.000</w:t>
      </w:r>
    </w:p>
    <w:p>
      <w:pPr>
        <w:pStyle w:val="ListParagraph"/>
        <w:numPr>
          <w:ilvl w:val="0"/>
          <w:numId w:val="4"/>
        </w:numPr>
        <w:tabs>
          <w:tab w:pos="1603" w:val="left" w:leader="none"/>
        </w:tabs>
        <w:spacing w:line="240" w:lineRule="auto" w:before="100" w:after="0"/>
        <w:ind w:left="1602" w:right="0" w:hanging="297"/>
        <w:jc w:val="left"/>
        <w:rPr>
          <w:sz w:val="24"/>
        </w:rPr>
      </w:pPr>
      <w:r>
        <w:rPr>
          <w:sz w:val="24"/>
        </w:rPr>
        <w:t>ADK, Basisdatakort,</w:t>
      </w:r>
      <w:r>
        <w:rPr>
          <w:spacing w:val="-4"/>
          <w:sz w:val="24"/>
        </w:rPr>
        <w:t> </w:t>
      </w:r>
      <w:r>
        <w:rPr>
          <w:sz w:val="24"/>
        </w:rPr>
        <w:t>1:50.000</w:t>
      </w:r>
    </w:p>
    <w:p>
      <w:pPr>
        <w:pStyle w:val="ListParagraph"/>
        <w:numPr>
          <w:ilvl w:val="0"/>
          <w:numId w:val="4"/>
        </w:numPr>
        <w:tabs>
          <w:tab w:pos="1603" w:val="left" w:leader="none"/>
        </w:tabs>
        <w:spacing w:line="252" w:lineRule="auto" w:before="99" w:after="0"/>
        <w:ind w:left="1602" w:right="0" w:hanging="297"/>
        <w:jc w:val="left"/>
        <w:rPr>
          <w:sz w:val="24"/>
        </w:rPr>
      </w:pPr>
      <w:r>
        <w:rPr>
          <w:spacing w:val="-14"/>
          <w:sz w:val="24"/>
        </w:rPr>
        <w:t>P. </w:t>
      </w:r>
      <w:r>
        <w:rPr>
          <w:sz w:val="24"/>
        </w:rPr>
        <w:t>Smed (1981), Landskabskort over </w:t>
      </w:r>
      <w:r>
        <w:rPr>
          <w:spacing w:val="-4"/>
          <w:sz w:val="24"/>
        </w:rPr>
        <w:t>Dan- </w:t>
      </w:r>
      <w:r>
        <w:rPr>
          <w:sz w:val="24"/>
        </w:rPr>
        <w:t>mark,</w:t>
      </w:r>
      <w:r>
        <w:rPr>
          <w:spacing w:val="-2"/>
          <w:sz w:val="24"/>
        </w:rPr>
        <w:t> </w:t>
      </w:r>
      <w:r>
        <w:rPr>
          <w:sz w:val="24"/>
        </w:rPr>
        <w:t>1:360.000</w:t>
      </w:r>
    </w:p>
    <w:p>
      <w:pPr>
        <w:pStyle w:val="ListParagraph"/>
        <w:numPr>
          <w:ilvl w:val="0"/>
          <w:numId w:val="4"/>
        </w:numPr>
        <w:tabs>
          <w:tab w:pos="1603" w:val="left" w:leader="none"/>
        </w:tabs>
        <w:spacing w:line="252" w:lineRule="auto" w:before="84" w:after="0"/>
        <w:ind w:left="1602" w:right="0" w:hanging="297"/>
        <w:jc w:val="left"/>
        <w:rPr>
          <w:sz w:val="24"/>
        </w:rPr>
      </w:pPr>
      <w:r>
        <w:rPr>
          <w:sz w:val="24"/>
        </w:rPr>
        <w:t>A. Schou (1949), Atlas over </w:t>
      </w:r>
      <w:r>
        <w:rPr>
          <w:spacing w:val="-3"/>
          <w:sz w:val="24"/>
        </w:rPr>
        <w:t>Danmark, </w:t>
      </w:r>
      <w:r>
        <w:rPr>
          <w:sz w:val="24"/>
        </w:rPr>
        <w:t>1:750.000</w:t>
      </w:r>
    </w:p>
    <w:p>
      <w:pPr>
        <w:pStyle w:val="ListParagraph"/>
        <w:numPr>
          <w:ilvl w:val="0"/>
          <w:numId w:val="4"/>
        </w:numPr>
        <w:tabs>
          <w:tab w:pos="1603" w:val="left" w:leader="none"/>
        </w:tabs>
        <w:spacing w:line="252" w:lineRule="auto" w:before="85" w:after="0"/>
        <w:ind w:left="1602" w:right="0" w:hanging="297"/>
        <w:jc w:val="left"/>
        <w:rPr>
          <w:sz w:val="24"/>
        </w:rPr>
      </w:pPr>
      <w:r>
        <w:rPr>
          <w:sz w:val="24"/>
        </w:rPr>
        <w:t>C.H. Bornebusch og K. Milthers</w:t>
      </w:r>
      <w:r>
        <w:rPr>
          <w:spacing w:val="42"/>
          <w:sz w:val="24"/>
        </w:rPr>
        <w:t> </w:t>
      </w:r>
      <w:r>
        <w:rPr>
          <w:spacing w:val="-3"/>
          <w:sz w:val="24"/>
        </w:rPr>
        <w:t>(1935), </w:t>
      </w:r>
      <w:r>
        <w:rPr>
          <w:sz w:val="24"/>
        </w:rPr>
        <w:t>Jordbundskort over Danmark,</w:t>
      </w:r>
      <w:r>
        <w:rPr>
          <w:spacing w:val="-15"/>
          <w:sz w:val="24"/>
        </w:rPr>
        <w:t> </w:t>
      </w:r>
      <w:r>
        <w:rPr>
          <w:sz w:val="24"/>
        </w:rPr>
        <w:t>1:500.000</w:t>
      </w:r>
    </w:p>
    <w:p>
      <w:pPr>
        <w:pStyle w:val="ListParagraph"/>
        <w:numPr>
          <w:ilvl w:val="0"/>
          <w:numId w:val="4"/>
        </w:numPr>
        <w:tabs>
          <w:tab w:pos="1603" w:val="left" w:leader="none"/>
        </w:tabs>
        <w:spacing w:line="252" w:lineRule="auto" w:before="84" w:after="0"/>
        <w:ind w:left="1602" w:right="0" w:hanging="297"/>
        <w:jc w:val="left"/>
        <w:rPr>
          <w:sz w:val="24"/>
        </w:rPr>
      </w:pPr>
      <w:r>
        <w:rPr>
          <w:sz w:val="24"/>
        </w:rPr>
        <w:t>DGU, Geologiske kort over Danmark, 1:100.000</w:t>
      </w:r>
    </w:p>
    <w:p>
      <w:pPr>
        <w:pStyle w:val="BodyText"/>
        <w:spacing w:before="4"/>
        <w:rPr>
          <w:sz w:val="33"/>
        </w:rPr>
      </w:pPr>
    </w:p>
    <w:p>
      <w:pPr>
        <w:pStyle w:val="Heading4"/>
        <w:spacing w:before="1"/>
      </w:pPr>
      <w:r>
        <w:rPr/>
        <w:t>Lavbundsarealer</w:t>
      </w:r>
    </w:p>
    <w:p>
      <w:pPr>
        <w:pStyle w:val="BodyText"/>
        <w:spacing w:line="252" w:lineRule="auto" w:before="171"/>
        <w:ind w:left="1133"/>
        <w:jc w:val="both"/>
      </w:pPr>
      <w:r>
        <w:rPr/>
        <w:t>Lavbundsarealer er blevet afgrænset på GI kort</w:t>
      </w:r>
      <w:r>
        <w:rPr>
          <w:spacing w:val="-30"/>
        </w:rPr>
        <w:t> </w:t>
      </w:r>
      <w:r>
        <w:rPr>
          <w:spacing w:val="-12"/>
        </w:rPr>
        <w:t>i </w:t>
      </w:r>
      <w:r>
        <w:rPr/>
        <w:t>1:20.000. GI-kortene er fra umiddelbart efter </w:t>
      </w:r>
      <w:r>
        <w:rPr>
          <w:spacing w:val="-8"/>
        </w:rPr>
        <w:t>år </w:t>
      </w:r>
      <w:r>
        <w:rPr/>
        <w:t>1900, og følgende afgrænsninger er</w:t>
      </w:r>
      <w:r>
        <w:rPr>
          <w:spacing w:val="-13"/>
        </w:rPr>
        <w:t> </w:t>
      </w:r>
      <w:r>
        <w:rPr/>
        <w:t>foretaget:</w:t>
      </w:r>
    </w:p>
    <w:p>
      <w:pPr>
        <w:pStyle w:val="BodyText"/>
        <w:spacing w:line="252" w:lineRule="auto" w:before="116"/>
        <w:ind w:left="1602"/>
        <w:jc w:val="both"/>
      </w:pPr>
      <w:r>
        <w:rPr/>
        <w:pict>
          <v:shape style="position:absolute;margin-left:68.274002pt;margin-top:22.183851pt;width:6pt;height:20.75pt;mso-position-horizontal-relative:page;mso-position-vertical-relative:paragraph;z-index:1768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8.274002pt;margin-top:7.737851pt;width:6pt;height:20.75pt;mso-position-horizontal-relative:page;mso-position-vertical-relative:paragraph;z-index:1792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eng, mose og marsk signaturer (fra GI </w:t>
      </w:r>
      <w:r>
        <w:rPr>
          <w:spacing w:val="-5"/>
        </w:rPr>
        <w:t>kort) </w:t>
      </w:r>
      <w:r>
        <w:rPr/>
        <w:t>marsk,</w:t>
      </w:r>
      <w:r>
        <w:rPr>
          <w:spacing w:val="-17"/>
        </w:rPr>
        <w:t> </w:t>
      </w:r>
      <w:r>
        <w:rPr/>
        <w:t>tørlagt</w:t>
      </w:r>
      <w:r>
        <w:rPr>
          <w:spacing w:val="-17"/>
        </w:rPr>
        <w:t> </w:t>
      </w:r>
      <w:r>
        <w:rPr/>
        <w:t>og</w:t>
      </w:r>
      <w:r>
        <w:rPr>
          <w:spacing w:val="-17"/>
        </w:rPr>
        <w:t> </w:t>
      </w:r>
      <w:r>
        <w:rPr/>
        <w:t>inddæmmet</w:t>
      </w:r>
      <w:r>
        <w:rPr>
          <w:spacing w:val="-16"/>
        </w:rPr>
        <w:t> </w:t>
      </w:r>
      <w:r>
        <w:rPr/>
        <w:t>areal,</w:t>
      </w:r>
      <w:r>
        <w:rPr>
          <w:spacing w:val="-17"/>
        </w:rPr>
        <w:t> </w:t>
      </w:r>
      <w:r>
        <w:rPr/>
        <w:t>littorina og yngre marint forland fra kortet </w:t>
      </w:r>
      <w:r>
        <w:rPr>
          <w:spacing w:val="-3"/>
        </w:rPr>
        <w:t>“Land- </w:t>
      </w:r>
      <w:r>
        <w:rPr/>
        <w:t>skabselementer”</w:t>
      </w:r>
    </w:p>
    <w:p>
      <w:pPr>
        <w:pStyle w:val="BodyText"/>
        <w:spacing w:before="2"/>
        <w:rPr>
          <w:sz w:val="33"/>
        </w:rPr>
      </w:pPr>
    </w:p>
    <w:p>
      <w:pPr>
        <w:pStyle w:val="Heading4"/>
        <w:spacing w:before="1"/>
      </w:pPr>
      <w:bookmarkStart w:name="_bookmark12" w:id="20"/>
      <w:bookmarkEnd w:id="20"/>
      <w:r>
        <w:rPr>
          <w:b w:val="0"/>
        </w:rPr>
      </w:r>
      <w:r>
        <w:rPr/>
        <w:t>Tørvejorde</w:t>
      </w:r>
    </w:p>
    <w:p>
      <w:pPr>
        <w:pStyle w:val="BodyText"/>
        <w:spacing w:line="252" w:lineRule="auto" w:before="171"/>
        <w:ind w:left="1133"/>
        <w:jc w:val="both"/>
      </w:pPr>
      <w:r>
        <w:rPr/>
        <w:t>Der har i de senere år været stor opmærksom- hed om tørvejorde, der er meget dynamiske i re-</w:t>
      </w:r>
    </w:p>
    <w:p>
      <w:pPr>
        <w:pStyle w:val="BodyText"/>
        <w:spacing w:line="252" w:lineRule="auto" w:before="71"/>
        <w:ind w:left="329" w:right="1131"/>
        <w:jc w:val="both"/>
      </w:pPr>
      <w:r>
        <w:rPr/>
        <w:br w:type="column"/>
      </w:r>
      <w:r>
        <w:rPr/>
        <w:t>lation til emission og binding af kulstof. Insti- tut for Agroøkologi (AU) har derfor gennemført en kortlægning af tørvejorde i Danmark; SINKS tørvekort (</w:t>
      </w:r>
      <w:hyperlink w:history="true" w:anchor="_bookmark43">
        <w:r>
          <w:rPr>
            <w:color w:val="0000FF"/>
          </w:rPr>
          <w:t>Greve et al.</w:t>
        </w:r>
      </w:hyperlink>
      <w:r>
        <w:rPr/>
        <w:t>, </w:t>
      </w:r>
      <w:hyperlink w:history="true" w:anchor="_bookmark43">
        <w:r>
          <w:rPr>
            <w:color w:val="0000FF"/>
          </w:rPr>
          <w:t>2013</w:t>
        </w:r>
      </w:hyperlink>
      <w:r>
        <w:rPr/>
        <w:t>).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Forudsætningen </w:t>
      </w:r>
      <w:r>
        <w:rPr>
          <w:spacing w:val="-3"/>
        </w:rPr>
        <w:t>for, </w:t>
      </w:r>
      <w:r>
        <w:rPr/>
        <w:t>at der kan opbygges </w:t>
      </w:r>
      <w:r>
        <w:rPr>
          <w:spacing w:val="-6"/>
        </w:rPr>
        <w:t>tør- </w:t>
      </w:r>
      <w:r>
        <w:rPr/>
        <w:t>velag i jorden, </w:t>
      </w:r>
      <w:r>
        <w:rPr>
          <w:spacing w:val="-4"/>
        </w:rPr>
        <w:t>er, </w:t>
      </w:r>
      <w:r>
        <w:rPr/>
        <w:t>at et område har naturligt</w:t>
      </w:r>
      <w:r>
        <w:rPr>
          <w:spacing w:val="-39"/>
        </w:rPr>
        <w:t> </w:t>
      </w:r>
      <w:r>
        <w:rPr>
          <w:spacing w:val="-3"/>
        </w:rPr>
        <w:t>våde </w:t>
      </w:r>
      <w:r>
        <w:rPr/>
        <w:t>jordbundsforhold. Kortlægningen har derfor </w:t>
      </w:r>
      <w:r>
        <w:rPr>
          <w:spacing w:val="-5"/>
        </w:rPr>
        <w:t>ta- </w:t>
      </w:r>
      <w:r>
        <w:rPr/>
        <w:t>get udgangspunkt i et studie af historiske kort, som har dannet baggrund for en kortlægning </w:t>
      </w:r>
      <w:r>
        <w:rPr>
          <w:spacing w:val="-6"/>
        </w:rPr>
        <w:t>af </w:t>
      </w:r>
      <w:r>
        <w:rPr/>
        <w:t>potentielle tørvejorde på de våde landbrugsarea- </w:t>
      </w:r>
      <w:r>
        <w:rPr>
          <w:spacing w:val="-4"/>
        </w:rPr>
        <w:t>ler. </w:t>
      </w:r>
      <w:r>
        <w:rPr/>
        <w:t>På denne måde har Institut for </w:t>
      </w:r>
      <w:r>
        <w:rPr>
          <w:spacing w:val="-3"/>
        </w:rPr>
        <w:t>Agroøkologi </w:t>
      </w:r>
      <w:r>
        <w:rPr/>
        <w:t>kortlagt i alt 730.000 hektar som vådbundsarea- </w:t>
      </w:r>
      <w:r>
        <w:rPr>
          <w:spacing w:val="-4"/>
        </w:rPr>
        <w:t>ler.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En nærmere analyse, hvor flere historiske da- ta er inddraget, antyder, at et areal på 243.000 hektar har været tørvejord på et eller andet tidspunkt. Inden for dette areal har Institut for Agroøkologi i løbet af 2009 og 2010 lavet ca.</w:t>
      </w:r>
    </w:p>
    <w:p>
      <w:pPr>
        <w:pStyle w:val="BodyText"/>
        <w:spacing w:line="252" w:lineRule="auto"/>
        <w:ind w:left="329" w:right="1131"/>
        <w:jc w:val="both"/>
      </w:pPr>
      <w:r>
        <w:rPr/>
        <w:t>10.000 nye boringer, som er repræsentativt </w:t>
      </w:r>
      <w:r>
        <w:rPr>
          <w:spacing w:val="-6"/>
        </w:rPr>
        <w:t>for- </w:t>
      </w:r>
      <w:r>
        <w:rPr/>
        <w:t>delt over hele Danmark - men altså kun på </w:t>
      </w:r>
      <w:r>
        <w:rPr>
          <w:spacing w:val="-7"/>
        </w:rPr>
        <w:t>de </w:t>
      </w:r>
      <w:r>
        <w:rPr/>
        <w:t>potentielle</w:t>
      </w:r>
      <w:r>
        <w:rPr>
          <w:spacing w:val="-17"/>
        </w:rPr>
        <w:t> </w:t>
      </w:r>
      <w:r>
        <w:rPr/>
        <w:t>tørvearealer.</w:t>
      </w:r>
      <w:r>
        <w:rPr>
          <w:spacing w:val="-17"/>
        </w:rPr>
        <w:t> </w:t>
      </w:r>
      <w:r>
        <w:rPr/>
        <w:t>Hvert</w:t>
      </w:r>
      <w:r>
        <w:rPr>
          <w:spacing w:val="-16"/>
        </w:rPr>
        <w:t> </w:t>
      </w:r>
      <w:r>
        <w:rPr/>
        <w:t>sted</w:t>
      </w:r>
      <w:r>
        <w:rPr>
          <w:spacing w:val="-17"/>
        </w:rPr>
        <w:t> </w:t>
      </w:r>
      <w:r>
        <w:rPr/>
        <w:t>er</w:t>
      </w:r>
      <w:r>
        <w:rPr>
          <w:spacing w:val="-16"/>
        </w:rPr>
        <w:t> </w:t>
      </w:r>
      <w:r>
        <w:rPr/>
        <w:t>plantedæk- ket beskrevet, og der er taget landskabsbilleder. Der er også udtaget jordprøver i hele </w:t>
      </w:r>
      <w:r>
        <w:rPr>
          <w:spacing w:val="-3"/>
        </w:rPr>
        <w:t>tørvelagets </w:t>
      </w:r>
      <w:r>
        <w:rPr/>
        <w:t>tykkelse, som er analyseret for kulstof- og </w:t>
      </w:r>
      <w:r>
        <w:rPr>
          <w:spacing w:val="-4"/>
        </w:rPr>
        <w:t>kvæl- </w:t>
      </w:r>
      <w:r>
        <w:rPr/>
        <w:t>stofindhold samt</w:t>
      </w:r>
      <w:r>
        <w:rPr>
          <w:spacing w:val="-5"/>
        </w:rPr>
        <w:t> </w:t>
      </w:r>
      <w:r>
        <w:rPr/>
        <w:t>volumenvægt.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Resultaterne af disse undersøgelser viser, at der kun er tørv i 17 % af boringerne, hvilket har resulteret i den nuværende kortlægning af tør- vejorde, som i alt omfatter ca. 70.000 hektar.</w:t>
      </w:r>
    </w:p>
    <w:p>
      <w:pPr>
        <w:pStyle w:val="BodyText"/>
        <w:spacing w:before="6"/>
        <w:rPr>
          <w:sz w:val="32"/>
        </w:rPr>
      </w:pPr>
    </w:p>
    <w:p>
      <w:pPr>
        <w:pStyle w:val="Heading4"/>
        <w:spacing w:before="1"/>
        <w:ind w:left="329"/>
        <w:jc w:val="both"/>
      </w:pPr>
      <w:bookmarkStart w:name="_bookmark13" w:id="21"/>
      <w:bookmarkEnd w:id="21"/>
      <w:r>
        <w:rPr>
          <w:b w:val="0"/>
        </w:rPr>
      </w:r>
      <w:r>
        <w:rPr/>
        <w:t>Danmarks Højdemodel</w:t>
      </w:r>
    </w:p>
    <w:p>
      <w:pPr>
        <w:pStyle w:val="BodyText"/>
        <w:spacing w:line="252" w:lineRule="auto" w:before="171"/>
        <w:ind w:left="329" w:right="1131"/>
        <w:jc w:val="both"/>
      </w:pPr>
      <w:r>
        <w:rPr/>
        <w:t>Terrænmodellen (DHM/Terræn) fra Danmarks Højdemodel (</w:t>
      </w:r>
      <w:hyperlink w:history="true" w:anchor="_bookmark52">
        <w:r>
          <w:rPr>
            <w:color w:val="0000FF"/>
          </w:rPr>
          <w:t>Rosenkranz and Frederiksen</w:t>
        </w:r>
      </w:hyperlink>
      <w:r>
        <w:rPr/>
        <w:t>, </w:t>
      </w:r>
      <w:hyperlink w:history="true" w:anchor="_bookmark52">
        <w:r>
          <w:rPr>
            <w:color w:val="0000FF"/>
          </w:rPr>
          <w:t>2011</w:t>
        </w:r>
      </w:hyperlink>
      <w:r>
        <w:rPr/>
        <w:t>) er anvendt til at udpege lavtliggende områder, som erfaringsmæssigt har en relativt høj risiko for sætninger.</w:t>
      </w:r>
    </w:p>
    <w:p>
      <w:pPr>
        <w:pStyle w:val="BodyText"/>
        <w:spacing w:before="4"/>
        <w:rPr>
          <w:sz w:val="34"/>
        </w:rPr>
      </w:pPr>
    </w:p>
    <w:p>
      <w:pPr>
        <w:pStyle w:val="Heading4"/>
        <w:ind w:left="329"/>
        <w:jc w:val="both"/>
      </w:pPr>
      <w:r>
        <w:rPr/>
        <w:t>Ortofotos</w:t>
      </w:r>
    </w:p>
    <w:p>
      <w:pPr>
        <w:pStyle w:val="BodyText"/>
        <w:spacing w:line="252" w:lineRule="auto" w:before="171"/>
        <w:ind w:left="329" w:right="1131"/>
        <w:jc w:val="both"/>
      </w:pPr>
      <w:r>
        <w:rPr/>
        <w:t>De nyeste tilgængelige ortofotos er via</w:t>
      </w:r>
      <w:r>
        <w:rPr>
          <w:spacing w:val="37"/>
        </w:rPr>
        <w:t> </w:t>
      </w:r>
      <w:r>
        <w:rPr>
          <w:spacing w:val="-5"/>
        </w:rPr>
        <w:t>Kort- </w:t>
      </w:r>
      <w:r>
        <w:rPr/>
        <w:t>forsyningen (</w:t>
      </w:r>
      <w:hyperlink r:id="rId26">
        <w:r>
          <w:rPr>
            <w:color w:val="FF0000"/>
          </w:rPr>
          <w:t>http://kortforsyningen.dk</w:t>
        </w:r>
      </w:hyperlink>
      <w:r>
        <w:rPr/>
        <w:t>) </w:t>
      </w:r>
      <w:r>
        <w:rPr>
          <w:spacing w:val="-4"/>
        </w:rPr>
        <w:t>anvendt </w:t>
      </w:r>
      <w:r>
        <w:rPr/>
        <w:t>som baggrund for digitalisering af nye opfylds- områder</w:t>
      </w:r>
      <w:r>
        <w:rPr>
          <w:spacing w:val="-10"/>
        </w:rPr>
        <w:t> </w:t>
      </w:r>
      <w:r>
        <w:rPr/>
        <w:t>omkring</w:t>
      </w:r>
      <w:r>
        <w:rPr>
          <w:spacing w:val="-9"/>
        </w:rPr>
        <w:t> </w:t>
      </w:r>
      <w:r>
        <w:rPr/>
        <w:t>Frederikshavn,</w:t>
      </w:r>
      <w:r>
        <w:rPr>
          <w:spacing w:val="-9"/>
        </w:rPr>
        <w:t> </w:t>
      </w:r>
      <w:r>
        <w:rPr/>
        <w:t>Århus</w:t>
      </w:r>
      <w:r>
        <w:rPr>
          <w:spacing w:val="-9"/>
        </w:rPr>
        <w:t> </w:t>
      </w:r>
      <w:r>
        <w:rPr/>
        <w:t>og</w:t>
      </w:r>
      <w:r>
        <w:rPr>
          <w:spacing w:val="-9"/>
        </w:rPr>
        <w:t> </w:t>
      </w:r>
      <w:r>
        <w:rPr>
          <w:spacing w:val="-7"/>
        </w:rPr>
        <w:t>Køge </w:t>
      </w:r>
      <w:r>
        <w:rPr/>
        <w:t>havne. Det skal her understreges, at der </w:t>
      </w:r>
      <w:r>
        <w:rPr>
          <w:spacing w:val="-3"/>
        </w:rPr>
        <w:t>således </w:t>
      </w:r>
      <w:r>
        <w:rPr/>
        <w:t>ikke</w:t>
      </w:r>
      <w:r>
        <w:rPr>
          <w:spacing w:val="-17"/>
        </w:rPr>
        <w:t> </w:t>
      </w:r>
      <w:r>
        <w:rPr/>
        <w:t>i</w:t>
      </w:r>
      <w:r>
        <w:rPr>
          <w:spacing w:val="-17"/>
        </w:rPr>
        <w:t> </w:t>
      </w:r>
      <w:r>
        <w:rPr/>
        <w:t>regi</w:t>
      </w:r>
      <w:r>
        <w:rPr>
          <w:spacing w:val="-16"/>
        </w:rPr>
        <w:t> </w:t>
      </w:r>
      <w:r>
        <w:rPr/>
        <w:t>af</w:t>
      </w:r>
      <w:r>
        <w:rPr>
          <w:spacing w:val="-17"/>
        </w:rPr>
        <w:t> </w:t>
      </w:r>
      <w:r>
        <w:rPr/>
        <w:t>dette</w:t>
      </w:r>
      <w:r>
        <w:rPr>
          <w:spacing w:val="-17"/>
        </w:rPr>
        <w:t> </w:t>
      </w:r>
      <w:r>
        <w:rPr/>
        <w:t>arbejde</w:t>
      </w:r>
      <w:r>
        <w:rPr>
          <w:spacing w:val="-16"/>
        </w:rPr>
        <w:t> </w:t>
      </w:r>
      <w:r>
        <w:rPr/>
        <w:t>er</w:t>
      </w:r>
      <w:r>
        <w:rPr>
          <w:spacing w:val="-16"/>
        </w:rPr>
        <w:t> </w:t>
      </w:r>
      <w:r>
        <w:rPr/>
        <w:t>tale</w:t>
      </w:r>
      <w:r>
        <w:rPr>
          <w:spacing w:val="-18"/>
        </w:rPr>
        <w:t> </w:t>
      </w:r>
      <w:r>
        <w:rPr/>
        <w:t>om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fuldstæn- dig gennemgang af alle havneområder i landet med hensyn til identifikation og digitalisering </w:t>
      </w:r>
      <w:r>
        <w:rPr>
          <w:spacing w:val="-7"/>
        </w:rPr>
        <w:t>af </w:t>
      </w:r>
      <w:r>
        <w:rPr/>
        <w:t>nye og ældre</w:t>
      </w:r>
      <w:r>
        <w:rPr>
          <w:spacing w:val="-6"/>
        </w:rPr>
        <w:t> </w:t>
      </w:r>
      <w:r>
        <w:rPr/>
        <w:t>opfyldsområder.</w:t>
      </w:r>
    </w:p>
    <w:p>
      <w:pPr>
        <w:spacing w:after="0" w:line="252" w:lineRule="auto"/>
        <w:jc w:val="both"/>
        <w:sectPr>
          <w:footerReference w:type="default" r:id="rId25"/>
          <w:pgSz w:w="11910" w:h="16840"/>
          <w:pgMar w:footer="546" w:header="0" w:top="1060" w:bottom="740" w:left="0" w:right="0"/>
          <w:pgNumType w:start="11"/>
          <w:cols w:num="2" w:equalWidth="0">
            <w:col w:w="5769" w:space="40"/>
            <w:col w:w="6101"/>
          </w:cols>
        </w:sectPr>
      </w:pPr>
    </w:p>
    <w:p>
      <w:pPr>
        <w:pStyle w:val="Heading4"/>
        <w:spacing w:before="91"/>
      </w:pPr>
      <w:bookmarkStart w:name="_bookmark14" w:id="22"/>
      <w:bookmarkEnd w:id="22"/>
      <w:r>
        <w:rPr>
          <w:b w:val="0"/>
        </w:rPr>
      </w:r>
      <w:r>
        <w:rPr/>
        <w:t>Højdemålinger til fikspunkter</w:t>
      </w:r>
    </w:p>
    <w:p>
      <w:pPr>
        <w:pStyle w:val="BodyText"/>
        <w:spacing w:line="252" w:lineRule="auto" w:before="171"/>
        <w:ind w:left="1133"/>
        <w:jc w:val="both"/>
      </w:pPr>
      <w:r>
        <w:rPr/>
        <w:t>Geodatastyrelsens fikspunktdatabase er </w:t>
      </w:r>
      <w:r>
        <w:rPr>
          <w:spacing w:val="-5"/>
        </w:rPr>
        <w:t>anvendt </w:t>
      </w:r>
      <w:r>
        <w:rPr/>
        <w:t>som grundlag for en uafhængig validering af </w:t>
      </w:r>
      <w:r>
        <w:rPr>
          <w:spacing w:val="-6"/>
        </w:rPr>
        <w:t>det </w:t>
      </w:r>
      <w:r>
        <w:rPr/>
        <w:t>fremstillede</w:t>
      </w:r>
      <w:r>
        <w:rPr>
          <w:spacing w:val="-19"/>
        </w:rPr>
        <w:t> </w:t>
      </w:r>
      <w:r>
        <w:rPr/>
        <w:t>kort</w:t>
      </w:r>
      <w:r>
        <w:rPr>
          <w:spacing w:val="-19"/>
        </w:rPr>
        <w:t> </w:t>
      </w:r>
      <w:r>
        <w:rPr/>
        <w:t>over</w:t>
      </w:r>
      <w:r>
        <w:rPr>
          <w:spacing w:val="-19"/>
        </w:rPr>
        <w:t> </w:t>
      </w:r>
      <w:r>
        <w:rPr/>
        <w:t>områder</w:t>
      </w:r>
      <w:r>
        <w:rPr>
          <w:spacing w:val="-19"/>
        </w:rPr>
        <w:t> </w:t>
      </w:r>
      <w:r>
        <w:rPr/>
        <w:t>med</w:t>
      </w:r>
      <w:r>
        <w:rPr>
          <w:spacing w:val="-19"/>
        </w:rPr>
        <w:t> </w:t>
      </w:r>
      <w:r>
        <w:rPr/>
        <w:t>forøget</w:t>
      </w:r>
      <w:r>
        <w:rPr>
          <w:spacing w:val="-18"/>
        </w:rPr>
        <w:t> </w:t>
      </w:r>
      <w:r>
        <w:rPr>
          <w:spacing w:val="-3"/>
        </w:rPr>
        <w:t>sand- </w:t>
      </w:r>
      <w:r>
        <w:rPr/>
        <w:t>synlighed for landsænkning. Der er</w:t>
      </w:r>
      <w:r>
        <w:rPr>
          <w:spacing w:val="-31"/>
        </w:rPr>
        <w:t> </w:t>
      </w:r>
      <w:r>
        <w:rPr>
          <w:spacing w:val="-3"/>
        </w:rPr>
        <w:t>udelukkende </w:t>
      </w:r>
      <w:r>
        <w:rPr/>
        <w:t>anvendt eksisterende beregninger af </w:t>
      </w:r>
      <w:r>
        <w:rPr>
          <w:spacing w:val="-3"/>
        </w:rPr>
        <w:t>koter, </w:t>
      </w:r>
      <w:r>
        <w:rPr/>
        <w:t>som </w:t>
      </w:r>
      <w:r>
        <w:rPr>
          <w:spacing w:val="-15"/>
        </w:rPr>
        <w:t>i </w:t>
      </w:r>
      <w:r>
        <w:rPr/>
        <w:t>forvejen er lagret i databasen. Disse </w:t>
      </w:r>
      <w:r>
        <w:rPr>
          <w:spacing w:val="-3"/>
        </w:rPr>
        <w:t>beregninger </w:t>
      </w:r>
      <w:r>
        <w:rPr/>
        <w:t>er foretaget på forskellige måder, og databasen indeholder ikke metadata om dette. Detaljerede metadata om målinger og beregninger findes </w:t>
      </w:r>
      <w:r>
        <w:rPr>
          <w:spacing w:val="-16"/>
        </w:rPr>
        <w:t>i </w:t>
      </w:r>
      <w:r>
        <w:rPr/>
        <w:t>Geodatastyrelsens</w:t>
      </w:r>
      <w:r>
        <w:rPr>
          <w:spacing w:val="-15"/>
        </w:rPr>
        <w:t> </w:t>
      </w:r>
      <w:r>
        <w:rPr/>
        <w:t>analoge</w:t>
      </w:r>
      <w:r>
        <w:rPr>
          <w:spacing w:val="-15"/>
        </w:rPr>
        <w:t> </w:t>
      </w:r>
      <w:r>
        <w:rPr>
          <w:spacing w:val="-3"/>
        </w:rPr>
        <w:t>arkiver,</w:t>
      </w:r>
      <w:r>
        <w:rPr>
          <w:spacing w:val="-15"/>
        </w:rPr>
        <w:t> </w:t>
      </w:r>
      <w:r>
        <w:rPr/>
        <w:t>men</w:t>
      </w:r>
      <w:r>
        <w:rPr>
          <w:spacing w:val="-15"/>
        </w:rPr>
        <w:t> </w:t>
      </w:r>
      <w:r>
        <w:rPr/>
        <w:t>i</w:t>
      </w:r>
      <w:r>
        <w:rPr>
          <w:spacing w:val="-14"/>
        </w:rPr>
        <w:t> </w:t>
      </w:r>
      <w:r>
        <w:rPr>
          <w:spacing w:val="-3"/>
        </w:rPr>
        <w:t>nærvæ- </w:t>
      </w:r>
      <w:r>
        <w:rPr/>
        <w:t>rende analyse er data ikke kontrolleret på </w:t>
      </w:r>
      <w:r>
        <w:rPr>
          <w:spacing w:val="-4"/>
        </w:rPr>
        <w:t>dette</w:t>
      </w:r>
      <w:r>
        <w:rPr>
          <w:spacing w:val="52"/>
        </w:rPr>
        <w:t> </w:t>
      </w:r>
      <w:r>
        <w:rPr/>
        <w:t>niveau.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Målinger i databasen er altså af forskellig</w:t>
      </w:r>
      <w:r>
        <w:rPr>
          <w:spacing w:val="-29"/>
        </w:rPr>
        <w:t> </w:t>
      </w:r>
      <w:r>
        <w:rPr>
          <w:spacing w:val="-6"/>
        </w:rPr>
        <w:t>her- </w:t>
      </w:r>
      <w:r>
        <w:rPr/>
        <w:t>komst og kvalitet. Hertil kommer, at </w:t>
      </w:r>
      <w:r>
        <w:rPr>
          <w:spacing w:val="-3"/>
        </w:rPr>
        <w:t>der, </w:t>
      </w:r>
      <w:r>
        <w:rPr>
          <w:spacing w:val="-6"/>
        </w:rPr>
        <w:t>hvad </w:t>
      </w:r>
      <w:r>
        <w:rPr/>
        <w:t>beregninger af koter angår, forekommer en </w:t>
      </w:r>
      <w:r>
        <w:rPr>
          <w:spacing w:val="-5"/>
        </w:rPr>
        <w:t>del </w:t>
      </w:r>
      <w:r>
        <w:rPr/>
        <w:t>dataredundans. En måling foretaget i et referen- cepunkt</w:t>
      </w:r>
      <w:r>
        <w:rPr>
          <w:spacing w:val="-14"/>
        </w:rPr>
        <w:t> </w:t>
      </w:r>
      <w:r>
        <w:rPr/>
        <w:t>på</w:t>
      </w:r>
      <w:r>
        <w:rPr>
          <w:spacing w:val="-14"/>
        </w:rPr>
        <w:t> </w:t>
      </w:r>
      <w:r>
        <w:rPr/>
        <w:t>et</w:t>
      </w:r>
      <w:r>
        <w:rPr>
          <w:spacing w:val="-13"/>
        </w:rPr>
        <w:t> </w:t>
      </w:r>
      <w:r>
        <w:rPr/>
        <w:t>givet</w:t>
      </w:r>
      <w:r>
        <w:rPr>
          <w:spacing w:val="-14"/>
        </w:rPr>
        <w:t> </w:t>
      </w:r>
      <w:r>
        <w:rPr/>
        <w:t>tidspunkt</w:t>
      </w:r>
      <w:r>
        <w:rPr>
          <w:spacing w:val="-13"/>
        </w:rPr>
        <w:t> </w:t>
      </w:r>
      <w:r>
        <w:rPr/>
        <w:t>kan</w:t>
      </w:r>
      <w:r>
        <w:rPr>
          <w:spacing w:val="-14"/>
        </w:rPr>
        <w:t> </w:t>
      </w:r>
      <w:r>
        <w:rPr/>
        <w:t>således</w:t>
      </w:r>
      <w:r>
        <w:rPr>
          <w:spacing w:val="-13"/>
        </w:rPr>
        <w:t> </w:t>
      </w:r>
      <w:r>
        <w:rPr/>
        <w:t>resulte- re i adskillige registreringer i databasen med </w:t>
      </w:r>
      <w:r>
        <w:rPr>
          <w:spacing w:val="-6"/>
        </w:rPr>
        <w:t>ko- </w:t>
      </w:r>
      <w:r>
        <w:rPr>
          <w:spacing w:val="-3"/>
        </w:rPr>
        <w:t>ter, </w:t>
      </w:r>
      <w:r>
        <w:rPr/>
        <w:t>som er beregnet i forskellige </w:t>
      </w:r>
      <w:r>
        <w:rPr>
          <w:spacing w:val="-2"/>
        </w:rPr>
        <w:t>sammenhænge, </w:t>
      </w:r>
      <w:r>
        <w:rPr/>
        <w:t>eller</w:t>
      </w:r>
      <w:r>
        <w:rPr>
          <w:spacing w:val="-15"/>
        </w:rPr>
        <w:t> </w:t>
      </w:r>
      <w:r>
        <w:rPr/>
        <w:t>med</w:t>
      </w:r>
      <w:r>
        <w:rPr>
          <w:spacing w:val="-14"/>
        </w:rPr>
        <w:t> </w:t>
      </w:r>
      <w:r>
        <w:rPr/>
        <w:t>koter</w:t>
      </w:r>
      <w:r>
        <w:rPr>
          <w:spacing w:val="-15"/>
        </w:rPr>
        <w:t> </w:t>
      </w:r>
      <w:r>
        <w:rPr/>
        <w:t>overført</w:t>
      </w:r>
      <w:r>
        <w:rPr>
          <w:spacing w:val="-14"/>
        </w:rPr>
        <w:t> </w:t>
      </w:r>
      <w:r>
        <w:rPr/>
        <w:t>fra</w:t>
      </w:r>
      <w:r>
        <w:rPr>
          <w:spacing w:val="-14"/>
        </w:rPr>
        <w:t> </w:t>
      </w:r>
      <w:r>
        <w:rPr/>
        <w:t>tidligere</w:t>
      </w:r>
      <w:r>
        <w:rPr>
          <w:spacing w:val="-15"/>
        </w:rPr>
        <w:t> </w:t>
      </w:r>
      <w:r>
        <w:rPr>
          <w:spacing w:val="-3"/>
        </w:rPr>
        <w:t>beregninger. </w:t>
      </w:r>
      <w:r>
        <w:rPr/>
        <w:t>I visse tilfælde kan der således være foretaget</w:t>
      </w:r>
      <w:r>
        <w:rPr>
          <w:spacing w:val="-32"/>
        </w:rPr>
        <w:t> </w:t>
      </w:r>
      <w:r>
        <w:rPr>
          <w:spacing w:val="-9"/>
        </w:rPr>
        <w:t>en </w:t>
      </w:r>
      <w:r>
        <w:rPr/>
        <w:t>genberegning af plankoordinaten (x,y), hvor </w:t>
      </w:r>
      <w:r>
        <w:rPr>
          <w:spacing w:val="-7"/>
        </w:rPr>
        <w:t>ko- </w:t>
      </w:r>
      <w:r>
        <w:rPr/>
        <w:t>ten</w:t>
      </w:r>
      <w:r>
        <w:rPr>
          <w:spacing w:val="-17"/>
        </w:rPr>
        <w:t> </w:t>
      </w:r>
      <w:r>
        <w:rPr/>
        <w:t>(z)</w:t>
      </w:r>
      <w:r>
        <w:rPr>
          <w:spacing w:val="-17"/>
        </w:rPr>
        <w:t> </w:t>
      </w:r>
      <w:r>
        <w:rPr/>
        <w:t>fra</w:t>
      </w:r>
      <w:r>
        <w:rPr>
          <w:spacing w:val="-17"/>
        </w:rPr>
        <w:t> </w:t>
      </w:r>
      <w:r>
        <w:rPr/>
        <w:t>en</w:t>
      </w:r>
      <w:r>
        <w:rPr>
          <w:spacing w:val="-18"/>
        </w:rPr>
        <w:t> </w:t>
      </w:r>
      <w:r>
        <w:rPr/>
        <w:t>tidligere</w:t>
      </w:r>
      <w:r>
        <w:rPr>
          <w:spacing w:val="-17"/>
        </w:rPr>
        <w:t> </w:t>
      </w:r>
      <w:r>
        <w:rPr/>
        <w:t>beregning</w:t>
      </w:r>
      <w:r>
        <w:rPr>
          <w:spacing w:val="-17"/>
        </w:rPr>
        <w:t> </w:t>
      </w:r>
      <w:r>
        <w:rPr/>
        <w:t>blot</w:t>
      </w:r>
      <w:r>
        <w:rPr>
          <w:spacing w:val="-17"/>
        </w:rPr>
        <w:t> </w:t>
      </w:r>
      <w:r>
        <w:rPr/>
        <w:t>overføres</w:t>
      </w:r>
      <w:r>
        <w:rPr>
          <w:spacing w:val="-17"/>
        </w:rPr>
        <w:t> </w:t>
      </w:r>
      <w:r>
        <w:rPr>
          <w:spacing w:val="-6"/>
        </w:rPr>
        <w:t>til </w:t>
      </w:r>
      <w:r>
        <w:rPr/>
        <w:t>den nye registrering i databasen. I andre</w:t>
      </w:r>
      <w:r>
        <w:rPr>
          <w:spacing w:val="-22"/>
        </w:rPr>
        <w:t> </w:t>
      </w:r>
      <w:r>
        <w:rPr/>
        <w:t>tilfælde kan der være tale om en ny beregning af </w:t>
      </w:r>
      <w:r>
        <w:rPr>
          <w:spacing w:val="-4"/>
        </w:rPr>
        <w:t>koten,</w:t>
      </w:r>
      <w:r>
        <w:rPr>
          <w:spacing w:val="52"/>
        </w:rPr>
        <w:t> </w:t>
      </w:r>
      <w:r>
        <w:rPr/>
        <w:t>men der forefindes ikke altid information i </w:t>
      </w:r>
      <w:r>
        <w:rPr>
          <w:spacing w:val="-3"/>
        </w:rPr>
        <w:t>data- </w:t>
      </w:r>
      <w:r>
        <w:rPr/>
        <w:t>basen omkring beregningsmetoden, som i </w:t>
      </w:r>
      <w:r>
        <w:rPr>
          <w:spacing w:val="-4"/>
        </w:rPr>
        <w:t>visse </w:t>
      </w:r>
      <w:r>
        <w:rPr/>
        <w:t>tilfælde kan variere fra gang til gang; f.eks. </w:t>
      </w:r>
      <w:r>
        <w:rPr>
          <w:spacing w:val="-6"/>
        </w:rPr>
        <w:t>ved </w:t>
      </w:r>
      <w:r>
        <w:rPr/>
        <w:t>at</w:t>
      </w:r>
      <w:r>
        <w:rPr>
          <w:spacing w:val="-10"/>
        </w:rPr>
        <w:t> </w:t>
      </w:r>
      <w:r>
        <w:rPr/>
        <w:t>det</w:t>
      </w:r>
      <w:r>
        <w:rPr>
          <w:spacing w:val="-10"/>
        </w:rPr>
        <w:t> </w:t>
      </w:r>
      <w:r>
        <w:rPr/>
        <w:t>ikke</w:t>
      </w:r>
      <w:r>
        <w:rPr>
          <w:spacing w:val="-10"/>
        </w:rPr>
        <w:t> </w:t>
      </w:r>
      <w:r>
        <w:rPr/>
        <w:t>er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samme</w:t>
      </w:r>
      <w:r>
        <w:rPr>
          <w:spacing w:val="-10"/>
        </w:rPr>
        <w:t> </w:t>
      </w:r>
      <w:r>
        <w:rPr/>
        <w:t>punkter,</w:t>
      </w:r>
      <w:r>
        <w:rPr>
          <w:spacing w:val="-10"/>
        </w:rPr>
        <w:t> </w:t>
      </w:r>
      <w:r>
        <w:rPr/>
        <w:t>som</w:t>
      </w:r>
      <w:r>
        <w:rPr>
          <w:spacing w:val="-10"/>
        </w:rPr>
        <w:t> </w:t>
      </w:r>
      <w:r>
        <w:rPr/>
        <w:t>er</w:t>
      </w:r>
      <w:r>
        <w:rPr>
          <w:spacing w:val="-9"/>
        </w:rPr>
        <w:t> </w:t>
      </w:r>
      <w:r>
        <w:rPr>
          <w:spacing w:val="-3"/>
        </w:rPr>
        <w:t>fastholdt </w:t>
      </w:r>
      <w:r>
        <w:rPr/>
        <w:t>i alle</w:t>
      </w:r>
      <w:r>
        <w:rPr>
          <w:spacing w:val="-3"/>
        </w:rPr>
        <w:t> </w:t>
      </w:r>
      <w:r>
        <w:rPr/>
        <w:t>beregninger.</w:t>
      </w:r>
    </w:p>
    <w:p>
      <w:pPr>
        <w:pStyle w:val="BodyText"/>
        <w:spacing w:line="261" w:lineRule="exact"/>
        <w:ind w:left="1367"/>
      </w:pPr>
      <w:r>
        <w:rPr/>
        <w:t>Alle beregninger har en beregningsdato og en</w:t>
      </w:r>
    </w:p>
    <w:p>
      <w:pPr>
        <w:pStyle w:val="BodyText"/>
        <w:spacing w:line="252" w:lineRule="auto" w:before="3"/>
        <w:ind w:left="1133"/>
        <w:jc w:val="both"/>
      </w:pPr>
      <w:r>
        <w:rPr/>
        <w:t>indsættelsesdato, men målingerne er kun tids- stemplet med et årstal.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Koter i databasen refererer til </w:t>
      </w:r>
      <w:r>
        <w:rPr>
          <w:spacing w:val="-4"/>
        </w:rPr>
        <w:t>hhv. </w:t>
      </w:r>
      <w:r>
        <w:rPr>
          <w:spacing w:val="-5"/>
        </w:rPr>
        <w:t>DVR90, </w:t>
      </w:r>
      <w:r>
        <w:rPr/>
        <w:t>DNN-GM1891  og  DNN-GI1944.  GM1891  </w:t>
      </w:r>
      <w:r>
        <w:rPr>
          <w:spacing w:val="-9"/>
        </w:rPr>
        <w:t>er</w:t>
      </w:r>
    </w:p>
    <w:p>
      <w:pPr>
        <w:pStyle w:val="BodyText"/>
        <w:spacing w:line="274" w:lineRule="exact"/>
        <w:ind w:left="1133"/>
        <w:jc w:val="both"/>
      </w:pPr>
      <w:r>
        <w:rPr/>
        <w:t>Generalstabens højdesystem fra 1891.</w:t>
      </w:r>
      <w:r>
        <w:rPr>
          <w:spacing w:val="47"/>
        </w:rPr>
        <w:t> </w:t>
      </w:r>
      <w:r>
        <w:rPr>
          <w:spacing w:val="-3"/>
        </w:rPr>
        <w:t>Systemet</w:t>
      </w:r>
    </w:p>
    <w:p>
      <w:pPr>
        <w:pStyle w:val="BodyText"/>
        <w:spacing w:line="252" w:lineRule="auto" w:before="111"/>
        <w:ind w:left="329" w:right="1131"/>
        <w:jc w:val="both"/>
      </w:pPr>
      <w:r>
        <w:rPr/>
        <w:br w:type="column"/>
      </w:r>
      <w:r>
        <w:rPr/>
        <w:t>var gældende for hele landet indtil publicerin- gen af Geodætisk Instituts højdesystem </w:t>
      </w:r>
      <w:r>
        <w:rPr>
          <w:spacing w:val="-3"/>
        </w:rPr>
        <w:t>GI1944 </w:t>
      </w:r>
      <w:r>
        <w:rPr/>
        <w:t>gældende for Sjælland, Lolland-Falster og </w:t>
      </w:r>
      <w:r>
        <w:rPr>
          <w:spacing w:val="-6"/>
        </w:rPr>
        <w:t>Fyn </w:t>
      </w:r>
      <w:r>
        <w:rPr/>
        <w:t>(</w:t>
      </w:r>
      <w:hyperlink w:history="true" w:anchor="_bookmark51">
        <w:r>
          <w:rPr>
            <w:color w:val="0000FF"/>
          </w:rPr>
          <w:t>Knudsen and </w:t>
        </w:r>
        <w:r>
          <w:rPr>
            <w:color w:val="0000FF"/>
            <w:spacing w:val="-4"/>
          </w:rPr>
          <w:t>Vognsen</w:t>
        </w:r>
      </w:hyperlink>
      <w:r>
        <w:rPr>
          <w:spacing w:val="-4"/>
        </w:rPr>
        <w:t>, </w:t>
      </w:r>
      <w:hyperlink w:history="true" w:anchor="_bookmark51">
        <w:r>
          <w:rPr>
            <w:color w:val="0000FF"/>
          </w:rPr>
          <w:t>2010</w:t>
        </w:r>
      </w:hyperlink>
      <w:r>
        <w:rPr/>
        <w:t>). GM1891 var </w:t>
      </w:r>
      <w:r>
        <w:rPr>
          <w:spacing w:val="-4"/>
        </w:rPr>
        <w:t>sta- </w:t>
      </w:r>
      <w:r>
        <w:rPr/>
        <w:t>dig gældende for Jylland indtil publiceringen </w:t>
      </w:r>
      <w:r>
        <w:rPr>
          <w:spacing w:val="-6"/>
        </w:rPr>
        <w:t>af </w:t>
      </w:r>
      <w:r>
        <w:rPr/>
        <w:t>DVR90 i 2005, hvilket skyldtes, at beregningen af GI1944 ikke var afsluttet, da planlægningen af det tredje danske præcisionsnivellement </w:t>
      </w:r>
      <w:r>
        <w:rPr>
          <w:spacing w:val="-7"/>
        </w:rPr>
        <w:t>blev </w:t>
      </w:r>
      <w:r>
        <w:rPr/>
        <w:t>igangsat og gennemført. Det ville derfor </w:t>
      </w:r>
      <w:r>
        <w:rPr>
          <w:spacing w:val="-4"/>
        </w:rPr>
        <w:t>være </w:t>
      </w:r>
      <w:r>
        <w:rPr/>
        <w:t>uhensigtsmæssigt at publicere to nye højderefe- rencesystemer med få års mellemrum.</w:t>
      </w:r>
    </w:p>
    <w:p>
      <w:pPr>
        <w:pStyle w:val="BodyText"/>
        <w:spacing w:line="228" w:lineRule="auto" w:before="2"/>
        <w:ind w:left="329" w:right="1131" w:firstLine="234"/>
        <w:jc w:val="both"/>
      </w:pPr>
      <w:r>
        <w:rPr/>
        <w:t>Udover ovennævnte landsdækkende højdere- ferencer blev der etableret lokale højdesystemer på Bornholm og Langeland og en række øvrige</w:t>
      </w:r>
    </w:p>
    <w:p>
      <w:pPr>
        <w:pStyle w:val="BodyText"/>
        <w:spacing w:line="252" w:lineRule="auto" w:before="17"/>
        <w:ind w:left="329" w:right="1131"/>
        <w:jc w:val="both"/>
      </w:pPr>
      <w:r>
        <w:rPr>
          <w:spacing w:val="-3"/>
        </w:rPr>
        <w:t>øer, </w:t>
      </w:r>
      <w:r>
        <w:rPr/>
        <w:t>hvor højderne på land refererede til en </w:t>
      </w:r>
      <w:r>
        <w:rPr>
          <w:spacing w:val="-3"/>
        </w:rPr>
        <w:t>lokal </w:t>
      </w:r>
      <w:r>
        <w:rPr/>
        <w:t>middelvandstand.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Som</w:t>
      </w:r>
      <w:r>
        <w:rPr>
          <w:spacing w:val="-7"/>
        </w:rPr>
        <w:t> </w:t>
      </w:r>
      <w:r>
        <w:rPr/>
        <w:t>det</w:t>
      </w:r>
      <w:r>
        <w:rPr>
          <w:spacing w:val="-6"/>
        </w:rPr>
        <w:t> </w:t>
      </w:r>
      <w:r>
        <w:rPr/>
        <w:t>fremgår</w:t>
      </w:r>
      <w:r>
        <w:rPr>
          <w:spacing w:val="-7"/>
        </w:rPr>
        <w:t> </w:t>
      </w:r>
      <w:r>
        <w:rPr/>
        <w:t>af</w:t>
      </w:r>
      <w:r>
        <w:rPr>
          <w:spacing w:val="-6"/>
        </w:rPr>
        <w:t> </w:t>
      </w:r>
      <w:r>
        <w:rPr/>
        <w:t>ovenstående</w:t>
      </w:r>
      <w:r>
        <w:rPr>
          <w:spacing w:val="-6"/>
        </w:rPr>
        <w:t> </w:t>
      </w:r>
      <w:r>
        <w:rPr/>
        <w:t>er</w:t>
      </w:r>
      <w:r>
        <w:rPr>
          <w:spacing w:val="-7"/>
        </w:rPr>
        <w:t> </w:t>
      </w:r>
      <w:r>
        <w:rPr/>
        <w:t>en</w:t>
      </w:r>
      <w:r>
        <w:rPr>
          <w:spacing w:val="-6"/>
        </w:rPr>
        <w:t> </w:t>
      </w:r>
      <w:r>
        <w:rPr/>
        <w:t>del</w:t>
      </w:r>
      <w:r>
        <w:rPr>
          <w:spacing w:val="-7"/>
        </w:rPr>
        <w:t> </w:t>
      </w:r>
      <w:r>
        <w:rPr>
          <w:spacing w:val="-4"/>
        </w:rPr>
        <w:t>pro- </w:t>
      </w:r>
      <w:r>
        <w:rPr/>
        <w:t>cessering og filtrering af data fra fikspunktdata- basen</w:t>
      </w:r>
      <w:r>
        <w:rPr>
          <w:spacing w:val="-20"/>
        </w:rPr>
        <w:t> </w:t>
      </w:r>
      <w:r>
        <w:rPr/>
        <w:t>nødvendig</w:t>
      </w:r>
      <w:r>
        <w:rPr>
          <w:spacing w:val="-19"/>
        </w:rPr>
        <w:t> </w:t>
      </w:r>
      <w:r>
        <w:rPr/>
        <w:t>for</w:t>
      </w:r>
      <w:r>
        <w:rPr>
          <w:spacing w:val="-19"/>
        </w:rPr>
        <w:t> </w:t>
      </w:r>
      <w:r>
        <w:rPr/>
        <w:t>at</w:t>
      </w:r>
      <w:r>
        <w:rPr>
          <w:spacing w:val="-19"/>
        </w:rPr>
        <w:t> </w:t>
      </w:r>
      <w:r>
        <w:rPr/>
        <w:t>kunne</w:t>
      </w:r>
      <w:r>
        <w:rPr>
          <w:spacing w:val="-19"/>
        </w:rPr>
        <w:t> </w:t>
      </w:r>
      <w:r>
        <w:rPr/>
        <w:t>fremstille</w:t>
      </w:r>
      <w:r>
        <w:rPr>
          <w:spacing w:val="-18"/>
        </w:rPr>
        <w:t> </w:t>
      </w:r>
      <w:r>
        <w:rPr/>
        <w:t>et</w:t>
      </w:r>
      <w:r>
        <w:rPr>
          <w:spacing w:val="-19"/>
        </w:rPr>
        <w:t> </w:t>
      </w:r>
      <w:r>
        <w:rPr/>
        <w:t>grund- lag for beregning af vertikale</w:t>
      </w:r>
      <w:r>
        <w:rPr>
          <w:spacing w:val="-27"/>
        </w:rPr>
        <w:t> </w:t>
      </w:r>
      <w:r>
        <w:rPr/>
        <w:t>landbevægelser.</w:t>
      </w:r>
    </w:p>
    <w:p>
      <w:pPr>
        <w:pStyle w:val="BodyText"/>
        <w:spacing w:before="5"/>
        <w:rPr>
          <w:sz w:val="39"/>
        </w:rPr>
      </w:pPr>
    </w:p>
    <w:p>
      <w:pPr>
        <w:pStyle w:val="Heading2"/>
        <w:numPr>
          <w:ilvl w:val="1"/>
          <w:numId w:val="3"/>
        </w:numPr>
        <w:tabs>
          <w:tab w:pos="1086" w:val="left" w:leader="none"/>
          <w:tab w:pos="1087" w:val="left" w:leader="none"/>
        </w:tabs>
        <w:spacing w:line="240" w:lineRule="auto" w:before="1" w:after="0"/>
        <w:ind w:left="1086" w:right="0" w:hanging="757"/>
        <w:jc w:val="left"/>
      </w:pPr>
      <w:bookmarkStart w:name="_bookmark15" w:id="23"/>
      <w:bookmarkEnd w:id="23"/>
      <w:r>
        <w:rPr>
          <w:b w:val="0"/>
        </w:rPr>
      </w:r>
      <w:bookmarkStart w:name="_bookmark15" w:id="24"/>
      <w:bookmarkEnd w:id="24"/>
      <w:r>
        <w:rPr/>
        <w:t>Data</w:t>
      </w:r>
      <w:r>
        <w:rPr/>
        <w:t> fra PanGeo</w:t>
      </w:r>
      <w:r>
        <w:rPr>
          <w:spacing w:val="14"/>
        </w:rPr>
        <w:t> </w:t>
      </w:r>
      <w:r>
        <w:rPr/>
        <w:t>projektet</w:t>
      </w:r>
    </w:p>
    <w:p>
      <w:pPr>
        <w:pStyle w:val="BodyText"/>
        <w:spacing w:line="252" w:lineRule="auto" w:before="246"/>
        <w:ind w:left="329" w:right="1131"/>
        <w:jc w:val="both"/>
      </w:pPr>
      <w:r>
        <w:rPr/>
        <w:t>Data</w:t>
      </w:r>
      <w:r>
        <w:rPr>
          <w:spacing w:val="-12"/>
        </w:rPr>
        <w:t> </w:t>
      </w:r>
      <w:r>
        <w:rPr/>
        <w:t>fra</w:t>
      </w:r>
      <w:r>
        <w:rPr>
          <w:spacing w:val="-12"/>
        </w:rPr>
        <w:t> </w:t>
      </w:r>
      <w:r>
        <w:rPr/>
        <w:t>PanGeo</w:t>
      </w:r>
      <w:r>
        <w:rPr>
          <w:spacing w:val="-12"/>
        </w:rPr>
        <w:t> </w:t>
      </w:r>
      <w:r>
        <w:rPr/>
        <w:t>projektet</w:t>
      </w:r>
      <w:r>
        <w:rPr>
          <w:spacing w:val="-12"/>
        </w:rPr>
        <w:t> </w:t>
      </w:r>
      <w:r>
        <w:rPr/>
        <w:t>under</w:t>
      </w:r>
      <w:r>
        <w:rPr>
          <w:spacing w:val="-12"/>
        </w:rPr>
        <w:t> </w:t>
      </w:r>
      <w:r>
        <w:rPr>
          <w:spacing w:val="-4"/>
        </w:rPr>
        <w:t>EU’s</w:t>
      </w:r>
      <w:r>
        <w:rPr>
          <w:spacing w:val="-12"/>
        </w:rPr>
        <w:t> </w:t>
      </w:r>
      <w:r>
        <w:rPr/>
        <w:t>7.</w:t>
      </w:r>
      <w:r>
        <w:rPr>
          <w:spacing w:val="-12"/>
        </w:rPr>
        <w:t> </w:t>
      </w:r>
      <w:r>
        <w:rPr/>
        <w:t>ramme- program er downloadet fra projektets</w:t>
      </w:r>
      <w:r>
        <w:rPr>
          <w:spacing w:val="-26"/>
        </w:rPr>
        <w:t> </w:t>
      </w:r>
      <w:r>
        <w:rPr/>
        <w:t>hjemmesi- de (</w:t>
      </w:r>
      <w:hyperlink r:id="rId27">
        <w:r>
          <w:rPr>
            <w:color w:val="FF0000"/>
          </w:rPr>
          <w:t>http://www.pangeoproject.eu/</w:t>
        </w:r>
      </w:hyperlink>
      <w:r>
        <w:rPr/>
        <w:t>) for de to</w:t>
      </w:r>
      <w:r>
        <w:rPr>
          <w:spacing w:val="-37"/>
        </w:rPr>
        <w:t> </w:t>
      </w:r>
      <w:r>
        <w:rPr>
          <w:spacing w:val="-4"/>
        </w:rPr>
        <w:t>dan- </w:t>
      </w:r>
      <w:r>
        <w:rPr/>
        <w:t>ske projektområder omkring Ålborg og </w:t>
      </w:r>
      <w:r>
        <w:rPr>
          <w:spacing w:val="-5"/>
        </w:rPr>
        <w:t>Køben- </w:t>
      </w:r>
      <w:r>
        <w:rPr/>
        <w:t>havn. Data er downloadet som ESRI </w:t>
      </w:r>
      <w:r>
        <w:rPr>
          <w:spacing w:val="-3"/>
        </w:rPr>
        <w:t>shapefiler, </w:t>
      </w:r>
      <w:r>
        <w:rPr/>
        <w:t>som uden videre kan indlæses i et GIS</w:t>
      </w:r>
      <w:r>
        <w:rPr>
          <w:spacing w:val="-1"/>
        </w:rPr>
        <w:t> </w:t>
      </w:r>
      <w:r>
        <w:rPr/>
        <w:t>program.</w:t>
      </w:r>
    </w:p>
    <w:p>
      <w:pPr>
        <w:pStyle w:val="BodyText"/>
        <w:spacing w:line="271" w:lineRule="exact"/>
        <w:ind w:left="329"/>
      </w:pPr>
      <w:r>
        <w:rPr/>
        <w:t>Data indeholder</w:t>
      </w:r>
    </w:p>
    <w:p>
      <w:pPr>
        <w:pStyle w:val="BodyText"/>
        <w:spacing w:line="252" w:lineRule="auto" w:before="212"/>
        <w:ind w:left="797" w:right="1131"/>
        <w:jc w:val="both"/>
      </w:pPr>
      <w:r>
        <w:rPr/>
        <w:pict>
          <v:shape style="position:absolute;margin-left:318.451996pt;margin-top:12.53786pt;width:6pt;height:20.75pt;mso-position-horizontal-relative:page;mso-position-vertical-relative:paragraph;z-index:1816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et polygonlag med de områder, hvor </w:t>
      </w:r>
      <w:r>
        <w:rPr>
          <w:spacing w:val="-3"/>
        </w:rPr>
        <w:t>PSI- </w:t>
      </w:r>
      <w:r>
        <w:rPr/>
        <w:t>beregningerne dokumenterer større </w:t>
      </w:r>
      <w:r>
        <w:rPr>
          <w:spacing w:val="-3"/>
        </w:rPr>
        <w:t>vertika- </w:t>
      </w:r>
      <w:r>
        <w:rPr/>
        <w:t>le landbevægelser,</w:t>
      </w:r>
    </w:p>
    <w:p>
      <w:pPr>
        <w:pStyle w:val="BodyText"/>
        <w:spacing w:line="252" w:lineRule="auto"/>
        <w:ind w:left="797" w:right="1131"/>
        <w:jc w:val="both"/>
      </w:pPr>
      <w:r>
        <w:rPr/>
        <w:pict>
          <v:shape style="position:absolute;margin-left:318.451996pt;margin-top:1.937854pt;width:6pt;height:20.75pt;mso-position-horizontal-relative:page;mso-position-vertical-relative:paragraph;z-index:1840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et polygonlag over potentielt ustabile</w:t>
      </w:r>
      <w:r>
        <w:rPr>
          <w:spacing w:val="-40"/>
        </w:rPr>
        <w:t> </w:t>
      </w:r>
      <w:r>
        <w:rPr>
          <w:spacing w:val="-3"/>
        </w:rPr>
        <w:t>områ- </w:t>
      </w:r>
      <w:r>
        <w:rPr/>
        <w:t>der</w:t>
      </w:r>
      <w:r>
        <w:rPr>
          <w:spacing w:val="-10"/>
        </w:rPr>
        <w:t> </w:t>
      </w:r>
      <w:r>
        <w:rPr/>
        <w:t>baseret</w:t>
      </w:r>
      <w:r>
        <w:rPr>
          <w:spacing w:val="-9"/>
        </w:rPr>
        <w:t> </w:t>
      </w:r>
      <w:r>
        <w:rPr/>
        <w:t>på</w:t>
      </w:r>
      <w:r>
        <w:rPr>
          <w:spacing w:val="-10"/>
        </w:rPr>
        <w:t> </w:t>
      </w:r>
      <w:r>
        <w:rPr/>
        <w:t>en</w:t>
      </w:r>
      <w:r>
        <w:rPr>
          <w:spacing w:val="-9"/>
        </w:rPr>
        <w:t> </w:t>
      </w:r>
      <w:r>
        <w:rPr/>
        <w:t>vurdering</w:t>
      </w:r>
      <w:r>
        <w:rPr>
          <w:spacing w:val="-10"/>
        </w:rPr>
        <w:t> </w:t>
      </w:r>
      <w:r>
        <w:rPr/>
        <w:t>af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>
          <w:spacing w:val="-3"/>
        </w:rPr>
        <w:t>geologiske </w:t>
      </w:r>
      <w:r>
        <w:rPr/>
        <w:t>forhold.</w:t>
      </w:r>
    </w:p>
    <w:p>
      <w:pPr>
        <w:spacing w:after="0" w:line="252" w:lineRule="auto"/>
        <w:jc w:val="both"/>
        <w:sectPr>
          <w:pgSz w:w="11910" w:h="16840"/>
          <w:pgMar w:header="0" w:footer="546" w:top="1020" w:bottom="740" w:left="0" w:right="0"/>
          <w:cols w:num="2" w:equalWidth="0">
            <w:col w:w="5769" w:space="40"/>
            <w:col w:w="6101"/>
          </w:cols>
        </w:sectPr>
      </w:pPr>
    </w:p>
    <w:p>
      <w:pPr>
        <w:pStyle w:val="BodyText"/>
        <w:spacing w:before="10"/>
        <w:rPr>
          <w:sz w:val="28"/>
        </w:rPr>
      </w:pPr>
    </w:p>
    <w:p>
      <w:pPr>
        <w:spacing w:line="463" w:lineRule="auto" w:before="111"/>
        <w:ind w:left="1133" w:right="6720" w:firstLine="0"/>
        <w:jc w:val="left"/>
        <w:rPr>
          <w:rFonts w:ascii="Arial"/>
          <w:b/>
          <w:sz w:val="45"/>
        </w:rPr>
      </w:pPr>
      <w:r>
        <w:rPr>
          <w:rFonts w:ascii="Arial"/>
          <w:b/>
          <w:sz w:val="45"/>
        </w:rPr>
        <w:t>Kapitel 3 Resultater</w:t>
      </w:r>
    </w:p>
    <w:p>
      <w:pPr>
        <w:spacing w:after="0" w:line="463" w:lineRule="auto"/>
        <w:jc w:val="left"/>
        <w:rPr>
          <w:rFonts w:ascii="Arial"/>
          <w:sz w:val="45"/>
        </w:rPr>
        <w:sectPr>
          <w:footerReference w:type="default" r:id="rId28"/>
          <w:pgSz w:w="11910" w:h="16840"/>
          <w:pgMar w:footer="0" w:header="0" w:top="1580" w:bottom="280" w:left="0" w:right="0"/>
        </w:sectPr>
      </w:pPr>
    </w:p>
    <w:p>
      <w:pPr>
        <w:pStyle w:val="Heading2"/>
        <w:numPr>
          <w:ilvl w:val="1"/>
          <w:numId w:val="5"/>
        </w:numPr>
        <w:tabs>
          <w:tab w:pos="1890" w:val="left" w:leader="none"/>
          <w:tab w:pos="1891" w:val="left" w:leader="none"/>
        </w:tabs>
        <w:spacing w:line="240" w:lineRule="auto" w:before="172" w:after="0"/>
        <w:ind w:left="1890" w:right="0" w:hanging="757"/>
        <w:jc w:val="left"/>
      </w:pPr>
      <w:bookmarkStart w:name="_bookmark16" w:id="25"/>
      <w:bookmarkEnd w:id="25"/>
      <w:r>
        <w:rPr>
          <w:b w:val="0"/>
        </w:rPr>
      </w:r>
      <w:bookmarkStart w:name="_bookmark16" w:id="26"/>
      <w:bookmarkEnd w:id="26"/>
      <w:r>
        <w:rPr/>
        <w:t>Screenings</w:t>
      </w:r>
      <w:r>
        <w:rPr/>
        <w:t>kort</w:t>
      </w:r>
    </w:p>
    <w:p>
      <w:pPr>
        <w:pStyle w:val="BodyText"/>
        <w:spacing w:line="252" w:lineRule="auto" w:before="246"/>
        <w:ind w:left="1133"/>
        <w:jc w:val="both"/>
      </w:pPr>
      <w:r>
        <w:rPr/>
        <w:t>Af ovenstående beskrivelser af de tematiske </w:t>
      </w:r>
      <w:r>
        <w:rPr>
          <w:spacing w:val="-5"/>
        </w:rPr>
        <w:t>da- </w:t>
      </w:r>
      <w:r>
        <w:rPr/>
        <w:t>ta</w:t>
      </w:r>
      <w:r>
        <w:rPr>
          <w:spacing w:val="-16"/>
        </w:rPr>
        <w:t> </w:t>
      </w:r>
      <w:r>
        <w:rPr/>
        <w:t>fremgår,</w:t>
      </w:r>
      <w:r>
        <w:rPr>
          <w:spacing w:val="-15"/>
        </w:rPr>
        <w:t> </w:t>
      </w:r>
      <w:r>
        <w:rPr/>
        <w:t>at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fire</w:t>
      </w:r>
      <w:r>
        <w:rPr>
          <w:spacing w:val="-16"/>
        </w:rPr>
        <w:t> </w:t>
      </w:r>
      <w:r>
        <w:rPr/>
        <w:t>datakilder</w:t>
      </w:r>
      <w:r>
        <w:rPr>
          <w:spacing w:val="-15"/>
        </w:rPr>
        <w:t> </w:t>
      </w:r>
      <w:r>
        <w:rPr/>
        <w:t>“Ferskvandssedi- menter”, “Landskabselementer”, </w:t>
      </w:r>
      <w:r>
        <w:rPr>
          <w:spacing w:val="-3"/>
        </w:rPr>
        <w:t>“Lavbundsare- </w:t>
      </w:r>
      <w:r>
        <w:rPr/>
        <w:t>aler” og </w:t>
      </w:r>
      <w:r>
        <w:rPr>
          <w:spacing w:val="-3"/>
        </w:rPr>
        <w:t>“Tørvejorde” </w:t>
      </w:r>
      <w:r>
        <w:rPr/>
        <w:t>alle er beslægtede i større eller mindre</w:t>
      </w:r>
      <w:r>
        <w:rPr>
          <w:spacing w:val="-3"/>
        </w:rPr>
        <w:t> </w:t>
      </w:r>
      <w:r>
        <w:rPr/>
        <w:t>grad.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“Tørvejorde” er altid omfattet af </w:t>
      </w:r>
      <w:r>
        <w:rPr>
          <w:spacing w:val="-3"/>
        </w:rPr>
        <w:t>“Lavbundsa- </w:t>
      </w:r>
      <w:r>
        <w:rPr/>
        <w:t>realer”, og udgør således en delmængde heraf.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Der er et vist sammenfald mellem “Fersk- vandssedimenter” og “Lavbundsjorde”, men </w:t>
      </w:r>
      <w:r>
        <w:rPr>
          <w:spacing w:val="-6"/>
        </w:rPr>
        <w:t>og- </w:t>
      </w:r>
      <w:r>
        <w:rPr/>
        <w:t>så eksempler på, at der intet sammenfald </w:t>
      </w:r>
      <w:r>
        <w:rPr>
          <w:spacing w:val="-11"/>
        </w:rPr>
        <w:t>er, </w:t>
      </w:r>
      <w:r>
        <w:rPr/>
        <w:t>f.eks. ved Thyborøn. Generelt udviser ådalene</w:t>
      </w:r>
      <w:r>
        <w:rPr>
          <w:spacing w:val="-40"/>
        </w:rPr>
        <w:t> </w:t>
      </w:r>
      <w:r>
        <w:rPr>
          <w:spacing w:val="-8"/>
        </w:rPr>
        <w:t>et </w:t>
      </w:r>
      <w:r>
        <w:rPr/>
        <w:t>pænt</w:t>
      </w:r>
      <w:r>
        <w:rPr>
          <w:spacing w:val="-2"/>
        </w:rPr>
        <w:t> </w:t>
      </w:r>
      <w:r>
        <w:rPr/>
        <w:t>sammenfald.</w:t>
      </w:r>
    </w:p>
    <w:p>
      <w:pPr>
        <w:pStyle w:val="BodyText"/>
        <w:spacing w:line="252" w:lineRule="auto"/>
        <w:ind w:left="1133" w:firstLine="234"/>
        <w:jc w:val="both"/>
      </w:pPr>
      <w:r>
        <w:rPr>
          <w:spacing w:val="-3"/>
        </w:rPr>
        <w:t>Visse </w:t>
      </w:r>
      <w:r>
        <w:rPr/>
        <w:t>steder, f.eks. ved Aarhus Havn, er </w:t>
      </w:r>
      <w:r>
        <w:rPr>
          <w:spacing w:val="-5"/>
        </w:rPr>
        <w:t>der </w:t>
      </w:r>
      <w:r>
        <w:rPr/>
        <w:t>arealer,</w:t>
      </w:r>
      <w:r>
        <w:rPr>
          <w:spacing w:val="-14"/>
        </w:rPr>
        <w:t> </w:t>
      </w:r>
      <w:r>
        <w:rPr/>
        <w:t>som</w:t>
      </w:r>
      <w:r>
        <w:rPr>
          <w:spacing w:val="-14"/>
        </w:rPr>
        <w:t> </w:t>
      </w:r>
      <w:r>
        <w:rPr/>
        <w:t>hverken</w:t>
      </w:r>
      <w:r>
        <w:rPr>
          <w:spacing w:val="-13"/>
        </w:rPr>
        <w:t> </w:t>
      </w:r>
      <w:r>
        <w:rPr/>
        <w:t>er</w:t>
      </w:r>
      <w:r>
        <w:rPr>
          <w:spacing w:val="-13"/>
        </w:rPr>
        <w:t> </w:t>
      </w:r>
      <w:r>
        <w:rPr/>
        <w:t>omfattet</w:t>
      </w:r>
      <w:r>
        <w:rPr>
          <w:spacing w:val="-12"/>
        </w:rPr>
        <w:t> </w:t>
      </w:r>
      <w:r>
        <w:rPr/>
        <w:t>af</w:t>
      </w:r>
      <w:r>
        <w:rPr>
          <w:spacing w:val="-14"/>
        </w:rPr>
        <w:t> </w:t>
      </w:r>
      <w:r>
        <w:rPr/>
        <w:t>“Ferskvands- sedimenter” eller “Lavbundsjorde” datalagene. Imidlertid er det kendt, at der ved Aarhus </w:t>
      </w:r>
      <w:r>
        <w:rPr>
          <w:spacing w:val="-6"/>
        </w:rPr>
        <w:t>Havn </w:t>
      </w:r>
      <w:r>
        <w:rPr/>
        <w:t>forekommer landsænkning. Af kortet </w:t>
      </w:r>
      <w:r>
        <w:rPr>
          <w:spacing w:val="-3"/>
        </w:rPr>
        <w:t>“Land- </w:t>
      </w:r>
      <w:r>
        <w:rPr/>
        <w:t>skabselementer”</w:t>
      </w:r>
      <w:r>
        <w:rPr>
          <w:spacing w:val="-13"/>
        </w:rPr>
        <w:t> </w:t>
      </w:r>
      <w:r>
        <w:rPr/>
        <w:t>fremgår,</w:t>
      </w:r>
      <w:r>
        <w:rPr>
          <w:spacing w:val="-12"/>
        </w:rPr>
        <w:t> </w:t>
      </w:r>
      <w:r>
        <w:rPr/>
        <w:t>at</w:t>
      </w:r>
      <w:r>
        <w:rPr>
          <w:spacing w:val="-13"/>
        </w:rPr>
        <w:t> </w:t>
      </w:r>
      <w:r>
        <w:rPr/>
        <w:t>Aarhus</w:t>
      </w:r>
      <w:r>
        <w:rPr>
          <w:spacing w:val="-12"/>
        </w:rPr>
        <w:t> </w:t>
      </w:r>
      <w:r>
        <w:rPr/>
        <w:t>Havn</w:t>
      </w:r>
      <w:r>
        <w:rPr>
          <w:spacing w:val="-12"/>
        </w:rPr>
        <w:t> </w:t>
      </w:r>
      <w:r>
        <w:rPr/>
        <w:t>er</w:t>
      </w:r>
      <w:r>
        <w:rPr>
          <w:spacing w:val="-13"/>
        </w:rPr>
        <w:t> </w:t>
      </w:r>
      <w:r>
        <w:rPr>
          <w:spacing w:val="-5"/>
        </w:rPr>
        <w:t>pla- </w:t>
      </w:r>
      <w:r>
        <w:rPr/>
        <w:t>ceret på Littorina- og yngre marine</w:t>
      </w:r>
      <w:r>
        <w:rPr>
          <w:spacing w:val="-33"/>
        </w:rPr>
        <w:t> </w:t>
      </w:r>
      <w:r>
        <w:rPr/>
        <w:t>aflejringer.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Et kort fremstillet til brug for en screening </w:t>
      </w:r>
      <w:r>
        <w:rPr>
          <w:spacing w:val="-9"/>
        </w:rPr>
        <w:t>af </w:t>
      </w:r>
      <w:r>
        <w:rPr/>
        <w:t>hvilke områder, der bør underkastes nøjere </w:t>
      </w:r>
      <w:r>
        <w:rPr>
          <w:spacing w:val="-6"/>
        </w:rPr>
        <w:t>un- </w:t>
      </w:r>
      <w:r>
        <w:rPr/>
        <w:t>dersøgelser med hensyn til landsætning, bør</w:t>
      </w:r>
      <w:r>
        <w:rPr>
          <w:spacing w:val="-24"/>
        </w:rPr>
        <w:t> </w:t>
      </w:r>
      <w:r>
        <w:rPr>
          <w:spacing w:val="-5"/>
        </w:rPr>
        <w:t>hel- </w:t>
      </w:r>
      <w:r>
        <w:rPr/>
        <w:t>lere medtage lidt for mange end for få </w:t>
      </w:r>
      <w:r>
        <w:rPr>
          <w:spacing w:val="-4"/>
        </w:rPr>
        <w:t>udpeg- </w:t>
      </w:r>
      <w:r>
        <w:rPr/>
        <w:t>ninger</w:t>
      </w:r>
      <w:r>
        <w:rPr>
          <w:spacing w:val="-8"/>
        </w:rPr>
        <w:t> </w:t>
      </w:r>
      <w:r>
        <w:rPr/>
        <w:t>af</w:t>
      </w:r>
      <w:r>
        <w:rPr>
          <w:spacing w:val="-7"/>
        </w:rPr>
        <w:t> </w:t>
      </w:r>
      <w:r>
        <w:rPr/>
        <w:t>områder</w:t>
      </w:r>
      <w:r>
        <w:rPr>
          <w:spacing w:val="-7"/>
        </w:rPr>
        <w:t> </w:t>
      </w:r>
      <w:r>
        <w:rPr/>
        <w:t>med</w:t>
      </w:r>
      <w:r>
        <w:rPr>
          <w:spacing w:val="-8"/>
        </w:rPr>
        <w:t> </w:t>
      </w:r>
      <w:r>
        <w:rPr/>
        <w:t>potentiel</w:t>
      </w:r>
      <w:r>
        <w:rPr>
          <w:spacing w:val="-7"/>
        </w:rPr>
        <w:t> </w:t>
      </w:r>
      <w:r>
        <w:rPr/>
        <w:t>risiko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>
          <w:spacing w:val="-3"/>
        </w:rPr>
        <w:t>lands- </w:t>
      </w:r>
      <w:r>
        <w:rPr/>
        <w:t>ænkning.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Ud fra de indledende analyser af </w:t>
      </w:r>
      <w:r>
        <w:rPr>
          <w:spacing w:val="-3"/>
        </w:rPr>
        <w:t>ovennævn- </w:t>
      </w:r>
      <w:r>
        <w:rPr/>
        <w:t>te kort forekommer det derfor rigtigst at </w:t>
      </w:r>
      <w:r>
        <w:rPr>
          <w:spacing w:val="-5"/>
        </w:rPr>
        <w:t>sum- </w:t>
      </w:r>
      <w:r>
        <w:rPr/>
        <w:t>mere alle udpegninger fra </w:t>
      </w:r>
      <w:r>
        <w:rPr>
          <w:spacing w:val="-4"/>
        </w:rPr>
        <w:t>hhv. </w:t>
      </w:r>
      <w:r>
        <w:rPr>
          <w:spacing w:val="-3"/>
        </w:rPr>
        <w:t>“Ferskvandsse- </w:t>
      </w:r>
      <w:r>
        <w:rPr/>
        <w:t>dimenter” og “Lavbundsarealer” samt “Littori- na”</w:t>
      </w:r>
      <w:r>
        <w:rPr>
          <w:spacing w:val="-12"/>
        </w:rPr>
        <w:t> </w:t>
      </w:r>
      <w:r>
        <w:rPr/>
        <w:t>temaet</w:t>
      </w:r>
      <w:r>
        <w:rPr>
          <w:spacing w:val="-11"/>
        </w:rPr>
        <w:t> </w:t>
      </w:r>
      <w:r>
        <w:rPr/>
        <w:t>fra</w:t>
      </w:r>
      <w:r>
        <w:rPr>
          <w:spacing w:val="-11"/>
        </w:rPr>
        <w:t> </w:t>
      </w:r>
      <w:r>
        <w:rPr/>
        <w:t>kortet</w:t>
      </w:r>
      <w:r>
        <w:rPr>
          <w:spacing w:val="-12"/>
        </w:rPr>
        <w:t> </w:t>
      </w:r>
      <w:r>
        <w:rPr/>
        <w:t>“Landskabselementer”.</w:t>
      </w:r>
      <w:r>
        <w:rPr>
          <w:spacing w:val="-11"/>
        </w:rPr>
        <w:t> </w:t>
      </w:r>
      <w:r>
        <w:rPr>
          <w:spacing w:val="-6"/>
        </w:rPr>
        <w:t>Det </w:t>
      </w:r>
      <w:r>
        <w:rPr/>
        <w:t>er endvidere besluttet også at inkludere </w:t>
      </w:r>
      <w:r>
        <w:rPr>
          <w:spacing w:val="-3"/>
        </w:rPr>
        <w:t>“Marsk” </w:t>
      </w:r>
      <w:r>
        <w:rPr/>
        <w:t>og “Inddæmmet areal” temaerne fra “Landskab- selementer”, idet disse landskabstyper </w:t>
      </w:r>
      <w:r>
        <w:rPr>
          <w:spacing w:val="-3"/>
        </w:rPr>
        <w:t>normalt </w:t>
      </w:r>
      <w:r>
        <w:rPr/>
        <w:t>er karakteriseret ved bløde sætningsgivende </w:t>
      </w:r>
      <w:r>
        <w:rPr>
          <w:spacing w:val="-6"/>
        </w:rPr>
        <w:t>se- </w:t>
      </w:r>
      <w:r>
        <w:rPr/>
        <w:t>dimenter. Endelig er alle områder karakteriseret ved</w:t>
      </w:r>
      <w:r>
        <w:rPr>
          <w:spacing w:val="-10"/>
        </w:rPr>
        <w:t> </w:t>
      </w:r>
      <w:r>
        <w:rPr/>
        <w:t>en</w:t>
      </w:r>
      <w:r>
        <w:rPr>
          <w:spacing w:val="-9"/>
        </w:rPr>
        <w:t> </w:t>
      </w:r>
      <w:r>
        <w:rPr/>
        <w:t>aktuel</w:t>
      </w:r>
      <w:r>
        <w:rPr>
          <w:spacing w:val="-10"/>
        </w:rPr>
        <w:t> </w:t>
      </w:r>
      <w:r>
        <w:rPr/>
        <w:t>kote</w:t>
      </w:r>
      <w:r>
        <w:rPr>
          <w:spacing w:val="-9"/>
        </w:rPr>
        <w:t> </w:t>
      </w:r>
      <w:r>
        <w:rPr/>
        <w:t>imellem</w:t>
      </w:r>
      <w:r>
        <w:rPr>
          <w:spacing w:val="-10"/>
        </w:rPr>
        <w:t> </w:t>
      </w:r>
      <w:r>
        <w:rPr/>
        <w:t>0</w:t>
      </w:r>
      <w:r>
        <w:rPr>
          <w:spacing w:val="-9"/>
        </w:rPr>
        <w:t> </w:t>
      </w:r>
      <w:r>
        <w:rPr/>
        <w:t>og</w:t>
      </w:r>
      <w:r>
        <w:rPr>
          <w:spacing w:val="-10"/>
        </w:rPr>
        <w:t> </w:t>
      </w:r>
      <w:r>
        <w:rPr/>
        <w:t>3</w:t>
      </w:r>
      <w:r>
        <w:rPr>
          <w:spacing w:val="-9"/>
        </w:rPr>
        <w:t> </w:t>
      </w:r>
      <w:r>
        <w:rPr/>
        <w:t>meter</w:t>
      </w:r>
      <w:r>
        <w:rPr>
          <w:spacing w:val="-10"/>
        </w:rPr>
        <w:t> </w:t>
      </w:r>
      <w:r>
        <w:rPr>
          <w:spacing w:val="-3"/>
        </w:rPr>
        <w:t>inklude- </w:t>
      </w:r>
      <w:r>
        <w:rPr/>
        <w:t>ret sammen med opfyldsområder ved større</w:t>
      </w:r>
      <w:r>
        <w:rPr>
          <w:spacing w:val="-26"/>
        </w:rPr>
        <w:t> </w:t>
      </w:r>
      <w:r>
        <w:rPr>
          <w:spacing w:val="-6"/>
        </w:rPr>
        <w:t>hav-</w:t>
      </w:r>
    </w:p>
    <w:p>
      <w:pPr>
        <w:pStyle w:val="BodyText"/>
        <w:spacing w:line="252" w:lineRule="auto" w:before="238"/>
        <w:ind w:left="329" w:right="1131"/>
        <w:jc w:val="both"/>
      </w:pPr>
      <w:r>
        <w:rPr/>
        <w:br w:type="column"/>
      </w:r>
      <w:r>
        <w:rPr/>
        <w:t>ne</w:t>
      </w:r>
      <w:r>
        <w:rPr>
          <w:spacing w:val="-11"/>
        </w:rPr>
        <w:t> </w:t>
      </w:r>
      <w:r>
        <w:rPr/>
        <w:t>(Esbjerg,</w:t>
      </w:r>
      <w:r>
        <w:rPr>
          <w:spacing w:val="-11"/>
        </w:rPr>
        <w:t> </w:t>
      </w:r>
      <w:r>
        <w:rPr/>
        <w:t>Lemvig,</w:t>
      </w:r>
      <w:r>
        <w:rPr>
          <w:spacing w:val="-11"/>
        </w:rPr>
        <w:t> </w:t>
      </w:r>
      <w:r>
        <w:rPr/>
        <w:t>Hanstholm,</w:t>
      </w:r>
      <w:r>
        <w:rPr>
          <w:spacing w:val="-11"/>
        </w:rPr>
        <w:t> </w:t>
      </w:r>
      <w:r>
        <w:rPr/>
        <w:t>Hirtshals,</w:t>
      </w:r>
      <w:r>
        <w:rPr>
          <w:spacing w:val="-11"/>
        </w:rPr>
        <w:t> </w:t>
      </w:r>
      <w:r>
        <w:rPr>
          <w:spacing w:val="-3"/>
        </w:rPr>
        <w:t>Ska- </w:t>
      </w:r>
      <w:r>
        <w:rPr/>
        <w:t>gen,</w:t>
      </w:r>
      <w:r>
        <w:rPr>
          <w:spacing w:val="-8"/>
        </w:rPr>
        <w:t> </w:t>
      </w:r>
      <w:r>
        <w:rPr/>
        <w:t>Frederikshavn,</w:t>
      </w:r>
      <w:r>
        <w:rPr>
          <w:spacing w:val="-7"/>
        </w:rPr>
        <w:t> </w:t>
      </w:r>
      <w:r>
        <w:rPr/>
        <w:t>Grenå,</w:t>
      </w:r>
      <w:r>
        <w:rPr>
          <w:spacing w:val="-8"/>
        </w:rPr>
        <w:t> </w:t>
      </w:r>
      <w:r>
        <w:rPr/>
        <w:t>Århus</w:t>
      </w:r>
      <w:r>
        <w:rPr>
          <w:spacing w:val="-7"/>
        </w:rPr>
        <w:t> </w:t>
      </w:r>
      <w:r>
        <w:rPr/>
        <w:t>og</w:t>
      </w:r>
      <w:r>
        <w:rPr>
          <w:spacing w:val="-8"/>
        </w:rPr>
        <w:t> </w:t>
      </w:r>
      <w:r>
        <w:rPr/>
        <w:t>Køge).</w:t>
      </w:r>
      <w:r>
        <w:rPr>
          <w:spacing w:val="-7"/>
        </w:rPr>
        <w:t> </w:t>
      </w:r>
      <w:r>
        <w:rPr>
          <w:spacing w:val="-5"/>
        </w:rPr>
        <w:t>Det </w:t>
      </w:r>
      <w:r>
        <w:rPr/>
        <w:t>resulterende kort udgør således foreningsmæng- den af disse i alt 7 temalag, og omtales i det </w:t>
      </w:r>
      <w:r>
        <w:rPr>
          <w:spacing w:val="-4"/>
        </w:rPr>
        <w:t>føl- </w:t>
      </w:r>
      <w:r>
        <w:rPr/>
        <w:t>gende som</w:t>
      </w:r>
      <w:r>
        <w:rPr>
          <w:spacing w:val="-3"/>
        </w:rPr>
        <w:t> </w:t>
      </w:r>
      <w:r>
        <w:rPr/>
        <w:t>“Screeningskortet”.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Figur </w:t>
      </w:r>
      <w:hyperlink w:history="true" w:anchor="_bookmark18">
        <w:r>
          <w:rPr>
            <w:color w:val="FF0000"/>
          </w:rPr>
          <w:t>2</w:t>
        </w:r>
      </w:hyperlink>
      <w:r>
        <w:rPr>
          <w:color w:val="FF0000"/>
        </w:rPr>
        <w:t> </w:t>
      </w:r>
      <w:r>
        <w:rPr/>
        <w:t>viser for et tværsnit af Midtjylland hvert af de digitale kortprodukter, som er </w:t>
      </w:r>
      <w:r>
        <w:rPr>
          <w:spacing w:val="-5"/>
        </w:rPr>
        <w:t>an- </w:t>
      </w:r>
      <w:r>
        <w:rPr/>
        <w:t>vendt til fremstilling af screeningskortet. </w:t>
      </w:r>
      <w:r>
        <w:rPr>
          <w:spacing w:val="-4"/>
        </w:rPr>
        <w:t>Øverst </w:t>
      </w:r>
      <w:r>
        <w:rPr/>
        <w:t>i figuren er vist et oversigtskort. De følgende fem kort i figuren omfatter Ferskvandssedimen- </w:t>
      </w:r>
      <w:r>
        <w:rPr>
          <w:spacing w:val="-3"/>
        </w:rPr>
        <w:t>ter, </w:t>
      </w:r>
      <w:r>
        <w:rPr/>
        <w:t>Lavbundsarealer, Landskabselementer </w:t>
      </w:r>
      <w:r>
        <w:rPr>
          <w:spacing w:val="-4"/>
        </w:rPr>
        <w:t>(Lit- </w:t>
      </w:r>
      <w:r>
        <w:rPr/>
        <w:t>torina, Marsk og Inddæmmet areal), DHM </w:t>
      </w:r>
      <w:r>
        <w:rPr>
          <w:spacing w:val="-4"/>
        </w:rPr>
        <w:t>(0–3 </w:t>
      </w:r>
      <w:r>
        <w:rPr/>
        <w:t>meter intervallet) samt Opfyldsområder. Det </w:t>
      </w:r>
      <w:r>
        <w:rPr>
          <w:spacing w:val="-5"/>
        </w:rPr>
        <w:t>ne- </w:t>
      </w:r>
      <w:r>
        <w:rPr/>
        <w:t>derste kort i figuren viser det resulterende</w:t>
      </w:r>
      <w:r>
        <w:rPr>
          <w:spacing w:val="-26"/>
        </w:rPr>
        <w:t> </w:t>
      </w:r>
      <w:r>
        <w:rPr/>
        <w:t>scree- ningskort.</w:t>
      </w:r>
    </w:p>
    <w:p>
      <w:pPr>
        <w:pStyle w:val="BodyText"/>
        <w:spacing w:before="10"/>
        <w:rPr>
          <w:sz w:val="38"/>
        </w:rPr>
      </w:pPr>
    </w:p>
    <w:p>
      <w:pPr>
        <w:pStyle w:val="Heading2"/>
        <w:numPr>
          <w:ilvl w:val="1"/>
          <w:numId w:val="5"/>
        </w:numPr>
        <w:tabs>
          <w:tab w:pos="1086" w:val="left" w:leader="none"/>
          <w:tab w:pos="1087" w:val="left" w:leader="none"/>
          <w:tab w:pos="3528" w:val="left" w:leader="none"/>
          <w:tab w:pos="4193" w:val="left" w:leader="none"/>
        </w:tabs>
        <w:spacing w:line="295" w:lineRule="auto" w:before="0" w:after="0"/>
        <w:ind w:left="1086" w:right="1131" w:hanging="757"/>
        <w:jc w:val="left"/>
      </w:pPr>
      <w:bookmarkStart w:name="_bookmark17" w:id="27"/>
      <w:bookmarkEnd w:id="27"/>
      <w:r>
        <w:rPr>
          <w:b w:val="0"/>
        </w:rPr>
      </w:r>
      <w:bookmarkStart w:name="_bookmark17" w:id="28"/>
      <w:bookmarkEnd w:id="28"/>
      <w:r>
        <w:rPr/>
        <w:t>Ændringsrater</w:t>
      </w:r>
      <w:r>
        <w:rPr/>
        <w:tab/>
        <w:t>fra</w:t>
        <w:tab/>
      </w:r>
      <w:r>
        <w:rPr>
          <w:spacing w:val="-5"/>
        </w:rPr>
        <w:t>koter </w:t>
      </w:r>
      <w:r>
        <w:rPr/>
        <w:t>og historiske</w:t>
      </w:r>
      <w:r>
        <w:rPr>
          <w:spacing w:val="20"/>
        </w:rPr>
        <w:t> </w:t>
      </w:r>
      <w:r>
        <w:rPr/>
        <w:t>målinger</w:t>
      </w:r>
    </w:p>
    <w:p>
      <w:pPr>
        <w:pStyle w:val="BodyText"/>
        <w:spacing w:line="252" w:lineRule="auto" w:before="164"/>
        <w:ind w:left="329" w:right="1131"/>
        <w:jc w:val="both"/>
      </w:pPr>
      <w:r>
        <w:rPr/>
        <w:t>Ændringsrater for vertikal landbevægelse, </w:t>
      </w:r>
      <w:r>
        <w:rPr>
          <w:spacing w:val="-7"/>
        </w:rPr>
        <w:t>kor- </w:t>
      </w:r>
      <w:r>
        <w:rPr/>
        <w:t>relationskoefficienter og minimum/maksimum- værdier er beregnet baseret på  </w:t>
      </w:r>
      <w:r>
        <w:rPr>
          <w:spacing w:val="-3"/>
        </w:rPr>
        <w:t>registreringer  </w:t>
      </w:r>
      <w:r>
        <w:rPr/>
        <w:t>fra fikspunktdatabasen. Dataudtræk, processe- ring</w:t>
      </w:r>
      <w:r>
        <w:rPr>
          <w:spacing w:val="-12"/>
        </w:rPr>
        <w:t> </w:t>
      </w:r>
      <w:r>
        <w:rPr/>
        <w:t>og</w:t>
      </w:r>
      <w:r>
        <w:rPr>
          <w:spacing w:val="-12"/>
        </w:rPr>
        <w:t> </w:t>
      </w:r>
      <w:r>
        <w:rPr/>
        <w:t>kvalitetskontrol</w:t>
      </w:r>
      <w:r>
        <w:rPr>
          <w:spacing w:val="-12"/>
        </w:rPr>
        <w:t> </w:t>
      </w:r>
      <w:r>
        <w:rPr/>
        <w:t>er</w:t>
      </w:r>
      <w:r>
        <w:rPr>
          <w:spacing w:val="-11"/>
        </w:rPr>
        <w:t> </w:t>
      </w:r>
      <w:r>
        <w:rPr/>
        <w:t>udført</w:t>
      </w:r>
      <w:r>
        <w:rPr>
          <w:spacing w:val="-12"/>
        </w:rPr>
        <w:t> </w:t>
      </w:r>
      <w:r>
        <w:rPr/>
        <w:t>som</w:t>
      </w:r>
      <w:r>
        <w:rPr>
          <w:spacing w:val="-12"/>
        </w:rPr>
        <w:t> </w:t>
      </w:r>
      <w:r>
        <w:rPr/>
        <w:t>beskrevet</w:t>
      </w:r>
      <w:r>
        <w:rPr>
          <w:spacing w:val="-11"/>
        </w:rPr>
        <w:t> i </w:t>
      </w:r>
      <w:r>
        <w:rPr/>
        <w:t>nedenstående arbejdsproces, bestående af i alt </w:t>
      </w:r>
      <w:r>
        <w:rPr>
          <w:spacing w:val="-8"/>
        </w:rPr>
        <w:t>ti </w:t>
      </w:r>
      <w:r>
        <w:rPr/>
        <w:t>trin:</w:t>
      </w:r>
    </w:p>
    <w:p>
      <w:pPr>
        <w:pStyle w:val="BodyText"/>
        <w:rPr>
          <w:sz w:val="22"/>
        </w:rPr>
      </w:pPr>
    </w:p>
    <w:p>
      <w:pPr>
        <w:pStyle w:val="ListParagraph"/>
        <w:numPr>
          <w:ilvl w:val="2"/>
          <w:numId w:val="5"/>
        </w:numPr>
        <w:tabs>
          <w:tab w:pos="798" w:val="left" w:leader="none"/>
        </w:tabs>
        <w:spacing w:line="252" w:lineRule="auto" w:before="0" w:after="0"/>
        <w:ind w:left="797" w:right="1131" w:hanging="296"/>
        <w:jc w:val="both"/>
        <w:rPr>
          <w:sz w:val="24"/>
        </w:rPr>
      </w:pPr>
      <w:r>
        <w:rPr>
          <w:sz w:val="24"/>
        </w:rPr>
        <w:t>Alle koter er i forbindelse  med  udtræk- ket fra fikspunktdatabasen omregnet </w:t>
      </w:r>
      <w:r>
        <w:rPr>
          <w:spacing w:val="-5"/>
          <w:sz w:val="24"/>
        </w:rPr>
        <w:t>til </w:t>
      </w:r>
      <w:r>
        <w:rPr>
          <w:sz w:val="24"/>
        </w:rPr>
        <w:t>DVR90. Transformationen af koter er </w:t>
      </w:r>
      <w:r>
        <w:rPr>
          <w:spacing w:val="-5"/>
          <w:sz w:val="24"/>
        </w:rPr>
        <w:t>be- </w:t>
      </w:r>
      <w:r>
        <w:rPr>
          <w:sz w:val="24"/>
        </w:rPr>
        <w:t>stemt ud fra koter i de to kotesystemer </w:t>
      </w:r>
      <w:r>
        <w:rPr>
          <w:spacing w:val="-4"/>
          <w:sz w:val="24"/>
        </w:rPr>
        <w:t>til </w:t>
      </w:r>
      <w:r>
        <w:rPr>
          <w:sz w:val="24"/>
        </w:rPr>
        <w:t>det samme punkt. Et stort antal </w:t>
      </w:r>
      <w:r>
        <w:rPr>
          <w:spacing w:val="-3"/>
          <w:sz w:val="24"/>
        </w:rPr>
        <w:t>kotediffe- </w:t>
      </w:r>
      <w:r>
        <w:rPr>
          <w:sz w:val="24"/>
        </w:rPr>
        <w:t>rencer har således bidraget til bestemmel- sen</w:t>
      </w:r>
      <w:r>
        <w:rPr>
          <w:spacing w:val="-7"/>
          <w:sz w:val="24"/>
        </w:rPr>
        <w:t> </w:t>
      </w:r>
      <w:r>
        <w:rPr>
          <w:sz w:val="24"/>
        </w:rPr>
        <w:t>af</w:t>
      </w:r>
      <w:r>
        <w:rPr>
          <w:spacing w:val="-7"/>
          <w:sz w:val="24"/>
        </w:rPr>
        <w:t> </w:t>
      </w:r>
      <w:r>
        <w:rPr>
          <w:sz w:val="24"/>
        </w:rPr>
        <w:t>en</w:t>
      </w:r>
      <w:r>
        <w:rPr>
          <w:spacing w:val="-7"/>
          <w:sz w:val="24"/>
        </w:rPr>
        <w:t> </w:t>
      </w:r>
      <w:r>
        <w:rPr>
          <w:sz w:val="24"/>
        </w:rPr>
        <w:t>korrektion</w:t>
      </w:r>
      <w:r>
        <w:rPr>
          <w:spacing w:val="-6"/>
          <w:sz w:val="24"/>
        </w:rPr>
        <w:t> </w:t>
      </w:r>
      <w:r>
        <w:rPr>
          <w:sz w:val="24"/>
        </w:rPr>
        <w:t>af</w:t>
      </w:r>
      <w:r>
        <w:rPr>
          <w:spacing w:val="-8"/>
          <w:sz w:val="24"/>
        </w:rPr>
        <w:t> </w:t>
      </w:r>
      <w:r>
        <w:rPr>
          <w:sz w:val="24"/>
        </w:rPr>
        <w:t>DNN</w:t>
      </w:r>
      <w:r>
        <w:rPr>
          <w:spacing w:val="-6"/>
          <w:sz w:val="24"/>
        </w:rPr>
        <w:t> </w:t>
      </w:r>
      <w:r>
        <w:rPr>
          <w:sz w:val="24"/>
        </w:rPr>
        <w:t>og</w:t>
      </w:r>
      <w:r>
        <w:rPr>
          <w:spacing w:val="-6"/>
          <w:sz w:val="24"/>
        </w:rPr>
        <w:t> </w:t>
      </w:r>
      <w:r>
        <w:rPr>
          <w:sz w:val="24"/>
        </w:rPr>
        <w:t>KN</w:t>
      </w:r>
      <w:r>
        <w:rPr>
          <w:spacing w:val="-8"/>
          <w:sz w:val="24"/>
        </w:rPr>
        <w:t> </w:t>
      </w:r>
      <w:r>
        <w:rPr>
          <w:spacing w:val="-3"/>
          <w:sz w:val="24"/>
        </w:rPr>
        <w:t>koterne </w:t>
      </w:r>
      <w:r>
        <w:rPr>
          <w:sz w:val="24"/>
        </w:rPr>
        <w:t>til</w:t>
      </w:r>
      <w:r>
        <w:rPr>
          <w:spacing w:val="-14"/>
          <w:sz w:val="24"/>
        </w:rPr>
        <w:t> </w:t>
      </w:r>
      <w:r>
        <w:rPr>
          <w:sz w:val="24"/>
        </w:rPr>
        <w:t>DVR90</w:t>
      </w:r>
      <w:r>
        <w:rPr>
          <w:spacing w:val="-14"/>
          <w:sz w:val="24"/>
        </w:rPr>
        <w:t> </w:t>
      </w:r>
      <w:r>
        <w:rPr>
          <w:spacing w:val="-3"/>
          <w:sz w:val="24"/>
        </w:rPr>
        <w:t>koter.</w:t>
      </w:r>
      <w:r>
        <w:rPr>
          <w:spacing w:val="-14"/>
          <w:sz w:val="24"/>
        </w:rPr>
        <w:t> </w:t>
      </w:r>
      <w:r>
        <w:rPr>
          <w:sz w:val="24"/>
        </w:rPr>
        <w:t>Bestemmelsen</w:t>
      </w:r>
      <w:r>
        <w:rPr>
          <w:spacing w:val="-13"/>
          <w:sz w:val="24"/>
        </w:rPr>
        <w:t> </w:t>
      </w:r>
      <w:r>
        <w:rPr>
          <w:sz w:val="24"/>
        </w:rPr>
        <w:t>er</w:t>
      </w:r>
      <w:r>
        <w:rPr>
          <w:spacing w:val="-14"/>
          <w:sz w:val="24"/>
        </w:rPr>
        <w:t> </w:t>
      </w:r>
      <w:r>
        <w:rPr>
          <w:sz w:val="24"/>
        </w:rPr>
        <w:t>foretaget ved en krigingbaseret gridning af af </w:t>
      </w:r>
      <w:r>
        <w:rPr>
          <w:spacing w:val="-3"/>
          <w:sz w:val="24"/>
        </w:rPr>
        <w:t>disse </w:t>
      </w:r>
      <w:r>
        <w:rPr>
          <w:sz w:val="24"/>
        </w:rPr>
        <w:t>kotedifferencer.</w:t>
      </w:r>
    </w:p>
    <w:p>
      <w:pPr>
        <w:pStyle w:val="ListParagraph"/>
        <w:numPr>
          <w:ilvl w:val="2"/>
          <w:numId w:val="5"/>
        </w:numPr>
        <w:tabs>
          <w:tab w:pos="798" w:val="left" w:leader="none"/>
        </w:tabs>
        <w:spacing w:line="240" w:lineRule="auto" w:before="91" w:after="0"/>
        <w:ind w:left="797" w:right="0" w:hanging="296"/>
        <w:jc w:val="left"/>
        <w:rPr>
          <w:sz w:val="24"/>
        </w:rPr>
      </w:pPr>
      <w:r>
        <w:rPr>
          <w:sz w:val="24"/>
        </w:rPr>
        <w:t>Registreringer i databasen,</w:t>
      </w:r>
      <w:r>
        <w:rPr>
          <w:spacing w:val="11"/>
          <w:sz w:val="24"/>
        </w:rPr>
        <w:t> </w:t>
      </w:r>
      <w:r>
        <w:rPr>
          <w:sz w:val="24"/>
        </w:rPr>
        <w:t>fremkommet</w:t>
      </w:r>
    </w:p>
    <w:p>
      <w:pPr>
        <w:spacing w:after="0" w:line="240" w:lineRule="auto"/>
        <w:jc w:val="left"/>
        <w:rPr>
          <w:sz w:val="24"/>
        </w:rPr>
        <w:sectPr>
          <w:type w:val="continuous"/>
          <w:pgSz w:w="11910" w:h="16840"/>
          <w:pgMar w:top="0" w:bottom="280" w:left="0" w:right="0"/>
          <w:cols w:num="2" w:equalWidth="0">
            <w:col w:w="5769" w:space="40"/>
            <w:col w:w="6101"/>
          </w:cols>
        </w:sectPr>
      </w:pPr>
    </w:p>
    <w:p>
      <w:pPr>
        <w:pStyle w:val="BodyText"/>
        <w:ind w:left="1615"/>
        <w:rPr>
          <w:sz w:val="20"/>
        </w:rPr>
      </w:pPr>
      <w:r>
        <w:rPr>
          <w:sz w:val="20"/>
        </w:rPr>
        <w:drawing>
          <wp:inline distT="0" distB="0" distL="0" distR="0">
            <wp:extent cx="5485542" cy="879538"/>
            <wp:effectExtent l="0" t="0" r="0" b="0"/>
            <wp:docPr id="11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542" cy="879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8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1026020</wp:posOffset>
            </wp:positionH>
            <wp:positionV relativeFrom="paragraph">
              <wp:posOffset>90284</wp:posOffset>
            </wp:positionV>
            <wp:extent cx="5485542" cy="879538"/>
            <wp:effectExtent l="0" t="0" r="0" b="0"/>
            <wp:wrapTopAndBottom/>
            <wp:docPr id="13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0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542" cy="879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1026020</wp:posOffset>
            </wp:positionH>
            <wp:positionV relativeFrom="paragraph">
              <wp:posOffset>1060678</wp:posOffset>
            </wp:positionV>
            <wp:extent cx="5485542" cy="879538"/>
            <wp:effectExtent l="0" t="0" r="0" b="0"/>
            <wp:wrapTopAndBottom/>
            <wp:docPr id="15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542" cy="879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1026020</wp:posOffset>
            </wp:positionH>
            <wp:positionV relativeFrom="paragraph">
              <wp:posOffset>2031085</wp:posOffset>
            </wp:positionV>
            <wp:extent cx="5485542" cy="879538"/>
            <wp:effectExtent l="0" t="0" r="0" b="0"/>
            <wp:wrapTopAndBottom/>
            <wp:docPr id="17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2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542" cy="879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1026020</wp:posOffset>
            </wp:positionH>
            <wp:positionV relativeFrom="paragraph">
              <wp:posOffset>3001479</wp:posOffset>
            </wp:positionV>
            <wp:extent cx="5485542" cy="879538"/>
            <wp:effectExtent l="0" t="0" r="0" b="0"/>
            <wp:wrapTopAndBottom/>
            <wp:docPr id="19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542" cy="879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1028602</wp:posOffset>
            </wp:positionH>
            <wp:positionV relativeFrom="paragraph">
              <wp:posOffset>3971874</wp:posOffset>
            </wp:positionV>
            <wp:extent cx="5482971" cy="879538"/>
            <wp:effectExtent l="0" t="0" r="0" b="0"/>
            <wp:wrapTopAndBottom/>
            <wp:docPr id="21" name="image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4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971" cy="879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1026020</wp:posOffset>
            </wp:positionH>
            <wp:positionV relativeFrom="paragraph">
              <wp:posOffset>4942268</wp:posOffset>
            </wp:positionV>
            <wp:extent cx="5485542" cy="879538"/>
            <wp:effectExtent l="0" t="0" r="0" b="0"/>
            <wp:wrapTopAndBottom/>
            <wp:docPr id="23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5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542" cy="879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1026020</wp:posOffset>
            </wp:positionH>
            <wp:positionV relativeFrom="paragraph">
              <wp:posOffset>6043809</wp:posOffset>
            </wp:positionV>
            <wp:extent cx="5506116" cy="1242155"/>
            <wp:effectExtent l="0" t="0" r="0" b="0"/>
            <wp:wrapTopAndBottom/>
            <wp:docPr id="25" name="image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6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116" cy="1242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spacing w:before="5"/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before="0"/>
        <w:ind w:left="3182" w:right="0" w:firstLine="0"/>
        <w:jc w:val="left"/>
        <w:rPr>
          <w:rFonts w:ascii="Arial"/>
          <w:sz w:val="20"/>
        </w:rPr>
      </w:pPr>
      <w:bookmarkStart w:name="_bookmark18" w:id="29"/>
      <w:bookmarkEnd w:id="29"/>
      <w:r>
        <w:rPr/>
      </w:r>
      <w:r>
        <w:rPr>
          <w:rFonts w:ascii="Arial"/>
          <w:sz w:val="22"/>
        </w:rPr>
        <w:t>Figur 2: </w:t>
      </w:r>
      <w:r>
        <w:rPr>
          <w:rFonts w:ascii="Arial"/>
          <w:sz w:val="20"/>
        </w:rPr>
        <w:t>Kortgrundlag til fremstilling af screeningskort (udsnit).</w:t>
      </w:r>
    </w:p>
    <w:p>
      <w:pPr>
        <w:spacing w:after="0"/>
        <w:jc w:val="left"/>
        <w:rPr>
          <w:rFonts w:ascii="Arial"/>
          <w:sz w:val="20"/>
        </w:rPr>
        <w:sectPr>
          <w:footerReference w:type="default" r:id="rId29"/>
          <w:pgSz w:w="11910" w:h="16840"/>
          <w:pgMar w:footer="546" w:header="0" w:top="1440" w:bottom="740" w:left="0" w:right="0"/>
          <w:pgNumType w:start="14"/>
        </w:sectPr>
      </w:pPr>
    </w:p>
    <w:p>
      <w:pPr>
        <w:pStyle w:val="BodyText"/>
        <w:spacing w:line="252" w:lineRule="auto" w:before="71"/>
        <w:ind w:left="1602"/>
      </w:pPr>
      <w:r>
        <w:rPr/>
        <w:t>som følge af genberegning af</w:t>
      </w:r>
      <w:r>
        <w:rPr>
          <w:spacing w:val="-34"/>
        </w:rPr>
        <w:t> </w:t>
      </w:r>
      <w:r>
        <w:rPr>
          <w:spacing w:val="-3"/>
        </w:rPr>
        <w:t>plankoordina- ter, </w:t>
      </w:r>
      <w:r>
        <w:rPr/>
        <w:t>er filtreret</w:t>
      </w:r>
      <w:r>
        <w:rPr>
          <w:spacing w:val="-2"/>
        </w:rPr>
        <w:t> </w:t>
      </w:r>
      <w:r>
        <w:rPr/>
        <w:t>fra.</w:t>
      </w:r>
    </w:p>
    <w:p>
      <w:pPr>
        <w:pStyle w:val="ListParagraph"/>
        <w:numPr>
          <w:ilvl w:val="2"/>
          <w:numId w:val="5"/>
        </w:numPr>
        <w:tabs>
          <w:tab w:pos="1603" w:val="left" w:leader="none"/>
        </w:tabs>
        <w:spacing w:line="252" w:lineRule="auto" w:before="93" w:after="0"/>
        <w:ind w:left="1602" w:right="0" w:hanging="297"/>
        <w:jc w:val="both"/>
        <w:rPr>
          <w:sz w:val="24"/>
        </w:rPr>
      </w:pPr>
      <w:r>
        <w:rPr>
          <w:sz w:val="24"/>
        </w:rPr>
        <w:t>Såfremt der i databasen forekommer </w:t>
      </w:r>
      <w:r>
        <w:rPr>
          <w:spacing w:val="-4"/>
          <w:sz w:val="24"/>
        </w:rPr>
        <w:t>flere</w:t>
      </w:r>
      <w:r>
        <w:rPr>
          <w:spacing w:val="52"/>
          <w:sz w:val="24"/>
        </w:rPr>
        <w:t> </w:t>
      </w:r>
      <w:r>
        <w:rPr>
          <w:sz w:val="24"/>
        </w:rPr>
        <w:t>registreringer med beregning af en kote </w:t>
      </w:r>
      <w:r>
        <w:rPr>
          <w:spacing w:val="-5"/>
          <w:sz w:val="24"/>
        </w:rPr>
        <w:t>for </w:t>
      </w:r>
      <w:r>
        <w:rPr>
          <w:sz w:val="24"/>
        </w:rPr>
        <w:t>det samme år i det samme fikspunkt, er </w:t>
      </w:r>
      <w:r>
        <w:rPr>
          <w:spacing w:val="-5"/>
          <w:sz w:val="24"/>
        </w:rPr>
        <w:t>der </w:t>
      </w:r>
      <w:r>
        <w:rPr>
          <w:sz w:val="24"/>
        </w:rPr>
        <w:t>beregnet en gennemsnitsværdi, således </w:t>
      </w:r>
      <w:r>
        <w:rPr>
          <w:spacing w:val="-9"/>
          <w:sz w:val="24"/>
        </w:rPr>
        <w:t>at </w:t>
      </w:r>
      <w:r>
        <w:rPr>
          <w:sz w:val="24"/>
        </w:rPr>
        <w:t>der i dataudtrækket kun forekommer en </w:t>
      </w:r>
      <w:r>
        <w:rPr>
          <w:spacing w:val="-7"/>
          <w:sz w:val="24"/>
        </w:rPr>
        <w:t>ko- </w:t>
      </w:r>
      <w:r>
        <w:rPr>
          <w:sz w:val="24"/>
        </w:rPr>
        <w:t>te per måleår per</w:t>
      </w:r>
      <w:r>
        <w:rPr>
          <w:spacing w:val="-7"/>
          <w:sz w:val="24"/>
        </w:rPr>
        <w:t> </w:t>
      </w:r>
      <w:r>
        <w:rPr>
          <w:sz w:val="24"/>
        </w:rPr>
        <w:t>fikspunkt.</w:t>
      </w:r>
    </w:p>
    <w:p>
      <w:pPr>
        <w:pStyle w:val="ListParagraph"/>
        <w:numPr>
          <w:ilvl w:val="2"/>
          <w:numId w:val="5"/>
        </w:numPr>
        <w:tabs>
          <w:tab w:pos="1603" w:val="left" w:leader="none"/>
        </w:tabs>
        <w:spacing w:line="252" w:lineRule="auto" w:before="90" w:after="0"/>
        <w:ind w:left="1602" w:right="0" w:hanging="297"/>
        <w:jc w:val="both"/>
        <w:rPr>
          <w:sz w:val="24"/>
        </w:rPr>
      </w:pPr>
      <w:r>
        <w:rPr>
          <w:sz w:val="24"/>
        </w:rPr>
        <w:t>Dataudtrækket omfatter kun </w:t>
      </w:r>
      <w:r>
        <w:rPr>
          <w:spacing w:val="-3"/>
          <w:sz w:val="24"/>
        </w:rPr>
        <w:t>registreringer </w:t>
      </w:r>
      <w:r>
        <w:rPr>
          <w:sz w:val="24"/>
        </w:rPr>
        <w:t>fra fikspunkter, hvor 2 eller flere </w:t>
      </w:r>
      <w:r>
        <w:rPr>
          <w:spacing w:val="-3"/>
          <w:sz w:val="24"/>
        </w:rPr>
        <w:t>målinger </w:t>
      </w:r>
      <w:r>
        <w:rPr>
          <w:sz w:val="24"/>
        </w:rPr>
        <w:t>er</w:t>
      </w:r>
      <w:r>
        <w:rPr>
          <w:spacing w:val="-2"/>
          <w:sz w:val="24"/>
        </w:rPr>
        <w:t> </w:t>
      </w:r>
      <w:r>
        <w:rPr>
          <w:sz w:val="24"/>
        </w:rPr>
        <w:t>foretaget.</w:t>
      </w:r>
    </w:p>
    <w:p>
      <w:pPr>
        <w:pStyle w:val="ListParagraph"/>
        <w:numPr>
          <w:ilvl w:val="2"/>
          <w:numId w:val="5"/>
        </w:numPr>
        <w:tabs>
          <w:tab w:pos="1603" w:val="left" w:leader="none"/>
        </w:tabs>
        <w:spacing w:line="252" w:lineRule="auto" w:before="93" w:after="0"/>
        <w:ind w:left="1602" w:right="0" w:hanging="297"/>
        <w:jc w:val="both"/>
        <w:rPr>
          <w:sz w:val="24"/>
        </w:rPr>
      </w:pPr>
      <w:r>
        <w:rPr>
          <w:sz w:val="24"/>
        </w:rPr>
        <w:t>Ændringsrater, korrelationskoefficienter </w:t>
      </w:r>
      <w:r>
        <w:rPr>
          <w:spacing w:val="-8"/>
          <w:sz w:val="24"/>
        </w:rPr>
        <w:t>og </w:t>
      </w:r>
      <w:r>
        <w:rPr>
          <w:sz w:val="24"/>
        </w:rPr>
        <w:t>min./maks. værdier er</w:t>
      </w:r>
      <w:r>
        <w:rPr>
          <w:spacing w:val="-5"/>
          <w:sz w:val="24"/>
        </w:rPr>
        <w:t> </w:t>
      </w:r>
      <w:r>
        <w:rPr>
          <w:sz w:val="24"/>
        </w:rPr>
        <w:t>beregnet.</w:t>
      </w:r>
    </w:p>
    <w:p>
      <w:pPr>
        <w:pStyle w:val="ListParagraph"/>
        <w:numPr>
          <w:ilvl w:val="2"/>
          <w:numId w:val="5"/>
        </w:numPr>
        <w:tabs>
          <w:tab w:pos="1603" w:val="left" w:leader="none"/>
        </w:tabs>
        <w:spacing w:line="252" w:lineRule="auto" w:before="93" w:after="0"/>
        <w:ind w:left="1602" w:right="0" w:hanging="297"/>
        <w:jc w:val="both"/>
        <w:rPr>
          <w:sz w:val="24"/>
        </w:rPr>
      </w:pPr>
      <w:r>
        <w:rPr>
          <w:sz w:val="24"/>
        </w:rPr>
        <w:t>De beregnede ændringsrater er analyseret for trends og ’outliers’. En overordnet</w:t>
      </w:r>
      <w:r>
        <w:rPr>
          <w:spacing w:val="-43"/>
          <w:sz w:val="24"/>
        </w:rPr>
        <w:t> </w:t>
      </w:r>
      <w:r>
        <w:rPr>
          <w:spacing w:val="-3"/>
          <w:sz w:val="24"/>
        </w:rPr>
        <w:t>trend </w:t>
      </w:r>
      <w:r>
        <w:rPr>
          <w:sz w:val="24"/>
        </w:rPr>
        <w:t>i kompasretningen ØNØ er forventet </w:t>
      </w:r>
      <w:r>
        <w:rPr>
          <w:spacing w:val="-5"/>
          <w:sz w:val="24"/>
        </w:rPr>
        <w:t>som </w:t>
      </w:r>
      <w:r>
        <w:rPr>
          <w:sz w:val="24"/>
        </w:rPr>
        <w:t>følge</w:t>
      </w:r>
      <w:r>
        <w:rPr>
          <w:spacing w:val="-13"/>
          <w:sz w:val="24"/>
        </w:rPr>
        <w:t> </w:t>
      </w:r>
      <w:r>
        <w:rPr>
          <w:sz w:val="24"/>
        </w:rPr>
        <w:t>af</w:t>
      </w:r>
      <w:r>
        <w:rPr>
          <w:spacing w:val="-13"/>
          <w:sz w:val="24"/>
        </w:rPr>
        <w:t> </w:t>
      </w:r>
      <w:r>
        <w:rPr>
          <w:sz w:val="24"/>
        </w:rPr>
        <w:t>den</w:t>
      </w:r>
      <w:r>
        <w:rPr>
          <w:spacing w:val="-13"/>
          <w:sz w:val="24"/>
        </w:rPr>
        <w:t> </w:t>
      </w:r>
      <w:r>
        <w:rPr>
          <w:sz w:val="24"/>
        </w:rPr>
        <w:t>generelle</w:t>
      </w:r>
      <w:r>
        <w:rPr>
          <w:spacing w:val="-13"/>
          <w:sz w:val="24"/>
        </w:rPr>
        <w:t> </w:t>
      </w:r>
      <w:r>
        <w:rPr>
          <w:sz w:val="24"/>
        </w:rPr>
        <w:t>landhævning,</w:t>
      </w:r>
      <w:r>
        <w:rPr>
          <w:spacing w:val="-13"/>
          <w:sz w:val="24"/>
        </w:rPr>
        <w:t> </w:t>
      </w:r>
      <w:r>
        <w:rPr>
          <w:sz w:val="24"/>
        </w:rPr>
        <w:t>men</w:t>
      </w:r>
      <w:r>
        <w:rPr>
          <w:spacing w:val="-13"/>
          <w:sz w:val="24"/>
        </w:rPr>
        <w:t> </w:t>
      </w:r>
      <w:r>
        <w:rPr>
          <w:spacing w:val="-7"/>
          <w:sz w:val="24"/>
        </w:rPr>
        <w:t>in- </w:t>
      </w:r>
      <w:r>
        <w:rPr>
          <w:sz w:val="24"/>
        </w:rPr>
        <w:t>gen trend kan umiddelbart spores i</w:t>
      </w:r>
      <w:r>
        <w:rPr>
          <w:spacing w:val="-13"/>
          <w:sz w:val="24"/>
        </w:rPr>
        <w:t> </w:t>
      </w:r>
      <w:r>
        <w:rPr>
          <w:sz w:val="24"/>
        </w:rPr>
        <w:t>data.</w:t>
      </w:r>
    </w:p>
    <w:p>
      <w:pPr>
        <w:pStyle w:val="ListParagraph"/>
        <w:numPr>
          <w:ilvl w:val="2"/>
          <w:numId w:val="5"/>
        </w:numPr>
        <w:tabs>
          <w:tab w:pos="1603" w:val="left" w:leader="none"/>
        </w:tabs>
        <w:spacing w:line="252" w:lineRule="auto" w:before="91" w:after="0"/>
        <w:ind w:left="1602" w:right="0" w:hanging="297"/>
        <w:jc w:val="both"/>
        <w:rPr>
          <w:sz w:val="24"/>
        </w:rPr>
      </w:pPr>
      <w:r>
        <w:rPr>
          <w:sz w:val="24"/>
        </w:rPr>
        <w:t>Såfremt</w:t>
      </w:r>
      <w:r>
        <w:rPr>
          <w:spacing w:val="-7"/>
          <w:sz w:val="24"/>
        </w:rPr>
        <w:t> </w:t>
      </w:r>
      <w:r>
        <w:rPr>
          <w:sz w:val="24"/>
        </w:rPr>
        <w:t>der</w:t>
      </w:r>
      <w:r>
        <w:rPr>
          <w:spacing w:val="-7"/>
          <w:sz w:val="24"/>
        </w:rPr>
        <w:t> </w:t>
      </w:r>
      <w:r>
        <w:rPr>
          <w:sz w:val="24"/>
        </w:rPr>
        <w:t>ikke</w:t>
      </w:r>
      <w:r>
        <w:rPr>
          <w:spacing w:val="-6"/>
          <w:sz w:val="24"/>
        </w:rPr>
        <w:t> </w:t>
      </w:r>
      <w:r>
        <w:rPr>
          <w:sz w:val="24"/>
        </w:rPr>
        <w:t>er</w:t>
      </w:r>
      <w:r>
        <w:rPr>
          <w:spacing w:val="-7"/>
          <w:sz w:val="24"/>
        </w:rPr>
        <w:t> </w:t>
      </w:r>
      <w:r>
        <w:rPr>
          <w:sz w:val="24"/>
        </w:rPr>
        <w:t>mindst</w:t>
      </w:r>
      <w:r>
        <w:rPr>
          <w:spacing w:val="-7"/>
          <w:sz w:val="24"/>
        </w:rPr>
        <w:t> </w:t>
      </w:r>
      <w:r>
        <w:rPr>
          <w:sz w:val="24"/>
        </w:rPr>
        <w:t>3</w:t>
      </w:r>
      <w:r>
        <w:rPr>
          <w:spacing w:val="-6"/>
          <w:sz w:val="24"/>
        </w:rPr>
        <w:t> </w:t>
      </w:r>
      <w:r>
        <w:rPr>
          <w:sz w:val="24"/>
        </w:rPr>
        <w:t>målinger</w:t>
      </w:r>
      <w:r>
        <w:rPr>
          <w:spacing w:val="-7"/>
          <w:sz w:val="24"/>
        </w:rPr>
        <w:t> </w:t>
      </w:r>
      <w:r>
        <w:rPr>
          <w:spacing w:val="-5"/>
          <w:sz w:val="24"/>
        </w:rPr>
        <w:t>knyt- </w:t>
      </w:r>
      <w:r>
        <w:rPr>
          <w:sz w:val="24"/>
        </w:rPr>
        <w:t>tet til det enkelte fikspunkt, er fikspunktet elimineret fra</w:t>
      </w:r>
      <w:r>
        <w:rPr>
          <w:spacing w:val="-3"/>
          <w:sz w:val="24"/>
        </w:rPr>
        <w:t> </w:t>
      </w:r>
      <w:r>
        <w:rPr>
          <w:sz w:val="24"/>
        </w:rPr>
        <w:t>datasættet.</w:t>
      </w:r>
    </w:p>
    <w:p>
      <w:pPr>
        <w:pStyle w:val="ListParagraph"/>
        <w:numPr>
          <w:ilvl w:val="2"/>
          <w:numId w:val="5"/>
        </w:numPr>
        <w:tabs>
          <w:tab w:pos="1603" w:val="left" w:leader="none"/>
        </w:tabs>
        <w:spacing w:line="252" w:lineRule="auto" w:before="93" w:after="0"/>
        <w:ind w:left="1602" w:right="0" w:hanging="297"/>
        <w:jc w:val="both"/>
        <w:rPr>
          <w:sz w:val="24"/>
        </w:rPr>
      </w:pPr>
      <w:r>
        <w:rPr>
          <w:sz w:val="24"/>
        </w:rPr>
        <w:t>Såfremt tidsintervallet imellem første </w:t>
      </w:r>
      <w:r>
        <w:rPr>
          <w:spacing w:val="-9"/>
          <w:sz w:val="24"/>
        </w:rPr>
        <w:t>og </w:t>
      </w:r>
      <w:r>
        <w:rPr>
          <w:sz w:val="24"/>
        </w:rPr>
        <w:t>sidste måling for det enkelte fikspunkt </w:t>
      </w:r>
      <w:r>
        <w:rPr>
          <w:spacing w:val="-8"/>
          <w:sz w:val="24"/>
        </w:rPr>
        <w:t>er </w:t>
      </w:r>
      <w:r>
        <w:rPr>
          <w:sz w:val="24"/>
        </w:rPr>
        <w:t>mindre</w:t>
      </w:r>
      <w:r>
        <w:rPr>
          <w:spacing w:val="-14"/>
          <w:sz w:val="24"/>
        </w:rPr>
        <w:t> </w:t>
      </w:r>
      <w:r>
        <w:rPr>
          <w:sz w:val="24"/>
        </w:rPr>
        <w:t>end</w:t>
      </w:r>
      <w:r>
        <w:rPr>
          <w:spacing w:val="-13"/>
          <w:sz w:val="24"/>
        </w:rPr>
        <w:t> </w:t>
      </w:r>
      <w:r>
        <w:rPr>
          <w:sz w:val="24"/>
        </w:rPr>
        <w:t>3</w:t>
      </w:r>
      <w:r>
        <w:rPr>
          <w:spacing w:val="-13"/>
          <w:sz w:val="24"/>
        </w:rPr>
        <w:t> </w:t>
      </w:r>
      <w:r>
        <w:rPr>
          <w:sz w:val="24"/>
        </w:rPr>
        <w:t>år</w:t>
      </w:r>
      <w:r>
        <w:rPr>
          <w:spacing w:val="-14"/>
          <w:sz w:val="24"/>
        </w:rPr>
        <w:t> </w:t>
      </w:r>
      <w:r>
        <w:rPr>
          <w:sz w:val="24"/>
        </w:rPr>
        <w:t>er</w:t>
      </w:r>
      <w:r>
        <w:rPr>
          <w:spacing w:val="-13"/>
          <w:sz w:val="24"/>
        </w:rPr>
        <w:t> </w:t>
      </w:r>
      <w:r>
        <w:rPr>
          <w:sz w:val="24"/>
        </w:rPr>
        <w:t>fikspunktet</w:t>
      </w:r>
      <w:r>
        <w:rPr>
          <w:spacing w:val="-13"/>
          <w:sz w:val="24"/>
        </w:rPr>
        <w:t> </w:t>
      </w:r>
      <w:r>
        <w:rPr>
          <w:sz w:val="24"/>
        </w:rPr>
        <w:t>elimineret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fra </w:t>
      </w:r>
      <w:r>
        <w:rPr>
          <w:sz w:val="24"/>
        </w:rPr>
        <w:t>datasættet.</w:t>
      </w:r>
    </w:p>
    <w:p>
      <w:pPr>
        <w:pStyle w:val="ListParagraph"/>
        <w:numPr>
          <w:ilvl w:val="2"/>
          <w:numId w:val="5"/>
        </w:numPr>
        <w:tabs>
          <w:tab w:pos="1603" w:val="left" w:leader="none"/>
        </w:tabs>
        <w:spacing w:line="252" w:lineRule="auto" w:before="91" w:after="0"/>
        <w:ind w:left="1602" w:right="0" w:hanging="297"/>
        <w:jc w:val="both"/>
        <w:rPr>
          <w:sz w:val="24"/>
        </w:rPr>
      </w:pPr>
      <w:r>
        <w:rPr>
          <w:sz w:val="24"/>
        </w:rPr>
        <w:t>Såfremt</w:t>
      </w:r>
      <w:r>
        <w:rPr>
          <w:spacing w:val="-18"/>
          <w:sz w:val="24"/>
        </w:rPr>
        <w:t> </w:t>
      </w:r>
      <w:r>
        <w:rPr>
          <w:sz w:val="24"/>
        </w:rPr>
        <w:t>den</w:t>
      </w:r>
      <w:r>
        <w:rPr>
          <w:spacing w:val="-16"/>
          <w:sz w:val="24"/>
        </w:rPr>
        <w:t> </w:t>
      </w:r>
      <w:r>
        <w:rPr>
          <w:sz w:val="24"/>
        </w:rPr>
        <w:t>beregnede</w:t>
      </w:r>
      <w:r>
        <w:rPr>
          <w:spacing w:val="-16"/>
          <w:sz w:val="24"/>
        </w:rPr>
        <w:t> </w:t>
      </w:r>
      <w:r>
        <w:rPr>
          <w:sz w:val="24"/>
        </w:rPr>
        <w:t>ændringsrate</w:t>
      </w:r>
      <w:r>
        <w:rPr>
          <w:spacing w:val="-18"/>
          <w:sz w:val="24"/>
        </w:rPr>
        <w:t> </w:t>
      </w:r>
      <w:r>
        <w:rPr>
          <w:sz w:val="24"/>
        </w:rPr>
        <w:t>er</w:t>
      </w:r>
      <w:r>
        <w:rPr>
          <w:spacing w:val="-16"/>
          <w:sz w:val="24"/>
        </w:rPr>
        <w:t> </w:t>
      </w:r>
      <w:r>
        <w:rPr>
          <w:spacing w:val="-6"/>
          <w:sz w:val="24"/>
        </w:rPr>
        <w:t>stør- </w:t>
      </w:r>
      <w:r>
        <w:rPr>
          <w:sz w:val="24"/>
        </w:rPr>
        <w:t>re</w:t>
      </w:r>
      <w:r>
        <w:rPr>
          <w:spacing w:val="-15"/>
          <w:sz w:val="24"/>
        </w:rPr>
        <w:t> </w:t>
      </w:r>
      <w:r>
        <w:rPr>
          <w:sz w:val="24"/>
        </w:rPr>
        <w:t>end</w:t>
      </w:r>
      <w:r>
        <w:rPr>
          <w:spacing w:val="-15"/>
          <w:sz w:val="24"/>
        </w:rPr>
        <w:t> </w:t>
      </w:r>
      <w:r>
        <w:rPr>
          <w:sz w:val="24"/>
        </w:rPr>
        <w:t>20</w:t>
      </w:r>
      <w:r>
        <w:rPr>
          <w:spacing w:val="-14"/>
          <w:sz w:val="24"/>
        </w:rPr>
        <w:t> </w:t>
      </w:r>
      <w:r>
        <w:rPr>
          <w:sz w:val="24"/>
        </w:rPr>
        <w:t>mm/år</w:t>
      </w:r>
      <w:r>
        <w:rPr>
          <w:spacing w:val="-15"/>
          <w:sz w:val="24"/>
        </w:rPr>
        <w:t> </w:t>
      </w:r>
      <w:r>
        <w:rPr>
          <w:sz w:val="24"/>
        </w:rPr>
        <w:t>eller</w:t>
      </w:r>
      <w:r>
        <w:rPr>
          <w:spacing w:val="-14"/>
          <w:sz w:val="24"/>
        </w:rPr>
        <w:t> </w:t>
      </w:r>
      <w:r>
        <w:rPr>
          <w:sz w:val="24"/>
        </w:rPr>
        <w:t>mindre</w:t>
      </w:r>
      <w:r>
        <w:rPr>
          <w:spacing w:val="-15"/>
          <w:sz w:val="24"/>
        </w:rPr>
        <w:t> </w:t>
      </w:r>
      <w:r>
        <w:rPr>
          <w:sz w:val="24"/>
        </w:rPr>
        <w:t>end</w:t>
      </w:r>
      <w:r>
        <w:rPr>
          <w:spacing w:val="-15"/>
          <w:sz w:val="24"/>
        </w:rPr>
        <w:t> </w:t>
      </w:r>
      <w:r>
        <w:rPr>
          <w:sz w:val="24"/>
        </w:rPr>
        <w:t>-20</w:t>
      </w:r>
      <w:r>
        <w:rPr>
          <w:spacing w:val="-14"/>
          <w:sz w:val="24"/>
        </w:rPr>
        <w:t> </w:t>
      </w:r>
      <w:r>
        <w:rPr>
          <w:spacing w:val="-3"/>
          <w:sz w:val="24"/>
        </w:rPr>
        <w:t>mm/år </w:t>
      </w:r>
      <w:r>
        <w:rPr>
          <w:sz w:val="24"/>
        </w:rPr>
        <w:t>er fikspunktet elimineret fra</w:t>
      </w:r>
      <w:r>
        <w:rPr>
          <w:spacing w:val="-14"/>
          <w:sz w:val="24"/>
        </w:rPr>
        <w:t> </w:t>
      </w:r>
      <w:r>
        <w:rPr>
          <w:sz w:val="24"/>
        </w:rPr>
        <w:t>datasættet.</w:t>
      </w:r>
    </w:p>
    <w:p>
      <w:pPr>
        <w:pStyle w:val="ListParagraph"/>
        <w:numPr>
          <w:ilvl w:val="2"/>
          <w:numId w:val="5"/>
        </w:numPr>
        <w:tabs>
          <w:tab w:pos="1603" w:val="left" w:leader="none"/>
        </w:tabs>
        <w:spacing w:line="252" w:lineRule="auto" w:before="93" w:after="0"/>
        <w:ind w:left="1602" w:right="0" w:hanging="416"/>
        <w:jc w:val="both"/>
        <w:rPr>
          <w:sz w:val="24"/>
        </w:rPr>
      </w:pPr>
      <w:r>
        <w:rPr>
          <w:sz w:val="24"/>
        </w:rPr>
        <w:t>Såfremt</w:t>
      </w:r>
      <w:r>
        <w:rPr>
          <w:spacing w:val="-31"/>
          <w:sz w:val="24"/>
        </w:rPr>
        <w:t> </w:t>
      </w:r>
      <w:r>
        <w:rPr>
          <w:sz w:val="24"/>
        </w:rPr>
        <w:t>den</w:t>
      </w:r>
      <w:r>
        <w:rPr>
          <w:spacing w:val="-30"/>
          <w:sz w:val="24"/>
        </w:rPr>
        <w:t> </w:t>
      </w:r>
      <w:r>
        <w:rPr>
          <w:sz w:val="24"/>
        </w:rPr>
        <w:t>beregnede</w:t>
      </w:r>
      <w:r>
        <w:rPr>
          <w:spacing w:val="-30"/>
          <w:sz w:val="24"/>
        </w:rPr>
        <w:t> </w:t>
      </w:r>
      <w:r>
        <w:rPr>
          <w:sz w:val="24"/>
        </w:rPr>
        <w:t>korrelationskoeffici- ent (R2) er mindre end 0,9 er fikspunktet elimineret fra</w:t>
      </w:r>
      <w:r>
        <w:rPr>
          <w:spacing w:val="-3"/>
          <w:sz w:val="24"/>
        </w:rPr>
        <w:t> </w:t>
      </w:r>
      <w:r>
        <w:rPr>
          <w:sz w:val="24"/>
        </w:rPr>
        <w:t>datasættet.</w:t>
      </w:r>
    </w:p>
    <w:p>
      <w:pPr>
        <w:pStyle w:val="BodyText"/>
        <w:spacing w:line="252" w:lineRule="auto" w:before="220"/>
        <w:ind w:left="1133" w:firstLine="234"/>
        <w:jc w:val="both"/>
      </w:pPr>
      <w:r>
        <w:rPr/>
        <w:t>De beregnede ændringsrater for de resterende fikspunkter</w:t>
      </w:r>
      <w:r>
        <w:rPr>
          <w:spacing w:val="-15"/>
        </w:rPr>
        <w:t> </w:t>
      </w:r>
      <w:r>
        <w:rPr/>
        <w:t>i</w:t>
      </w:r>
      <w:r>
        <w:rPr>
          <w:spacing w:val="-15"/>
        </w:rPr>
        <w:t> </w:t>
      </w:r>
      <w:r>
        <w:rPr/>
        <w:t>datasættet</w:t>
      </w:r>
      <w:r>
        <w:rPr>
          <w:spacing w:val="-13"/>
        </w:rPr>
        <w:t> </w:t>
      </w:r>
      <w:r>
        <w:rPr/>
        <w:t>er</w:t>
      </w:r>
      <w:r>
        <w:rPr>
          <w:spacing w:val="-15"/>
        </w:rPr>
        <w:t> </w:t>
      </w:r>
      <w:r>
        <w:rPr/>
        <w:t>herefter</w:t>
      </w:r>
      <w:r>
        <w:rPr>
          <w:spacing w:val="-14"/>
        </w:rPr>
        <w:t> </w:t>
      </w:r>
      <w:r>
        <w:rPr/>
        <w:t>anvendt</w:t>
      </w:r>
      <w:r>
        <w:rPr>
          <w:spacing w:val="-15"/>
        </w:rPr>
        <w:t> </w:t>
      </w:r>
      <w:r>
        <w:rPr/>
        <w:t>til</w:t>
      </w:r>
      <w:r>
        <w:rPr>
          <w:spacing w:val="-13"/>
        </w:rPr>
        <w:t> </w:t>
      </w:r>
      <w:r>
        <w:rPr>
          <w:spacing w:val="-7"/>
        </w:rPr>
        <w:t>va- </w:t>
      </w:r>
      <w:r>
        <w:rPr/>
        <w:t>lidering af</w:t>
      </w:r>
      <w:r>
        <w:rPr>
          <w:spacing w:val="-3"/>
        </w:rPr>
        <w:t> </w:t>
      </w:r>
      <w:r>
        <w:rPr/>
        <w:t>screeningskortet.</w:t>
      </w:r>
    </w:p>
    <w:p>
      <w:pPr>
        <w:pStyle w:val="BodyText"/>
        <w:spacing w:before="3"/>
        <w:rPr>
          <w:sz w:val="39"/>
        </w:rPr>
      </w:pPr>
    </w:p>
    <w:p>
      <w:pPr>
        <w:pStyle w:val="Heading2"/>
        <w:numPr>
          <w:ilvl w:val="1"/>
          <w:numId w:val="5"/>
        </w:numPr>
        <w:tabs>
          <w:tab w:pos="1890" w:val="left" w:leader="none"/>
          <w:tab w:pos="1891" w:val="left" w:leader="none"/>
        </w:tabs>
        <w:spacing w:line="240" w:lineRule="auto" w:before="1" w:after="0"/>
        <w:ind w:left="1890" w:right="0" w:hanging="757"/>
        <w:jc w:val="left"/>
      </w:pPr>
      <w:bookmarkStart w:name="_bookmark19" w:id="30"/>
      <w:bookmarkEnd w:id="30"/>
      <w:r>
        <w:rPr>
          <w:b w:val="0"/>
        </w:rPr>
      </w:r>
      <w:bookmarkStart w:name="_bookmark19" w:id="31"/>
      <w:bookmarkEnd w:id="31"/>
      <w:r>
        <w:rPr/>
        <w:t>V</w:t>
      </w:r>
      <w:r>
        <w:rPr/>
        <w:t>alidering</w:t>
      </w:r>
    </w:p>
    <w:p>
      <w:pPr>
        <w:pStyle w:val="Heading4"/>
        <w:spacing w:before="296"/>
      </w:pPr>
      <w:r>
        <w:rPr/>
        <w:t>Fikspunkternes ændringsrater</w:t>
      </w:r>
    </w:p>
    <w:p>
      <w:pPr>
        <w:pStyle w:val="BodyText"/>
        <w:spacing w:line="252" w:lineRule="auto" w:before="171"/>
        <w:ind w:left="1133"/>
        <w:jc w:val="both"/>
      </w:pPr>
      <w:r>
        <w:rPr/>
        <w:t>Screeningskortet er valideret vha. de </w:t>
      </w:r>
      <w:r>
        <w:rPr>
          <w:spacing w:val="-3"/>
        </w:rPr>
        <w:t>beregnede </w:t>
      </w:r>
      <w:r>
        <w:rPr/>
        <w:t>ændringsrater for fikspunkterne. Kun knap 21</w:t>
      </w:r>
      <w:r>
        <w:rPr>
          <w:spacing w:val="-25"/>
        </w:rPr>
        <w:t> </w:t>
      </w:r>
      <w:r>
        <w:rPr>
          <w:spacing w:val="-17"/>
        </w:rPr>
        <w:t>% </w:t>
      </w:r>
      <w:r>
        <w:rPr/>
        <w:t>(7.111 ud af 34.551 fikspunkter) er målt </w:t>
      </w:r>
      <w:r>
        <w:rPr>
          <w:spacing w:val="-4"/>
        </w:rPr>
        <w:t>mere </w:t>
      </w:r>
      <w:r>
        <w:rPr/>
        <w:t>end 2 gange, og dermed er det kun muligt at </w:t>
      </w:r>
      <w:r>
        <w:rPr>
          <w:spacing w:val="-5"/>
        </w:rPr>
        <w:t>be- </w:t>
      </w:r>
      <w:r>
        <w:rPr/>
        <w:t>regne ændringsrater med</w:t>
      </w:r>
      <w:r>
        <w:rPr>
          <w:spacing w:val="-25"/>
        </w:rPr>
        <w:t> </w:t>
      </w:r>
      <w:r>
        <w:rPr/>
        <w:t>korrelationskoefficien- ter for disse punkter (jf. trin 7 i processerings- og kvalitetskontrolprocessen beskrevet</w:t>
      </w:r>
      <w:r>
        <w:rPr>
          <w:spacing w:val="-33"/>
        </w:rPr>
        <w:t> </w:t>
      </w:r>
      <w:r>
        <w:rPr>
          <w:spacing w:val="-3"/>
        </w:rPr>
        <w:t>ovenfor).</w:t>
      </w:r>
    </w:p>
    <w:p>
      <w:pPr>
        <w:pStyle w:val="BodyText"/>
        <w:spacing w:line="252" w:lineRule="auto" w:before="71"/>
        <w:ind w:left="329" w:right="1131"/>
        <w:jc w:val="both"/>
      </w:pPr>
      <w:r>
        <w:rPr/>
        <w:br w:type="column"/>
      </w:r>
      <w:r>
        <w:rPr/>
        <w:t>Fordelingen af de beregnede korrelationskoeffi- cienter</w:t>
      </w:r>
      <w:r>
        <w:rPr>
          <w:spacing w:val="-11"/>
        </w:rPr>
        <w:t> </w:t>
      </w:r>
      <w:r>
        <w:rPr/>
        <w:t>antyder,</w:t>
      </w:r>
      <w:r>
        <w:rPr>
          <w:spacing w:val="-10"/>
        </w:rPr>
        <w:t> </w:t>
      </w:r>
      <w:r>
        <w:rPr/>
        <w:t>at</w:t>
      </w:r>
      <w:r>
        <w:rPr>
          <w:spacing w:val="-10"/>
        </w:rPr>
        <w:t> </w:t>
      </w:r>
      <w:r>
        <w:rPr/>
        <w:t>kvaliteten</w:t>
      </w:r>
      <w:r>
        <w:rPr>
          <w:spacing w:val="-10"/>
        </w:rPr>
        <w:t> </w:t>
      </w:r>
      <w:r>
        <w:rPr/>
        <w:t>af</w:t>
      </w:r>
      <w:r>
        <w:rPr>
          <w:spacing w:val="-11"/>
        </w:rPr>
        <w:t> </w:t>
      </w:r>
      <w:r>
        <w:rPr/>
        <w:t>koterne</w:t>
      </w:r>
      <w:r>
        <w:rPr>
          <w:spacing w:val="-10"/>
        </w:rPr>
        <w:t> </w:t>
      </w:r>
      <w:r>
        <w:rPr/>
        <w:t>i</w:t>
      </w:r>
      <w:r>
        <w:rPr>
          <w:spacing w:val="-10"/>
        </w:rPr>
        <w:t> </w:t>
      </w:r>
      <w:r>
        <w:rPr/>
        <w:t>udtræk- ket</w:t>
      </w:r>
      <w:r>
        <w:rPr>
          <w:spacing w:val="-6"/>
        </w:rPr>
        <w:t> </w:t>
      </w:r>
      <w:r>
        <w:rPr/>
        <w:t>af</w:t>
      </w:r>
      <w:r>
        <w:rPr>
          <w:spacing w:val="-5"/>
        </w:rPr>
        <w:t> </w:t>
      </w:r>
      <w:r>
        <w:rPr/>
        <w:t>databasen</w:t>
      </w:r>
      <w:r>
        <w:rPr>
          <w:spacing w:val="-6"/>
        </w:rPr>
        <w:t> </w:t>
      </w:r>
      <w:r>
        <w:rPr/>
        <w:t>er</w:t>
      </w:r>
      <w:r>
        <w:rPr>
          <w:spacing w:val="-5"/>
        </w:rPr>
        <w:t> </w:t>
      </w:r>
      <w:r>
        <w:rPr/>
        <w:t>svingende</w:t>
      </w:r>
      <w:r>
        <w:rPr>
          <w:spacing w:val="-6"/>
        </w:rPr>
        <w:t> </w:t>
      </w:r>
      <w:r>
        <w:rPr/>
        <w:t>i</w:t>
      </w:r>
      <w:r>
        <w:rPr>
          <w:spacing w:val="-5"/>
        </w:rPr>
        <w:t> </w:t>
      </w:r>
      <w:r>
        <w:rPr/>
        <w:t>forhold</w:t>
      </w:r>
      <w:r>
        <w:rPr>
          <w:spacing w:val="-6"/>
        </w:rPr>
        <w:t> </w:t>
      </w:r>
      <w:r>
        <w:rPr/>
        <w:t>til</w:t>
      </w:r>
      <w:r>
        <w:rPr>
          <w:spacing w:val="-5"/>
        </w:rPr>
        <w:t> anven- </w:t>
      </w:r>
      <w:r>
        <w:rPr/>
        <w:t>delse til tidsserieanalyser (Figur</w:t>
      </w:r>
      <w:r>
        <w:rPr>
          <w:spacing w:val="-6"/>
        </w:rPr>
        <w:t> </w:t>
      </w:r>
      <w:hyperlink w:history="true" w:anchor="_bookmark20">
        <w:r>
          <w:rPr>
            <w:color w:val="FF0000"/>
          </w:rPr>
          <w:t>3</w:t>
        </w:r>
      </w:hyperlink>
      <w:r>
        <w:rPr/>
        <w:t>).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En</w:t>
      </w:r>
      <w:r>
        <w:rPr>
          <w:spacing w:val="-14"/>
        </w:rPr>
        <w:t> </w:t>
      </w:r>
      <w:r>
        <w:rPr/>
        <w:t>grafisk</w:t>
      </w:r>
      <w:r>
        <w:rPr>
          <w:spacing w:val="-14"/>
        </w:rPr>
        <w:t> </w:t>
      </w:r>
      <w:r>
        <w:rPr/>
        <w:t>præsentation</w:t>
      </w:r>
      <w:r>
        <w:rPr>
          <w:spacing w:val="-14"/>
        </w:rPr>
        <w:t> </w:t>
      </w:r>
      <w:r>
        <w:rPr/>
        <w:t>af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fikspunkter,</w:t>
      </w:r>
      <w:r>
        <w:rPr>
          <w:spacing w:val="-14"/>
        </w:rPr>
        <w:t> </w:t>
      </w:r>
      <w:r>
        <w:rPr>
          <w:spacing w:val="-5"/>
        </w:rPr>
        <w:t>som </w:t>
      </w:r>
      <w:r>
        <w:rPr/>
        <w:t>er anvendt i valideringen af screeningskortet, </w:t>
      </w:r>
      <w:r>
        <w:rPr>
          <w:spacing w:val="-7"/>
        </w:rPr>
        <w:t>er </w:t>
      </w:r>
      <w:r>
        <w:rPr/>
        <w:t>vist i Figurerne </w:t>
      </w:r>
      <w:hyperlink w:history="true" w:anchor="_bookmark22">
        <w:r>
          <w:rPr>
            <w:color w:val="FF0000"/>
          </w:rPr>
          <w:t>4</w:t>
        </w:r>
      </w:hyperlink>
      <w:r>
        <w:rPr/>
        <w:t>–</w:t>
      </w:r>
      <w:hyperlink w:history="true" w:anchor="_bookmark24">
        <w:r>
          <w:rPr>
            <w:color w:val="FF0000"/>
          </w:rPr>
          <w:t>6</w:t>
        </w:r>
      </w:hyperlink>
      <w:r>
        <w:rPr/>
        <w:t>. Figur </w:t>
      </w:r>
      <w:hyperlink w:history="true" w:anchor="_bookmark22">
        <w:r>
          <w:rPr>
            <w:color w:val="FF0000"/>
          </w:rPr>
          <w:t>4 </w:t>
        </w:r>
      </w:hyperlink>
      <w:r>
        <w:rPr/>
        <w:t>viser den geografi- ske placering af de i alt 34.551 fikspunkter, </w:t>
      </w:r>
      <w:r>
        <w:rPr>
          <w:spacing w:val="-6"/>
        </w:rPr>
        <w:t>som </w:t>
      </w:r>
      <w:r>
        <w:rPr/>
        <w:t>udgør grundlaget for dataudtrækket (trin 4). </w:t>
      </w:r>
      <w:r>
        <w:rPr>
          <w:spacing w:val="-4"/>
        </w:rPr>
        <w:t>Fi- </w:t>
      </w:r>
      <w:r>
        <w:rPr/>
        <w:t>gur</w:t>
      </w:r>
      <w:r>
        <w:rPr>
          <w:spacing w:val="-9"/>
        </w:rPr>
        <w:t> </w:t>
      </w:r>
      <w:hyperlink w:history="true" w:anchor="_bookmark23">
        <w:r>
          <w:rPr>
            <w:color w:val="FF0000"/>
          </w:rPr>
          <w:t>5</w:t>
        </w:r>
        <w:r>
          <w:rPr>
            <w:color w:val="FF0000"/>
            <w:spacing w:val="-9"/>
          </w:rPr>
          <w:t> </w:t>
        </w:r>
      </w:hyperlink>
      <w:r>
        <w:rPr/>
        <w:t>viser</w:t>
      </w:r>
      <w:r>
        <w:rPr>
          <w:spacing w:val="-9"/>
        </w:rPr>
        <w:t> </w:t>
      </w:r>
      <w:r>
        <w:rPr/>
        <w:t>den</w:t>
      </w:r>
      <w:r>
        <w:rPr>
          <w:spacing w:val="-9"/>
        </w:rPr>
        <w:t> </w:t>
      </w:r>
      <w:r>
        <w:rPr/>
        <w:t>geografiske</w:t>
      </w:r>
      <w:r>
        <w:rPr>
          <w:spacing w:val="-9"/>
        </w:rPr>
        <w:t> </w:t>
      </w:r>
      <w:r>
        <w:rPr/>
        <w:t>placering</w:t>
      </w:r>
      <w:r>
        <w:rPr>
          <w:spacing w:val="-9"/>
        </w:rPr>
        <w:t> </w:t>
      </w:r>
      <w:r>
        <w:rPr/>
        <w:t>af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2.866 fikspunkter, der er beregnet vertikal </w:t>
      </w:r>
      <w:r>
        <w:rPr>
          <w:spacing w:val="-3"/>
        </w:rPr>
        <w:t>landbevæ- </w:t>
      </w:r>
      <w:r>
        <w:rPr/>
        <w:t>gelsesrate </w:t>
      </w:r>
      <w:r>
        <w:rPr>
          <w:spacing w:val="-3"/>
        </w:rPr>
        <w:t>for, </w:t>
      </w:r>
      <w:r>
        <w:rPr/>
        <w:t>og som udgør datagrundlaget </w:t>
      </w:r>
      <w:r>
        <w:rPr>
          <w:spacing w:val="-4"/>
        </w:rPr>
        <w:t>for </w:t>
      </w:r>
      <w:r>
        <w:rPr/>
        <w:t>valideringen af screeningskortet (trin 10). </w:t>
      </w:r>
      <w:r>
        <w:rPr>
          <w:spacing w:val="-3"/>
        </w:rPr>
        <w:t>Fiks- </w:t>
      </w:r>
      <w:r>
        <w:rPr/>
        <w:t>punkterne i Figur </w:t>
      </w:r>
      <w:hyperlink w:history="true" w:anchor="_bookmark23">
        <w:r>
          <w:rPr>
            <w:color w:val="FF0000"/>
          </w:rPr>
          <w:t>5</w:t>
        </w:r>
      </w:hyperlink>
      <w:r>
        <w:rPr>
          <w:color w:val="FF0000"/>
        </w:rPr>
        <w:t> </w:t>
      </w:r>
      <w:r>
        <w:rPr/>
        <w:t>er farvekodet efter, om </w:t>
      </w:r>
      <w:r>
        <w:rPr>
          <w:spacing w:val="-7"/>
        </w:rPr>
        <w:t>de </w:t>
      </w:r>
      <w:r>
        <w:rPr/>
        <w:t>falder indenfor eller udenfor de polygoner, </w:t>
      </w:r>
      <w:r>
        <w:rPr>
          <w:spacing w:val="-6"/>
        </w:rPr>
        <w:t>som </w:t>
      </w:r>
      <w:r>
        <w:rPr/>
        <w:t>udgør screeningskortet, og som er gengivet </w:t>
      </w:r>
      <w:r>
        <w:rPr>
          <w:spacing w:val="-5"/>
        </w:rPr>
        <w:t>med </w:t>
      </w:r>
      <w:r>
        <w:rPr/>
        <w:t>rød baggrundsfarve i figuren. Figur </w:t>
      </w:r>
      <w:hyperlink w:history="true" w:anchor="_bookmark24">
        <w:r>
          <w:rPr>
            <w:color w:val="FF0000"/>
          </w:rPr>
          <w:t>6 </w:t>
        </w:r>
      </w:hyperlink>
      <w:r>
        <w:rPr/>
        <w:t>viser, med kommunegrænser som baggrund, placering </w:t>
      </w:r>
      <w:r>
        <w:rPr>
          <w:spacing w:val="-8"/>
        </w:rPr>
        <w:t>og </w:t>
      </w:r>
      <w:r>
        <w:rPr/>
        <w:t>størrelse af de beregnede ændringsrater for </w:t>
      </w:r>
      <w:r>
        <w:rPr>
          <w:spacing w:val="-8"/>
        </w:rPr>
        <w:t>de </w:t>
      </w:r>
      <w:r>
        <w:rPr/>
        <w:t>fikspunkter, som indgår i valideringen af </w:t>
      </w:r>
      <w:r>
        <w:rPr>
          <w:spacing w:val="-3"/>
        </w:rPr>
        <w:t>scree- </w:t>
      </w:r>
      <w:r>
        <w:rPr/>
        <w:t>ningskortet</w:t>
      </w:r>
      <w:r>
        <w:rPr>
          <w:spacing w:val="-11"/>
        </w:rPr>
        <w:t> </w:t>
      </w:r>
      <w:r>
        <w:rPr/>
        <w:t>(samme</w:t>
      </w:r>
      <w:r>
        <w:rPr>
          <w:spacing w:val="-11"/>
        </w:rPr>
        <w:t> </w:t>
      </w:r>
      <w:r>
        <w:rPr/>
        <w:t>data</w:t>
      </w:r>
      <w:r>
        <w:rPr>
          <w:spacing w:val="-11"/>
        </w:rPr>
        <w:t> </w:t>
      </w:r>
      <w:r>
        <w:rPr/>
        <w:t>som</w:t>
      </w:r>
      <w:r>
        <w:rPr>
          <w:spacing w:val="-11"/>
        </w:rPr>
        <w:t> </w:t>
      </w:r>
      <w:r>
        <w:rPr/>
        <w:t>vist</w:t>
      </w:r>
      <w:r>
        <w:rPr>
          <w:spacing w:val="-11"/>
        </w:rPr>
        <w:t> </w:t>
      </w:r>
      <w:r>
        <w:rPr/>
        <w:t>i</w:t>
      </w:r>
      <w:r>
        <w:rPr>
          <w:spacing w:val="-11"/>
        </w:rPr>
        <w:t> </w:t>
      </w:r>
      <w:r>
        <w:rPr/>
        <w:t>Figur</w:t>
      </w:r>
      <w:r>
        <w:rPr>
          <w:spacing w:val="-11"/>
        </w:rPr>
        <w:t> </w:t>
      </w:r>
      <w:hyperlink w:history="true" w:anchor="_bookmark23">
        <w:r>
          <w:rPr>
            <w:color w:val="FF0000"/>
          </w:rPr>
          <w:t>5</w:t>
        </w:r>
      </w:hyperlink>
      <w:r>
        <w:rPr/>
        <w:t>).</w:t>
      </w:r>
      <w:r>
        <w:rPr>
          <w:spacing w:val="-10"/>
        </w:rPr>
        <w:t> </w:t>
      </w:r>
      <w:r>
        <w:rPr>
          <w:spacing w:val="-3"/>
        </w:rPr>
        <w:t>For- </w:t>
      </w:r>
      <w:r>
        <w:rPr/>
        <w:t>delingen af beregnet vertikal landbevægelse </w:t>
      </w:r>
      <w:r>
        <w:rPr>
          <w:spacing w:val="-5"/>
        </w:rPr>
        <w:t>for </w:t>
      </w:r>
      <w:r>
        <w:rPr/>
        <w:t>disse punkter er vist i Figur </w:t>
      </w:r>
      <w:hyperlink w:history="true" w:anchor="_bookmark25">
        <w:r>
          <w:rPr>
            <w:color w:val="FF0000"/>
          </w:rPr>
          <w:t>7</w:t>
        </w:r>
      </w:hyperlink>
      <w:r>
        <w:rPr/>
        <w:t>; opdelt i </w:t>
      </w:r>
      <w:r>
        <w:rPr>
          <w:spacing w:val="-3"/>
        </w:rPr>
        <w:t>punkter </w:t>
      </w:r>
      <w:r>
        <w:rPr/>
        <w:t>som ligger </w:t>
      </w:r>
      <w:r>
        <w:rPr>
          <w:spacing w:val="-4"/>
        </w:rPr>
        <w:t>hhv. </w:t>
      </w:r>
      <w:r>
        <w:rPr/>
        <w:t>indenfor eller udenfor de </w:t>
      </w:r>
      <w:r>
        <w:rPr>
          <w:spacing w:val="-3"/>
        </w:rPr>
        <w:t>poly- </w:t>
      </w:r>
      <w:r>
        <w:rPr/>
        <w:t>goner, som definerer</w:t>
      </w:r>
      <w:r>
        <w:rPr>
          <w:spacing w:val="-9"/>
        </w:rPr>
        <w:t> </w:t>
      </w:r>
      <w:r>
        <w:rPr/>
        <w:t>screeningskortet.</w:t>
      </w:r>
    </w:p>
    <w:p>
      <w:pPr>
        <w:pStyle w:val="BodyText"/>
        <w:spacing w:line="258" w:lineRule="exact"/>
        <w:ind w:left="563"/>
      </w:pPr>
      <w:r>
        <w:rPr/>
        <w:t>Screeningskortet har til formål at udpege om-</w:t>
      </w:r>
    </w:p>
    <w:p>
      <w:pPr>
        <w:pStyle w:val="BodyText"/>
        <w:spacing w:line="252" w:lineRule="auto" w:before="9"/>
        <w:ind w:left="329" w:right="1131"/>
        <w:jc w:val="both"/>
      </w:pPr>
      <w:r>
        <w:rPr/>
        <w:t>råder, hvor der forventeligt vil være større </w:t>
      </w:r>
      <w:r>
        <w:rPr>
          <w:spacing w:val="-4"/>
        </w:rPr>
        <w:t>sand- </w:t>
      </w:r>
      <w:r>
        <w:rPr/>
        <w:t>synlighed for betydende sætningsrater, og de</w:t>
      </w:r>
      <w:r>
        <w:rPr>
          <w:spacing w:val="-39"/>
        </w:rPr>
        <w:t> </w:t>
      </w:r>
      <w:r>
        <w:rPr>
          <w:spacing w:val="-5"/>
        </w:rPr>
        <w:t>ne- </w:t>
      </w:r>
      <w:r>
        <w:rPr>
          <w:spacing w:val="-2"/>
        </w:rPr>
        <w:t>gative </w:t>
      </w:r>
      <w:r>
        <w:rPr/>
        <w:t>vertikale landbevægelser (sætninger) </w:t>
      </w:r>
      <w:r>
        <w:rPr>
          <w:spacing w:val="-7"/>
        </w:rPr>
        <w:t>er </w:t>
      </w:r>
      <w:r>
        <w:rPr/>
        <w:t>derfor det primære fokus for den videre </w:t>
      </w:r>
      <w:r>
        <w:rPr>
          <w:spacing w:val="-3"/>
        </w:rPr>
        <w:t>valide- </w:t>
      </w:r>
      <w:r>
        <w:rPr/>
        <w:t>ring af screeningskortet. Figur </w:t>
      </w:r>
      <w:hyperlink w:history="true" w:anchor="_bookmark26">
        <w:r>
          <w:rPr>
            <w:color w:val="FF0000"/>
          </w:rPr>
          <w:t>8 </w:t>
        </w:r>
      </w:hyperlink>
      <w:r>
        <w:rPr/>
        <w:t>og Figur </w:t>
      </w:r>
      <w:hyperlink w:history="true" w:anchor="_bookmark27">
        <w:r>
          <w:rPr>
            <w:color w:val="FF0000"/>
          </w:rPr>
          <w:t>9</w:t>
        </w:r>
        <w:r>
          <w:rPr>
            <w:color w:val="FF0000"/>
            <w:spacing w:val="-40"/>
          </w:rPr>
          <w:t> </w:t>
        </w:r>
      </w:hyperlink>
      <w:r>
        <w:rPr>
          <w:spacing w:val="-3"/>
        </w:rPr>
        <w:t>viser </w:t>
      </w:r>
      <w:r>
        <w:rPr/>
        <w:t>forskellen i fordelingen af beregnede sætnings- rater </w:t>
      </w:r>
      <w:r>
        <w:rPr>
          <w:spacing w:val="-4"/>
        </w:rPr>
        <w:t>hhv. </w:t>
      </w:r>
      <w:r>
        <w:rPr/>
        <w:t>indenfor og uden for disse</w:t>
      </w:r>
      <w:r>
        <w:rPr>
          <w:spacing w:val="-21"/>
        </w:rPr>
        <w:t> </w:t>
      </w:r>
      <w:r>
        <w:rPr/>
        <w:t>områder.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Under antagelse af, at de beregnede sætnings- rater er korrekte, uafhængige og udgør en</w:t>
      </w:r>
      <w:r>
        <w:rPr>
          <w:spacing w:val="-43"/>
        </w:rPr>
        <w:t> </w:t>
      </w:r>
      <w:r>
        <w:rPr>
          <w:spacing w:val="-3"/>
        </w:rPr>
        <w:t>repræ- </w:t>
      </w:r>
      <w:r>
        <w:rPr/>
        <w:t>sentativ stikprøve, kan spørgsmålet om,</w:t>
      </w:r>
      <w:r>
        <w:rPr>
          <w:spacing w:val="-43"/>
        </w:rPr>
        <w:t> </w:t>
      </w:r>
      <w:r>
        <w:rPr>
          <w:spacing w:val="-3"/>
        </w:rPr>
        <w:t>hvorvidt </w:t>
      </w:r>
      <w:r>
        <w:rPr/>
        <w:t>screeningskortet udgør et validt grundlag for </w:t>
      </w:r>
      <w:r>
        <w:rPr>
          <w:spacing w:val="-8"/>
        </w:rPr>
        <w:t>at </w:t>
      </w:r>
      <w:r>
        <w:rPr/>
        <w:t>udpege</w:t>
      </w:r>
      <w:r>
        <w:rPr>
          <w:spacing w:val="-15"/>
        </w:rPr>
        <w:t> </w:t>
      </w:r>
      <w:r>
        <w:rPr/>
        <w:t>landområder</w:t>
      </w:r>
      <w:r>
        <w:rPr>
          <w:spacing w:val="-14"/>
        </w:rPr>
        <w:t> </w:t>
      </w:r>
      <w:r>
        <w:rPr/>
        <w:t>med</w:t>
      </w:r>
      <w:r>
        <w:rPr>
          <w:spacing w:val="-14"/>
        </w:rPr>
        <w:t> </w:t>
      </w:r>
      <w:r>
        <w:rPr/>
        <w:t>sandsynlighed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>
          <w:spacing w:val="-5"/>
        </w:rPr>
        <w:t>stør- </w:t>
      </w:r>
      <w:r>
        <w:rPr/>
        <w:t>re</w:t>
      </w:r>
      <w:r>
        <w:rPr>
          <w:spacing w:val="-13"/>
        </w:rPr>
        <w:t> </w:t>
      </w:r>
      <w:r>
        <w:rPr/>
        <w:t>sætningsrater,</w:t>
      </w:r>
      <w:r>
        <w:rPr>
          <w:spacing w:val="-12"/>
        </w:rPr>
        <w:t> </w:t>
      </w:r>
      <w:r>
        <w:rPr/>
        <w:t>belyses.</w:t>
      </w:r>
      <w:r>
        <w:rPr>
          <w:spacing w:val="-12"/>
        </w:rPr>
        <w:t> </w:t>
      </w:r>
      <w:r>
        <w:rPr/>
        <w:t>Det</w:t>
      </w:r>
      <w:r>
        <w:rPr>
          <w:spacing w:val="-12"/>
        </w:rPr>
        <w:t> </w:t>
      </w:r>
      <w:r>
        <w:rPr/>
        <w:t>gøres</w:t>
      </w:r>
      <w:r>
        <w:rPr>
          <w:spacing w:val="-12"/>
        </w:rPr>
        <w:t> </w:t>
      </w:r>
      <w:r>
        <w:rPr/>
        <w:t>ved</w:t>
      </w:r>
      <w:r>
        <w:rPr>
          <w:spacing w:val="-12"/>
        </w:rPr>
        <w:t> </w:t>
      </w:r>
      <w:r>
        <w:rPr/>
        <w:t>at</w:t>
      </w:r>
      <w:r>
        <w:rPr>
          <w:spacing w:val="-12"/>
        </w:rPr>
        <w:t> </w:t>
      </w:r>
      <w:r>
        <w:rPr>
          <w:spacing w:val="-4"/>
        </w:rPr>
        <w:t>under- </w:t>
      </w:r>
      <w:r>
        <w:rPr/>
        <w:t>søge, om der er en statistisk signifikant </w:t>
      </w:r>
      <w:r>
        <w:rPr>
          <w:spacing w:val="-3"/>
        </w:rPr>
        <w:t>forskel   </w:t>
      </w:r>
      <w:r>
        <w:rPr/>
        <w:t>i middelværdien på disse to populationer. </w:t>
      </w:r>
      <w:r>
        <w:rPr>
          <w:spacing w:val="-3"/>
        </w:rPr>
        <w:t>Dette </w:t>
      </w:r>
      <w:r>
        <w:rPr/>
        <w:t>er vanskeligt at afgøre eksakt, men ved hjælp </w:t>
      </w:r>
      <w:r>
        <w:rPr>
          <w:spacing w:val="-6"/>
        </w:rPr>
        <w:t>af </w:t>
      </w:r>
      <w:r>
        <w:rPr/>
        <w:t>traditionelle statistiske metoder er det muligt </w:t>
      </w:r>
      <w:r>
        <w:rPr>
          <w:spacing w:val="-6"/>
        </w:rPr>
        <w:t>at </w:t>
      </w:r>
      <w:r>
        <w:rPr/>
        <w:t>udtale sig kvalificeret</w:t>
      </w:r>
      <w:r>
        <w:rPr>
          <w:spacing w:val="-6"/>
        </w:rPr>
        <w:t> </w:t>
      </w:r>
      <w:r>
        <w:rPr/>
        <w:t>herom.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Først er data transformeret, således at de i transformeret form kan beskrives ved en (gaus- sisk) normalfordeling. Dette gøres vha. en loga- ritmisk transformation. Figur </w:t>
      </w:r>
      <w:hyperlink w:history="true" w:anchor="_bookmark28">
        <w:r>
          <w:rPr>
            <w:color w:val="FF0000"/>
          </w:rPr>
          <w:t>10 </w:t>
        </w:r>
      </w:hyperlink>
      <w:r>
        <w:rPr/>
        <w:t>viser de to log- transformerede fordelinger, som begge kan be- tragtes som værende normalfordelte.</w:t>
      </w:r>
    </w:p>
    <w:p>
      <w:pPr>
        <w:spacing w:after="0" w:line="252" w:lineRule="auto"/>
        <w:jc w:val="both"/>
        <w:sectPr>
          <w:pgSz w:w="11910" w:h="16840"/>
          <w:pgMar w:header="0" w:footer="546" w:top="1060" w:bottom="740" w:left="0" w:right="0"/>
          <w:cols w:num="2" w:equalWidth="0">
            <w:col w:w="5769" w:space="40"/>
            <w:col w:w="6101"/>
          </w:cols>
        </w:sectPr>
      </w:pPr>
    </w:p>
    <w:p>
      <w:pPr>
        <w:pStyle w:val="Heading3"/>
        <w:spacing w:before="18"/>
        <w:ind w:right="7398"/>
      </w:pPr>
      <w:r>
        <w:rPr/>
        <w:pict>
          <v:group style="position:absolute;margin-left:167.680466pt;margin-top:10.627595pt;width:317.95pt;height:210.4pt;mso-position-horizontal-relative:page;mso-position-vertical-relative:paragraph;z-index:2032" coordorigin="3354,213" coordsize="6359,4208">
            <v:shape style="position:absolute;left:3272;top:4054;width:7721;height:4558" coordorigin="3273,4055" coordsize="7721,4558" path="m3452,3913l9701,3913m3452,3502l9701,3502m3452,3093l9701,3093m3452,2682l9701,2682m3452,2273l9701,2273m3452,1864l9701,1864m3452,1453l9701,1453m3452,1044l9701,1044m3452,635l9701,635m3452,224l9701,224e" filled="false" stroked="true" strokeweight="1.124772pt" strokecolor="#858585">
              <v:path arrowok="t"/>
              <v:stroke dashstyle="solid"/>
            </v:shape>
            <v:rect style="position:absolute;left:3451;top:223;width:6250;height:4099" filled="false" stroked="true" strokeweight="1.124772pt" strokecolor="#7e7e7e">
              <v:stroke dashstyle="solid"/>
            </v:rect>
            <v:line style="position:absolute" from="3482,4166" to="3482,4321" stroked="true" strokeweight="1.125177pt" strokecolor="#4f81bc">
              <v:stroke dashstyle="solid"/>
            </v:line>
            <v:line style="position:absolute" from="3543,3691" to="3543,4321" stroked="true" strokeweight="1.222315pt" strokecolor="#4f81bc">
              <v:stroke dashstyle="solid"/>
            </v:line>
            <v:line style="position:absolute" from="3604,4018" to="3604,4321" stroked="true" strokeweight="1.23041pt" strokecolor="#4f81bc">
              <v:stroke dashstyle="solid"/>
            </v:line>
            <v:shape style="position:absolute;left:3665;top:4091;width:62;height:230" coordorigin="3665,4092" coordsize="62,230" path="m3665,4100l3665,4321m3727,4092l3727,4321e" filled="false" stroked="true" strokeweight="1.23041pt" strokecolor="#4f81bc">
              <v:path arrowok="t"/>
              <v:stroke dashstyle="solid"/>
            </v:shape>
            <v:line style="position:absolute" from="3788,4121" to="3788,4321" stroked="true" strokeweight="1.23041pt" strokecolor="#4f81bc">
              <v:stroke dashstyle="solid"/>
            </v:line>
            <v:line style="position:absolute" from="3849,4158" to="3849,4321" stroked="true" strokeweight="1.23041pt" strokecolor="#4f81bc">
              <v:stroke dashstyle="solid"/>
            </v:line>
            <v:line style="position:absolute" from="3911,4137" to="3911,4321" stroked="true" strokeweight="1.23041pt" strokecolor="#4f81bc">
              <v:stroke dashstyle="solid"/>
            </v:line>
            <v:line style="position:absolute" from="3972,4170" to="3972,4321" stroked="true" strokeweight="1.23041pt" strokecolor="#4f81bc">
              <v:stroke dashstyle="solid"/>
            </v:line>
            <v:shape style="position:absolute;left:4021;top:4202;width:148;height:119" coordorigin="4021,4202" coordsize="148,119" path="m4046,4215l4021,4215,4021,4321,4046,4321,4046,4215m4107,4202l4083,4202,4083,4321,4107,4321,4107,4202m4169,4211l4144,4211,4144,4321,4169,4321,4169,4211e" filled="true" fillcolor="#4f81bc" stroked="false">
              <v:path arrowok="t"/>
              <v:fill type="solid"/>
            </v:shape>
            <v:line style="position:absolute" from="4218,4166" to="4218,4321" stroked="true" strokeweight="1.23041pt" strokecolor="#4f81bc">
              <v:stroke dashstyle="solid"/>
            </v:line>
            <v:rect style="position:absolute;left:4266;top:4218;width:25;height:103" filled="true" fillcolor="#4f81bc" stroked="false">
              <v:fill type="solid"/>
            </v:rect>
            <v:line style="position:absolute" from="4340,4186" to="4340,4321" stroked="true" strokeweight="1.222315pt" strokecolor="#4f81bc">
              <v:stroke dashstyle="solid"/>
            </v:line>
            <v:rect style="position:absolute;left:4389;top:4222;width:25;height:99" filled="true" fillcolor="#4f81bc" stroked="false">
              <v:fill type="solid"/>
            </v:rect>
            <v:shape style="position:absolute;left:4463;top:4161;width:62;height:160" coordorigin="4463,4162" coordsize="62,160" path="m4463,4162l4463,4321m4524,4186l4524,4321e" filled="false" stroked="true" strokeweight="1.222315pt" strokecolor="#4f81bc">
              <v:path arrowok="t"/>
              <v:stroke dashstyle="solid"/>
            </v:shape>
            <v:shape style="position:absolute;left:4573;top:4214;width:86;height:107" coordorigin="4573,4215" coordsize="86,107" path="m4598,4215l4573,4215,4573,4321,4598,4321,4598,4215m4659,4227l4635,4227,4635,4321,4659,4321,4659,4227e" filled="true" fillcolor="#4f81bc" stroked="false">
              <v:path arrowok="t"/>
              <v:fill type="solid"/>
            </v:shape>
            <v:line style="position:absolute" from="4708,4149" to="4708,4321" stroked="true" strokeweight="1.222315pt" strokecolor="#4f81bc">
              <v:stroke dashstyle="solid"/>
            </v:line>
            <v:line style="position:absolute" from="4770,4182" to="4770,4321" stroked="true" strokeweight="1.23041pt" strokecolor="#4f81bc">
              <v:stroke dashstyle="solid"/>
            </v:line>
            <v:rect style="position:absolute;left:4818;top:4190;width:25;height:131" filled="true" fillcolor="#4f81bc" stroked="false">
              <v:fill type="solid"/>
            </v:rect>
            <v:line style="position:absolute" from="4892,4162" to="4892,4321" stroked="true" strokeweight="1.23041pt" strokecolor="#4f81bc">
              <v:stroke dashstyle="solid"/>
            </v:line>
            <v:shape style="position:absolute;left:4941;top:4202;width:86;height:119" coordorigin="4941,4202" coordsize="86,119" path="m4966,4202l4941,4202,4941,4321,4966,4321,4966,4202m5027,4202l5003,4202,5003,4321,5027,4321,5027,4202e" filled="true" fillcolor="#4f81bc" stroked="false">
              <v:path arrowok="t"/>
              <v:fill type="solid"/>
            </v:shape>
            <v:line style="position:absolute" from="5074,4186" to="5074,4321" stroked="true" strokeweight="1.222315pt" strokecolor="#4f81bc">
              <v:stroke dashstyle="solid"/>
            </v:line>
            <v:rect style="position:absolute;left:5123;top:4239;width:25;height:82" filled="true" fillcolor="#4f81bc" stroked="false">
              <v:fill type="solid"/>
            </v:rect>
            <v:line style="position:absolute" from="5197,4186" to="5197,4321" stroked="true" strokeweight="1.23041pt" strokecolor="#4f81bc">
              <v:stroke dashstyle="solid"/>
            </v:line>
            <v:rect style="position:absolute;left:5246;top:4206;width:25;height:115" filled="true" fillcolor="#4f81bc" stroked="false">
              <v:fill type="solid"/>
            </v:rect>
            <v:line style="position:absolute" from="5320,4186" to="5320,4321" stroked="true" strokeweight="1.23041pt" strokecolor="#4f81bc">
              <v:stroke dashstyle="solid"/>
            </v:line>
            <v:shape style="position:absolute;left:5381;top:4165;width:62;height:156" coordorigin="5381,4166" coordsize="62,156" path="m5381,4166l5381,4321m5443,4182l5443,4321e" filled="false" stroked="true" strokeweight="1.23041pt" strokecolor="#4f81bc">
              <v:path arrowok="t"/>
              <v:stroke dashstyle="solid"/>
            </v:shape>
            <v:rect style="position:absolute;left:5491;top:4194;width:25;height:127" filled="true" fillcolor="#4f81bc" stroked="false">
              <v:fill type="solid"/>
            </v:rect>
            <v:shape style="position:absolute;left:5565;top:4177;width:62;height:144" coordorigin="5565,4178" coordsize="62,144" path="m5565,4182l5565,4321m5627,4178l5627,4321e" filled="false" stroked="true" strokeweight="1.23041pt" strokecolor="#4f81bc">
              <v:path arrowok="t"/>
              <v:stroke dashstyle="solid"/>
            </v:shape>
            <v:line style="position:absolute" from="5688,4178" to="5688,4321" stroked="true" strokeweight="1.23041pt" strokecolor="#4f81bc">
              <v:stroke dashstyle="solid"/>
            </v:line>
            <v:line style="position:absolute" from="5749,4186" to="5749,4321" stroked="true" strokeweight="1.23041pt" strokecolor="#4f81bc">
              <v:stroke dashstyle="solid"/>
            </v:line>
            <v:shape style="position:absolute;left:5798;top:4190;width:148;height:131" coordorigin="5798,4190" coordsize="148,131" path="m5823,4215l5798,4215,5798,4321,5823,4321,5823,4215m5884,4190l5860,4190,5860,4321,5884,4321,5884,4190m5946,4211l5921,4211,5921,4321,5946,4321,5946,4211e" filled="true" fillcolor="#4f81bc" stroked="false">
              <v:path arrowok="t"/>
              <v:fill type="solid"/>
            </v:shape>
            <v:line style="position:absolute" from="5995,4186" to="5995,4321" stroked="true" strokeweight="1.222315pt" strokecolor="#4f81bc">
              <v:stroke dashstyle="solid"/>
            </v:line>
            <v:rect style="position:absolute;left:6043;top:4210;width:25;height:111" filled="true" fillcolor="#4f81bc" stroked="false">
              <v:fill type="solid"/>
            </v:rect>
            <v:line style="position:absolute" from="6117,4174" to="6117,4321" stroked="true" strokeweight="1.222315pt" strokecolor="#4f81bc">
              <v:stroke dashstyle="solid"/>
            </v:line>
            <v:shape style="position:absolute;left:6166;top:4206;width:86;height:115" coordorigin="6167,4207" coordsize="86,115" path="m6191,4231l6167,4231,6167,4321,6191,4321,6191,4231m6252,4207l6228,4207,6228,4321,6252,4321,6252,4207e" filled="true" fillcolor="#4f81bc" stroked="false">
              <v:path arrowok="t"/>
              <v:fill type="solid"/>
            </v:shape>
            <v:line style="position:absolute" from="6301,4149" to="6301,4321" stroked="true" strokeweight="1.222315pt" strokecolor="#4f81bc">
              <v:stroke dashstyle="solid"/>
            </v:line>
            <v:shape style="position:absolute;left:6350;top:4198;width:148;height:123" coordorigin="6350,4198" coordsize="148,123" path="m6375,4207l6350,4207,6350,4321,6375,4321,6375,4207m6436,4198l6412,4198,6412,4321,6436,4321,6436,4198m6498,4215l6473,4215,6473,4321,6498,4321,6498,4215e" filled="true" fillcolor="#4f81bc" stroked="false">
              <v:path arrowok="t"/>
              <v:fill type="solid"/>
            </v:shape>
            <v:line style="position:absolute" from="6547,4141" to="6547,4321" stroked="true" strokeweight="1.23041pt" strokecolor="#4f81bc">
              <v:stroke dashstyle="solid"/>
            </v:line>
            <v:rect style="position:absolute;left:6595;top:4194;width:23;height:127" filled="true" fillcolor="#4f81bc" stroked="false">
              <v:fill type="solid"/>
            </v:rect>
            <v:line style="position:absolute" from="6668,4162" to="6668,4321" stroked="true" strokeweight="1.222315pt" strokecolor="#4f81bc">
              <v:stroke dashstyle="solid"/>
            </v:line>
            <v:shape style="position:absolute;left:6716;top:4190;width:270;height:131" coordorigin="6717,4190" coordsize="270,131" path="m6741,4231l6717,4231,6717,4321,6741,4321,6741,4231m6802,4211l6778,4211,6778,4321,6802,4321,6802,4211m6864,4190l6839,4190,6839,4321,6864,4321,6864,4190m6925,4198l6901,4198,6901,4321,6925,4321,6925,4198m6987,4223l6962,4223,6962,4321,6987,4321,6987,4223e" filled="true" fillcolor="#4f81bc" stroked="false">
              <v:path arrowok="t"/>
              <v:fill type="solid"/>
            </v:shape>
            <v:shape style="position:absolute;left:7035;top:4116;width:369;height:205" coordorigin="7036,4117" coordsize="369,205" path="m7036,4117l7036,4321m7097,4149l7097,4321m7158,4178l7158,4321m7220,4178l7220,4321m7281,4133l7281,4321m7342,4141l7342,4321m7404,4170l7404,4321e" filled="false" stroked="true" strokeweight="1.23041pt" strokecolor="#4f81bc">
              <v:path arrowok="t"/>
              <v:stroke dashstyle="solid"/>
            </v:shape>
            <v:rect style="position:absolute;left:7452;top:4190;width:25;height:131" filled="true" fillcolor="#4f81bc" stroked="false">
              <v:fill type="solid"/>
            </v:rect>
            <v:shape style="position:absolute;left:7526;top:4141;width:62;height:180" coordorigin="7526,4141" coordsize="62,180" path="m7526,4141l7526,4321m7588,4162l7588,4321e" filled="false" stroked="true" strokeweight="1.222315pt" strokecolor="#4f81bc">
              <v:path arrowok="t"/>
              <v:stroke dashstyle="solid"/>
            </v:shape>
            <v:shape style="position:absolute;left:7649;top:4116;width:123;height:205" coordorigin="7649,4117" coordsize="123,205" path="m7649,4162l7649,4321m7710,4141l7710,4321m7772,4117l7772,4321e" filled="false" stroked="true" strokeweight="1.222315pt" strokecolor="#4f81bc">
              <v:path arrowok="t"/>
              <v:stroke dashstyle="solid"/>
            </v:shape>
            <v:line style="position:absolute" from="7833,4096" to="7833,4321" stroked="true" strokeweight="1.222315pt" strokecolor="#4f81bc">
              <v:stroke dashstyle="solid"/>
            </v:line>
            <v:line style="position:absolute" from="7895,4104" to="7895,4321" stroked="true" strokeweight="1.222315pt" strokecolor="#4f81bc">
              <v:stroke dashstyle="solid"/>
            </v:line>
            <v:line style="position:absolute" from="7956,4080" to="7956,4321" stroked="true" strokeweight="1.23041pt" strokecolor="#4f81bc">
              <v:stroke dashstyle="solid"/>
            </v:line>
            <v:line style="position:absolute" from="8017,4162" to="8017,4321" stroked="true" strokeweight="1.23041pt" strokecolor="#4f81bc">
              <v:stroke dashstyle="solid"/>
            </v:line>
            <v:line style="position:absolute" from="8079,3969" to="8079,4321" stroked="true" strokeweight="1.23041pt" strokecolor="#4f81bc">
              <v:stroke dashstyle="solid"/>
            </v:line>
            <v:line style="position:absolute" from="8140,4039" to="8140,4321" stroked="true" strokeweight="1.23041pt" strokecolor="#4f81bc">
              <v:stroke dashstyle="solid"/>
            </v:line>
            <v:line style="position:absolute" from="8199,4133" to="8199,4321" stroked="true" strokeweight="1.222315pt" strokecolor="#4f81bc">
              <v:stroke dashstyle="solid"/>
            </v:line>
            <v:line style="position:absolute" from="8261,4084" to="8261,4321" stroked="true" strokeweight="1.222315pt" strokecolor="#4f81bc">
              <v:stroke dashstyle="solid"/>
            </v:line>
            <v:line style="position:absolute" from="8322,4043" to="8322,4321" stroked="true" strokeweight="1.222315pt" strokecolor="#4f81bc">
              <v:stroke dashstyle="solid"/>
            </v:line>
            <v:line style="position:absolute" from="8383,3928" to="8383,4321" stroked="true" strokeweight="1.23041pt" strokecolor="#4f81bc">
              <v:stroke dashstyle="solid"/>
            </v:line>
            <v:line style="position:absolute" from="8445,3978" to="8445,4321" stroked="true" strokeweight="1.23041pt" strokecolor="#4f81bc">
              <v:stroke dashstyle="solid"/>
            </v:line>
            <v:shape style="position:absolute;left:8505;top:3965;width:62;height:356" coordorigin="8506,3965" coordsize="62,356" path="m8506,3990l8506,4321m8567,3965l8567,4321e" filled="false" stroked="true" strokeweight="1.23041pt" strokecolor="#4f81bc">
              <v:path arrowok="t"/>
              <v:stroke dashstyle="solid"/>
            </v:shape>
            <v:line style="position:absolute" from="8629,3912" to="8629,4321" stroked="true" strokeweight="1.23041pt" strokecolor="#4f81bc">
              <v:stroke dashstyle="solid"/>
            </v:line>
            <v:shape style="position:absolute;left:8690;top:3846;width:246;height:475" coordorigin="8690,3847" coordsize="246,475" path="m8690,3847l8690,4321m8751,3941l8751,4321m8813,3941l8813,4321m8874,3855l8874,4321m8935,3867l8935,4321e" filled="false" stroked="true" strokeweight="1.23041pt" strokecolor="#4f81bc">
              <v:path arrowok="t"/>
              <v:stroke dashstyle="solid"/>
            </v:shape>
            <v:line style="position:absolute" from="8997,3830" to="8997,4321" stroked="true" strokeweight="1.23041pt" strokecolor="#4f81bc">
              <v:stroke dashstyle="solid"/>
            </v:line>
            <v:shape style="position:absolute;left:9058;top:3781;width:62;height:540" coordorigin="9058,3781" coordsize="62,540" path="m9058,3789l9058,4321m9119,3781l9119,4321e" filled="false" stroked="true" strokeweight="1.222315pt" strokecolor="#4f81bc">
              <v:path arrowok="t"/>
              <v:stroke dashstyle="solid"/>
            </v:shape>
            <v:line style="position:absolute" from="9181,3740" to="9181,4321" stroked="true" strokeweight="1.222315pt" strokecolor="#4f81bc">
              <v:stroke dashstyle="solid"/>
            </v:line>
            <v:shape style="position:absolute;left:9242;top:3503;width:62;height:819" coordorigin="9242,3503" coordsize="62,819" path="m9242,3663l9242,4321m9304,3503l9304,4321e" filled="false" stroked="true" strokeweight="1.222315pt" strokecolor="#4f81bc">
              <v:path arrowok="t"/>
              <v:stroke dashstyle="solid"/>
            </v:shape>
            <v:line style="position:absolute" from="9365,3466" to="9365,4321" stroked="true" strokeweight="1.222315pt" strokecolor="#4f81bc">
              <v:stroke dashstyle="solid"/>
            </v:line>
            <v:shape style="position:absolute;left:9426;top:3190;width:62;height:1131" coordorigin="9426,3190" coordsize="62,1131" path="m9426,3307l9426,4321m9488,3190l9488,4321e" filled="false" stroked="true" strokeweight="1.222315pt" strokecolor="#4f81bc">
              <v:path arrowok="t"/>
              <v:stroke dashstyle="solid"/>
            </v:shape>
            <v:shape style="position:absolute;left:9548;top:257;width:62;height:4064" coordorigin="9549,258" coordsize="62,4064" path="m9549,2732l9549,4321m9610,258l9610,4321e" filled="false" stroked="true" strokeweight="1.23041pt" strokecolor="#4f81bc">
              <v:path arrowok="t"/>
              <v:stroke dashstyle="solid"/>
            </v:shape>
            <v:line style="position:absolute" from="3452,224" to="3452,4420" stroked="true" strokeweight="1.124772pt" strokecolor="#858585">
              <v:stroke dashstyle="solid"/>
            </v:line>
            <v:shape style="position:absolute;left:3151;top:4054;width:7842;height:5184" coordorigin="3152,4055" coordsize="7842,5184" path="m3354,4322l3452,4322m3354,3913l3452,3913m3354,3502l3452,3502m3354,3093l3452,3093m3354,2682l3452,2682m3354,2273l3452,2273m3354,1864l3452,1864m3354,1453l3452,1453m3354,1044l3452,1044m3354,635l3452,635m3354,224l3452,224m3452,4322l9701,4322m4065,4322l4065,4420m4677,4322l4677,4420m5290,4322l5290,4420m5902,4322l5902,4420m6515,4322l6515,4420m7129,4322l7129,4420m7740,4322l7740,4420m8354,4322l8354,4420m8965,4322l8965,4420m9579,4322l9579,4420e" filled="false" stroked="true" strokeweight="1.124772pt" strokecolor="#858585">
              <v:path arrowok="t"/>
              <v:stroke dashstyle="solid"/>
            </v:shape>
            <w10:wrap type="none"/>
          </v:group>
        </w:pict>
      </w:r>
      <w:bookmarkStart w:name="_bookmark20" w:id="32"/>
      <w:bookmarkEnd w:id="32"/>
      <w:r>
        <w:rPr/>
      </w:r>
      <w:r>
        <w:rPr/>
        <w:t>1000</w:t>
      </w:r>
    </w:p>
    <w:p>
      <w:pPr>
        <w:pStyle w:val="Heading3"/>
        <w:spacing w:before="32"/>
        <w:ind w:right="7240"/>
      </w:pPr>
      <w:r>
        <w:rPr/>
        <w:t>900</w:t>
      </w:r>
    </w:p>
    <w:p>
      <w:pPr>
        <w:pStyle w:val="Heading3"/>
        <w:spacing w:before="31"/>
        <w:ind w:right="7240"/>
      </w:pPr>
      <w:r>
        <w:rPr/>
        <w:t>800</w:t>
      </w:r>
    </w:p>
    <w:p>
      <w:pPr>
        <w:pStyle w:val="Heading3"/>
        <w:spacing w:before="31"/>
        <w:ind w:right="7240"/>
      </w:pPr>
      <w:r>
        <w:rPr/>
        <w:pict>
          <v:shape style="position:absolute;margin-left:104.958618pt;margin-top:17.314974pt;width:17.6pt;height:71.25pt;mso-position-horizontal-relative:page;mso-position-vertical-relative:paragraph;z-index:2056" type="#_x0000_t202" filled="false" stroked="false">
            <v:textbox inset="0,0,0,0" style="layout-flow:vertical;mso-layout-flow-alt:bottom-to-top">
              <w:txbxContent>
                <w:p>
                  <w:pPr>
                    <w:spacing w:line="337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31"/>
                    </w:rPr>
                  </w:pPr>
                  <w:r>
                    <w:rPr>
                      <w:rFonts w:ascii="Calibri"/>
                      <w:b/>
                      <w:sz w:val="31"/>
                    </w:rPr>
                    <w:t>Hyppighed</w:t>
                  </w:r>
                </w:p>
              </w:txbxContent>
            </v:textbox>
            <w10:wrap type="none"/>
          </v:shape>
        </w:pict>
      </w:r>
      <w:r>
        <w:rPr/>
        <w:t>700</w:t>
      </w:r>
    </w:p>
    <w:p>
      <w:pPr>
        <w:pStyle w:val="Heading3"/>
        <w:spacing w:before="32"/>
        <w:ind w:right="7240"/>
      </w:pPr>
      <w:r>
        <w:rPr/>
        <w:t>600</w:t>
      </w:r>
    </w:p>
    <w:p>
      <w:pPr>
        <w:pStyle w:val="Heading3"/>
        <w:spacing w:before="31"/>
        <w:ind w:right="7240"/>
      </w:pPr>
      <w:r>
        <w:rPr/>
        <w:t>500</w:t>
      </w:r>
    </w:p>
    <w:p>
      <w:pPr>
        <w:pStyle w:val="Heading3"/>
        <w:spacing w:before="32"/>
        <w:ind w:right="7240"/>
      </w:pPr>
      <w:r>
        <w:rPr/>
        <w:t>400</w:t>
      </w:r>
    </w:p>
    <w:p>
      <w:pPr>
        <w:pStyle w:val="Heading3"/>
        <w:spacing w:before="31"/>
        <w:ind w:right="7240"/>
      </w:pPr>
      <w:r>
        <w:rPr/>
        <w:t>300</w:t>
      </w:r>
    </w:p>
    <w:p>
      <w:pPr>
        <w:pStyle w:val="Heading3"/>
        <w:spacing w:before="31"/>
        <w:ind w:right="7240"/>
      </w:pPr>
      <w:r>
        <w:rPr/>
        <w:t>200</w:t>
      </w:r>
    </w:p>
    <w:p>
      <w:pPr>
        <w:pStyle w:val="Heading3"/>
        <w:spacing w:before="32"/>
        <w:ind w:right="7240"/>
      </w:pPr>
      <w:r>
        <w:rPr/>
        <w:t>100</w:t>
      </w:r>
    </w:p>
    <w:p>
      <w:pPr>
        <w:pStyle w:val="Heading3"/>
        <w:spacing w:before="31"/>
        <w:ind w:left="3005"/>
        <w:jc w:val="left"/>
      </w:pPr>
      <w:r>
        <w:rPr>
          <w:w w:val="100"/>
        </w:rPr>
        <w:t>0</w:t>
      </w:r>
    </w:p>
    <w:p>
      <w:pPr>
        <w:pStyle w:val="Heading3"/>
        <w:tabs>
          <w:tab w:pos="1684" w:val="left" w:leader="none"/>
          <w:tab w:pos="2297" w:val="left" w:leader="none"/>
          <w:tab w:pos="2910" w:val="left" w:leader="none"/>
          <w:tab w:pos="3522" w:val="left" w:leader="none"/>
          <w:tab w:pos="4135" w:val="left" w:leader="none"/>
          <w:tab w:pos="4748" w:val="left" w:leader="none"/>
          <w:tab w:pos="5361" w:val="left" w:leader="none"/>
          <w:tab w:pos="5974" w:val="left" w:leader="none"/>
          <w:tab w:pos="6587" w:val="left" w:leader="none"/>
          <w:tab w:pos="7317" w:val="left" w:leader="none"/>
        </w:tabs>
        <w:spacing w:before="27"/>
      </w:pPr>
      <w:r>
        <w:rPr/>
        <w:t>0</w:t>
        <w:tab/>
        <w:t>0,1</w:t>
        <w:tab/>
        <w:t>0,2</w:t>
        <w:tab/>
        <w:t>0,3</w:t>
        <w:tab/>
        <w:t>0,4</w:t>
        <w:tab/>
        <w:t>0,5</w:t>
        <w:tab/>
        <w:t>0,6</w:t>
        <w:tab/>
        <w:t>0,7</w:t>
        <w:tab/>
        <w:t>0,8</w:t>
        <w:tab/>
        <w:t>0,9</w:t>
        <w:tab/>
        <w:t>1</w:t>
      </w:r>
    </w:p>
    <w:p>
      <w:pPr>
        <w:spacing w:before="92"/>
        <w:ind w:left="1248" w:right="0" w:firstLine="0"/>
        <w:jc w:val="center"/>
        <w:rPr>
          <w:rFonts w:ascii="Calibri"/>
          <w:b/>
          <w:sz w:val="21"/>
        </w:rPr>
      </w:pPr>
      <w:r>
        <w:rPr>
          <w:rFonts w:ascii="Calibri"/>
          <w:b/>
          <w:position w:val="-8"/>
          <w:sz w:val="31"/>
        </w:rPr>
        <w:t>R</w:t>
      </w:r>
      <w:r>
        <w:rPr>
          <w:rFonts w:ascii="Calibri"/>
          <w:b/>
          <w:sz w:val="21"/>
        </w:rPr>
        <w:t>2</w:t>
      </w:r>
    </w:p>
    <w:p>
      <w:pPr>
        <w:pStyle w:val="BodyText"/>
        <w:spacing w:before="4"/>
        <w:rPr>
          <w:rFonts w:ascii="Calibri"/>
          <w:b/>
          <w:sz w:val="13"/>
        </w:rPr>
      </w:pPr>
    </w:p>
    <w:p>
      <w:pPr>
        <w:spacing w:line="237" w:lineRule="auto" w:before="83"/>
        <w:ind w:left="1133" w:right="0" w:firstLine="0"/>
        <w:jc w:val="left"/>
        <w:rPr>
          <w:rFonts w:ascii="Arial" w:hAnsi="Arial"/>
          <w:sz w:val="20"/>
        </w:rPr>
      </w:pPr>
      <w:r>
        <w:rPr>
          <w:rFonts w:ascii="Arial" w:hAnsi="Arial"/>
          <w:sz w:val="22"/>
        </w:rPr>
        <w:t>Figur 3: </w:t>
      </w:r>
      <w:r>
        <w:rPr>
          <w:rFonts w:ascii="Arial" w:hAnsi="Arial"/>
          <w:sz w:val="20"/>
        </w:rPr>
        <w:t>Fordelingen af beregnede korrelationskoefficienter (R</w:t>
      </w:r>
      <w:r>
        <w:rPr>
          <w:rFonts w:ascii="Castellar" w:hAnsi="Castellar"/>
          <w:position w:val="8"/>
          <w:sz w:val="16"/>
        </w:rPr>
        <w:t>2</w:t>
      </w:r>
      <w:r>
        <w:rPr>
          <w:rFonts w:ascii="Arial" w:hAnsi="Arial"/>
          <w:sz w:val="20"/>
        </w:rPr>
        <w:t>) i fikspunkter med 3 eller flere målte koter. Gennemsnitsværdi for R</w:t>
      </w:r>
      <w:r>
        <w:rPr>
          <w:rFonts w:ascii="Castellar" w:hAnsi="Castellar"/>
          <w:position w:val="8"/>
          <w:sz w:val="16"/>
        </w:rPr>
        <w:t>2 </w:t>
      </w:r>
      <w:r>
        <w:rPr>
          <w:rFonts w:ascii="Arial" w:hAnsi="Arial"/>
          <w:sz w:val="20"/>
        </w:rPr>
        <w:t>er 0,7.</w:t>
      </w: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header="0" w:footer="546" w:top="1120" w:bottom="740" w:left="0" w:right="0"/>
        </w:sectPr>
      </w:pPr>
    </w:p>
    <w:p>
      <w:pPr>
        <w:pStyle w:val="BodyText"/>
        <w:spacing w:line="252" w:lineRule="auto" w:before="222"/>
        <w:ind w:left="1133" w:firstLine="234"/>
        <w:jc w:val="both"/>
      </w:pPr>
      <w:r>
        <w:rPr/>
        <w:t>Der</w:t>
      </w:r>
      <w:r>
        <w:rPr>
          <w:spacing w:val="-11"/>
        </w:rPr>
        <w:t> </w:t>
      </w:r>
      <w:r>
        <w:rPr/>
        <w:t>er</w:t>
      </w:r>
      <w:r>
        <w:rPr>
          <w:spacing w:val="-11"/>
        </w:rPr>
        <w:t> </w:t>
      </w:r>
      <w:r>
        <w:rPr/>
        <w:t>således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signifikant</w:t>
      </w:r>
      <w:r>
        <w:rPr>
          <w:spacing w:val="-10"/>
        </w:rPr>
        <w:t> </w:t>
      </w:r>
      <w:r>
        <w:rPr/>
        <w:t>større</w:t>
      </w:r>
      <w:r>
        <w:rPr>
          <w:spacing w:val="-11"/>
        </w:rPr>
        <w:t> </w:t>
      </w:r>
      <w:r>
        <w:rPr/>
        <w:t>spredning</w:t>
      </w:r>
      <w:r>
        <w:rPr>
          <w:spacing w:val="-11"/>
        </w:rPr>
        <w:t> </w:t>
      </w:r>
      <w:r>
        <w:rPr>
          <w:spacing w:val="-14"/>
        </w:rPr>
        <w:t>i </w:t>
      </w:r>
      <w:r>
        <w:rPr/>
        <w:t>de beregnede sætningsrater, som falder </w:t>
      </w:r>
      <w:r>
        <w:rPr>
          <w:spacing w:val="-3"/>
        </w:rPr>
        <w:t>indenfor </w:t>
      </w:r>
      <w:r>
        <w:rPr/>
        <w:t>polygonen,</w:t>
      </w:r>
      <w:r>
        <w:rPr>
          <w:spacing w:val="-14"/>
        </w:rPr>
        <w:t> </w:t>
      </w:r>
      <w:r>
        <w:rPr/>
        <w:t>hvilket</w:t>
      </w:r>
      <w:r>
        <w:rPr>
          <w:spacing w:val="-13"/>
        </w:rPr>
        <w:t> </w:t>
      </w:r>
      <w:r>
        <w:rPr/>
        <w:t>er</w:t>
      </w:r>
      <w:r>
        <w:rPr>
          <w:spacing w:val="-14"/>
        </w:rPr>
        <w:t> </w:t>
      </w:r>
      <w:r>
        <w:rPr/>
        <w:t>forventeligt</w:t>
      </w:r>
      <w:r>
        <w:rPr>
          <w:spacing w:val="-13"/>
        </w:rPr>
        <w:t> </w:t>
      </w:r>
      <w:r>
        <w:rPr/>
        <w:t>grundet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>
          <w:spacing w:val="-8"/>
        </w:rPr>
        <w:t>for- </w:t>
      </w:r>
      <w:r>
        <w:rPr/>
        <w:t>holdsvist mange høje sætningsrater, som er </w:t>
      </w:r>
      <w:r>
        <w:rPr>
          <w:spacing w:val="-4"/>
        </w:rPr>
        <w:t>målt </w:t>
      </w:r>
      <w:r>
        <w:rPr/>
        <w:t>på Aarhus</w:t>
      </w:r>
      <w:r>
        <w:rPr>
          <w:spacing w:val="-3"/>
        </w:rPr>
        <w:t> </w:t>
      </w:r>
      <w:r>
        <w:rPr/>
        <w:t>Havn.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Det er imidlertid ikke spredningen, men </w:t>
      </w:r>
      <w:r>
        <w:rPr>
          <w:spacing w:val="-6"/>
        </w:rPr>
        <w:t>der- </w:t>
      </w:r>
      <w:r>
        <w:rPr/>
        <w:t>imod  middelværdien,  der  er  mest  interessant i forhold til at bedømme validiteten af </w:t>
      </w:r>
      <w:r>
        <w:rPr>
          <w:spacing w:val="-3"/>
        </w:rPr>
        <w:t>scree-</w:t>
      </w:r>
      <w:r>
        <w:rPr>
          <w:spacing w:val="54"/>
        </w:rPr>
        <w:t> </w:t>
      </w:r>
      <w:r>
        <w:rPr/>
        <w:t>ningskortet. Middelværdierne for de to </w:t>
      </w:r>
      <w:r>
        <w:rPr>
          <w:spacing w:val="-3"/>
        </w:rPr>
        <w:t>log10- </w:t>
      </w:r>
      <w:r>
        <w:rPr/>
        <w:t>transformerede populationer er derfor </w:t>
      </w:r>
      <w:r>
        <w:rPr>
          <w:spacing w:val="-3"/>
        </w:rPr>
        <w:t>sammen- </w:t>
      </w:r>
      <w:r>
        <w:rPr/>
        <w:t>lignet og testet vha. ’students t-test’ under </w:t>
      </w:r>
      <w:r>
        <w:rPr>
          <w:spacing w:val="-4"/>
        </w:rPr>
        <w:t>hen-</w:t>
      </w:r>
      <w:r>
        <w:rPr>
          <w:spacing w:val="52"/>
        </w:rPr>
        <w:t> </w:t>
      </w:r>
      <w:r>
        <w:rPr/>
        <w:t>syntagen til, at populationsvarianserne ikke </w:t>
      </w:r>
      <w:r>
        <w:rPr>
          <w:spacing w:val="-9"/>
        </w:rPr>
        <w:t>er </w:t>
      </w:r>
      <w:r>
        <w:rPr/>
        <w:t>lig med hinanden, som det fremgik af F-testen. </w:t>
      </w:r>
      <w:r>
        <w:rPr>
          <w:spacing w:val="-4"/>
        </w:rPr>
        <w:t>T-test </w:t>
      </w:r>
      <w:r>
        <w:rPr/>
        <w:t>med to stikprøver anvendes til at </w:t>
      </w:r>
      <w:r>
        <w:rPr>
          <w:spacing w:val="-3"/>
        </w:rPr>
        <w:t>afgøre, </w:t>
      </w:r>
      <w:r>
        <w:rPr/>
        <w:t>hvorvidt to populationers middelværdi er ens </w:t>
      </w:r>
      <w:r>
        <w:rPr>
          <w:spacing w:val="-6"/>
        </w:rPr>
        <w:t>el- </w:t>
      </w:r>
      <w:r>
        <w:rPr/>
        <w:t>ler forskellige på et givent statistisk </w:t>
      </w:r>
      <w:r>
        <w:rPr>
          <w:spacing w:val="-2"/>
        </w:rPr>
        <w:t>signifikans- </w:t>
      </w:r>
      <w:r>
        <w:rPr/>
        <w:t>niveau. </w:t>
      </w:r>
      <w:r>
        <w:rPr>
          <w:spacing w:val="-3"/>
        </w:rPr>
        <w:t>Testen </w:t>
      </w:r>
      <w:r>
        <w:rPr/>
        <w:t>viser, at middelværdierne er </w:t>
      </w:r>
      <w:r>
        <w:rPr>
          <w:spacing w:val="-4"/>
        </w:rPr>
        <w:t>sig- </w:t>
      </w:r>
      <w:r>
        <w:rPr/>
        <w:t>nifikant forskellige</w:t>
      </w:r>
      <w:r>
        <w:rPr>
          <w:spacing w:val="-4"/>
        </w:rPr>
        <w:t> </w:t>
      </w:r>
      <w:r>
        <w:rPr/>
        <w:t>(P&lt;0,001).</w:t>
      </w:r>
    </w:p>
    <w:p>
      <w:pPr>
        <w:pStyle w:val="BodyText"/>
        <w:spacing w:before="4"/>
        <w:rPr>
          <w:sz w:val="33"/>
        </w:rPr>
      </w:pPr>
    </w:p>
    <w:p>
      <w:pPr>
        <w:pStyle w:val="Heading4"/>
        <w:spacing w:line="288" w:lineRule="auto"/>
        <w:jc w:val="both"/>
      </w:pPr>
      <w:r>
        <w:rPr/>
        <w:t>Sammenligning med resultater fra PanGeo-projektet</w:t>
      </w:r>
    </w:p>
    <w:p>
      <w:pPr>
        <w:pStyle w:val="BodyText"/>
        <w:spacing w:line="252" w:lineRule="auto" w:before="111"/>
        <w:ind w:left="1133"/>
        <w:jc w:val="both"/>
      </w:pPr>
      <w:r>
        <w:rPr/>
        <w:t>Figurerne </w:t>
      </w:r>
      <w:hyperlink w:history="true" w:anchor="_bookmark29">
        <w:r>
          <w:rPr>
            <w:color w:val="FF0000"/>
          </w:rPr>
          <w:t>11 </w:t>
        </w:r>
      </w:hyperlink>
      <w:r>
        <w:rPr/>
        <w:t>og </w:t>
      </w:r>
      <w:hyperlink w:history="true" w:anchor="_bookmark30">
        <w:r>
          <w:rPr>
            <w:color w:val="FF0000"/>
          </w:rPr>
          <w:t>12 </w:t>
        </w:r>
      </w:hyperlink>
      <w:r>
        <w:rPr/>
        <w:t>viser screeningskortet sam- menholdt med resultaterne fra udpegningen af potentielt ustabile områder i PanGeo-projektet for hhv. København og Aalborg. Der iagttages god overensstemmelse imellem de to kortlæg-</w:t>
      </w:r>
    </w:p>
    <w:p>
      <w:pPr>
        <w:pStyle w:val="BodyText"/>
        <w:spacing w:line="252" w:lineRule="auto" w:before="222"/>
        <w:ind w:left="329" w:right="1131"/>
        <w:jc w:val="both"/>
      </w:pPr>
      <w:r>
        <w:rPr/>
        <w:br w:type="column"/>
      </w:r>
      <w:r>
        <w:rPr/>
        <w:t>ninger</w:t>
      </w:r>
      <w:r>
        <w:rPr>
          <w:spacing w:val="-13"/>
        </w:rPr>
        <w:t> </w:t>
      </w:r>
      <w:r>
        <w:rPr/>
        <w:t>med</w:t>
      </w:r>
      <w:r>
        <w:rPr>
          <w:spacing w:val="-13"/>
        </w:rPr>
        <w:t> </w:t>
      </w:r>
      <w:r>
        <w:rPr/>
        <w:t>en</w:t>
      </w:r>
      <w:r>
        <w:rPr>
          <w:spacing w:val="-12"/>
        </w:rPr>
        <w:t> </w:t>
      </w:r>
      <w:r>
        <w:rPr/>
        <w:t>tendens</w:t>
      </w:r>
      <w:r>
        <w:rPr>
          <w:spacing w:val="-13"/>
        </w:rPr>
        <w:t> </w:t>
      </w:r>
      <w:r>
        <w:rPr/>
        <w:t>til,</w:t>
      </w:r>
      <w:r>
        <w:rPr>
          <w:spacing w:val="-12"/>
        </w:rPr>
        <w:t> </w:t>
      </w:r>
      <w:r>
        <w:rPr/>
        <w:t>at</w:t>
      </w:r>
      <w:r>
        <w:rPr>
          <w:spacing w:val="-13"/>
        </w:rPr>
        <w:t> </w:t>
      </w:r>
      <w:r>
        <w:rPr/>
        <w:t>screeningskortet</w:t>
      </w:r>
      <w:r>
        <w:rPr>
          <w:spacing w:val="-12"/>
        </w:rPr>
        <w:t> </w:t>
      </w:r>
      <w:r>
        <w:rPr>
          <w:spacing w:val="-4"/>
        </w:rPr>
        <w:t>har </w:t>
      </w:r>
      <w:r>
        <w:rPr/>
        <w:t>en lidt større margin i udpegningen. Figur 13 </w:t>
      </w:r>
      <w:r>
        <w:rPr>
          <w:spacing w:val="-5"/>
        </w:rPr>
        <w:t>vi- </w:t>
      </w:r>
      <w:r>
        <w:rPr/>
        <w:t>ser screeningskortet sammenholdt med resulta- terne fra PanGeo-projektet for Aalborgs </w:t>
      </w:r>
      <w:r>
        <w:rPr>
          <w:spacing w:val="-5"/>
        </w:rPr>
        <w:t>byker- </w:t>
      </w:r>
      <w:r>
        <w:rPr/>
        <w:t>ne; med lidt flere detaljer og med sætningsra- ter beregnet for de udvalgte fikspunkter. </w:t>
      </w:r>
      <w:r>
        <w:rPr>
          <w:spacing w:val="-4"/>
        </w:rPr>
        <w:t>Udpeg- </w:t>
      </w:r>
      <w:r>
        <w:rPr/>
        <w:t>ningen</w:t>
      </w:r>
      <w:r>
        <w:rPr>
          <w:spacing w:val="-13"/>
        </w:rPr>
        <w:t> </w:t>
      </w:r>
      <w:r>
        <w:rPr/>
        <w:t>af</w:t>
      </w:r>
      <w:r>
        <w:rPr>
          <w:spacing w:val="-12"/>
        </w:rPr>
        <w:t> </w:t>
      </w:r>
      <w:r>
        <w:rPr/>
        <w:t>potentielle</w:t>
      </w:r>
      <w:r>
        <w:rPr>
          <w:spacing w:val="-12"/>
        </w:rPr>
        <w:t> </w:t>
      </w:r>
      <w:r>
        <w:rPr/>
        <w:t>sætningsområder</w:t>
      </w:r>
      <w:r>
        <w:rPr>
          <w:spacing w:val="-11"/>
        </w:rPr>
        <w:t> </w:t>
      </w:r>
      <w:r>
        <w:rPr/>
        <w:t>i</w:t>
      </w:r>
      <w:r>
        <w:rPr>
          <w:spacing w:val="-12"/>
        </w:rPr>
        <w:t> </w:t>
      </w:r>
      <w:r>
        <w:rPr>
          <w:spacing w:val="-3"/>
        </w:rPr>
        <w:t>PanGeo- </w:t>
      </w:r>
      <w:r>
        <w:rPr/>
        <w:t>projektet forekommer at være konservativ set </w:t>
      </w:r>
      <w:r>
        <w:rPr>
          <w:spacing w:val="-11"/>
        </w:rPr>
        <w:t>i </w:t>
      </w:r>
      <w:r>
        <w:rPr/>
        <w:t>forhold til de beregnede sætningsrater fra </w:t>
      </w:r>
      <w:r>
        <w:rPr>
          <w:spacing w:val="-3"/>
        </w:rPr>
        <w:t>fiks- </w:t>
      </w:r>
      <w:r>
        <w:rPr/>
        <w:t>punkterne. I nederste venstre hjørne af Figur </w:t>
      </w:r>
      <w:hyperlink w:history="true" w:anchor="_bookmark31">
        <w:r>
          <w:rPr>
            <w:color w:val="FF0000"/>
            <w:spacing w:val="-7"/>
          </w:rPr>
          <w:t>13</w:t>
        </w:r>
      </w:hyperlink>
      <w:r>
        <w:rPr>
          <w:color w:val="FF0000"/>
          <w:spacing w:val="-7"/>
        </w:rPr>
        <w:t> </w:t>
      </w:r>
      <w:r>
        <w:rPr/>
        <w:t>forekommer således flere høje sætningsrater </w:t>
      </w:r>
      <w:r>
        <w:rPr>
          <w:spacing w:val="-5"/>
        </w:rPr>
        <w:t>be- </w:t>
      </w:r>
      <w:r>
        <w:rPr/>
        <w:t>regnet ud fra målingerne på fikspunkterne, </w:t>
      </w:r>
      <w:r>
        <w:rPr>
          <w:spacing w:val="-5"/>
        </w:rPr>
        <w:t>som </w:t>
      </w:r>
      <w:r>
        <w:rPr/>
        <w:t>ikke er inkluderet i PSI-udpegningen. Dette </w:t>
      </w:r>
      <w:r>
        <w:rPr>
          <w:spacing w:val="-8"/>
        </w:rPr>
        <w:t>er </w:t>
      </w:r>
      <w:r>
        <w:rPr/>
        <w:t>også tilfældet for et par fikspunkter beliggende midt i figuren umiddelbart syd for </w:t>
      </w:r>
      <w:r>
        <w:rPr>
          <w:spacing w:val="-3"/>
        </w:rPr>
        <w:t>havneanlæg- </w:t>
      </w:r>
      <w:r>
        <w:rPr/>
        <w:t>get.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Statistisk beregnede nøgletal for hver af de to populationer, inklusive de log10-transformerede værdier er vist i tabel </w:t>
      </w:r>
      <w:hyperlink w:history="true" w:anchor="_bookmark32">
        <w:r>
          <w:rPr>
            <w:color w:val="FF0000"/>
          </w:rPr>
          <w:t>1</w:t>
        </w:r>
      </w:hyperlink>
      <w:r>
        <w:rPr/>
        <w:t>.</w:t>
      </w:r>
    </w:p>
    <w:p>
      <w:pPr>
        <w:pStyle w:val="BodyText"/>
        <w:spacing w:before="5"/>
        <w:rPr>
          <w:sz w:val="38"/>
        </w:rPr>
      </w:pPr>
    </w:p>
    <w:p>
      <w:pPr>
        <w:pStyle w:val="Heading2"/>
        <w:numPr>
          <w:ilvl w:val="1"/>
          <w:numId w:val="5"/>
        </w:numPr>
        <w:tabs>
          <w:tab w:pos="1086" w:val="left" w:leader="none"/>
          <w:tab w:pos="1087" w:val="left" w:leader="none"/>
        </w:tabs>
        <w:spacing w:line="240" w:lineRule="auto" w:before="1" w:after="0"/>
        <w:ind w:left="1086" w:right="0" w:hanging="757"/>
        <w:jc w:val="left"/>
      </w:pPr>
      <w:bookmarkStart w:name="_bookmark21" w:id="33"/>
      <w:bookmarkEnd w:id="33"/>
      <w:r>
        <w:rPr>
          <w:b w:val="0"/>
        </w:rPr>
      </w:r>
      <w:bookmarkStart w:name="_bookmark21" w:id="34"/>
      <w:bookmarkEnd w:id="34"/>
      <w:r>
        <w:rPr/>
        <w:t>Usikkerhedsfaktorer</w:t>
      </w:r>
    </w:p>
    <w:p>
      <w:pPr>
        <w:pStyle w:val="BodyText"/>
        <w:spacing w:line="252" w:lineRule="auto" w:before="246"/>
        <w:ind w:left="329" w:right="1131"/>
        <w:jc w:val="both"/>
      </w:pPr>
      <w:r>
        <w:rPr/>
        <w:t>Der knytter sig en anseelig mængde antagelser og</w:t>
      </w:r>
      <w:r>
        <w:rPr>
          <w:spacing w:val="-15"/>
        </w:rPr>
        <w:t> </w:t>
      </w:r>
      <w:r>
        <w:rPr/>
        <w:t>usikkerhedsfaktorer</w:t>
      </w:r>
      <w:r>
        <w:rPr>
          <w:spacing w:val="-15"/>
        </w:rPr>
        <w:t> </w:t>
      </w:r>
      <w:r>
        <w:rPr/>
        <w:t>til</w:t>
      </w:r>
      <w:r>
        <w:rPr>
          <w:spacing w:val="-15"/>
        </w:rPr>
        <w:t> </w:t>
      </w:r>
      <w:r>
        <w:rPr/>
        <w:t>analysen,</w:t>
      </w:r>
      <w:r>
        <w:rPr>
          <w:spacing w:val="-14"/>
        </w:rPr>
        <w:t> </w:t>
      </w:r>
      <w:r>
        <w:rPr/>
        <w:t>herunder</w:t>
      </w:r>
      <w:r>
        <w:rPr>
          <w:spacing w:val="-15"/>
        </w:rPr>
        <w:t> </w:t>
      </w:r>
      <w:r>
        <w:rPr>
          <w:spacing w:val="-4"/>
        </w:rPr>
        <w:t>bå- </w:t>
      </w:r>
      <w:r>
        <w:rPr/>
        <w:t>de til kortlægningsdelen og til beregningerne </w:t>
      </w:r>
      <w:r>
        <w:rPr>
          <w:spacing w:val="-8"/>
        </w:rPr>
        <w:t>af </w:t>
      </w:r>
      <w:r>
        <w:rPr/>
        <w:t>vertikale</w:t>
      </w:r>
      <w:r>
        <w:rPr>
          <w:spacing w:val="-11"/>
        </w:rPr>
        <w:t> </w:t>
      </w:r>
      <w:r>
        <w:rPr/>
        <w:t>landbevægelser</w:t>
      </w:r>
      <w:r>
        <w:rPr>
          <w:spacing w:val="-10"/>
        </w:rPr>
        <w:t> </w:t>
      </w:r>
      <w:r>
        <w:rPr/>
        <w:t>i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udvalgte</w:t>
      </w:r>
      <w:r>
        <w:rPr>
          <w:spacing w:val="-10"/>
        </w:rPr>
        <w:t> </w:t>
      </w:r>
      <w:r>
        <w:rPr/>
        <w:t>fikspunk- </w:t>
      </w:r>
      <w:r>
        <w:rPr>
          <w:spacing w:val="-4"/>
        </w:rPr>
        <w:t>ter. </w:t>
      </w:r>
      <w:r>
        <w:rPr/>
        <w:t>De væsentligste af disse</w:t>
      </w:r>
      <w:r>
        <w:rPr>
          <w:spacing w:val="-4"/>
        </w:rPr>
        <w:t> </w:t>
      </w:r>
      <w:r>
        <w:rPr/>
        <w:t>omfatter: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0" w:right="0"/>
          <w:cols w:num="2" w:equalWidth="0">
            <w:col w:w="5769" w:space="40"/>
            <w:col w:w="610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pStyle w:val="BodyText"/>
        <w:ind w:left="1615"/>
        <w:rPr>
          <w:sz w:val="20"/>
        </w:rPr>
      </w:pPr>
      <w:r>
        <w:rPr>
          <w:sz w:val="20"/>
        </w:rPr>
        <w:drawing>
          <wp:inline distT="0" distB="0" distL="0" distR="0">
            <wp:extent cx="5557266" cy="6717125"/>
            <wp:effectExtent l="0" t="0" r="0" b="0"/>
            <wp:docPr id="27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7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7266" cy="671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76" w:lineRule="auto" w:before="100"/>
        <w:ind w:left="1133" w:right="0" w:firstLine="0"/>
        <w:jc w:val="left"/>
        <w:rPr>
          <w:rFonts w:ascii="Arial" w:hAnsi="Arial"/>
          <w:sz w:val="20"/>
        </w:rPr>
      </w:pPr>
      <w:bookmarkStart w:name="_bookmark22" w:id="35"/>
      <w:bookmarkEnd w:id="35"/>
      <w:r>
        <w:rPr/>
      </w:r>
      <w:r>
        <w:rPr>
          <w:rFonts w:ascii="Arial" w:hAnsi="Arial"/>
          <w:sz w:val="22"/>
        </w:rPr>
        <w:t>Figur 4: </w:t>
      </w:r>
      <w:r>
        <w:rPr>
          <w:rFonts w:ascii="Arial" w:hAnsi="Arial"/>
          <w:sz w:val="20"/>
        </w:rPr>
        <w:t>Den geografiske placering af de i alt 34.551 fikspunkter, som udgør grundlaget for dataudtrækket fra fikspunktdatabasen. Hvert fikspunkt er vist som en blå prik.</w:t>
      </w:r>
    </w:p>
    <w:p>
      <w:pPr>
        <w:spacing w:after="0" w:line="276" w:lineRule="auto"/>
        <w:jc w:val="left"/>
        <w:rPr>
          <w:rFonts w:ascii="Arial" w:hAnsi="Arial"/>
          <w:sz w:val="20"/>
        </w:rPr>
        <w:sectPr>
          <w:pgSz w:w="11910" w:h="16840"/>
          <w:pgMar w:header="0" w:footer="546" w:top="1580" w:bottom="74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13"/>
        </w:rPr>
      </w:pPr>
    </w:p>
    <w:p>
      <w:pPr>
        <w:pStyle w:val="BodyText"/>
        <w:ind w:left="1615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5480685" cy="6326124"/>
            <wp:effectExtent l="0" t="0" r="0" b="0"/>
            <wp:docPr id="29" name="image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8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0685" cy="6326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3"/>
        <w:rPr>
          <w:rFonts w:ascii="Arial"/>
          <w:sz w:val="12"/>
        </w:rPr>
      </w:pPr>
    </w:p>
    <w:p>
      <w:pPr>
        <w:spacing w:line="278" w:lineRule="auto" w:before="103"/>
        <w:ind w:left="1133" w:right="1131" w:firstLine="0"/>
        <w:jc w:val="both"/>
        <w:rPr>
          <w:rFonts w:ascii="Arial" w:hAnsi="Arial"/>
          <w:sz w:val="20"/>
        </w:rPr>
      </w:pPr>
      <w:bookmarkStart w:name="_bookmark23" w:id="36"/>
      <w:bookmarkEnd w:id="36"/>
      <w:r>
        <w:rPr/>
      </w:r>
      <w:r>
        <w:rPr>
          <w:rFonts w:ascii="Arial" w:hAnsi="Arial"/>
          <w:sz w:val="22"/>
        </w:rPr>
        <w:t>Figur</w:t>
      </w:r>
      <w:r>
        <w:rPr>
          <w:rFonts w:ascii="Arial" w:hAnsi="Arial"/>
          <w:spacing w:val="-6"/>
          <w:sz w:val="22"/>
        </w:rPr>
        <w:t> </w:t>
      </w:r>
      <w:r>
        <w:rPr>
          <w:rFonts w:ascii="Arial" w:hAnsi="Arial"/>
          <w:sz w:val="22"/>
        </w:rPr>
        <w:t>5:</w:t>
      </w:r>
      <w:r>
        <w:rPr>
          <w:rFonts w:ascii="Arial" w:hAnsi="Arial"/>
          <w:spacing w:val="-6"/>
          <w:sz w:val="22"/>
        </w:rPr>
        <w:t> </w:t>
      </w:r>
      <w:r>
        <w:rPr>
          <w:rFonts w:ascii="Arial" w:hAnsi="Arial"/>
          <w:sz w:val="20"/>
        </w:rPr>
        <w:t>Den</w:t>
      </w:r>
      <w:r>
        <w:rPr>
          <w:rFonts w:ascii="Arial" w:hAnsi="Arial"/>
          <w:spacing w:val="-6"/>
          <w:sz w:val="20"/>
        </w:rPr>
        <w:t> </w:t>
      </w:r>
      <w:r>
        <w:rPr>
          <w:rFonts w:ascii="Arial" w:hAnsi="Arial"/>
          <w:sz w:val="20"/>
        </w:rPr>
        <w:t>geografiske</w:t>
      </w:r>
      <w:r>
        <w:rPr>
          <w:rFonts w:ascii="Arial" w:hAnsi="Arial"/>
          <w:spacing w:val="-5"/>
          <w:sz w:val="20"/>
        </w:rPr>
        <w:t> </w:t>
      </w:r>
      <w:r>
        <w:rPr>
          <w:rFonts w:ascii="Arial" w:hAnsi="Arial"/>
          <w:sz w:val="20"/>
        </w:rPr>
        <w:t>placering</w:t>
      </w:r>
      <w:r>
        <w:rPr>
          <w:rFonts w:ascii="Arial" w:hAnsi="Arial"/>
          <w:spacing w:val="-5"/>
          <w:sz w:val="20"/>
        </w:rPr>
        <w:t> </w:t>
      </w:r>
      <w:r>
        <w:rPr>
          <w:rFonts w:ascii="Arial" w:hAnsi="Arial"/>
          <w:sz w:val="20"/>
        </w:rPr>
        <w:t>af</w:t>
      </w:r>
      <w:r>
        <w:rPr>
          <w:rFonts w:ascii="Arial" w:hAnsi="Arial"/>
          <w:spacing w:val="-6"/>
          <w:sz w:val="20"/>
        </w:rPr>
        <w:t> </w:t>
      </w:r>
      <w:r>
        <w:rPr>
          <w:rFonts w:ascii="Arial" w:hAnsi="Arial"/>
          <w:sz w:val="20"/>
        </w:rPr>
        <w:t>de</w:t>
      </w:r>
      <w:r>
        <w:rPr>
          <w:rFonts w:ascii="Arial" w:hAnsi="Arial"/>
          <w:spacing w:val="-5"/>
          <w:sz w:val="20"/>
        </w:rPr>
        <w:t> </w:t>
      </w:r>
      <w:r>
        <w:rPr>
          <w:rFonts w:ascii="Arial" w:hAnsi="Arial"/>
          <w:sz w:val="20"/>
        </w:rPr>
        <w:t>fikspunkter,</w:t>
      </w:r>
      <w:r>
        <w:rPr>
          <w:rFonts w:ascii="Arial" w:hAnsi="Arial"/>
          <w:spacing w:val="-5"/>
          <w:sz w:val="20"/>
        </w:rPr>
        <w:t> </w:t>
      </w:r>
      <w:r>
        <w:rPr>
          <w:rFonts w:ascii="Arial" w:hAnsi="Arial"/>
          <w:sz w:val="20"/>
        </w:rPr>
        <w:t>som</w:t>
      </w:r>
      <w:r>
        <w:rPr>
          <w:rFonts w:ascii="Arial" w:hAnsi="Arial"/>
          <w:spacing w:val="-5"/>
          <w:sz w:val="20"/>
        </w:rPr>
        <w:t> </w:t>
      </w:r>
      <w:r>
        <w:rPr>
          <w:rFonts w:ascii="Arial" w:hAnsi="Arial"/>
          <w:spacing w:val="-3"/>
          <w:sz w:val="20"/>
        </w:rPr>
        <w:t>udgør</w:t>
      </w:r>
      <w:r>
        <w:rPr>
          <w:rFonts w:ascii="Arial" w:hAnsi="Arial"/>
          <w:spacing w:val="-5"/>
          <w:sz w:val="20"/>
        </w:rPr>
        <w:t> </w:t>
      </w:r>
      <w:r>
        <w:rPr>
          <w:rFonts w:ascii="Arial" w:hAnsi="Arial"/>
          <w:sz w:val="20"/>
        </w:rPr>
        <w:t>det</w:t>
      </w:r>
      <w:r>
        <w:rPr>
          <w:rFonts w:ascii="Arial" w:hAnsi="Arial"/>
          <w:spacing w:val="-5"/>
          <w:sz w:val="20"/>
        </w:rPr>
        <w:t> </w:t>
      </w:r>
      <w:r>
        <w:rPr>
          <w:rFonts w:ascii="Arial" w:hAnsi="Arial"/>
          <w:sz w:val="20"/>
        </w:rPr>
        <w:t>endelige</w:t>
      </w:r>
      <w:r>
        <w:rPr>
          <w:rFonts w:ascii="Arial" w:hAnsi="Arial"/>
          <w:spacing w:val="-5"/>
          <w:sz w:val="20"/>
        </w:rPr>
        <w:t> </w:t>
      </w:r>
      <w:r>
        <w:rPr>
          <w:rFonts w:ascii="Arial" w:hAnsi="Arial"/>
          <w:sz w:val="20"/>
        </w:rPr>
        <w:t>datagrundlag</w:t>
      </w:r>
      <w:r>
        <w:rPr>
          <w:rFonts w:ascii="Arial" w:hAnsi="Arial"/>
          <w:spacing w:val="-6"/>
          <w:sz w:val="20"/>
        </w:rPr>
        <w:t> </w:t>
      </w:r>
      <w:r>
        <w:rPr>
          <w:rFonts w:ascii="Arial" w:hAnsi="Arial"/>
          <w:spacing w:val="-3"/>
          <w:sz w:val="20"/>
        </w:rPr>
        <w:t>for</w:t>
      </w:r>
      <w:r>
        <w:rPr>
          <w:rFonts w:ascii="Arial" w:hAnsi="Arial"/>
          <w:spacing w:val="-6"/>
          <w:sz w:val="20"/>
        </w:rPr>
        <w:t> </w:t>
      </w:r>
      <w:r>
        <w:rPr>
          <w:rFonts w:ascii="Arial" w:hAnsi="Arial"/>
          <w:sz w:val="20"/>
        </w:rPr>
        <w:t>valideringen</w:t>
      </w:r>
      <w:r>
        <w:rPr>
          <w:rFonts w:ascii="Arial" w:hAnsi="Arial"/>
          <w:spacing w:val="-5"/>
          <w:sz w:val="20"/>
        </w:rPr>
        <w:t> </w:t>
      </w:r>
      <w:r>
        <w:rPr>
          <w:rFonts w:ascii="Arial" w:hAnsi="Arial"/>
          <w:sz w:val="20"/>
        </w:rPr>
        <w:t>af screeningskortet</w:t>
      </w:r>
      <w:r>
        <w:rPr>
          <w:rFonts w:ascii="Arial" w:hAnsi="Arial"/>
          <w:spacing w:val="-8"/>
          <w:sz w:val="20"/>
        </w:rPr>
        <w:t> </w:t>
      </w:r>
      <w:r>
        <w:rPr>
          <w:rFonts w:ascii="Arial" w:hAnsi="Arial"/>
          <w:spacing w:val="-3"/>
          <w:sz w:val="20"/>
        </w:rPr>
        <w:t>(rød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baggrund).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Grønne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prikker</w:t>
      </w:r>
      <w:r>
        <w:rPr>
          <w:rFonts w:ascii="Arial" w:hAnsi="Arial"/>
          <w:spacing w:val="-8"/>
          <w:sz w:val="20"/>
        </w:rPr>
        <w:t> </w:t>
      </w:r>
      <w:r>
        <w:rPr>
          <w:rFonts w:ascii="Arial" w:hAnsi="Arial"/>
          <w:sz w:val="20"/>
        </w:rPr>
        <w:t>viser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fikspunkter,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som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er</w:t>
      </w:r>
      <w:r>
        <w:rPr>
          <w:rFonts w:ascii="Arial" w:hAnsi="Arial"/>
          <w:spacing w:val="-8"/>
          <w:sz w:val="20"/>
        </w:rPr>
        <w:t> </w:t>
      </w:r>
      <w:r>
        <w:rPr>
          <w:rFonts w:ascii="Arial" w:hAnsi="Arial"/>
          <w:sz w:val="20"/>
        </w:rPr>
        <w:t>sammenfaldende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med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polygonerne i screeningskortet. Blå prikker viser fikspunkter, som ligger uden </w:t>
      </w:r>
      <w:r>
        <w:rPr>
          <w:rFonts w:ascii="Arial" w:hAnsi="Arial"/>
          <w:spacing w:val="-3"/>
          <w:sz w:val="20"/>
        </w:rPr>
        <w:t>for </w:t>
      </w:r>
      <w:r>
        <w:rPr>
          <w:rFonts w:ascii="Arial" w:hAnsi="Arial"/>
          <w:sz w:val="20"/>
        </w:rPr>
        <w:t>polygonerne i</w:t>
      </w:r>
      <w:r>
        <w:rPr>
          <w:rFonts w:ascii="Arial" w:hAnsi="Arial"/>
          <w:spacing w:val="15"/>
          <w:sz w:val="20"/>
        </w:rPr>
        <w:t> </w:t>
      </w:r>
      <w:r>
        <w:rPr>
          <w:rFonts w:ascii="Arial" w:hAnsi="Arial"/>
          <w:sz w:val="20"/>
        </w:rPr>
        <w:t>screeningskortet.</w:t>
      </w:r>
    </w:p>
    <w:p>
      <w:pPr>
        <w:spacing w:after="0" w:line="278" w:lineRule="auto"/>
        <w:jc w:val="both"/>
        <w:rPr>
          <w:rFonts w:ascii="Arial" w:hAnsi="Arial"/>
          <w:sz w:val="20"/>
        </w:rPr>
        <w:sectPr>
          <w:pgSz w:w="11910" w:h="16840"/>
          <w:pgMar w:header="0" w:footer="546" w:top="1580" w:bottom="74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16"/>
        </w:rPr>
      </w:pPr>
    </w:p>
    <w:p>
      <w:pPr>
        <w:pStyle w:val="BodyText"/>
        <w:ind w:left="1615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5560409" cy="6549294"/>
            <wp:effectExtent l="0" t="0" r="0" b="0"/>
            <wp:docPr id="31" name="image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9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409" cy="654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line="276" w:lineRule="auto" w:before="98"/>
        <w:ind w:left="1133" w:right="1044" w:firstLine="0"/>
        <w:jc w:val="left"/>
        <w:rPr>
          <w:rFonts w:ascii="Arial" w:hAnsi="Arial"/>
          <w:sz w:val="20"/>
        </w:rPr>
      </w:pPr>
      <w:bookmarkStart w:name="_bookmark24" w:id="37"/>
      <w:bookmarkEnd w:id="37"/>
      <w:r>
        <w:rPr/>
      </w:r>
      <w:r>
        <w:rPr>
          <w:rFonts w:ascii="Arial" w:hAnsi="Arial"/>
          <w:sz w:val="22"/>
        </w:rPr>
        <w:t>Figur 6: </w:t>
      </w:r>
      <w:r>
        <w:rPr>
          <w:rFonts w:ascii="Arial" w:hAnsi="Arial"/>
          <w:sz w:val="20"/>
        </w:rPr>
        <w:t>Placering og beregnet vertikal landbevægelse for de i alt 2.866 fikspunkter, som indgår i valideringen af screeningskortet, vist med kommunegrænser som baggrund.</w:t>
      </w:r>
    </w:p>
    <w:p>
      <w:pPr>
        <w:spacing w:after="0" w:line="276" w:lineRule="auto"/>
        <w:jc w:val="left"/>
        <w:rPr>
          <w:rFonts w:ascii="Arial" w:hAnsi="Arial"/>
          <w:sz w:val="20"/>
        </w:rPr>
        <w:sectPr>
          <w:pgSz w:w="11910" w:h="16840"/>
          <w:pgMar w:header="0" w:footer="546" w:top="1580" w:bottom="740" w:left="0" w:right="0"/>
        </w:sectPr>
      </w:pPr>
    </w:p>
    <w:p>
      <w:pPr>
        <w:pStyle w:val="BodyText"/>
        <w:spacing w:before="5"/>
        <w:rPr>
          <w:rFonts w:ascii="Arial"/>
          <w:sz w:val="11"/>
        </w:rPr>
      </w:pPr>
    </w:p>
    <w:p>
      <w:pPr>
        <w:pStyle w:val="Heading3"/>
        <w:tabs>
          <w:tab w:pos="6863" w:val="left" w:leader="none"/>
        </w:tabs>
        <w:spacing w:before="38"/>
        <w:ind w:left="3553"/>
        <w:jc w:val="left"/>
      </w:pPr>
      <w:r>
        <w:rPr/>
        <w:pict>
          <v:line style="position:absolute;mso-position-horizontal-relative:page;mso-position-vertical-relative:paragraph;z-index:2104" from="144.416pt,12.141414pt" to="174.374856pt,12.141414pt" stroked="true" strokeweight="3.476474pt" strokecolor="#497d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35368" from="309.962769pt,12.141414pt" to="339.921624pt,12.141414pt" stroked="true" strokeweight="3.476474pt" strokecolor="#bd4a47">
            <v:stroke dashstyle="solid"/>
            <w10:wrap type="none"/>
          </v:line>
        </w:pict>
      </w:r>
      <w:bookmarkStart w:name="_bookmark25" w:id="38"/>
      <w:bookmarkEnd w:id="38"/>
      <w:r>
        <w:rPr/>
      </w:r>
      <w:r>
        <w:rPr/>
        <w:t>indenfor</w:t>
      </w:r>
      <w:r>
        <w:rPr>
          <w:spacing w:val="2"/>
        </w:rPr>
        <w:t> </w:t>
      </w:r>
      <w:r>
        <w:rPr/>
        <w:t>polygon</w:t>
        <w:tab/>
        <w:t>udenfor</w:t>
      </w:r>
      <w:r>
        <w:rPr>
          <w:spacing w:val="2"/>
        </w:rPr>
        <w:t> </w:t>
      </w:r>
      <w:r>
        <w:rPr/>
        <w:t>polygon</w:t>
      </w:r>
    </w:p>
    <w:p>
      <w:pPr>
        <w:pStyle w:val="BodyText"/>
        <w:spacing w:before="5"/>
        <w:rPr>
          <w:rFonts w:ascii="Calibri"/>
          <w:sz w:val="17"/>
        </w:rPr>
      </w:pPr>
    </w:p>
    <w:p>
      <w:pPr>
        <w:pStyle w:val="Heading3"/>
        <w:spacing w:before="38"/>
        <w:ind w:left="2527"/>
        <w:jc w:val="left"/>
      </w:pPr>
      <w:r>
        <w:rPr/>
        <w:pict>
          <v:group style="position:absolute;margin-left:159.601852pt;margin-top:11.37451pt;width:326.150pt;height:173.5pt;mso-position-horizontal-relative:page;mso-position-vertical-relative:paragraph;z-index:2080" coordorigin="3192,227" coordsize="6523,3470">
            <v:shape style="position:absolute;left:3073;top:3755;width:7918;height:3315" coordorigin="3073,3756" coordsize="7918,3315" path="m3290,2926l9699,2926m3290,2255l9699,2255m3290,1584l9699,1584m3290,914l9699,914m3290,243l9699,243e" filled="false" stroked="true" strokeweight="1.124772pt" strokecolor="#858585">
              <v:path arrowok="t"/>
              <v:stroke dashstyle="solid"/>
            </v:shape>
            <v:rect style="position:absolute;left:3290;top:242;width:6409;height:3354" filled="false" stroked="true" strokeweight="1.533722pt" strokecolor="#7e7e7e">
              <v:stroke dashstyle="solid"/>
            </v:rect>
            <v:line style="position:absolute" from="3290,243" to="3290,3697" stroked="true" strokeweight="1.124772pt" strokecolor="#858585">
              <v:stroke dashstyle="solid"/>
            </v:line>
            <v:shape style="position:absolute;left:2952;top:3755;width:8039;height:4267" coordorigin="2952,3756" coordsize="8039,4267" path="m3192,3597l3290,3597m3192,2926l3290,2926m3192,2255l3290,2255m3192,1584l3290,1584m3192,914l3290,914m3192,243l3290,243m3290,3597l9699,3597m3918,3597l3918,3697m4548,3597l4548,3697m5176,3597l5176,3697m5804,3597l5804,3697m6431,3597l6431,3697m7061,3597l7061,3697m7689,3597l7689,3697m8317,3597l8317,3697m8945,3597l8945,3697m9574,3597l9574,3697e" filled="false" stroked="true" strokeweight="1.124772pt" strokecolor="#858585">
              <v:path arrowok="t"/>
              <v:stroke dashstyle="solid"/>
            </v:shape>
            <v:shape style="position:absolute;left:3321;top:2241;width:6346;height:1356" coordorigin="3322,2242" coordsize="6346,1356" path="m3322,2565l3385,3598,3447,3571,3510,3545,3573,3583,3637,3583,3698,3545,3762,3583,3825,3583,3886,3545,3950,3598,4013,3530,4076,3545,4138,3583,4201,3545,4265,3557,4328,3518,4389,3557,4453,3571,4516,3557,4578,3530,4641,3557,4704,3545,4768,3530,4829,3530,4892,3557,4956,3557,5019,3504,5081,3530,5144,3545,5207,3518,5269,3450,5332,3369,5396,3450,5459,3383,5520,3342,5584,3342,5647,3383,5710,3315,5772,3330,5835,3248,5899,3074,5960,3048,6023,3021,6087,2686,6150,2833,6212,2242,6275,2363,6338,2350,6402,2256,6463,2913,6526,3303,6590,2994,6651,3369,6715,3369,6778,3477,6841,3436,6903,3504,6966,3504,7029,3557,7093,3598,7154,3583,7218,3583,7281,3557,7342,3583,7406,3598,7469,3598,7533,3583,7594,3583,7657,3598,7721,3598,7784,3598,8852,3598,8915,3583,8976,3598,9040,3598,9103,3598,9606,3598,9668,3598e" filled="false" stroked="true" strokeweight="3.476474pt" strokecolor="#497dba">
              <v:path arrowok="t"/>
              <v:stroke dashstyle="solid"/>
            </v:shape>
            <v:shape style="position:absolute;left:3321;top:417;width:6346;height:3180" coordorigin="3322,418" coordsize="6346,3180" path="m3322,3518l3385,3598,3447,3598,3510,3598,3886,3598,3950,3583,4013,3598,4076,3598,4138,3598,4201,3598,4265,3598,4328,3583,4389,3571,4453,3598,4516,3583,4578,3583,4641,3598,4704,3557,4768,3571,4829,3583,4892,3598,4956,3583,5019,3583,5081,3557,5144,3598,5207,3557,5269,3518,5332,3557,5396,3518,5459,3504,5520,3504,5584,3463,5647,3530,5710,3463,5772,3436,5835,3356,5899,3330,5960,3142,6023,2994,6087,2698,6150,2336,6212,1747,6275,1142,6338,418,6402,888,6463,2336,6526,2632,6590,2121,6651,2363,6715,2900,6778,3195,6841,3275,6903,3248,6966,3450,7029,3424,7093,3583,7154,3545,7218,3571,7281,3545,7342,3557,7406,3583,7469,3583,7533,3598,7594,3598,7657,3583,7721,3598,7784,3598,7845,3598,7909,3598,7972,3598,8034,3583,8097,3583,8160,3598,8224,3571,8285,3571,8349,3598,8412,3598,9606,3598,9668,3545e" filled="false" stroked="true" strokeweight="3.476474pt" strokecolor="#bd4a47">
              <v:path arrowok="t"/>
              <v:stroke dashstyle="solid"/>
            </v:shape>
            <w10:wrap type="none"/>
          </v:group>
        </w:pict>
      </w:r>
      <w:r>
        <w:rPr/>
        <w:t>250</w:t>
      </w:r>
    </w:p>
    <w:p>
      <w:pPr>
        <w:pStyle w:val="BodyText"/>
        <w:spacing w:before="10"/>
        <w:rPr>
          <w:rFonts w:ascii="Calibri"/>
          <w:sz w:val="20"/>
        </w:rPr>
      </w:pPr>
    </w:p>
    <w:p>
      <w:pPr>
        <w:pStyle w:val="Heading3"/>
        <w:spacing w:before="38"/>
        <w:ind w:left="2527"/>
        <w:jc w:val="left"/>
      </w:pPr>
      <w:r>
        <w:rPr/>
        <w:t>200</w:t>
      </w:r>
    </w:p>
    <w:p>
      <w:pPr>
        <w:pStyle w:val="BodyText"/>
        <w:spacing w:before="10"/>
        <w:rPr>
          <w:rFonts w:ascii="Calibri"/>
          <w:sz w:val="20"/>
        </w:rPr>
      </w:pPr>
    </w:p>
    <w:p>
      <w:pPr>
        <w:pStyle w:val="Heading3"/>
        <w:ind w:left="2527"/>
        <w:jc w:val="left"/>
      </w:pPr>
      <w:r>
        <w:rPr/>
        <w:pict>
          <v:shape style="position:absolute;margin-left:104.758881pt;margin-top:-6.530765pt;width:17.6pt;height:71.2pt;mso-position-horizontal-relative:page;mso-position-vertical-relative:paragraph;z-index:2248" type="#_x0000_t202" filled="false" stroked="false">
            <v:textbox inset="0,0,0,0" style="layout-flow:vertical;mso-layout-flow-alt:bottom-to-top">
              <w:txbxContent>
                <w:p>
                  <w:pPr>
                    <w:spacing w:line="337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31"/>
                    </w:rPr>
                  </w:pPr>
                  <w:r>
                    <w:rPr>
                      <w:rFonts w:ascii="Calibri"/>
                      <w:b/>
                      <w:sz w:val="31"/>
                    </w:rPr>
                    <w:t>Hyppighed</w:t>
                  </w:r>
                </w:p>
              </w:txbxContent>
            </v:textbox>
            <w10:wrap type="none"/>
          </v:shape>
        </w:pict>
      </w:r>
      <w:r>
        <w:rPr/>
        <w:t>150</w:t>
      </w:r>
    </w:p>
    <w:p>
      <w:pPr>
        <w:pStyle w:val="BodyText"/>
        <w:spacing w:before="9"/>
        <w:rPr>
          <w:rFonts w:ascii="Calibri"/>
          <w:sz w:val="20"/>
        </w:rPr>
      </w:pPr>
    </w:p>
    <w:p>
      <w:pPr>
        <w:pStyle w:val="Heading3"/>
        <w:ind w:left="2527"/>
        <w:jc w:val="left"/>
      </w:pPr>
      <w:r>
        <w:rPr/>
        <w:t>100</w:t>
      </w:r>
    </w:p>
    <w:p>
      <w:pPr>
        <w:pStyle w:val="BodyText"/>
        <w:spacing w:before="10"/>
        <w:rPr>
          <w:rFonts w:ascii="Calibri"/>
          <w:sz w:val="20"/>
        </w:rPr>
      </w:pPr>
    </w:p>
    <w:p>
      <w:pPr>
        <w:pStyle w:val="Heading3"/>
        <w:spacing w:before="38"/>
        <w:ind w:left="2685"/>
        <w:jc w:val="left"/>
      </w:pPr>
      <w:r>
        <w:rPr/>
        <w:t>50</w:t>
      </w:r>
    </w:p>
    <w:p>
      <w:pPr>
        <w:pStyle w:val="BodyText"/>
        <w:spacing w:before="10"/>
        <w:rPr>
          <w:rFonts w:ascii="Calibri"/>
          <w:sz w:val="20"/>
        </w:rPr>
      </w:pPr>
    </w:p>
    <w:p>
      <w:pPr>
        <w:pStyle w:val="Heading3"/>
        <w:ind w:left="2844"/>
        <w:jc w:val="left"/>
      </w:pPr>
      <w:r>
        <w:rPr>
          <w:w w:val="100"/>
        </w:rPr>
        <w:t>0</w:t>
      </w:r>
    </w:p>
    <w:p>
      <w:pPr>
        <w:pStyle w:val="Heading3"/>
        <w:tabs>
          <w:tab w:pos="1606" w:val="left" w:leader="none"/>
          <w:tab w:pos="2234" w:val="left" w:leader="none"/>
          <w:tab w:pos="2863" w:val="left" w:leader="none"/>
          <w:tab w:pos="3491" w:val="left" w:leader="none"/>
          <w:tab w:pos="4168" w:val="left" w:leader="none"/>
          <w:tab w:pos="4796" w:val="left" w:leader="none"/>
          <w:tab w:pos="5425" w:val="left" w:leader="none"/>
          <w:tab w:pos="6053" w:val="left" w:leader="none"/>
          <w:tab w:pos="6682" w:val="left" w:leader="none"/>
          <w:tab w:pos="7310" w:val="left" w:leader="none"/>
        </w:tabs>
        <w:spacing w:before="27"/>
        <w:ind w:left="977"/>
      </w:pPr>
      <w:r>
        <w:rPr/>
        <w:t>-5</w:t>
        <w:tab/>
        <w:t>-4</w:t>
        <w:tab/>
        <w:t>-3</w:t>
        <w:tab/>
        <w:t>-2</w:t>
        <w:tab/>
        <w:t>-1</w:t>
        <w:tab/>
        <w:t>0</w:t>
        <w:tab/>
        <w:t>1</w:t>
        <w:tab/>
        <w:t>2</w:t>
        <w:tab/>
        <w:t>3</w:t>
        <w:tab/>
        <w:t>4</w:t>
        <w:tab/>
        <w:t>5</w:t>
      </w:r>
    </w:p>
    <w:p>
      <w:pPr>
        <w:spacing w:before="96"/>
        <w:ind w:left="1080" w:right="0" w:firstLine="0"/>
        <w:jc w:val="center"/>
        <w:rPr>
          <w:rFonts w:ascii="Calibri" w:hAnsi="Calibri"/>
          <w:b/>
          <w:sz w:val="31"/>
        </w:rPr>
      </w:pPr>
      <w:r>
        <w:rPr>
          <w:rFonts w:ascii="Calibri" w:hAnsi="Calibri"/>
          <w:b/>
          <w:sz w:val="31"/>
        </w:rPr>
        <w:t>Vertikal landbevægelse (mm/år)</w:t>
      </w:r>
    </w:p>
    <w:p>
      <w:pPr>
        <w:pStyle w:val="BodyText"/>
        <w:spacing w:before="8"/>
        <w:rPr>
          <w:rFonts w:ascii="Calibri"/>
          <w:b/>
          <w:sz w:val="12"/>
        </w:rPr>
      </w:pPr>
    </w:p>
    <w:p>
      <w:pPr>
        <w:spacing w:line="276" w:lineRule="auto" w:before="104"/>
        <w:ind w:left="1133" w:right="1044" w:firstLine="0"/>
        <w:jc w:val="left"/>
        <w:rPr>
          <w:rFonts w:ascii="Arial" w:hAnsi="Arial"/>
          <w:sz w:val="20"/>
        </w:rPr>
      </w:pPr>
      <w:r>
        <w:rPr>
          <w:rFonts w:ascii="Arial" w:hAnsi="Arial"/>
          <w:sz w:val="22"/>
        </w:rPr>
        <w:t>Figur 7: </w:t>
      </w:r>
      <w:r>
        <w:rPr>
          <w:rFonts w:ascii="Arial" w:hAnsi="Arial"/>
          <w:sz w:val="20"/>
        </w:rPr>
        <w:t>Beregnet vertikal landbevægelse for de 2.866 fikspunkter. Toppen i den blå kurve ved -5 mm/år skyldes, at hyppigheder for alle værdier &lt; -5 mm/år er opsummeret og præsenteret som en værdi.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Heading3"/>
        <w:tabs>
          <w:tab w:pos="6862" w:val="left" w:leader="none"/>
        </w:tabs>
        <w:spacing w:before="184"/>
        <w:ind w:left="3552"/>
        <w:jc w:val="left"/>
      </w:pPr>
      <w:r>
        <w:rPr/>
        <w:pict>
          <v:line style="position:absolute;mso-position-horizontal-relative:page;mso-position-vertical-relative:paragraph;z-index:2176" from="144.416pt,19.514235pt" to="174.374856pt,19.514235pt" stroked="true" strokeweight="3.476474pt" strokecolor="#497d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35296" from="309.857544pt,19.514235pt" to="339.816399pt,19.514235pt" stroked="true" strokeweight="3.476474pt" strokecolor="#bd4a47">
            <v:stroke dashstyle="solid"/>
            <w10:wrap type="none"/>
          </v:line>
        </w:pict>
      </w:r>
      <w:bookmarkStart w:name="_bookmark26" w:id="39"/>
      <w:bookmarkEnd w:id="39"/>
      <w:r>
        <w:rPr/>
      </w:r>
      <w:r>
        <w:rPr/>
        <w:t>indenfor</w:t>
      </w:r>
      <w:r>
        <w:rPr>
          <w:spacing w:val="2"/>
        </w:rPr>
        <w:t> </w:t>
      </w:r>
      <w:r>
        <w:rPr/>
        <w:t>polygon</w:t>
        <w:tab/>
        <w:t>udenfor</w:t>
      </w:r>
      <w:r>
        <w:rPr>
          <w:spacing w:val="1"/>
        </w:rPr>
        <w:t> </w:t>
      </w:r>
      <w:r>
        <w:rPr/>
        <w:t>polygon</w:t>
      </w:r>
    </w:p>
    <w:p>
      <w:pPr>
        <w:pStyle w:val="BodyText"/>
        <w:spacing w:before="4"/>
        <w:rPr>
          <w:rFonts w:ascii="Calibri"/>
          <w:sz w:val="17"/>
        </w:rPr>
      </w:pPr>
    </w:p>
    <w:p>
      <w:pPr>
        <w:pStyle w:val="Heading3"/>
        <w:ind w:left="2527"/>
        <w:jc w:val="left"/>
      </w:pPr>
      <w:r>
        <w:rPr/>
        <w:pict>
          <v:group style="position:absolute;margin-left:159.496613pt;margin-top:11.69378pt;width:325.45pt;height:173.1pt;mso-position-horizontal-relative:page;mso-position-vertical-relative:paragraph;z-index:2152" coordorigin="3190,234" coordsize="6509,3462">
            <v:shape style="position:absolute;left:3073;top:-3625;width:7895;height:3312" coordorigin="3073,-3625" coordsize="7895,3312" path="m3290,2926l9681,2926m3290,2255l9681,2255m3290,1585l9681,1585m3290,916l9681,916m3290,245l9681,245e" filled="false" stroked="true" strokeweight="1.124772pt" strokecolor="#858585">
              <v:path arrowok="t"/>
              <v:stroke dashstyle="solid"/>
            </v:shape>
            <v:rect style="position:absolute;left:3290;top:245;width:6391;height:3350" filled="false" stroked="true" strokeweight="1.124772pt" strokecolor="#7e7e7e">
              <v:stroke dashstyle="solid"/>
            </v:rect>
            <v:line style="position:absolute" from="3290,245" to="3290,3695" stroked="true" strokeweight="1.124772pt" strokecolor="#858585">
              <v:stroke dashstyle="solid"/>
            </v:line>
            <v:shape style="position:absolute;left:2949;top:-3625;width:8019;height:4262" coordorigin="2949,-3625" coordsize="8019,4262" path="m3190,3595l3290,3595m3190,2926l3290,2926m3190,2255l3290,2255m3190,1585l3290,1585m3190,916l3290,916m3190,245l3290,245m3290,3595l9681,3595m3642,3595l3642,3695m3996,3595l3996,3695m4349,3595l4349,3695m4701,3595l4701,3695m5055,3595l5055,3695m5409,3595l5409,3695m5761,3595l5761,3695m6114,3595l6114,3695m6468,3595l6468,3695m6820,3595l6820,3695m7174,3595l7174,3695m7527,3595l7527,3695m7881,3595l7881,3695m8233,3595l8233,3695m8587,3595l8587,3695m8940,3595l8940,3695m9292,3595l9292,3695m9646,3595l9646,3695e" filled="false" stroked="true" strokeweight="1.124772pt" strokecolor="#858585">
              <v:path arrowok="t"/>
              <v:stroke dashstyle="solid"/>
            </v:shape>
            <v:shape style="position:absolute;left:3307;top:2227;width:6356;height:1369" coordorigin="3308,2228" coordsize="6356,1369" path="m3308,3596l3308,3596,3590,3596,3625,3582,3659,3596,3696,3596,3731,3596,4473,3596,4508,3582,4543,3596,4578,3596,4614,3582,4649,3596,4684,3582,4719,3596,4755,3596,4790,3582,4825,3596,4862,3596,4896,3582,4931,3569,4966,3596,5003,3596,5038,3596,5072,3582,5107,3582,5144,3596,5179,3596,5213,3596,5248,3596,5285,3596,5320,3582,5355,3596,5391,3596,5426,3596,5461,3596,5496,3596,5533,3569,5567,3596,5602,3596,5637,3596,5674,3582,5708,3596,5743,3596,5780,3582,5815,3596,5850,3569,5884,3582,5921,3596,5956,3582,5991,3582,6025,3582,6062,3596,6097,3596,6132,3582,6167,3569,6203,3596,6238,3596,6273,3596,6310,3596,6344,3596,6379,3582,6414,3596,6451,3582,6485,3596,6520,3596,6555,3555,6592,3596,6627,3596,6661,3596,6696,3596,6733,3543,6768,3555,6802,3582,6839,3582,6874,3596,6909,3555,6944,3569,6980,3582,7015,3582,7050,3596,7085,3569,7122,3569,7156,3596,7191,3569,7228,3596,7263,3569,7297,3569,7332,3596,7369,3569,7404,3582,7438,3582,7473,3569,7510,3569,7545,3569,7580,3555,7614,3569,7651,3582,7686,3596,7721,3569,7758,3569,7792,3596,7827,3569,7862,3596,7899,3596,7933,3596,7968,3569,8003,3543,8040,3582,8074,3582,8109,3543,8146,3582,8181,3582,8216,3543,8250,3582,8287,3543,8322,3543,8357,3582,8391,3543,8428,3555,8463,3514,8498,3555,8533,3569,8569,3555,8604,3528,8639,3555,8676,3543,8710,3528,8745,3528,8780,3543,8817,3569,8852,3502,8886,3528,8921,3543,8958,3502,8993,3461,9027,3367,9064,3449,9099,3381,9134,3328,9169,3354,9205,3381,9240,3314,9275,3328,9310,3234,9347,3087,9381,3046,9416,3019,9451,2684,9488,2831,9522,2228,9557,2375,9594,2348,9629,2254,9664,2913e" filled="false" stroked="true" strokeweight="3.476474pt" strokecolor="#497dba">
              <v:path arrowok="t"/>
              <v:stroke dashstyle="solid"/>
            </v:shape>
            <v:shape style="position:absolute;left:3307;top:446;width:6356;height:3150" coordorigin="3308,447" coordsize="6356,3150" path="m3308,3596l3308,3596,3837,3596,3872,3582,3907,3596,3944,3596,3978,3596,6062,3596,6097,3582,6132,3596,6167,3596,6203,3596,6451,3596,6485,3582,6520,3596,6555,3596,6592,3596,7122,3596,7156,3582,7191,3596,7228,3596,7263,3596,7297,3596,7332,3596,7369,3596,7404,3596,7438,3582,7473,3596,7510,3596,7545,3596,7792,3596,7827,3582,7862,3596,7899,3596,7933,3596,8216,3596,8250,3582,8287,3596,8322,3596,8357,3596,8391,3596,8428,3596,8463,3582,8498,3569,8533,3596,8569,3582,8604,3582,8639,3596,8676,3555,8710,3569,8745,3582,8780,3596,8817,3582,8852,3582,8886,3555,8921,3596,8958,3555,8993,3514,9027,3555,9064,3514,9099,3502,9134,3502,9169,3461,9205,3528,9240,3461,9275,3434,9310,3354,9347,3328,9381,3140,9416,2993,9451,2698,9488,2322,9522,1759,9557,1089,9594,447,9629,915,9664,2336e" filled="false" stroked="true" strokeweight="3.476474pt" strokecolor="#bd4a47">
              <v:path arrowok="t"/>
              <v:stroke dashstyle="solid"/>
            </v:shape>
            <w10:wrap type="none"/>
          </v:group>
        </w:pict>
      </w:r>
      <w:r>
        <w:rPr/>
        <w:t>250</w:t>
      </w:r>
    </w:p>
    <w:p>
      <w:pPr>
        <w:pStyle w:val="BodyText"/>
        <w:spacing w:before="9"/>
        <w:rPr>
          <w:rFonts w:ascii="Calibri"/>
          <w:sz w:val="20"/>
        </w:rPr>
      </w:pPr>
    </w:p>
    <w:p>
      <w:pPr>
        <w:pStyle w:val="Heading3"/>
        <w:ind w:left="2527"/>
        <w:jc w:val="left"/>
      </w:pPr>
      <w:r>
        <w:rPr/>
        <w:t>200</w:t>
      </w:r>
    </w:p>
    <w:p>
      <w:pPr>
        <w:pStyle w:val="BodyText"/>
        <w:spacing w:before="8"/>
        <w:rPr>
          <w:rFonts w:ascii="Calibri"/>
          <w:sz w:val="20"/>
        </w:rPr>
      </w:pPr>
    </w:p>
    <w:p>
      <w:pPr>
        <w:pStyle w:val="Heading3"/>
        <w:ind w:left="2527"/>
        <w:jc w:val="left"/>
      </w:pPr>
      <w:r>
        <w:rPr/>
        <w:pict>
          <v:shape style="position:absolute;margin-left:104.724884pt;margin-top:-6.549163pt;width:17.6pt;height:71.3pt;mso-position-horizontal-relative:page;mso-position-vertical-relative:paragraph;z-index:2224" type="#_x0000_t202" filled="false" stroked="false">
            <v:textbox inset="0,0,0,0" style="layout-flow:vertical;mso-layout-flow-alt:bottom-to-top">
              <w:txbxContent>
                <w:p>
                  <w:pPr>
                    <w:spacing w:line="337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31"/>
                    </w:rPr>
                  </w:pPr>
                  <w:r>
                    <w:rPr>
                      <w:rFonts w:ascii="Calibri"/>
                      <w:b/>
                      <w:sz w:val="31"/>
                    </w:rPr>
                    <w:t>Hyppighed</w:t>
                  </w:r>
                </w:p>
              </w:txbxContent>
            </v:textbox>
            <w10:wrap type="none"/>
          </v:shape>
        </w:pict>
      </w:r>
      <w:r>
        <w:rPr/>
        <w:t>150</w:t>
      </w:r>
    </w:p>
    <w:p>
      <w:pPr>
        <w:pStyle w:val="BodyText"/>
        <w:spacing w:before="9"/>
        <w:rPr>
          <w:rFonts w:ascii="Calibri"/>
          <w:sz w:val="20"/>
        </w:rPr>
      </w:pPr>
    </w:p>
    <w:p>
      <w:pPr>
        <w:pStyle w:val="Heading3"/>
        <w:spacing w:before="38"/>
        <w:ind w:left="2527"/>
        <w:jc w:val="left"/>
      </w:pPr>
      <w:r>
        <w:rPr/>
        <w:t>100</w:t>
      </w:r>
    </w:p>
    <w:p>
      <w:pPr>
        <w:pStyle w:val="BodyText"/>
        <w:spacing w:before="9"/>
        <w:rPr>
          <w:rFonts w:ascii="Calibri"/>
          <w:sz w:val="20"/>
        </w:rPr>
      </w:pPr>
    </w:p>
    <w:p>
      <w:pPr>
        <w:pStyle w:val="Heading3"/>
        <w:ind w:left="2685"/>
        <w:jc w:val="left"/>
      </w:pPr>
      <w:r>
        <w:rPr/>
        <w:t>50</w:t>
      </w:r>
    </w:p>
    <w:p>
      <w:pPr>
        <w:pStyle w:val="BodyText"/>
        <w:spacing w:before="9"/>
        <w:rPr>
          <w:rFonts w:ascii="Calibri"/>
          <w:sz w:val="20"/>
        </w:rPr>
      </w:pPr>
    </w:p>
    <w:p>
      <w:pPr>
        <w:pStyle w:val="Heading3"/>
        <w:ind w:left="2843"/>
        <w:jc w:val="left"/>
      </w:pPr>
      <w:r>
        <w:rPr>
          <w:w w:val="100"/>
        </w:rPr>
        <w:t>0</w:t>
      </w:r>
    </w:p>
    <w:p>
      <w:pPr>
        <w:pStyle w:val="Heading3"/>
        <w:tabs>
          <w:tab w:pos="1649" w:val="left" w:leader="none"/>
          <w:tab w:pos="2355" w:val="left" w:leader="none"/>
          <w:tab w:pos="3062" w:val="left" w:leader="none"/>
          <w:tab w:pos="3768" w:val="left" w:leader="none"/>
          <w:tab w:pos="4554" w:val="left" w:leader="none"/>
          <w:tab w:pos="5260" w:val="left" w:leader="none"/>
          <w:tab w:pos="5967" w:val="left" w:leader="none"/>
          <w:tab w:pos="6673" w:val="left" w:leader="none"/>
          <w:tab w:pos="7427" w:val="left" w:leader="none"/>
        </w:tabs>
        <w:spacing w:before="27"/>
        <w:ind w:left="943"/>
      </w:pPr>
      <w:r>
        <w:rPr/>
        <w:t>-18</w:t>
        <w:tab/>
        <w:t>-16</w:t>
        <w:tab/>
        <w:t>-14</w:t>
        <w:tab/>
        <w:t>-12</w:t>
        <w:tab/>
        <w:t>-10</w:t>
        <w:tab/>
        <w:t>-8</w:t>
        <w:tab/>
        <w:t>-6</w:t>
        <w:tab/>
        <w:t>-4</w:t>
        <w:tab/>
        <w:t>-2</w:t>
        <w:tab/>
        <w:t>0</w:t>
      </w:r>
    </w:p>
    <w:p>
      <w:pPr>
        <w:spacing w:before="96"/>
        <w:ind w:left="1058" w:right="0" w:firstLine="0"/>
        <w:jc w:val="center"/>
        <w:rPr>
          <w:rFonts w:ascii="Calibri" w:hAnsi="Calibri"/>
          <w:b/>
          <w:sz w:val="31"/>
        </w:rPr>
      </w:pPr>
      <w:r>
        <w:rPr>
          <w:rFonts w:ascii="Calibri" w:hAnsi="Calibri"/>
          <w:b/>
          <w:sz w:val="31"/>
        </w:rPr>
        <w:t>Vertikal landbevægelse (mm/år)</w:t>
      </w:r>
    </w:p>
    <w:p>
      <w:pPr>
        <w:pStyle w:val="BodyText"/>
        <w:spacing w:before="7"/>
        <w:rPr>
          <w:rFonts w:ascii="Calibri"/>
          <w:b/>
          <w:sz w:val="12"/>
        </w:rPr>
      </w:pPr>
    </w:p>
    <w:p>
      <w:pPr>
        <w:spacing w:line="276" w:lineRule="auto" w:before="103"/>
        <w:ind w:left="1133" w:right="1111" w:firstLine="0"/>
        <w:jc w:val="left"/>
        <w:rPr>
          <w:rFonts w:ascii="Arial" w:hAnsi="Arial"/>
          <w:sz w:val="20"/>
        </w:rPr>
      </w:pPr>
      <w:r>
        <w:rPr>
          <w:rFonts w:ascii="Arial" w:hAnsi="Arial"/>
          <w:sz w:val="22"/>
        </w:rPr>
        <w:t>Figur 8: </w:t>
      </w:r>
      <w:r>
        <w:rPr>
          <w:rFonts w:ascii="Arial" w:hAnsi="Arial"/>
          <w:sz w:val="20"/>
        </w:rPr>
        <w:t>Fordelingen af landbevægelsesrater beregnet for de i alt 2.261 fikspunkter, der er karakteriseret ved en negativ vertikal landbevægelse.</w:t>
      </w:r>
    </w:p>
    <w:p>
      <w:pPr>
        <w:spacing w:after="0" w:line="276" w:lineRule="auto"/>
        <w:jc w:val="left"/>
        <w:rPr>
          <w:rFonts w:ascii="Arial" w:hAnsi="Arial"/>
          <w:sz w:val="20"/>
        </w:rPr>
        <w:sectPr>
          <w:pgSz w:w="11910" w:h="16840"/>
          <w:pgMar w:header="0" w:footer="546" w:top="1580" w:bottom="74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Heading3"/>
        <w:tabs>
          <w:tab w:pos="6862" w:val="left" w:leader="none"/>
        </w:tabs>
        <w:spacing w:before="38"/>
        <w:ind w:left="3554"/>
        <w:jc w:val="left"/>
      </w:pPr>
      <w:r>
        <w:rPr/>
        <w:pict>
          <v:line style="position:absolute;mso-position-horizontal-relative:page;mso-position-vertical-relative:paragraph;z-index:2296" from="144.52124pt,12.141396pt" to="174.480095pt,12.141396pt" stroked="true" strokeweight="3.476474pt" strokecolor="#4f81bc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35176" from="309.857544pt,12.141396pt" to="339.816399pt,12.141396pt" stroked="true" strokeweight="3.476474pt" strokecolor="#c0504d">
            <v:stroke dashstyle="solid"/>
            <w10:wrap type="none"/>
          </v:line>
        </w:pict>
      </w:r>
      <w:bookmarkStart w:name="_bookmark27" w:id="40"/>
      <w:bookmarkEnd w:id="40"/>
      <w:r>
        <w:rPr/>
      </w:r>
      <w:r>
        <w:rPr/>
        <w:t>indenfor</w:t>
      </w:r>
      <w:r>
        <w:rPr>
          <w:spacing w:val="2"/>
        </w:rPr>
        <w:t> </w:t>
      </w:r>
      <w:r>
        <w:rPr/>
        <w:t>polygon</w:t>
        <w:tab/>
        <w:t>udenfor</w:t>
      </w:r>
      <w:r>
        <w:rPr>
          <w:spacing w:val="1"/>
        </w:rPr>
        <w:t> </w:t>
      </w:r>
      <w:r>
        <w:rPr/>
        <w:t>polygon</w:t>
      </w:r>
    </w:p>
    <w:p>
      <w:pPr>
        <w:pStyle w:val="BodyText"/>
        <w:spacing w:before="4"/>
        <w:rPr>
          <w:rFonts w:ascii="Calibri"/>
          <w:sz w:val="17"/>
        </w:rPr>
      </w:pPr>
    </w:p>
    <w:p>
      <w:pPr>
        <w:pStyle w:val="Heading3"/>
        <w:ind w:left="2527"/>
        <w:jc w:val="left"/>
      </w:pPr>
      <w:r>
        <w:rPr/>
        <w:pict>
          <v:group style="position:absolute;margin-left:159.496613pt;margin-top:11.645202pt;width:328pt;height:173pt;mso-position-horizontal-relative:page;mso-position-vertical-relative:paragraph;z-index:2272" coordorigin="3190,233" coordsize="6560,3460">
            <v:shape style="position:absolute;left:3070;top:3661;width:7968;height:3310" coordorigin="3071,3662" coordsize="7968,3310" path="m3288,2923l9738,2923m3288,2254l9738,2254m3288,1584l9738,1584m3288,915l9738,915m3288,244l9738,244e" filled="false" stroked="true" strokeweight="1.124772pt" strokecolor="#858585">
              <v:path arrowok="t"/>
              <v:stroke dashstyle="solid"/>
            </v:shape>
            <v:rect style="position:absolute;left:3288;top:244;width:6450;height:3348" filled="false" stroked="true" strokeweight="1.124772pt" strokecolor="#7e7e7e">
              <v:stroke dashstyle="solid"/>
            </v:rect>
            <v:line style="position:absolute" from="3288,244" to="3288,3692" stroked="true" strokeweight="1.124772pt" strokecolor="#858585">
              <v:stroke dashstyle="solid"/>
            </v:line>
            <v:shape style="position:absolute;left:2949;top:3661;width:8090;height:4260" coordorigin="2949,3662" coordsize="8090,4260" path="m3190,3592l3288,3592m3190,2923l3288,2923m3190,2254l3288,2254m3190,1584l3288,1584m3190,915l3288,915m3190,244l3288,244m3288,3592l9738,3592m4554,3592l4554,3692m5818,3592l5818,3692m7084,3592l7084,3692m8347,3592l8347,3692m9611,3592l9611,3692e" filled="false" stroked="true" strokeweight="1.124772pt" strokecolor="#858585">
              <v:path arrowok="t"/>
              <v:stroke dashstyle="solid"/>
            </v:shape>
            <v:shape style="position:absolute;left:3352;top:2226;width:6324;height:1367" coordorigin="3353,2227" coordsize="6324,1367" path="m3353,3593l3479,3593,3604,3566,3731,3540,3858,3579,3985,3579,4111,3540,4238,3579,4363,3579,4490,3540,4616,3579,4743,3540,4870,3540,4997,3579,5124,3540,5248,3552,5375,3513,5502,3552,5629,3566,5755,3552,5882,3525,6007,3552,6134,3540,6261,3525,6387,3525,6514,3540,6641,3566,6766,3499,6892,3525,7019,3540,7146,3499,7273,3458,7400,3366,7524,3446,7651,3378,7778,3325,7905,3352,8032,3378,8158,3311,8285,3325,8410,3231,8537,3084,8663,3043,8790,3016,8917,2683,9044,2830,9169,2227,9295,2374,9422,2347,9549,2253,9676,2910e" filled="false" stroked="true" strokeweight="3.476474pt" strokecolor="#4f81bc">
              <v:path arrowok="t"/>
              <v:stroke dashstyle="solid"/>
            </v:shape>
            <v:shape style="position:absolute;left:3352;top:445;width:6324;height:3148" coordorigin="3353,446" coordsize="6324,3148" path="m3353,3593l3353,3593,4490,3593,4616,3579,4743,3593,4870,3593,4997,3593,5124,3593,5248,3593,5375,3579,5502,3566,5629,3593,5755,3579,5882,3579,6007,3593,6134,3552,6261,3566,6387,3579,6514,3593,6641,3579,6766,3579,6892,3552,7019,3593,7146,3552,7273,3513,7400,3552,7524,3513,7651,3499,7778,3499,7905,3458,8032,3525,8158,3458,8285,3431,8410,3352,8537,3325,8663,3137,8790,2990,8917,2695,9044,2321,9169,1759,9295,1088,9422,446,9549,914,9676,2333e" filled="false" stroked="true" strokeweight="3.476474pt" strokecolor="#c0504d">
              <v:path arrowok="t"/>
              <v:stroke dashstyle="solid"/>
            </v:shape>
            <w10:wrap type="none"/>
          </v:group>
        </w:pict>
      </w:r>
      <w:r>
        <w:rPr/>
        <w:t>250</w:t>
      </w:r>
    </w:p>
    <w:p>
      <w:pPr>
        <w:pStyle w:val="BodyText"/>
        <w:spacing w:before="9"/>
        <w:rPr>
          <w:rFonts w:ascii="Calibri"/>
          <w:sz w:val="20"/>
        </w:rPr>
      </w:pPr>
    </w:p>
    <w:p>
      <w:pPr>
        <w:pStyle w:val="Heading3"/>
        <w:spacing w:before="38"/>
        <w:ind w:left="2527"/>
        <w:jc w:val="left"/>
      </w:pPr>
      <w:r>
        <w:rPr/>
        <w:t>200</w:t>
      </w:r>
    </w:p>
    <w:p>
      <w:pPr>
        <w:pStyle w:val="BodyText"/>
        <w:spacing w:before="9"/>
        <w:rPr>
          <w:rFonts w:ascii="Calibri"/>
          <w:sz w:val="20"/>
        </w:rPr>
      </w:pPr>
    </w:p>
    <w:p>
      <w:pPr>
        <w:pStyle w:val="Heading3"/>
        <w:spacing w:before="38"/>
        <w:ind w:left="2527"/>
        <w:jc w:val="left"/>
      </w:pPr>
      <w:r>
        <w:rPr/>
        <w:pict>
          <v:shape style="position:absolute;margin-left:104.737633pt;margin-top:-6.562745pt;width:17.6pt;height:71.25pt;mso-position-horizontal-relative:page;mso-position-vertical-relative:paragraph;z-index:2392" type="#_x0000_t202" filled="false" stroked="false">
            <v:textbox inset="0,0,0,0" style="layout-flow:vertical;mso-layout-flow-alt:bottom-to-top">
              <w:txbxContent>
                <w:p>
                  <w:pPr>
                    <w:spacing w:line="337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31"/>
                    </w:rPr>
                  </w:pPr>
                  <w:r>
                    <w:rPr>
                      <w:rFonts w:ascii="Calibri"/>
                      <w:b/>
                      <w:sz w:val="31"/>
                    </w:rPr>
                    <w:t>Hyppighed</w:t>
                  </w:r>
                </w:p>
              </w:txbxContent>
            </v:textbox>
            <w10:wrap type="none"/>
          </v:shape>
        </w:pict>
      </w:r>
      <w:r>
        <w:rPr/>
        <w:t>150</w:t>
      </w:r>
    </w:p>
    <w:p>
      <w:pPr>
        <w:pStyle w:val="BodyText"/>
        <w:spacing w:before="9"/>
        <w:rPr>
          <w:rFonts w:ascii="Calibri"/>
          <w:sz w:val="20"/>
        </w:rPr>
      </w:pPr>
    </w:p>
    <w:p>
      <w:pPr>
        <w:pStyle w:val="Heading3"/>
        <w:spacing w:before="38"/>
        <w:ind w:left="2527"/>
        <w:jc w:val="left"/>
      </w:pPr>
      <w:r>
        <w:rPr/>
        <w:t>100</w:t>
      </w:r>
    </w:p>
    <w:p>
      <w:pPr>
        <w:pStyle w:val="BodyText"/>
        <w:spacing w:before="9"/>
        <w:rPr>
          <w:rFonts w:ascii="Calibri"/>
          <w:sz w:val="20"/>
        </w:rPr>
      </w:pPr>
    </w:p>
    <w:p>
      <w:pPr>
        <w:pStyle w:val="Heading3"/>
        <w:ind w:left="2685"/>
        <w:jc w:val="left"/>
      </w:pPr>
      <w:r>
        <w:rPr/>
        <w:t>50</w:t>
      </w:r>
    </w:p>
    <w:p>
      <w:pPr>
        <w:pStyle w:val="BodyText"/>
        <w:spacing w:before="8"/>
        <w:rPr>
          <w:rFonts w:ascii="Calibri"/>
          <w:sz w:val="20"/>
        </w:rPr>
      </w:pPr>
    </w:p>
    <w:p>
      <w:pPr>
        <w:pStyle w:val="Heading3"/>
        <w:ind w:left="2843"/>
        <w:jc w:val="left"/>
      </w:pPr>
      <w:r>
        <w:rPr>
          <w:w w:val="100"/>
        </w:rPr>
        <w:t>0</w:t>
      </w:r>
    </w:p>
    <w:p>
      <w:pPr>
        <w:pStyle w:val="Heading3"/>
        <w:tabs>
          <w:tab w:pos="2344" w:val="left" w:leader="none"/>
          <w:tab w:pos="3608" w:val="left" w:leader="none"/>
          <w:tab w:pos="4873" w:val="left" w:leader="none"/>
          <w:tab w:pos="6138" w:val="left" w:leader="none"/>
          <w:tab w:pos="7451" w:val="left" w:leader="none"/>
        </w:tabs>
        <w:spacing w:before="27"/>
        <w:ind w:left="1079"/>
      </w:pPr>
      <w:r>
        <w:rPr/>
        <w:t>-5</w:t>
        <w:tab/>
        <w:t>-4</w:t>
        <w:tab/>
        <w:t>-3</w:t>
        <w:tab/>
        <w:t>-2</w:t>
        <w:tab/>
        <w:t>-1</w:t>
        <w:tab/>
        <w:t>0</w:t>
      </w:r>
    </w:p>
    <w:p>
      <w:pPr>
        <w:spacing w:before="96"/>
        <w:ind w:left="1123" w:right="0" w:firstLine="0"/>
        <w:jc w:val="center"/>
        <w:rPr>
          <w:rFonts w:ascii="Calibri" w:hAnsi="Calibri"/>
          <w:b/>
          <w:sz w:val="31"/>
        </w:rPr>
      </w:pPr>
      <w:r>
        <w:rPr>
          <w:rFonts w:ascii="Calibri" w:hAnsi="Calibri"/>
          <w:b/>
          <w:sz w:val="31"/>
        </w:rPr>
        <w:t>Vertikal landbevægelse (mm/år)</w:t>
      </w:r>
    </w:p>
    <w:p>
      <w:pPr>
        <w:pStyle w:val="BodyText"/>
        <w:rPr>
          <w:rFonts w:ascii="Calibri"/>
          <w:b/>
          <w:sz w:val="13"/>
        </w:rPr>
      </w:pPr>
    </w:p>
    <w:p>
      <w:pPr>
        <w:spacing w:before="103"/>
        <w:ind w:left="1248" w:right="0" w:firstLine="0"/>
        <w:jc w:val="left"/>
        <w:rPr>
          <w:rFonts w:ascii="Arial" w:hAnsi="Arial"/>
          <w:sz w:val="20"/>
        </w:rPr>
      </w:pPr>
      <w:r>
        <w:rPr>
          <w:rFonts w:ascii="Arial" w:hAnsi="Arial"/>
          <w:sz w:val="22"/>
        </w:rPr>
        <w:t>Figur 9: </w:t>
      </w:r>
      <w:r>
        <w:rPr>
          <w:rFonts w:ascii="Arial" w:hAnsi="Arial"/>
          <w:sz w:val="20"/>
        </w:rPr>
        <w:t>Zoom på intervallet -3 til 0 mm/år fra fordelingen af negativ vertikale landbevægelse vist i Figur </w:t>
      </w:r>
      <w:hyperlink w:history="true" w:anchor="_bookmark26">
        <w:r>
          <w:rPr>
            <w:rFonts w:ascii="Arial" w:hAnsi="Arial"/>
            <w:color w:val="FF0000"/>
            <w:sz w:val="20"/>
          </w:rPr>
          <w:t>8</w:t>
        </w:r>
      </w:hyperlink>
      <w:r>
        <w:rPr>
          <w:rFonts w:ascii="Arial" w:hAnsi="Arial"/>
          <w:sz w:val="20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Heading3"/>
        <w:spacing w:before="195"/>
        <w:ind w:right="7712"/>
      </w:pPr>
      <w:r>
        <w:rPr/>
        <w:pict>
          <v:group style="position:absolute;margin-left:155.911957pt;margin-top:19.431185pt;width:329.55pt;height:178.4pt;mso-position-horizontal-relative:page;mso-position-vertical-relative:paragraph;z-index:2344" coordorigin="3118,389" coordsize="6591,3568">
            <v:shape style="position:absolute;left:2890;top:-2776;width:7481;height:3490" coordorigin="2891,-2776" coordsize="7481,3490" path="m3216,3423l9697,3423m3216,2991l9697,2991m3216,2561l9697,2561m3216,2128l9697,2128m3216,1696l9697,1696m3216,1265l9697,1265m3216,833l9697,833m3216,400l9697,400e" filled="false" stroked="true" strokeweight="1.143648pt" strokecolor="#858585">
              <v:path arrowok="t"/>
              <v:stroke dashstyle="solid"/>
            </v:shape>
            <v:rect style="position:absolute;left:3215;top:400;width:6482;height:3456" filled="false" stroked="true" strokeweight="1.143648pt" strokecolor="#7e7e7e">
              <v:stroke dashstyle="solid"/>
            </v:rect>
            <v:line style="position:absolute" from="3216,400" to="3216,3956" stroked="true" strokeweight="1.143648pt" strokecolor="#858585">
              <v:stroke dashstyle="solid"/>
            </v:line>
            <v:shape style="position:absolute;left:2778;top:-2776;width:7594;height:4104" coordorigin="2778,-2776" coordsize="7594,4104" path="m3118,3856l3216,3856m3118,3423l3216,3423m3118,2991l3216,2991m3118,2561l3216,2561m3118,2128l3216,2128m3118,1696l3216,1696m3118,1265l3216,1265m3118,833l3216,833m3118,400l3216,400m3216,3856l9697,3856m3921,3856l3921,3956m4626,3856l4626,3956m5331,3856l5331,3956m6034,3856l6034,3956m6738,3856l6738,3956m7443,3856l7443,3956m8148,3856l8148,3956m8851,3856l8851,3956m9556,3856l9556,3956e" filled="false" stroked="true" strokeweight="1.143648pt" strokecolor="#858585">
              <v:path arrowok="t"/>
              <v:stroke dashstyle="solid"/>
            </v:shape>
            <v:shape style="position:absolute;left:3286;top:1587;width:6340;height:2269" coordorigin="3287,1587" coordsize="6340,2269" path="m3287,3856l3287,3856,4977,3856,5119,3812,5260,3812,5399,3812,5541,3812,5682,3748,5823,3769,5963,3660,6104,3315,6246,3423,6387,3338,6526,2646,6668,2862,6809,2517,6950,2257,7092,1587,7231,2257,7373,1868,7514,2107,7655,2710,7795,2430,7936,2646,8078,3295,8219,3272,8358,3251,8500,3446,8641,3467,8782,3403,8922,3511,9063,3596,9205,3660,9346,3833,9485,3856,9627,3856e" filled="false" stroked="true" strokeweight="3.430944pt" strokecolor="#497dba">
              <v:path arrowok="t"/>
              <v:stroke dashstyle="solid"/>
            </v:shape>
            <v:shape style="position:absolute;left:3286;top:637;width:6340;height:3219" coordorigin="3287,637" coordsize="6340,3219" path="m3287,3856l3428,3856,3569,3856,3709,3856,3850,3833,3992,3856,4133,3856,4272,3856,4414,3856,4555,3856,4696,3856,4836,3856,4977,3833,5119,3812,5260,3791,5399,3769,5541,3683,5682,3704,5823,3683,5963,3423,6104,2991,6246,3035,6387,2215,6526,1999,6668,1265,6809,637,6950,660,7092,768,7231,1438,7373,1891,7514,2625,7655,3078,7795,3295,7936,3380,8078,3683,8219,3683,8358,3791,8500,3833,8641,3812,8782,3833,8922,3833,9063,3833,9205,3856,9346,3833,9485,3856,9627,3856e" filled="false" stroked="true" strokeweight="3.430944pt" strokecolor="#bd4a47">
              <v:path arrowok="t"/>
              <v:stroke dashstyle="solid"/>
            </v:shape>
            <w10:wrap type="none"/>
          </v:group>
        </w:pict>
      </w:r>
      <w:bookmarkStart w:name="_bookmark28" w:id="41"/>
      <w:bookmarkEnd w:id="41"/>
      <w:r>
        <w:rPr/>
      </w:r>
      <w:r>
        <w:rPr/>
        <w:t>160</w:t>
      </w:r>
    </w:p>
    <w:p>
      <w:pPr>
        <w:pStyle w:val="Heading3"/>
        <w:spacing w:before="54"/>
        <w:ind w:right="7712"/>
      </w:pPr>
      <w:r>
        <w:rPr/>
        <w:t>140</w:t>
      </w:r>
    </w:p>
    <w:p>
      <w:pPr>
        <w:pStyle w:val="Heading3"/>
        <w:spacing w:before="53"/>
        <w:ind w:right="7712"/>
      </w:pPr>
      <w:r>
        <w:rPr/>
        <w:pict>
          <v:shape style="position:absolute;margin-left:100.983757pt;margin-top:20.402224pt;width:17.6pt;height:71.7pt;mso-position-horizontal-relative:page;mso-position-vertical-relative:paragraph;z-index:2368" type="#_x0000_t202" filled="false" stroked="false">
            <v:textbox inset="0,0,0,0" style="layout-flow:vertical;mso-layout-flow-alt:bottom-to-top">
              <w:txbxContent>
                <w:p>
                  <w:pPr>
                    <w:spacing w:line="337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31"/>
                    </w:rPr>
                  </w:pPr>
                  <w:r>
                    <w:rPr>
                      <w:rFonts w:ascii="Calibri"/>
                      <w:b/>
                      <w:sz w:val="31"/>
                    </w:rPr>
                    <w:t>Hyppighed</w:t>
                  </w:r>
                </w:p>
              </w:txbxContent>
            </v:textbox>
            <w10:wrap type="none"/>
          </v:shape>
        </w:pict>
      </w:r>
      <w:r>
        <w:rPr/>
        <w:t>120</w:t>
      </w:r>
    </w:p>
    <w:p>
      <w:pPr>
        <w:pStyle w:val="Heading3"/>
        <w:spacing w:before="54"/>
        <w:ind w:right="7712"/>
      </w:pPr>
      <w:r>
        <w:rPr/>
        <w:t>100</w:t>
      </w:r>
    </w:p>
    <w:p>
      <w:pPr>
        <w:pStyle w:val="Heading3"/>
        <w:spacing w:before="54"/>
        <w:ind w:right="7556"/>
      </w:pPr>
      <w:r>
        <w:rPr/>
        <w:t>80</w:t>
      </w:r>
    </w:p>
    <w:p>
      <w:pPr>
        <w:pStyle w:val="Heading3"/>
        <w:spacing w:before="53"/>
        <w:ind w:right="7556"/>
      </w:pPr>
      <w:r>
        <w:rPr/>
        <w:t>60</w:t>
      </w:r>
    </w:p>
    <w:p>
      <w:pPr>
        <w:pStyle w:val="Heading3"/>
        <w:spacing w:before="53"/>
        <w:ind w:right="7556"/>
      </w:pPr>
      <w:r>
        <w:rPr/>
        <w:t>40</w:t>
      </w:r>
    </w:p>
    <w:p>
      <w:pPr>
        <w:pStyle w:val="Heading3"/>
        <w:spacing w:before="54"/>
        <w:ind w:right="7556"/>
      </w:pPr>
      <w:r>
        <w:rPr/>
        <w:t>20</w:t>
      </w:r>
    </w:p>
    <w:p>
      <w:pPr>
        <w:pStyle w:val="Heading3"/>
        <w:spacing w:before="53"/>
        <w:ind w:left="0" w:right="6208"/>
      </w:pPr>
      <w:r>
        <w:rPr>
          <w:w w:val="100"/>
        </w:rPr>
        <w:t>0</w:t>
      </w:r>
    </w:p>
    <w:p>
      <w:pPr>
        <w:pStyle w:val="Heading3"/>
        <w:tabs>
          <w:tab w:pos="1666" w:val="left" w:leader="none"/>
          <w:tab w:pos="2489" w:val="left" w:leader="none"/>
          <w:tab w:pos="3075" w:val="left" w:leader="none"/>
          <w:tab w:pos="3898" w:val="left" w:leader="none"/>
          <w:tab w:pos="4484" w:val="left" w:leader="none"/>
          <w:tab w:pos="5355" w:val="left" w:leader="none"/>
          <w:tab w:pos="5941" w:val="left" w:leader="none"/>
          <w:tab w:pos="6764" w:val="left" w:leader="none"/>
          <w:tab w:pos="7350" w:val="left" w:leader="none"/>
        </w:tabs>
        <w:spacing w:before="28"/>
        <w:ind w:left="1079"/>
      </w:pPr>
      <w:r>
        <w:rPr/>
        <w:t>-3</w:t>
        <w:tab/>
        <w:t>-2,5</w:t>
        <w:tab/>
        <w:t>-2</w:t>
        <w:tab/>
        <w:t>-1,5</w:t>
        <w:tab/>
        <w:t>-1</w:t>
        <w:tab/>
        <w:t>-0,5</w:t>
        <w:tab/>
        <w:t>0</w:t>
        <w:tab/>
        <w:t>0,5</w:t>
        <w:tab/>
        <w:t>1</w:t>
        <w:tab/>
        <w:t>1,5</w:t>
      </w:r>
    </w:p>
    <w:p>
      <w:pPr>
        <w:spacing w:before="97"/>
        <w:ind w:left="1004" w:right="0" w:firstLine="0"/>
        <w:jc w:val="center"/>
        <w:rPr>
          <w:rFonts w:ascii="Calibri" w:hAnsi="Calibri"/>
          <w:b/>
          <w:sz w:val="31"/>
        </w:rPr>
      </w:pPr>
      <w:r>
        <w:rPr>
          <w:rFonts w:ascii="Calibri" w:hAnsi="Calibri"/>
          <w:b/>
          <w:sz w:val="31"/>
        </w:rPr>
        <w:t>Log10(sætning (mm/år))</w:t>
      </w:r>
    </w:p>
    <w:p>
      <w:pPr>
        <w:pStyle w:val="BodyText"/>
        <w:spacing w:before="6"/>
        <w:rPr>
          <w:rFonts w:ascii="Calibri"/>
          <w:b/>
          <w:sz w:val="22"/>
        </w:rPr>
      </w:pPr>
    </w:p>
    <w:p>
      <w:pPr>
        <w:spacing w:line="278" w:lineRule="auto" w:before="103"/>
        <w:ind w:left="1133" w:right="1131" w:firstLine="0"/>
        <w:jc w:val="both"/>
        <w:rPr>
          <w:rFonts w:ascii="Arial" w:hAnsi="Arial"/>
          <w:sz w:val="20"/>
        </w:rPr>
      </w:pPr>
      <w:r>
        <w:rPr>
          <w:rFonts w:ascii="Arial" w:hAnsi="Arial"/>
          <w:sz w:val="22"/>
        </w:rPr>
        <w:t>Figur 10: </w:t>
      </w:r>
      <w:r>
        <w:rPr>
          <w:rFonts w:ascii="Arial" w:hAnsi="Arial"/>
          <w:sz w:val="20"/>
        </w:rPr>
        <w:t>Log-transformerede sætningsrater. En F-test er dernæst gennemført </w:t>
      </w:r>
      <w:r>
        <w:rPr>
          <w:rFonts w:ascii="Arial" w:hAnsi="Arial"/>
          <w:spacing w:val="-3"/>
          <w:sz w:val="20"/>
        </w:rPr>
        <w:t>for </w:t>
      </w:r>
      <w:r>
        <w:rPr>
          <w:rFonts w:ascii="Arial" w:hAnsi="Arial"/>
          <w:sz w:val="20"/>
        </w:rPr>
        <w:t>at teste, om spredningen  i de to populationer er signifikant forskellige. F-testen viser, at de to populationers spredninger er signifikant forskellige.</w:t>
      </w:r>
    </w:p>
    <w:p>
      <w:pPr>
        <w:spacing w:after="0" w:line="278" w:lineRule="auto"/>
        <w:jc w:val="both"/>
        <w:rPr>
          <w:rFonts w:ascii="Arial" w:hAnsi="Arial"/>
          <w:sz w:val="20"/>
        </w:rPr>
        <w:sectPr>
          <w:pgSz w:w="11910" w:h="16840"/>
          <w:pgMar w:header="0" w:footer="546" w:top="1580" w:bottom="74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 w:after="1"/>
        <w:rPr>
          <w:rFonts w:ascii="Arial"/>
          <w:sz w:val="21"/>
        </w:rPr>
      </w:pPr>
    </w:p>
    <w:p>
      <w:pPr>
        <w:pStyle w:val="BodyText"/>
        <w:ind w:left="1615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5434965" cy="6732270"/>
            <wp:effectExtent l="0" t="0" r="0" b="0"/>
            <wp:docPr id="33" name="image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4965" cy="673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8"/>
        <w:rPr>
          <w:rFonts w:ascii="Arial"/>
          <w:sz w:val="20"/>
        </w:rPr>
      </w:pPr>
    </w:p>
    <w:p>
      <w:pPr>
        <w:spacing w:line="278" w:lineRule="auto" w:before="104"/>
        <w:ind w:left="1133" w:right="1131" w:firstLine="0"/>
        <w:jc w:val="both"/>
        <w:rPr>
          <w:rFonts w:ascii="Arial" w:hAnsi="Arial"/>
          <w:sz w:val="20"/>
        </w:rPr>
      </w:pPr>
      <w:bookmarkStart w:name="_bookmark29" w:id="42"/>
      <w:bookmarkEnd w:id="42"/>
      <w:r>
        <w:rPr/>
      </w:r>
      <w:r>
        <w:rPr>
          <w:rFonts w:ascii="Arial" w:hAnsi="Arial"/>
          <w:sz w:val="22"/>
        </w:rPr>
        <w:t>Figur 11: </w:t>
      </w:r>
      <w:r>
        <w:rPr>
          <w:rFonts w:ascii="Arial" w:hAnsi="Arial"/>
          <w:sz w:val="20"/>
        </w:rPr>
        <w:t>Sammenligning af screeningskortet og potentielle sætningsområder, som er udpeget i PanGeo- projektet for København. De røde polygoner angiver de områder, indenfor hvilke der er observeret store sæt- ningsrater med PSI i PanGeo-projektet.</w:t>
      </w:r>
    </w:p>
    <w:p>
      <w:pPr>
        <w:spacing w:after="0" w:line="278" w:lineRule="auto"/>
        <w:jc w:val="both"/>
        <w:rPr>
          <w:rFonts w:ascii="Arial" w:hAnsi="Arial"/>
          <w:sz w:val="20"/>
        </w:rPr>
        <w:sectPr>
          <w:pgSz w:w="11910" w:h="16840"/>
          <w:pgMar w:header="0" w:footer="546" w:top="1580" w:bottom="74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10"/>
        </w:rPr>
      </w:pPr>
    </w:p>
    <w:p>
      <w:pPr>
        <w:pStyle w:val="BodyText"/>
        <w:ind w:left="1615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5498020" cy="6487191"/>
            <wp:effectExtent l="0" t="0" r="0" b="0"/>
            <wp:docPr id="35" name="image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1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8020" cy="6487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9"/>
        <w:rPr>
          <w:rFonts w:ascii="Arial"/>
          <w:sz w:val="12"/>
        </w:rPr>
      </w:pPr>
    </w:p>
    <w:p>
      <w:pPr>
        <w:spacing w:line="280" w:lineRule="auto" w:before="103"/>
        <w:ind w:left="1133" w:right="1131" w:firstLine="0"/>
        <w:jc w:val="both"/>
        <w:rPr>
          <w:rFonts w:ascii="Arial" w:hAnsi="Arial"/>
          <w:sz w:val="20"/>
        </w:rPr>
      </w:pPr>
      <w:bookmarkStart w:name="_bookmark30" w:id="43"/>
      <w:bookmarkEnd w:id="43"/>
      <w:r>
        <w:rPr/>
      </w:r>
      <w:r>
        <w:rPr>
          <w:rFonts w:ascii="Arial" w:hAnsi="Arial"/>
          <w:sz w:val="22"/>
        </w:rPr>
        <w:t>Figur 12: </w:t>
      </w:r>
      <w:r>
        <w:rPr>
          <w:rFonts w:ascii="Arial" w:hAnsi="Arial"/>
          <w:sz w:val="20"/>
        </w:rPr>
        <w:t>Sammenligning af screeningskortet og potentielle sætningsområder, som er udpeget i </w:t>
      </w:r>
      <w:r>
        <w:rPr>
          <w:rFonts w:ascii="Arial" w:hAnsi="Arial"/>
          <w:spacing w:val="-4"/>
          <w:sz w:val="20"/>
        </w:rPr>
        <w:t>PanGeo- </w:t>
      </w:r>
      <w:r>
        <w:rPr>
          <w:rFonts w:ascii="Arial" w:hAnsi="Arial"/>
          <w:sz w:val="20"/>
        </w:rPr>
        <w:t>projektet </w:t>
      </w:r>
      <w:r>
        <w:rPr>
          <w:rFonts w:ascii="Arial" w:hAnsi="Arial"/>
          <w:spacing w:val="-3"/>
          <w:sz w:val="20"/>
        </w:rPr>
        <w:t>for </w:t>
      </w:r>
      <w:r>
        <w:rPr>
          <w:rFonts w:ascii="Arial" w:hAnsi="Arial"/>
          <w:sz w:val="20"/>
        </w:rPr>
        <w:t>Aalborg. De </w:t>
      </w:r>
      <w:r>
        <w:rPr>
          <w:rFonts w:ascii="Arial" w:hAnsi="Arial"/>
          <w:spacing w:val="-3"/>
          <w:sz w:val="20"/>
        </w:rPr>
        <w:t>røde </w:t>
      </w:r>
      <w:r>
        <w:rPr>
          <w:rFonts w:ascii="Arial" w:hAnsi="Arial"/>
          <w:sz w:val="20"/>
        </w:rPr>
        <w:t>polygoner angiver de områder, indenfor hvilke der er observeret store sæt- ningsrater</w:t>
      </w:r>
      <w:r>
        <w:rPr>
          <w:rFonts w:ascii="Arial" w:hAnsi="Arial"/>
          <w:spacing w:val="-5"/>
          <w:sz w:val="20"/>
        </w:rPr>
        <w:t> </w:t>
      </w:r>
      <w:r>
        <w:rPr>
          <w:rFonts w:ascii="Arial" w:hAnsi="Arial"/>
          <w:sz w:val="20"/>
        </w:rPr>
        <w:t>med</w:t>
      </w:r>
      <w:r>
        <w:rPr>
          <w:rFonts w:ascii="Arial" w:hAnsi="Arial"/>
          <w:spacing w:val="-4"/>
          <w:sz w:val="20"/>
        </w:rPr>
        <w:t> </w:t>
      </w:r>
      <w:r>
        <w:rPr>
          <w:rFonts w:ascii="Arial" w:hAnsi="Arial"/>
          <w:sz w:val="20"/>
        </w:rPr>
        <w:t>PSI</w:t>
      </w:r>
      <w:r>
        <w:rPr>
          <w:rFonts w:ascii="Arial" w:hAnsi="Arial"/>
          <w:spacing w:val="-4"/>
          <w:sz w:val="20"/>
        </w:rPr>
        <w:t> </w:t>
      </w:r>
      <w:r>
        <w:rPr>
          <w:rFonts w:ascii="Arial" w:hAnsi="Arial"/>
          <w:sz w:val="20"/>
        </w:rPr>
        <w:t>i</w:t>
      </w:r>
      <w:r>
        <w:rPr>
          <w:rFonts w:ascii="Arial" w:hAnsi="Arial"/>
          <w:spacing w:val="-4"/>
          <w:sz w:val="20"/>
        </w:rPr>
        <w:t> </w:t>
      </w:r>
      <w:r>
        <w:rPr>
          <w:rFonts w:ascii="Arial" w:hAnsi="Arial"/>
          <w:sz w:val="20"/>
        </w:rPr>
        <w:t>PanGeo-projektet.</w:t>
      </w:r>
      <w:r>
        <w:rPr>
          <w:rFonts w:ascii="Arial" w:hAnsi="Arial"/>
          <w:spacing w:val="-4"/>
          <w:sz w:val="20"/>
        </w:rPr>
        <w:t> </w:t>
      </w:r>
      <w:r>
        <w:rPr>
          <w:rFonts w:ascii="Arial" w:hAnsi="Arial"/>
          <w:sz w:val="20"/>
        </w:rPr>
        <w:t>Den</w:t>
      </w:r>
      <w:r>
        <w:rPr>
          <w:rFonts w:ascii="Arial" w:hAnsi="Arial"/>
          <w:spacing w:val="-4"/>
          <w:sz w:val="20"/>
        </w:rPr>
        <w:t> </w:t>
      </w:r>
      <w:r>
        <w:rPr>
          <w:rFonts w:ascii="Arial" w:hAnsi="Arial"/>
          <w:sz w:val="20"/>
        </w:rPr>
        <w:t>abrupte</w:t>
      </w:r>
      <w:r>
        <w:rPr>
          <w:rFonts w:ascii="Arial" w:hAnsi="Arial"/>
          <w:spacing w:val="-4"/>
          <w:sz w:val="20"/>
        </w:rPr>
        <w:t> </w:t>
      </w:r>
      <w:r>
        <w:rPr>
          <w:rFonts w:ascii="Arial" w:hAnsi="Arial"/>
          <w:sz w:val="20"/>
        </w:rPr>
        <w:t>lineære</w:t>
      </w:r>
      <w:r>
        <w:rPr>
          <w:rFonts w:ascii="Arial" w:hAnsi="Arial"/>
          <w:spacing w:val="-4"/>
          <w:sz w:val="20"/>
        </w:rPr>
        <w:t> </w:t>
      </w:r>
      <w:r>
        <w:rPr>
          <w:rFonts w:ascii="Arial" w:hAnsi="Arial"/>
          <w:sz w:val="20"/>
        </w:rPr>
        <w:t>grænse</w:t>
      </w:r>
      <w:r>
        <w:rPr>
          <w:rFonts w:ascii="Arial" w:hAnsi="Arial"/>
          <w:spacing w:val="-4"/>
          <w:sz w:val="20"/>
        </w:rPr>
        <w:t> </w:t>
      </w:r>
      <w:r>
        <w:rPr>
          <w:rFonts w:ascii="Arial" w:hAnsi="Arial"/>
          <w:sz w:val="20"/>
        </w:rPr>
        <w:t>i</w:t>
      </w:r>
      <w:r>
        <w:rPr>
          <w:rFonts w:ascii="Arial" w:hAnsi="Arial"/>
          <w:spacing w:val="-4"/>
          <w:sz w:val="20"/>
        </w:rPr>
        <w:t> </w:t>
      </w:r>
      <w:r>
        <w:rPr>
          <w:rFonts w:ascii="Arial" w:hAnsi="Arial"/>
          <w:sz w:val="20"/>
        </w:rPr>
        <w:t>PanGeo-kortet</w:t>
      </w:r>
      <w:r>
        <w:rPr>
          <w:rFonts w:ascii="Arial" w:hAnsi="Arial"/>
          <w:spacing w:val="-4"/>
          <w:sz w:val="20"/>
        </w:rPr>
        <w:t> øst </w:t>
      </w:r>
      <w:r>
        <w:rPr>
          <w:rFonts w:ascii="Arial" w:hAnsi="Arial"/>
          <w:spacing w:val="-3"/>
          <w:sz w:val="20"/>
        </w:rPr>
        <w:t>for</w:t>
      </w:r>
      <w:r>
        <w:rPr>
          <w:rFonts w:ascii="Arial" w:hAnsi="Arial"/>
          <w:spacing w:val="-5"/>
          <w:sz w:val="20"/>
        </w:rPr>
        <w:t> </w:t>
      </w:r>
      <w:r>
        <w:rPr>
          <w:rFonts w:ascii="Arial" w:hAnsi="Arial"/>
          <w:sz w:val="20"/>
        </w:rPr>
        <w:t>Aalborg</w:t>
      </w:r>
      <w:r>
        <w:rPr>
          <w:rFonts w:ascii="Arial" w:hAnsi="Arial"/>
          <w:spacing w:val="-4"/>
          <w:sz w:val="20"/>
        </w:rPr>
        <w:t> </w:t>
      </w:r>
      <w:r>
        <w:rPr>
          <w:rFonts w:ascii="Arial" w:hAnsi="Arial"/>
          <w:sz w:val="20"/>
        </w:rPr>
        <w:t>skyldes, at områder syd </w:t>
      </w:r>
      <w:r>
        <w:rPr>
          <w:rFonts w:ascii="Arial" w:hAnsi="Arial"/>
          <w:spacing w:val="-3"/>
          <w:sz w:val="20"/>
        </w:rPr>
        <w:t>for </w:t>
      </w:r>
      <w:r>
        <w:rPr>
          <w:rFonts w:ascii="Arial" w:hAnsi="Arial"/>
          <w:sz w:val="20"/>
        </w:rPr>
        <w:t>Limfjorden kun delvist er geologisk</w:t>
      </w:r>
      <w:r>
        <w:rPr>
          <w:rFonts w:ascii="Arial" w:hAnsi="Arial"/>
          <w:spacing w:val="5"/>
          <w:sz w:val="20"/>
        </w:rPr>
        <w:t> </w:t>
      </w:r>
      <w:r>
        <w:rPr>
          <w:rFonts w:ascii="Arial" w:hAnsi="Arial"/>
          <w:sz w:val="20"/>
        </w:rPr>
        <w:t>kortlagt.</w:t>
      </w:r>
    </w:p>
    <w:p>
      <w:pPr>
        <w:spacing w:after="0" w:line="280" w:lineRule="auto"/>
        <w:jc w:val="both"/>
        <w:rPr>
          <w:rFonts w:ascii="Arial" w:hAnsi="Arial"/>
          <w:sz w:val="20"/>
        </w:rPr>
        <w:sectPr>
          <w:pgSz w:w="11910" w:h="16840"/>
          <w:pgMar w:header="0" w:footer="546" w:top="1580" w:bottom="74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 w:after="1"/>
        <w:rPr>
          <w:rFonts w:ascii="Arial"/>
          <w:sz w:val="19"/>
        </w:rPr>
      </w:pPr>
    </w:p>
    <w:p>
      <w:pPr>
        <w:pStyle w:val="BodyText"/>
        <w:ind w:left="1615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5486019" cy="6078093"/>
            <wp:effectExtent l="0" t="0" r="0" b="0"/>
            <wp:docPr id="37" name="image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2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019" cy="6078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10"/>
        <w:rPr>
          <w:rFonts w:ascii="Arial"/>
          <w:sz w:val="10"/>
        </w:rPr>
      </w:pPr>
    </w:p>
    <w:p>
      <w:pPr>
        <w:spacing w:line="280" w:lineRule="auto" w:before="104"/>
        <w:ind w:left="1133" w:right="1131" w:firstLine="0"/>
        <w:jc w:val="both"/>
        <w:rPr>
          <w:rFonts w:ascii="Arial" w:hAnsi="Arial"/>
          <w:sz w:val="20"/>
        </w:rPr>
      </w:pPr>
      <w:bookmarkStart w:name="_bookmark31" w:id="44"/>
      <w:bookmarkEnd w:id="44"/>
      <w:r>
        <w:rPr/>
      </w:r>
      <w:r>
        <w:rPr>
          <w:rFonts w:ascii="Arial" w:hAnsi="Arial"/>
          <w:sz w:val="22"/>
        </w:rPr>
        <w:t>Figur 13: </w:t>
      </w:r>
      <w:r>
        <w:rPr>
          <w:rFonts w:ascii="Arial" w:hAnsi="Arial"/>
          <w:sz w:val="20"/>
        </w:rPr>
        <w:t>Zoom på Aalborg </w:t>
      </w:r>
      <w:r>
        <w:rPr>
          <w:rFonts w:ascii="Arial" w:hAnsi="Arial"/>
          <w:spacing w:val="-9"/>
          <w:sz w:val="20"/>
        </w:rPr>
        <w:t>by, </w:t>
      </w:r>
      <w:r>
        <w:rPr>
          <w:rFonts w:ascii="Arial" w:hAnsi="Arial"/>
          <w:sz w:val="20"/>
        </w:rPr>
        <w:t>hvor hovedparten af de </w:t>
      </w:r>
      <w:r>
        <w:rPr>
          <w:rFonts w:ascii="Arial" w:hAnsi="Arial"/>
          <w:spacing w:val="-3"/>
          <w:sz w:val="20"/>
        </w:rPr>
        <w:t>høje  </w:t>
      </w:r>
      <w:r>
        <w:rPr>
          <w:rFonts w:ascii="Arial" w:hAnsi="Arial"/>
          <w:sz w:val="20"/>
        </w:rPr>
        <w:t>sætningsrater identificeret i PanGeo-projektet er placeret. De </w:t>
      </w:r>
      <w:r>
        <w:rPr>
          <w:rFonts w:ascii="Arial" w:hAnsi="Arial"/>
          <w:spacing w:val="-3"/>
          <w:sz w:val="20"/>
        </w:rPr>
        <w:t>høje </w:t>
      </w:r>
      <w:r>
        <w:rPr>
          <w:rFonts w:ascii="Arial" w:hAnsi="Arial"/>
          <w:sz w:val="20"/>
        </w:rPr>
        <w:t>sætningsrater observeret med PSI i PanGeo-projektet er målt indenfor de </w:t>
      </w:r>
      <w:r>
        <w:rPr>
          <w:rFonts w:ascii="Arial" w:hAnsi="Arial"/>
          <w:spacing w:val="-3"/>
          <w:sz w:val="20"/>
        </w:rPr>
        <w:t>røde </w:t>
      </w:r>
      <w:r>
        <w:rPr>
          <w:rFonts w:ascii="Arial" w:hAnsi="Arial"/>
          <w:sz w:val="20"/>
        </w:rPr>
        <w:t>polygo- </w:t>
      </w:r>
      <w:r>
        <w:rPr>
          <w:rFonts w:ascii="Arial" w:hAnsi="Arial"/>
          <w:spacing w:val="-3"/>
          <w:sz w:val="20"/>
        </w:rPr>
        <w:t>ner. </w:t>
      </w:r>
      <w:r>
        <w:rPr>
          <w:rFonts w:ascii="Arial" w:hAnsi="Arial"/>
          <w:sz w:val="20"/>
        </w:rPr>
        <w:t>Potentielle sætningsområder udpeget i regi af PanGeo-projektet er overlagt screeningskortet.</w:t>
      </w:r>
      <w:r>
        <w:rPr>
          <w:rFonts w:ascii="Arial" w:hAnsi="Arial"/>
          <w:spacing w:val="-34"/>
          <w:sz w:val="20"/>
        </w:rPr>
        <w:t> </w:t>
      </w:r>
      <w:r>
        <w:rPr>
          <w:rFonts w:ascii="Arial" w:hAnsi="Arial"/>
          <w:sz w:val="20"/>
        </w:rPr>
        <w:t>Beregnede sætningsrater </w:t>
      </w:r>
      <w:r>
        <w:rPr>
          <w:rFonts w:ascii="Arial" w:hAnsi="Arial"/>
          <w:spacing w:val="-3"/>
          <w:sz w:val="20"/>
        </w:rPr>
        <w:t>for </w:t>
      </w:r>
      <w:r>
        <w:rPr>
          <w:rFonts w:ascii="Arial" w:hAnsi="Arial"/>
          <w:sz w:val="20"/>
        </w:rPr>
        <w:t>fikspunkter i området er også</w:t>
      </w:r>
      <w:r>
        <w:rPr>
          <w:rFonts w:ascii="Arial" w:hAnsi="Arial"/>
          <w:spacing w:val="3"/>
          <w:sz w:val="20"/>
        </w:rPr>
        <w:t> </w:t>
      </w:r>
      <w:r>
        <w:rPr>
          <w:rFonts w:ascii="Arial" w:hAnsi="Arial"/>
          <w:sz w:val="20"/>
        </w:rPr>
        <w:t>angivet.</w:t>
      </w:r>
    </w:p>
    <w:p>
      <w:pPr>
        <w:spacing w:after="0" w:line="280" w:lineRule="auto"/>
        <w:jc w:val="both"/>
        <w:rPr>
          <w:rFonts w:ascii="Arial" w:hAnsi="Arial"/>
          <w:sz w:val="20"/>
        </w:rPr>
        <w:sectPr>
          <w:pgSz w:w="11910" w:h="16840"/>
          <w:pgMar w:header="0" w:footer="546" w:top="1580" w:bottom="740" w:left="0" w:right="0"/>
        </w:sectPr>
      </w:pPr>
    </w:p>
    <w:p>
      <w:pPr>
        <w:spacing w:before="92"/>
        <w:ind w:left="1792" w:right="0" w:firstLine="0"/>
        <w:jc w:val="left"/>
        <w:rPr>
          <w:rFonts w:ascii="Arial" w:hAnsi="Arial"/>
          <w:sz w:val="20"/>
        </w:rPr>
      </w:pPr>
      <w:bookmarkStart w:name="_bookmark32" w:id="45"/>
      <w:bookmarkEnd w:id="45"/>
      <w:r>
        <w:rPr/>
      </w:r>
      <w:r>
        <w:rPr>
          <w:rFonts w:ascii="Arial" w:hAnsi="Arial"/>
          <w:sz w:val="22"/>
        </w:rPr>
        <w:t>Tabel 1: </w:t>
      </w:r>
      <w:r>
        <w:rPr>
          <w:rFonts w:ascii="Arial" w:hAnsi="Arial"/>
          <w:sz w:val="20"/>
        </w:rPr>
        <w:t>Statistiske nøgletal for vertikale landbevægelsesrater beregnet ud fra fikspunktsdata.</w:t>
      </w:r>
    </w:p>
    <w:p>
      <w:pPr>
        <w:pStyle w:val="BodyText"/>
        <w:spacing w:before="10"/>
        <w:rPr>
          <w:rFonts w:ascii="Arial"/>
          <w:sz w:val="16"/>
        </w:rPr>
      </w:pPr>
      <w:r>
        <w:rPr/>
        <w:pict>
          <v:line style="position:absolute;mso-position-horizontal-relative:page;mso-position-vertical-relative:paragraph;z-index:368;mso-wrap-distance-left:0;mso-wrap-distance-right:0" from="87.458pt,11.893074pt" to="507.818pt,11.893074pt" stroked="true" strokeweight=".398pt" strokecolor="#000000">
            <v:stroke dashstyle="solid"/>
            <w10:wrap type="topAndBottom"/>
          </v:line>
        </w:pict>
      </w:r>
    </w:p>
    <w:p>
      <w:pPr>
        <w:tabs>
          <w:tab w:pos="6398" w:val="left" w:leader="none"/>
          <w:tab w:pos="8590" w:val="left" w:leader="none"/>
        </w:tabs>
        <w:spacing w:before="0"/>
        <w:ind w:left="3969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Alle</w:t>
      </w:r>
      <w:r>
        <w:rPr>
          <w:rFonts w:ascii="Arial"/>
          <w:spacing w:val="5"/>
          <w:sz w:val="18"/>
        </w:rPr>
        <w:t> </w:t>
      </w:r>
      <w:r>
        <w:rPr>
          <w:rFonts w:ascii="Arial"/>
          <w:sz w:val="18"/>
        </w:rPr>
        <w:t>punkter</w:t>
        <w:tab/>
        <w:t>Alle</w:t>
      </w:r>
      <w:r>
        <w:rPr>
          <w:rFonts w:ascii="Arial"/>
          <w:spacing w:val="5"/>
          <w:sz w:val="18"/>
        </w:rPr>
        <w:t> </w:t>
      </w:r>
      <w:r>
        <w:rPr>
          <w:rFonts w:ascii="Arial"/>
          <w:sz w:val="18"/>
        </w:rPr>
        <w:t>punkter</w:t>
        <w:tab/>
        <w:t>Alle punkter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med</w:t>
      </w:r>
    </w:p>
    <w:p>
      <w:pPr>
        <w:tabs>
          <w:tab w:pos="8559" w:val="left" w:leader="none"/>
        </w:tabs>
        <w:spacing w:line="278" w:lineRule="auto" w:before="32"/>
        <w:ind w:left="8703" w:right="1907" w:hanging="2433"/>
        <w:jc w:val="left"/>
        <w:rPr>
          <w:rFonts w:ascii="Arial" w:hAnsi="Arial"/>
          <w:sz w:val="18"/>
        </w:rPr>
      </w:pPr>
      <w:r>
        <w:rPr/>
        <w:pict>
          <v:line style="position:absolute;mso-position-horizontal-relative:page;mso-position-vertical-relative:paragraph;z-index:2440" from="177.080994pt,25.782917pt" to="268.247994pt,25.782917pt" stroked="true" strokeweight=".39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464" from="298.533997pt,25.782917pt" to="389.700997pt,25.782917pt" stroked="true" strokeweight=".39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488" from="419.987pt,25.782917pt" to="507.817pt,25.782917pt" stroked="true" strokeweight=".398pt" strokecolor="#000000">
            <v:stroke dashstyle="solid"/>
            <w10:wrap type="none"/>
          </v:line>
        </w:pict>
      </w:r>
      <w:r>
        <w:rPr>
          <w:rFonts w:ascii="Arial" w:hAnsi="Arial"/>
          <w:sz w:val="18"/>
        </w:rPr>
        <w:t>med</w:t>
      </w:r>
      <w:r>
        <w:rPr>
          <w:rFonts w:ascii="Arial" w:hAnsi="Arial"/>
          <w:spacing w:val="6"/>
          <w:sz w:val="18"/>
        </w:rPr>
        <w:t> </w:t>
      </w:r>
      <w:r>
        <w:rPr>
          <w:rFonts w:ascii="Arial" w:hAnsi="Arial"/>
          <w:sz w:val="18"/>
        </w:rPr>
        <w:t>sætninger</w:t>
        <w:tab/>
        <w:t>sætninger </w:t>
      </w:r>
      <w:r>
        <w:rPr>
          <w:rFonts w:ascii="Arial" w:hAnsi="Arial"/>
          <w:spacing w:val="-3"/>
          <w:sz w:val="18"/>
        </w:rPr>
        <w:t>(Log10 </w:t>
      </w:r>
      <w:r>
        <w:rPr>
          <w:rFonts w:ascii="Arial" w:hAnsi="Arial"/>
          <w:sz w:val="18"/>
        </w:rPr>
        <w:t>transformeret)</w:t>
      </w:r>
    </w:p>
    <w:p>
      <w:pPr>
        <w:tabs>
          <w:tab w:pos="3864" w:val="left" w:leader="none"/>
          <w:tab w:pos="4588" w:val="left" w:leader="none"/>
          <w:tab w:pos="4827" w:val="left" w:leader="none"/>
          <w:tab w:pos="6095" w:val="left" w:leader="none"/>
          <w:tab w:pos="6293" w:val="left" w:leader="none"/>
          <w:tab w:pos="7017" w:val="left" w:leader="none"/>
          <w:tab w:pos="7256" w:val="left" w:leader="none"/>
          <w:tab w:pos="8524" w:val="left" w:leader="none"/>
          <w:tab w:pos="8723" w:val="left" w:leader="none"/>
          <w:tab w:pos="9379" w:val="left" w:leader="none"/>
          <w:tab w:pos="9618" w:val="left" w:leader="none"/>
        </w:tabs>
        <w:spacing w:line="285" w:lineRule="auto" w:before="0"/>
        <w:ind w:left="1868" w:right="1866" w:firstLine="1797"/>
        <w:jc w:val="left"/>
        <w:rPr>
          <w:rFonts w:ascii="Arial"/>
          <w:sz w:val="18"/>
        </w:rPr>
      </w:pPr>
      <w:r>
        <w:rPr/>
        <w:pict>
          <v:line style="position:absolute;mso-position-horizontal-relative:page;mso-position-vertical-relative:paragraph;z-index:-34984" from="87.458pt,12.227882pt" to="507.818pt,12.227882pt" stroked="true" strokeweight=".398pt" strokecolor="#000000">
            <v:stroke dashstyle="solid"/>
            <w10:wrap type="none"/>
          </v:line>
        </w:pict>
      </w:r>
      <w:r>
        <w:rPr>
          <w:rFonts w:ascii="Arial"/>
          <w:sz w:val="18"/>
        </w:rPr>
        <w:t>udenfor</w:t>
        <w:tab/>
        <w:t>indenfor</w:t>
        <w:tab/>
        <w:t>udenfor</w:t>
        <w:tab/>
        <w:t>indenfor</w:t>
        <w:tab/>
        <w:t>udenfor</w:t>
        <w:tab/>
      </w:r>
      <w:r>
        <w:rPr>
          <w:rFonts w:ascii="Arial"/>
          <w:spacing w:val="-3"/>
          <w:sz w:val="18"/>
        </w:rPr>
        <w:t>indenfor </w:t>
      </w:r>
      <w:r>
        <w:rPr>
          <w:rFonts w:ascii="Arial"/>
          <w:sz w:val="18"/>
        </w:rPr>
        <w:t>Mean</w:t>
        <w:tab/>
        <w:t>-0,25</w:t>
        <w:tab/>
        <w:tab/>
        <w:t>-1,25</w:t>
        <w:tab/>
        <w:tab/>
        <w:t>-0,51</w:t>
        <w:tab/>
        <w:tab/>
        <w:t>-1,48</w:t>
        <w:tab/>
        <w:tab/>
        <w:t>-0,47</w:t>
        <w:tab/>
        <w:tab/>
      </w:r>
      <w:r>
        <w:rPr>
          <w:rFonts w:ascii="Arial"/>
          <w:spacing w:val="-4"/>
          <w:sz w:val="18"/>
        </w:rPr>
        <w:t>-0,16</w:t>
      </w:r>
    </w:p>
    <w:p>
      <w:pPr>
        <w:tabs>
          <w:tab w:pos="3925" w:val="left" w:leader="none"/>
          <w:tab w:pos="4888" w:val="left" w:leader="none"/>
          <w:tab w:pos="6354" w:val="left" w:leader="none"/>
          <w:tab w:pos="7317" w:val="left" w:leader="none"/>
          <w:tab w:pos="8784" w:val="left" w:leader="none"/>
          <w:tab w:pos="9679" w:val="left" w:leader="none"/>
        </w:tabs>
        <w:spacing w:line="201" w:lineRule="exact" w:before="0"/>
        <w:ind w:left="1868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Standard</w:t>
      </w:r>
      <w:r>
        <w:rPr>
          <w:rFonts w:ascii="Arial"/>
          <w:spacing w:val="6"/>
          <w:sz w:val="18"/>
        </w:rPr>
        <w:t> </w:t>
      </w:r>
      <w:r>
        <w:rPr>
          <w:rFonts w:ascii="Arial"/>
          <w:sz w:val="18"/>
        </w:rPr>
        <w:t>Error</w:t>
        <w:tab/>
        <w:t>0,02</w:t>
        <w:tab/>
        <w:t>0,07</w:t>
        <w:tab/>
        <w:t>0,02</w:t>
        <w:tab/>
        <w:t>0,07</w:t>
        <w:tab/>
        <w:t>0,01</w:t>
        <w:tab/>
        <w:t>0,02</w:t>
      </w:r>
    </w:p>
    <w:p>
      <w:pPr>
        <w:tabs>
          <w:tab w:pos="3864" w:val="left" w:leader="none"/>
          <w:tab w:pos="4827" w:val="left" w:leader="none"/>
          <w:tab w:pos="6293" w:val="left" w:leader="none"/>
          <w:tab w:pos="7256" w:val="left" w:leader="none"/>
          <w:tab w:pos="8723" w:val="left" w:leader="none"/>
          <w:tab w:pos="9618" w:val="left" w:leader="none"/>
        </w:tabs>
        <w:spacing w:before="30"/>
        <w:ind w:left="1868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Median</w:t>
        <w:tab/>
        <w:t>-0,24</w:t>
        <w:tab/>
        <w:t>-0,51</w:t>
        <w:tab/>
        <w:t>-0,35</w:t>
        <w:tab/>
        <w:t>-0,64</w:t>
        <w:tab/>
        <w:t>-0,46</w:t>
        <w:tab/>
        <w:t>-0,20</w:t>
      </w:r>
    </w:p>
    <w:p>
      <w:pPr>
        <w:tabs>
          <w:tab w:pos="3864" w:val="left" w:leader="none"/>
          <w:tab w:pos="4827" w:val="left" w:leader="none"/>
          <w:tab w:pos="6293" w:val="left" w:leader="none"/>
          <w:tab w:pos="7256" w:val="left" w:leader="none"/>
          <w:tab w:pos="8723" w:val="left" w:leader="none"/>
          <w:tab w:pos="9679" w:val="left" w:leader="none"/>
        </w:tabs>
        <w:spacing w:before="32"/>
        <w:ind w:left="1868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Mode</w:t>
        <w:tab/>
        <w:t>-0,30</w:t>
        <w:tab/>
        <w:t>-1,48</w:t>
        <w:tab/>
        <w:t>-0,30</w:t>
        <w:tab/>
        <w:t>-1,48</w:t>
        <w:tab/>
        <w:t>-0,53</w:t>
        <w:tab/>
        <w:t>0,17</w:t>
      </w:r>
    </w:p>
    <w:p>
      <w:pPr>
        <w:tabs>
          <w:tab w:pos="3925" w:val="left" w:leader="none"/>
          <w:tab w:pos="4888" w:val="left" w:leader="none"/>
          <w:tab w:pos="6354" w:val="left" w:leader="none"/>
          <w:tab w:pos="7317" w:val="left" w:leader="none"/>
          <w:tab w:pos="8784" w:val="left" w:leader="none"/>
          <w:tab w:pos="9679" w:val="left" w:leader="none"/>
        </w:tabs>
        <w:spacing w:before="32"/>
        <w:ind w:left="1868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Standard</w:t>
      </w:r>
      <w:r>
        <w:rPr>
          <w:rFonts w:ascii="Arial"/>
          <w:spacing w:val="6"/>
          <w:sz w:val="18"/>
        </w:rPr>
        <w:t> </w:t>
      </w:r>
      <w:r>
        <w:rPr>
          <w:rFonts w:ascii="Arial"/>
          <w:sz w:val="18"/>
        </w:rPr>
        <w:t>Deviation</w:t>
        <w:tab/>
        <w:t>0,94</w:t>
        <w:tab/>
        <w:t>2,29</w:t>
        <w:tab/>
        <w:t>0,80</w:t>
        <w:tab/>
        <w:t>2,35</w:t>
        <w:tab/>
        <w:t>0,38</w:t>
        <w:tab/>
        <w:t>0,52</w:t>
      </w:r>
    </w:p>
    <w:p>
      <w:pPr>
        <w:tabs>
          <w:tab w:pos="3925" w:val="left" w:leader="none"/>
          <w:tab w:pos="4888" w:val="left" w:leader="none"/>
          <w:tab w:pos="6354" w:val="left" w:leader="none"/>
          <w:tab w:pos="7317" w:val="left" w:leader="none"/>
          <w:tab w:pos="8784" w:val="left" w:leader="none"/>
          <w:tab w:pos="9679" w:val="left" w:leader="none"/>
        </w:tabs>
        <w:spacing w:before="32"/>
        <w:ind w:left="1868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Sample</w:t>
      </w:r>
      <w:r>
        <w:rPr>
          <w:rFonts w:ascii="Arial"/>
          <w:spacing w:val="4"/>
          <w:sz w:val="18"/>
        </w:rPr>
        <w:t> </w:t>
      </w:r>
      <w:r>
        <w:rPr>
          <w:rFonts w:ascii="Arial"/>
          <w:sz w:val="18"/>
        </w:rPr>
        <w:t>Variance</w:t>
        <w:tab/>
        <w:t>0,89</w:t>
        <w:tab/>
        <w:t>5,22</w:t>
        <w:tab/>
        <w:t>0,63</w:t>
        <w:tab/>
        <w:t>5,51</w:t>
        <w:tab/>
        <w:t>0,14</w:t>
        <w:tab/>
        <w:t>0,27</w:t>
      </w:r>
    </w:p>
    <w:p>
      <w:pPr>
        <w:tabs>
          <w:tab w:pos="3722" w:val="left" w:leader="none"/>
          <w:tab w:pos="4786" w:val="left" w:leader="none"/>
          <w:tab w:pos="6151" w:val="left" w:leader="none"/>
          <w:tab w:pos="7215" w:val="left" w:leader="none"/>
          <w:tab w:pos="8784" w:val="left" w:leader="none"/>
          <w:tab w:pos="9679" w:val="left" w:leader="none"/>
        </w:tabs>
        <w:spacing w:before="32"/>
        <w:ind w:left="1868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Kurtosis</w:t>
        <w:tab/>
        <w:t>102,69</w:t>
        <w:tab/>
        <w:t>12,09</w:t>
        <w:tab/>
        <w:t>168,05</w:t>
        <w:tab/>
        <w:t>11,12</w:t>
        <w:tab/>
        <w:t>1,91</w:t>
        <w:tab/>
        <w:t>0,02</w:t>
      </w:r>
    </w:p>
    <w:p>
      <w:pPr>
        <w:tabs>
          <w:tab w:pos="3864" w:val="left" w:leader="none"/>
          <w:tab w:pos="4827" w:val="left" w:leader="none"/>
          <w:tab w:pos="6192" w:val="left" w:leader="none"/>
          <w:tab w:pos="7256" w:val="left" w:leader="none"/>
          <w:tab w:pos="8723" w:val="left" w:leader="none"/>
          <w:tab w:pos="9679" w:val="left" w:leader="none"/>
        </w:tabs>
        <w:spacing w:before="33"/>
        <w:ind w:left="1868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Skewness</w:t>
        <w:tab/>
        <w:t>-1,81</w:t>
        <w:tab/>
        <w:t>-3,22</w:t>
        <w:tab/>
        <w:t>-10,57</w:t>
        <w:tab/>
        <w:t>-3,16</w:t>
        <w:tab/>
        <w:t>-0,11</w:t>
        <w:tab/>
        <w:t>0,22</w:t>
      </w:r>
    </w:p>
    <w:p>
      <w:pPr>
        <w:tabs>
          <w:tab w:pos="3823" w:val="left" w:leader="none"/>
          <w:tab w:pos="4786" w:val="left" w:leader="none"/>
          <w:tab w:pos="6253" w:val="left" w:leader="none"/>
          <w:tab w:pos="7215" w:val="left" w:leader="none"/>
          <w:tab w:pos="8784" w:val="left" w:leader="none"/>
          <w:tab w:pos="9679" w:val="left" w:leader="none"/>
        </w:tabs>
        <w:spacing w:before="32"/>
        <w:ind w:left="1868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Range</w:t>
        <w:tab/>
        <w:t>29,54</w:t>
        <w:tab/>
        <w:t>20,95</w:t>
        <w:tab/>
        <w:t>16,46</w:t>
        <w:tab/>
        <w:t>17,11</w:t>
        <w:tab/>
        <w:t>3,88</w:t>
        <w:tab/>
        <w:t>2,98</w:t>
      </w:r>
    </w:p>
    <w:p>
      <w:pPr>
        <w:tabs>
          <w:tab w:pos="3762" w:val="left" w:leader="none"/>
          <w:tab w:pos="4725" w:val="left" w:leader="none"/>
          <w:tab w:pos="6192" w:val="left" w:leader="none"/>
          <w:tab w:pos="7154" w:val="left" w:leader="none"/>
          <w:tab w:pos="8723" w:val="left" w:leader="none"/>
          <w:tab w:pos="9618" w:val="left" w:leader="none"/>
        </w:tabs>
        <w:spacing w:before="32"/>
        <w:ind w:left="1868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Minimum</w:t>
        <w:tab/>
        <w:t>-16,47</w:t>
        <w:tab/>
        <w:t>-17,13</w:t>
        <w:tab/>
        <w:t>-16,47</w:t>
        <w:tab/>
        <w:t>-17,13</w:t>
        <w:tab/>
        <w:t>-2,66</w:t>
        <w:tab/>
        <w:t>-1,75</w:t>
      </w:r>
    </w:p>
    <w:p>
      <w:pPr>
        <w:tabs>
          <w:tab w:pos="3823" w:val="left" w:leader="none"/>
          <w:tab w:pos="4888" w:val="left" w:leader="none"/>
          <w:tab w:pos="6293" w:val="left" w:leader="none"/>
          <w:tab w:pos="7256" w:val="left" w:leader="none"/>
          <w:tab w:pos="8784" w:val="left" w:leader="none"/>
          <w:tab w:pos="9679" w:val="left" w:leader="none"/>
        </w:tabs>
        <w:spacing w:before="32"/>
        <w:ind w:left="1868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Maximum</w:t>
        <w:tab/>
        <w:t>13,07</w:t>
        <w:tab/>
        <w:t>3,82</w:t>
        <w:tab/>
        <w:t>-0,01</w:t>
        <w:tab/>
        <w:t>-0,02</w:t>
        <w:tab/>
        <w:t>1,22</w:t>
        <w:tab/>
        <w:t>1,23</w:t>
      </w:r>
    </w:p>
    <w:p>
      <w:pPr>
        <w:tabs>
          <w:tab w:pos="3661" w:val="left" w:leader="none"/>
          <w:tab w:pos="4521" w:val="left" w:leader="none"/>
          <w:tab w:pos="6090" w:val="left" w:leader="none"/>
          <w:tab w:pos="6950" w:val="left" w:leader="none"/>
          <w:tab w:pos="8519" w:val="left" w:leader="none"/>
          <w:tab w:pos="9415" w:val="left" w:leader="none"/>
        </w:tabs>
        <w:spacing w:before="32"/>
        <w:ind w:left="1868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Sum</w:t>
        <w:tab/>
        <w:t>-426,22</w:t>
        <w:tab/>
        <w:t>-1482,05</w:t>
        <w:tab/>
        <w:t>-625,34</w:t>
        <w:tab/>
        <w:t>-1537,52</w:t>
        <w:tab/>
        <w:t>-575,17</w:t>
        <w:tab/>
        <w:t>-166,90</w:t>
      </w:r>
    </w:p>
    <w:p>
      <w:pPr>
        <w:tabs>
          <w:tab w:pos="3874" w:val="left" w:leader="none"/>
          <w:tab w:pos="4837" w:val="left" w:leader="none"/>
          <w:tab w:pos="6304" w:val="left" w:leader="none"/>
          <w:tab w:pos="7266" w:val="left" w:leader="none"/>
          <w:tab w:pos="8733" w:val="left" w:leader="none"/>
          <w:tab w:pos="10036" w:val="right" w:leader="none"/>
        </w:tabs>
        <w:spacing w:before="32"/>
        <w:ind w:left="1868" w:right="0" w:firstLine="0"/>
        <w:jc w:val="left"/>
        <w:rPr>
          <w:rFonts w:ascii="Arial"/>
          <w:sz w:val="18"/>
        </w:rPr>
      </w:pPr>
      <w:r>
        <w:rPr/>
        <w:pict>
          <v:line style="position:absolute;mso-position-horizontal-relative:page;mso-position-vertical-relative:paragraph;z-index:2536" from="87.458pt,13.827904pt" to="507.818pt,13.827904pt" stroked="true" strokeweight=".398pt" strokecolor="#000000">
            <v:stroke dashstyle="solid"/>
            <w10:wrap type="none"/>
          </v:line>
        </w:pict>
      </w:r>
      <w:r>
        <w:rPr>
          <w:rFonts w:ascii="Arial"/>
          <w:sz w:val="18"/>
        </w:rPr>
        <w:t>Count</w:t>
        <w:tab/>
        <w:t>1681</w:t>
        <w:tab/>
        <w:t>1185</w:t>
        <w:tab/>
        <w:t>1223</w:t>
        <w:tab/>
        <w:t>1037</w:t>
        <w:tab/>
        <w:t>1224</w:t>
        <w:tab/>
        <w:t>1037</w:t>
      </w:r>
    </w:p>
    <w:p>
      <w:pPr>
        <w:spacing w:after="0"/>
        <w:jc w:val="left"/>
        <w:rPr>
          <w:rFonts w:ascii="Arial"/>
          <w:sz w:val="18"/>
        </w:rPr>
        <w:sectPr>
          <w:footerReference w:type="default" r:id="rId44"/>
          <w:pgSz w:w="11910" w:h="16840"/>
          <w:pgMar w:footer="0" w:header="0" w:top="1020" w:bottom="280" w:left="0" w:right="0"/>
        </w:sectPr>
      </w:pPr>
    </w:p>
    <w:p>
      <w:pPr>
        <w:pStyle w:val="BodyText"/>
        <w:spacing w:line="252" w:lineRule="auto" w:before="714"/>
        <w:ind w:left="1602"/>
      </w:pPr>
      <w:r>
        <w:rPr/>
        <w:pict>
          <v:shape style="position:absolute;margin-left:68.274002pt;margin-top:37.637836pt;width:6pt;height:20.75pt;mso-position-horizontal-relative:page;mso-position-vertical-relative:paragraph;z-index:2560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8.274002pt;margin-top:80.974838pt;width:6pt;height:20.75pt;mso-position-horizontal-relative:page;mso-position-vertical-relative:paragraph;z-index:2584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manglende</w:t>
      </w:r>
      <w:r>
        <w:rPr>
          <w:spacing w:val="-12"/>
        </w:rPr>
        <w:t> </w:t>
      </w:r>
      <w:r>
        <w:rPr/>
        <w:t>kendskab</w:t>
      </w:r>
      <w:r>
        <w:rPr>
          <w:spacing w:val="-11"/>
        </w:rPr>
        <w:t> </w:t>
      </w:r>
      <w:r>
        <w:rPr/>
        <w:t>til</w:t>
      </w:r>
      <w:r>
        <w:rPr>
          <w:spacing w:val="-11"/>
        </w:rPr>
        <w:t> </w:t>
      </w:r>
      <w:r>
        <w:rPr/>
        <w:t>–</w:t>
      </w:r>
      <w:r>
        <w:rPr>
          <w:spacing w:val="-11"/>
        </w:rPr>
        <w:t> </w:t>
      </w:r>
      <w:r>
        <w:rPr/>
        <w:t>og</w:t>
      </w:r>
      <w:r>
        <w:rPr>
          <w:spacing w:val="-11"/>
        </w:rPr>
        <w:t> </w:t>
      </w:r>
      <w:r>
        <w:rPr/>
        <w:t>inddragelse</w:t>
      </w:r>
      <w:r>
        <w:rPr>
          <w:spacing w:val="-12"/>
        </w:rPr>
        <w:t> </w:t>
      </w:r>
      <w:r>
        <w:rPr>
          <w:spacing w:val="-6"/>
        </w:rPr>
        <w:t>af, </w:t>
      </w:r>
      <w:r>
        <w:rPr/>
        <w:t>nøjagtigheden i grænsedragningen i de </w:t>
      </w:r>
      <w:r>
        <w:rPr>
          <w:spacing w:val="-8"/>
        </w:rPr>
        <w:t>for- </w:t>
      </w:r>
      <w:r>
        <w:rPr/>
        <w:t>skellige inputdata til resultatkortet, manglende kendskab til – og inddragelse af, unøjagtigheder i de beregnede</w:t>
      </w:r>
      <w:r>
        <w:rPr>
          <w:spacing w:val="-24"/>
        </w:rPr>
        <w:t> </w:t>
      </w:r>
      <w:r>
        <w:rPr>
          <w:spacing w:val="-3"/>
        </w:rPr>
        <w:t>historiske koter,</w:t>
      </w:r>
    </w:p>
    <w:p>
      <w:pPr>
        <w:pStyle w:val="BodyText"/>
        <w:spacing w:line="252" w:lineRule="auto"/>
        <w:ind w:left="1602" w:right="-19"/>
      </w:pPr>
      <w:r>
        <w:rPr/>
        <w:pict>
          <v:shape style="position:absolute;margin-left:68.274002pt;margin-top:1.937849pt;width:6pt;height:20.75pt;mso-position-horizontal-relative:page;mso-position-vertical-relative:paragraph;z-index:2608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effekten af unøjagtigheden knyttet til trans- formation mellem de forskellige højderefe-</w:t>
      </w:r>
    </w:p>
    <w:p>
      <w:pPr>
        <w:pStyle w:val="BodyText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before="1"/>
        <w:rPr>
          <w:sz w:val="34"/>
        </w:rPr>
      </w:pPr>
    </w:p>
    <w:p>
      <w:pPr>
        <w:pStyle w:val="BodyText"/>
        <w:spacing w:line="252" w:lineRule="auto"/>
        <w:ind w:left="797" w:right="1120"/>
      </w:pPr>
      <w:r>
        <w:rPr/>
        <w:t>rencesystemer er ikke undersøgt, manglende oplysninger om dato for højde- målinger i fikspunkter,</w:t>
      </w:r>
    </w:p>
    <w:p>
      <w:pPr>
        <w:pStyle w:val="BodyText"/>
        <w:spacing w:line="252" w:lineRule="auto"/>
        <w:ind w:left="797" w:right="1120"/>
      </w:pPr>
      <w:r>
        <w:rPr/>
        <w:pict>
          <v:shape style="position:absolute;margin-left:318.451996pt;margin-top:-26.953169pt;width:6pt;height:20.75pt;mso-position-horizontal-relative:page;mso-position-vertical-relative:paragraph;z-index:2632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8.451996pt;margin-top:1.937832pt;width:6pt;height:20.75pt;mso-position-horizontal-relative:page;mso-position-vertical-relative:paragraph;z-index:2656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antagelsen om en lineær tidslig udvikling i ændringsraten,</w:t>
      </w:r>
    </w:p>
    <w:p>
      <w:pPr>
        <w:pStyle w:val="BodyText"/>
        <w:spacing w:line="252" w:lineRule="auto"/>
        <w:ind w:left="797" w:right="1120"/>
      </w:pPr>
      <w:r>
        <w:rPr/>
        <w:pict>
          <v:shape style="position:absolute;margin-left:318.451996pt;margin-top:1.937833pt;width:6pt;height:20.75pt;mso-position-horizontal-relative:page;mso-position-vertical-relative:paragraph;z-index:2680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1"/>
                      <w:sz w:val="2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t>antagelsen om repræsentativ stikprøve er måske ikke opfyldt.</w:t>
      </w:r>
    </w:p>
    <w:p>
      <w:pPr>
        <w:spacing w:after="0" w:line="252" w:lineRule="auto"/>
        <w:sectPr>
          <w:type w:val="continuous"/>
          <w:pgSz w:w="11910" w:h="16840"/>
          <w:pgMar w:top="0" w:bottom="280" w:left="0" w:right="0"/>
          <w:cols w:num="2" w:equalWidth="0">
            <w:col w:w="5769" w:space="40"/>
            <w:col w:w="6101"/>
          </w:cols>
        </w:sectPr>
      </w:pPr>
    </w:p>
    <w:p>
      <w:pPr>
        <w:pStyle w:val="BodyText"/>
        <w:spacing w:before="10"/>
        <w:rPr>
          <w:sz w:val="18"/>
        </w:rPr>
      </w:pPr>
    </w:p>
    <w:p>
      <w:pPr>
        <w:spacing w:before="104"/>
        <w:ind w:left="0" w:right="0" w:firstLine="0"/>
        <w:jc w:val="center"/>
        <w:rPr>
          <w:rFonts w:ascii="Arial"/>
          <w:sz w:val="22"/>
        </w:rPr>
      </w:pPr>
      <w:r>
        <w:rPr>
          <w:rFonts w:ascii="Arial"/>
          <w:sz w:val="22"/>
        </w:rPr>
        <w:t>25</w:t>
      </w:r>
    </w:p>
    <w:p>
      <w:pPr>
        <w:spacing w:after="0"/>
        <w:jc w:val="center"/>
        <w:rPr>
          <w:rFonts w:ascii="Arial"/>
          <w:sz w:val="22"/>
        </w:rPr>
        <w:sectPr>
          <w:type w:val="continuous"/>
          <w:pgSz w:w="11910" w:h="16840"/>
          <w:pgMar w:top="0" w:bottom="280" w:left="0" w:right="0"/>
        </w:sectPr>
      </w:pPr>
    </w:p>
    <w:p>
      <w:pPr>
        <w:pStyle w:val="BodyText"/>
        <w:spacing w:before="10"/>
        <w:rPr>
          <w:rFonts w:ascii="Arial"/>
          <w:sz w:val="28"/>
        </w:rPr>
      </w:pPr>
    </w:p>
    <w:p>
      <w:pPr>
        <w:spacing w:line="463" w:lineRule="auto" w:before="111"/>
        <w:ind w:left="1133" w:right="6720" w:firstLine="0"/>
        <w:jc w:val="left"/>
        <w:rPr>
          <w:rFonts w:ascii="Arial"/>
          <w:b/>
          <w:sz w:val="45"/>
        </w:rPr>
      </w:pPr>
      <w:r>
        <w:rPr>
          <w:rFonts w:ascii="Arial"/>
          <w:b/>
          <w:sz w:val="45"/>
        </w:rPr>
        <w:t>Kapitel 4 Diskussion</w:t>
      </w:r>
    </w:p>
    <w:p>
      <w:pPr>
        <w:spacing w:after="0" w:line="463" w:lineRule="auto"/>
        <w:jc w:val="left"/>
        <w:rPr>
          <w:rFonts w:ascii="Arial"/>
          <w:sz w:val="45"/>
        </w:rPr>
        <w:sectPr>
          <w:footerReference w:type="default" r:id="rId45"/>
          <w:pgSz w:w="11910" w:h="16840"/>
          <w:pgMar w:footer="0" w:header="0" w:top="1580" w:bottom="280" w:left="0" w:right="0"/>
        </w:sectPr>
      </w:pPr>
    </w:p>
    <w:p>
      <w:pPr>
        <w:pStyle w:val="Heading2"/>
        <w:numPr>
          <w:ilvl w:val="1"/>
          <w:numId w:val="6"/>
        </w:numPr>
        <w:tabs>
          <w:tab w:pos="1890" w:val="left" w:leader="none"/>
          <w:tab w:pos="1891" w:val="left" w:leader="none"/>
          <w:tab w:pos="4304" w:val="left" w:leader="none"/>
          <w:tab w:pos="5116" w:val="left" w:leader="none"/>
        </w:tabs>
        <w:spacing w:line="295" w:lineRule="auto" w:before="172" w:after="0"/>
        <w:ind w:left="1890" w:right="0" w:hanging="757"/>
        <w:jc w:val="left"/>
      </w:pPr>
      <w:bookmarkStart w:name="_bookmark33" w:id="46"/>
      <w:bookmarkEnd w:id="46"/>
      <w:r>
        <w:rPr>
          <w:b w:val="0"/>
        </w:rPr>
      </w:r>
      <w:bookmarkStart w:name="_bookmark33" w:id="47"/>
      <w:bookmarkEnd w:id="47"/>
      <w:r>
        <w:rPr/>
        <w:t>Sætningsrater</w:t>
      </w:r>
      <w:r>
        <w:rPr/>
        <w:tab/>
        <w:t>ved</w:t>
        <w:tab/>
      </w:r>
      <w:r>
        <w:rPr>
          <w:spacing w:val="-4"/>
        </w:rPr>
        <w:t>fiks- </w:t>
      </w:r>
      <w:r>
        <w:rPr/>
        <w:t>punkter</w:t>
      </w:r>
    </w:p>
    <w:p>
      <w:pPr>
        <w:pStyle w:val="BodyText"/>
        <w:spacing w:line="252" w:lineRule="auto" w:before="164"/>
        <w:ind w:left="1133"/>
        <w:jc w:val="right"/>
      </w:pPr>
      <w:r>
        <w:rPr/>
        <w:t>De beregnede vertikale landbevægelser</w:t>
      </w:r>
      <w:r>
        <w:rPr>
          <w:spacing w:val="13"/>
        </w:rPr>
        <w:t> </w:t>
      </w:r>
      <w:r>
        <w:rPr/>
        <w:t>for</w:t>
      </w:r>
      <w:r>
        <w:rPr>
          <w:spacing w:val="4"/>
        </w:rPr>
        <w:t> </w:t>
      </w:r>
      <w:r>
        <w:rPr>
          <w:spacing w:val="-4"/>
        </w:rPr>
        <w:t>fiks-</w:t>
      </w:r>
      <w:r>
        <w:rPr>
          <w:w w:val="96"/>
        </w:rPr>
        <w:t> </w:t>
      </w:r>
      <w:r>
        <w:rPr/>
        <w:t>punkterne vurderes samlet set at være</w:t>
      </w:r>
      <w:r>
        <w:rPr>
          <w:spacing w:val="21"/>
        </w:rPr>
        <w:t> </w:t>
      </w:r>
      <w:r>
        <w:rPr/>
        <w:t>et</w:t>
      </w:r>
      <w:r>
        <w:rPr>
          <w:spacing w:val="13"/>
        </w:rPr>
        <w:t> </w:t>
      </w:r>
      <w:r>
        <w:rPr>
          <w:spacing w:val="-3"/>
        </w:rPr>
        <w:t>værdi-</w:t>
      </w:r>
      <w:r>
        <w:rPr>
          <w:w w:val="99"/>
        </w:rPr>
        <w:t> </w:t>
      </w:r>
      <w:r>
        <w:rPr/>
        <w:t>fuldt</w:t>
      </w:r>
      <w:r>
        <w:rPr>
          <w:spacing w:val="37"/>
        </w:rPr>
        <w:t> </w:t>
      </w:r>
      <w:r>
        <w:rPr/>
        <w:t>datasæt</w:t>
      </w:r>
      <w:r>
        <w:rPr>
          <w:spacing w:val="38"/>
        </w:rPr>
        <w:t> </w:t>
      </w:r>
      <w:r>
        <w:rPr/>
        <w:t>i</w:t>
      </w:r>
      <w:r>
        <w:rPr>
          <w:spacing w:val="37"/>
        </w:rPr>
        <w:t> </w:t>
      </w:r>
      <w:r>
        <w:rPr/>
        <w:t>forhold</w:t>
      </w:r>
      <w:r>
        <w:rPr>
          <w:spacing w:val="38"/>
        </w:rPr>
        <w:t> </w:t>
      </w:r>
      <w:r>
        <w:rPr/>
        <w:t>til</w:t>
      </w:r>
      <w:r>
        <w:rPr>
          <w:spacing w:val="37"/>
        </w:rPr>
        <w:t> </w:t>
      </w:r>
      <w:r>
        <w:rPr/>
        <w:t>en</w:t>
      </w:r>
      <w:r>
        <w:rPr>
          <w:spacing w:val="38"/>
        </w:rPr>
        <w:t> </w:t>
      </w:r>
      <w:r>
        <w:rPr/>
        <w:t>samlet</w:t>
      </w:r>
      <w:r>
        <w:rPr>
          <w:spacing w:val="37"/>
        </w:rPr>
        <w:t> </w:t>
      </w:r>
      <w:r>
        <w:rPr/>
        <w:t>vurdering</w:t>
      </w:r>
      <w:r>
        <w:rPr>
          <w:w w:val="99"/>
        </w:rPr>
        <w:t> </w:t>
      </w:r>
      <w:r>
        <w:rPr/>
        <w:t>af</w:t>
      </w:r>
      <w:r>
        <w:rPr>
          <w:spacing w:val="-18"/>
        </w:rPr>
        <w:t> </w:t>
      </w:r>
      <w:r>
        <w:rPr/>
        <w:t>validiteten</w:t>
      </w:r>
      <w:r>
        <w:rPr>
          <w:spacing w:val="-17"/>
        </w:rPr>
        <w:t> </w:t>
      </w:r>
      <w:r>
        <w:rPr/>
        <w:t>af</w:t>
      </w:r>
      <w:r>
        <w:rPr>
          <w:spacing w:val="-18"/>
        </w:rPr>
        <w:t> </w:t>
      </w:r>
      <w:r>
        <w:rPr/>
        <w:t>screeningskortet.</w:t>
      </w:r>
      <w:r>
        <w:rPr>
          <w:spacing w:val="-17"/>
        </w:rPr>
        <w:t> </w:t>
      </w:r>
      <w:r>
        <w:rPr/>
        <w:t>Pålideligheden</w:t>
      </w:r>
      <w:r>
        <w:rPr>
          <w:w w:val="99"/>
        </w:rPr>
        <w:t> </w:t>
      </w:r>
      <w:r>
        <w:rPr/>
        <w:t>af de beregnede vertikale landbevægelser</w:t>
      </w:r>
      <w:r>
        <w:rPr>
          <w:spacing w:val="-29"/>
        </w:rPr>
        <w:t> </w:t>
      </w:r>
      <w:r>
        <w:rPr/>
        <w:t>for</w:t>
      </w:r>
      <w:r>
        <w:rPr>
          <w:spacing w:val="-6"/>
        </w:rPr>
        <w:t> </w:t>
      </w:r>
      <w:r>
        <w:rPr>
          <w:spacing w:val="-5"/>
        </w:rPr>
        <w:t>det</w:t>
      </w:r>
      <w:r>
        <w:rPr>
          <w:w w:val="99"/>
        </w:rPr>
        <w:t> </w:t>
      </w:r>
      <w:r>
        <w:rPr/>
        <w:t>enkelte</w:t>
      </w:r>
      <w:r>
        <w:rPr>
          <w:spacing w:val="-19"/>
        </w:rPr>
        <w:t> </w:t>
      </w:r>
      <w:r>
        <w:rPr/>
        <w:t>fikspunkt</w:t>
      </w:r>
      <w:r>
        <w:rPr>
          <w:spacing w:val="-18"/>
        </w:rPr>
        <w:t> </w:t>
      </w:r>
      <w:r>
        <w:rPr/>
        <w:t>kan</w:t>
      </w:r>
      <w:r>
        <w:rPr>
          <w:spacing w:val="-19"/>
        </w:rPr>
        <w:t> </w:t>
      </w:r>
      <w:r>
        <w:rPr/>
        <w:t>dog</w:t>
      </w:r>
      <w:r>
        <w:rPr>
          <w:spacing w:val="-18"/>
        </w:rPr>
        <w:t> </w:t>
      </w:r>
      <w:r>
        <w:rPr/>
        <w:t>være</w:t>
      </w:r>
      <w:r>
        <w:rPr>
          <w:spacing w:val="-18"/>
        </w:rPr>
        <w:t> </w:t>
      </w:r>
      <w:r>
        <w:rPr/>
        <w:t>svingende,</w:t>
      </w:r>
      <w:r>
        <w:rPr>
          <w:spacing w:val="-19"/>
        </w:rPr>
        <w:t> </w:t>
      </w:r>
      <w:r>
        <w:rPr/>
        <w:t>og</w:t>
      </w:r>
      <w:r>
        <w:rPr>
          <w:spacing w:val="-18"/>
        </w:rPr>
        <w:t> </w:t>
      </w:r>
      <w:r>
        <w:rPr>
          <w:spacing w:val="-5"/>
        </w:rPr>
        <w:t>det</w:t>
      </w:r>
      <w:r>
        <w:rPr>
          <w:w w:val="99"/>
        </w:rPr>
        <w:t> </w:t>
      </w:r>
      <w:r>
        <w:rPr/>
        <w:t>er derfor ikke tilrådeligt på baggrund af</w:t>
      </w:r>
      <w:r>
        <w:rPr>
          <w:spacing w:val="53"/>
        </w:rPr>
        <w:t> </w:t>
      </w:r>
      <w:r>
        <w:rPr/>
        <w:t>den</w:t>
      </w:r>
      <w:r>
        <w:rPr>
          <w:spacing w:val="8"/>
        </w:rPr>
        <w:t> </w:t>
      </w:r>
      <w:r>
        <w:rPr>
          <w:spacing w:val="-6"/>
        </w:rPr>
        <w:t>en-</w:t>
      </w:r>
      <w:r>
        <w:rPr>
          <w:w w:val="99"/>
        </w:rPr>
        <w:t> </w:t>
      </w:r>
      <w:r>
        <w:rPr/>
        <w:t>kelte beregning at udtale sig entydigt</w:t>
      </w:r>
      <w:r>
        <w:rPr>
          <w:spacing w:val="26"/>
        </w:rPr>
        <w:t> </w:t>
      </w:r>
      <w:r>
        <w:rPr/>
        <w:t>om</w:t>
      </w:r>
      <w:r>
        <w:rPr>
          <w:spacing w:val="4"/>
        </w:rPr>
        <w:t> </w:t>
      </w:r>
      <w:r>
        <w:rPr>
          <w:spacing w:val="-3"/>
        </w:rPr>
        <w:t>validi-</w:t>
      </w:r>
      <w:r>
        <w:rPr>
          <w:w w:val="99"/>
        </w:rPr>
        <w:t> </w:t>
      </w:r>
      <w:r>
        <w:rPr/>
        <w:t>teten af screeningskortet i et</w:t>
      </w:r>
      <w:r>
        <w:rPr>
          <w:spacing w:val="-39"/>
        </w:rPr>
        <w:t> </w:t>
      </w:r>
      <w:r>
        <w:rPr/>
        <w:t>givent</w:t>
      </w:r>
      <w:r>
        <w:rPr>
          <w:spacing w:val="-7"/>
        </w:rPr>
        <w:t> </w:t>
      </w:r>
      <w:r>
        <w:rPr>
          <w:spacing w:val="-2"/>
        </w:rPr>
        <w:t>lokalområde.</w:t>
      </w:r>
      <w:r>
        <w:rPr>
          <w:w w:val="99"/>
        </w:rPr>
        <w:t> </w:t>
      </w:r>
      <w:r>
        <w:rPr/>
        <w:t>De største beregnede</w:t>
      </w:r>
      <w:r>
        <w:rPr>
          <w:spacing w:val="7"/>
        </w:rPr>
        <w:t> </w:t>
      </w:r>
      <w:r>
        <w:rPr/>
        <w:t>sætningsrater</w:t>
      </w:r>
      <w:r>
        <w:rPr>
          <w:spacing w:val="23"/>
        </w:rPr>
        <w:t> </w:t>
      </w:r>
      <w:r>
        <w:rPr/>
        <w:t>forekom-</w:t>
      </w:r>
      <w:r>
        <w:rPr>
          <w:w w:val="99"/>
        </w:rPr>
        <w:t> </w:t>
      </w:r>
      <w:r>
        <w:rPr/>
        <w:t>mer typisk omkring havneområder,</w:t>
      </w:r>
      <w:r>
        <w:rPr>
          <w:spacing w:val="4"/>
        </w:rPr>
        <w:t> </w:t>
      </w:r>
      <w:r>
        <w:rPr/>
        <w:t>hvor </w:t>
      </w:r>
      <w:r>
        <w:rPr>
          <w:spacing w:val="17"/>
        </w:rPr>
        <w:t> </w:t>
      </w:r>
      <w:r>
        <w:rPr>
          <w:spacing w:val="-6"/>
        </w:rPr>
        <w:t>der</w:t>
      </w:r>
      <w:r>
        <w:rPr>
          <w:w w:val="99"/>
        </w:rPr>
        <w:t> </w:t>
      </w:r>
      <w:r>
        <w:rPr/>
        <w:t>har været bestilt</w:t>
      </w:r>
      <w:r>
        <w:rPr>
          <w:spacing w:val="-34"/>
        </w:rPr>
        <w:t> </w:t>
      </w:r>
      <w:r>
        <w:rPr/>
        <w:t>gentagne</w:t>
      </w:r>
      <w:r>
        <w:rPr>
          <w:spacing w:val="-11"/>
        </w:rPr>
        <w:t> </w:t>
      </w:r>
      <w:r>
        <w:rPr/>
        <w:t>opmålingskampagner.</w:t>
      </w:r>
      <w:r>
        <w:rPr>
          <w:w w:val="99"/>
        </w:rPr>
        <w:t> </w:t>
      </w:r>
      <w:r>
        <w:rPr/>
        <w:t>Disse</w:t>
      </w:r>
      <w:r>
        <w:rPr>
          <w:spacing w:val="22"/>
        </w:rPr>
        <w:t> </w:t>
      </w:r>
      <w:r>
        <w:rPr/>
        <w:t>områder</w:t>
      </w:r>
      <w:r>
        <w:rPr>
          <w:spacing w:val="23"/>
        </w:rPr>
        <w:t> </w:t>
      </w:r>
      <w:r>
        <w:rPr/>
        <w:t>er</w:t>
      </w:r>
      <w:r>
        <w:rPr>
          <w:spacing w:val="23"/>
        </w:rPr>
        <w:t> </w:t>
      </w:r>
      <w:r>
        <w:rPr/>
        <w:t>præget</w:t>
      </w:r>
      <w:r>
        <w:rPr>
          <w:spacing w:val="23"/>
        </w:rPr>
        <w:t> </w:t>
      </w:r>
      <w:r>
        <w:rPr/>
        <w:t>af</w:t>
      </w:r>
      <w:r>
        <w:rPr>
          <w:spacing w:val="22"/>
        </w:rPr>
        <w:t> </w:t>
      </w:r>
      <w:r>
        <w:rPr/>
        <w:t>høje</w:t>
      </w:r>
      <w:r>
        <w:rPr>
          <w:spacing w:val="23"/>
        </w:rPr>
        <w:t> </w:t>
      </w:r>
      <w:r>
        <w:rPr/>
        <w:t>sætningsrater;</w:t>
      </w:r>
      <w:r>
        <w:rPr>
          <w:w w:val="99"/>
        </w:rPr>
        <w:t> </w:t>
      </w:r>
      <w:r>
        <w:rPr/>
        <w:t>typisk som følge af opfyld. På</w:t>
      </w:r>
      <w:r>
        <w:rPr>
          <w:spacing w:val="40"/>
        </w:rPr>
        <w:t> </w:t>
      </w:r>
      <w:r>
        <w:rPr/>
        <w:t>opfyldsområdet</w:t>
      </w:r>
      <w:r>
        <w:rPr>
          <w:spacing w:val="7"/>
        </w:rPr>
        <w:t> </w:t>
      </w:r>
      <w:r>
        <w:rPr>
          <w:spacing w:val="-18"/>
        </w:rPr>
        <w:t>i</w:t>
      </w:r>
      <w:r>
        <w:rPr>
          <w:w w:val="99"/>
        </w:rPr>
        <w:t> </w:t>
      </w:r>
      <w:r>
        <w:rPr/>
        <w:t>forbindelse</w:t>
      </w:r>
      <w:r>
        <w:rPr>
          <w:spacing w:val="25"/>
        </w:rPr>
        <w:t> </w:t>
      </w:r>
      <w:r>
        <w:rPr/>
        <w:t>med</w:t>
      </w:r>
      <w:r>
        <w:rPr>
          <w:spacing w:val="26"/>
        </w:rPr>
        <w:t> </w:t>
      </w:r>
      <w:r>
        <w:rPr/>
        <w:t>udvidelsen</w:t>
      </w:r>
      <w:r>
        <w:rPr>
          <w:spacing w:val="26"/>
        </w:rPr>
        <w:t> </w:t>
      </w:r>
      <w:r>
        <w:rPr/>
        <w:t>af</w:t>
      </w:r>
      <w:r>
        <w:rPr>
          <w:spacing w:val="26"/>
        </w:rPr>
        <w:t> </w:t>
      </w:r>
      <w:r>
        <w:rPr/>
        <w:t>Aarhus</w:t>
      </w:r>
      <w:r>
        <w:rPr>
          <w:spacing w:val="25"/>
        </w:rPr>
        <w:t> </w:t>
      </w:r>
      <w:r>
        <w:rPr/>
        <w:t>Havn</w:t>
      </w:r>
      <w:r>
        <w:rPr>
          <w:spacing w:val="26"/>
        </w:rPr>
        <w:t> </w:t>
      </w:r>
      <w:r>
        <w:rPr>
          <w:spacing w:val="-9"/>
        </w:rPr>
        <w:t>er</w:t>
      </w:r>
      <w:r>
        <w:rPr>
          <w:w w:val="99"/>
        </w:rPr>
        <w:t> </w:t>
      </w:r>
      <w:r>
        <w:rPr/>
        <w:t>alle beregnede sætningsrater større end</w:t>
      </w:r>
      <w:r>
        <w:rPr>
          <w:spacing w:val="-25"/>
        </w:rPr>
        <w:t> </w:t>
      </w:r>
      <w:r>
        <w:rPr/>
        <w:t>3</w:t>
      </w:r>
      <w:r>
        <w:rPr>
          <w:spacing w:val="-4"/>
        </w:rPr>
        <w:t> </w:t>
      </w:r>
      <w:r>
        <w:rPr>
          <w:spacing w:val="-5"/>
        </w:rPr>
        <w:t>mm/år,</w:t>
      </w:r>
      <w:r>
        <w:rPr>
          <w:w w:val="99"/>
        </w:rPr>
        <w:t> </w:t>
      </w:r>
      <w:r>
        <w:rPr/>
        <w:t>og der er beregnet sætningsrater på helt op</w:t>
      </w:r>
      <w:r>
        <w:rPr>
          <w:spacing w:val="-17"/>
        </w:rPr>
        <w:t> </w:t>
      </w:r>
      <w:r>
        <w:rPr/>
        <w:t>til</w:t>
      </w:r>
      <w:r>
        <w:rPr>
          <w:spacing w:val="-2"/>
        </w:rPr>
        <w:t> </w:t>
      </w:r>
      <w:r>
        <w:rPr>
          <w:spacing w:val="-6"/>
        </w:rPr>
        <w:t>17</w:t>
      </w:r>
      <w:r>
        <w:rPr>
          <w:w w:val="99"/>
        </w:rPr>
        <w:t> </w:t>
      </w:r>
      <w:r>
        <w:rPr>
          <w:spacing w:val="-3"/>
        </w:rPr>
        <w:t>mm/år. </w:t>
      </w:r>
      <w:r>
        <w:rPr/>
        <w:t>Ligeledes er der på</w:t>
      </w:r>
      <w:r>
        <w:rPr>
          <w:spacing w:val="-16"/>
        </w:rPr>
        <w:t> </w:t>
      </w:r>
      <w:r>
        <w:rPr/>
        <w:t>opfyldsområderne</w:t>
      </w:r>
      <w:r>
        <w:rPr>
          <w:spacing w:val="-4"/>
        </w:rPr>
        <w:t> </w:t>
      </w:r>
      <w:r>
        <w:rPr>
          <w:spacing w:val="-8"/>
        </w:rPr>
        <w:t>på</w:t>
      </w:r>
      <w:r>
        <w:rPr>
          <w:w w:val="99"/>
        </w:rPr>
        <w:t> </w:t>
      </w:r>
      <w:r>
        <w:rPr/>
        <w:t>Skagen Havn beregnet sætningsrater på op til</w:t>
      </w:r>
      <w:r>
        <w:rPr>
          <w:spacing w:val="-28"/>
        </w:rPr>
        <w:t> </w:t>
      </w:r>
      <w:r>
        <w:rPr>
          <w:spacing w:val="-8"/>
        </w:rPr>
        <w:t>11</w:t>
      </w:r>
    </w:p>
    <w:p>
      <w:pPr>
        <w:pStyle w:val="BodyText"/>
        <w:spacing w:line="260" w:lineRule="exact"/>
        <w:ind w:left="1133"/>
      </w:pPr>
      <w:r>
        <w:rPr/>
        <w:t>mm/år.</w:t>
      </w:r>
    </w:p>
    <w:p>
      <w:pPr>
        <w:pStyle w:val="BodyText"/>
        <w:spacing w:line="252" w:lineRule="auto" w:before="13"/>
        <w:ind w:left="1133" w:firstLine="234"/>
        <w:jc w:val="both"/>
      </w:pPr>
      <w:r>
        <w:rPr/>
        <w:t>Langs Jyllands vestkyst forekommer også </w:t>
      </w:r>
      <w:r>
        <w:rPr>
          <w:spacing w:val="-6"/>
        </w:rPr>
        <w:t>re- </w:t>
      </w:r>
      <w:r>
        <w:rPr/>
        <w:t>lativt store sætningsrater, særligt på</w:t>
      </w:r>
      <w:r>
        <w:rPr>
          <w:spacing w:val="-35"/>
        </w:rPr>
        <w:t> </w:t>
      </w:r>
      <w:r>
        <w:rPr/>
        <w:t>strækningen imellem Ringkøbing Fjord og Thyborøn. Her </w:t>
      </w:r>
      <w:r>
        <w:rPr>
          <w:spacing w:val="-9"/>
        </w:rPr>
        <w:t>er </w:t>
      </w:r>
      <w:r>
        <w:rPr/>
        <w:t>der enkelte steder beregnet sætningsrater på </w:t>
      </w:r>
      <w:r>
        <w:rPr>
          <w:spacing w:val="-8"/>
        </w:rPr>
        <w:t>op </w:t>
      </w:r>
      <w:r>
        <w:rPr/>
        <w:t>til 11 </w:t>
      </w:r>
      <w:r>
        <w:rPr>
          <w:spacing w:val="-3"/>
        </w:rPr>
        <w:t>mm/år. </w:t>
      </w:r>
      <w:r>
        <w:rPr/>
        <w:t>Langs Limfjorden er der ligeledes visse steder beregnet høje sætningsrater, bl.a. </w:t>
      </w:r>
      <w:r>
        <w:rPr>
          <w:spacing w:val="-15"/>
        </w:rPr>
        <w:t>i </w:t>
      </w:r>
      <w:r>
        <w:rPr/>
        <w:t>Aalborg </w:t>
      </w:r>
      <w:r>
        <w:rPr>
          <w:spacing w:val="-6"/>
        </w:rPr>
        <w:t>by, </w:t>
      </w:r>
      <w:r>
        <w:rPr/>
        <w:t>hvor der er beregnet </w:t>
      </w:r>
      <w:r>
        <w:rPr>
          <w:spacing w:val="-2"/>
        </w:rPr>
        <w:t>sætningsrater </w:t>
      </w:r>
      <w:r>
        <w:rPr/>
        <w:t>på op til 9</w:t>
      </w:r>
      <w:r>
        <w:rPr>
          <w:spacing w:val="-5"/>
        </w:rPr>
        <w:t> </w:t>
      </w:r>
      <w:r>
        <w:rPr>
          <w:spacing w:val="-3"/>
        </w:rPr>
        <w:t>mm/år.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Disse resultater er i overensstemmelse </w:t>
      </w:r>
      <w:r>
        <w:rPr>
          <w:spacing w:val="-5"/>
        </w:rPr>
        <w:t>med </w:t>
      </w:r>
      <w:r>
        <w:rPr/>
        <w:t>resultaterne fra PanGeo-projektet omkring </w:t>
      </w:r>
      <w:r>
        <w:rPr>
          <w:spacing w:val="-4"/>
        </w:rPr>
        <w:t>Aal- </w:t>
      </w:r>
      <w:r>
        <w:rPr/>
        <w:t>borg,</w:t>
      </w:r>
      <w:r>
        <w:rPr>
          <w:spacing w:val="-9"/>
        </w:rPr>
        <w:t> </w:t>
      </w:r>
      <w:r>
        <w:rPr/>
        <w:t>som</w:t>
      </w:r>
      <w:r>
        <w:rPr>
          <w:spacing w:val="-9"/>
        </w:rPr>
        <w:t> </w:t>
      </w:r>
      <w:r>
        <w:rPr/>
        <w:t>viser</w:t>
      </w:r>
      <w:r>
        <w:rPr>
          <w:spacing w:val="-9"/>
        </w:rPr>
        <w:t> </w:t>
      </w:r>
      <w:r>
        <w:rPr/>
        <w:t>sætningsrater</w:t>
      </w:r>
      <w:r>
        <w:rPr>
          <w:spacing w:val="-8"/>
        </w:rPr>
        <w:t> </w:t>
      </w:r>
      <w:r>
        <w:rPr/>
        <w:t>på</w:t>
      </w:r>
      <w:r>
        <w:rPr>
          <w:spacing w:val="-9"/>
        </w:rPr>
        <w:t> </w:t>
      </w:r>
      <w:r>
        <w:rPr/>
        <w:t>op</w:t>
      </w:r>
      <w:r>
        <w:rPr>
          <w:spacing w:val="-9"/>
        </w:rPr>
        <w:t> </w:t>
      </w:r>
      <w:r>
        <w:rPr/>
        <w:t>til</w:t>
      </w:r>
      <w:r>
        <w:rPr>
          <w:spacing w:val="-8"/>
        </w:rPr>
        <w:t> </w:t>
      </w:r>
      <w:r>
        <w:rPr/>
        <w:t>10</w:t>
      </w:r>
      <w:r>
        <w:rPr>
          <w:spacing w:val="-9"/>
        </w:rPr>
        <w:t> </w:t>
      </w:r>
      <w:r>
        <w:rPr>
          <w:spacing w:val="-6"/>
        </w:rPr>
        <w:t>mm/år.</w:t>
      </w:r>
    </w:p>
    <w:p>
      <w:pPr>
        <w:pStyle w:val="BodyText"/>
        <w:spacing w:before="9"/>
        <w:rPr>
          <w:sz w:val="32"/>
        </w:rPr>
      </w:pPr>
    </w:p>
    <w:p>
      <w:pPr>
        <w:pStyle w:val="Heading2"/>
        <w:numPr>
          <w:ilvl w:val="1"/>
          <w:numId w:val="6"/>
        </w:numPr>
        <w:tabs>
          <w:tab w:pos="1890" w:val="left" w:leader="none"/>
          <w:tab w:pos="1891" w:val="left" w:leader="none"/>
        </w:tabs>
        <w:spacing w:line="240" w:lineRule="auto" w:before="0" w:after="0"/>
        <w:ind w:left="1890" w:right="0" w:hanging="757"/>
        <w:jc w:val="left"/>
      </w:pPr>
      <w:bookmarkStart w:name="_bookmark34" w:id="48"/>
      <w:bookmarkEnd w:id="48"/>
      <w:r>
        <w:rPr>
          <w:b w:val="0"/>
        </w:rPr>
      </w:r>
      <w:bookmarkStart w:name="_bookmark34" w:id="49"/>
      <w:bookmarkEnd w:id="49"/>
      <w:r>
        <w:rPr/>
        <w:t>Statistik</w:t>
      </w:r>
      <w:r>
        <w:rPr/>
        <w:t> og statistisk</w:t>
      </w:r>
      <w:r>
        <w:rPr>
          <w:spacing w:val="64"/>
        </w:rPr>
        <w:t> </w:t>
      </w:r>
      <w:r>
        <w:rPr>
          <w:spacing w:val="-5"/>
        </w:rPr>
        <w:t>bias</w:t>
      </w:r>
    </w:p>
    <w:p>
      <w:pPr>
        <w:pStyle w:val="BodyText"/>
        <w:spacing w:line="252" w:lineRule="auto" w:before="246"/>
        <w:ind w:left="1133" w:right="-1"/>
      </w:pPr>
      <w:r>
        <w:rPr/>
        <w:t>Det er usikkert, hvorvidt antagelsen om </w:t>
      </w:r>
      <w:r>
        <w:rPr>
          <w:spacing w:val="-3"/>
        </w:rPr>
        <w:t>tilfæl- </w:t>
      </w:r>
      <w:r>
        <w:rPr/>
        <w:t>digt</w:t>
      </w:r>
      <w:r>
        <w:rPr>
          <w:spacing w:val="-14"/>
        </w:rPr>
        <w:t> </w:t>
      </w:r>
      <w:r>
        <w:rPr/>
        <w:t>fordelte</w:t>
      </w:r>
      <w:r>
        <w:rPr>
          <w:spacing w:val="-13"/>
        </w:rPr>
        <w:t> </w:t>
      </w:r>
      <w:r>
        <w:rPr/>
        <w:t>observationer</w:t>
      </w:r>
      <w:r>
        <w:rPr>
          <w:spacing w:val="-14"/>
        </w:rPr>
        <w:t> </w:t>
      </w:r>
      <w:r>
        <w:rPr/>
        <w:t>i</w:t>
      </w:r>
      <w:r>
        <w:rPr>
          <w:spacing w:val="-12"/>
        </w:rPr>
        <w:t> </w:t>
      </w:r>
      <w:r>
        <w:rPr/>
        <w:t>de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populationer</w:t>
      </w:r>
      <w:r>
        <w:rPr>
          <w:spacing w:val="-12"/>
        </w:rPr>
        <w:t> </w:t>
      </w:r>
      <w:r>
        <w:rPr>
          <w:spacing w:val="-8"/>
        </w:rPr>
        <w:t>af</w:t>
      </w:r>
    </w:p>
    <w:p>
      <w:pPr>
        <w:pStyle w:val="BodyText"/>
        <w:spacing w:line="252" w:lineRule="auto" w:before="238"/>
        <w:ind w:left="329" w:right="1131"/>
        <w:jc w:val="both"/>
      </w:pPr>
      <w:r>
        <w:rPr/>
        <w:br w:type="column"/>
      </w:r>
      <w:r>
        <w:rPr/>
        <w:t>fikspunkter</w:t>
      </w:r>
      <w:r>
        <w:rPr>
          <w:spacing w:val="-19"/>
        </w:rPr>
        <w:t> </w:t>
      </w:r>
      <w:r>
        <w:rPr>
          <w:spacing w:val="-4"/>
        </w:rPr>
        <w:t>(hhv.</w:t>
      </w:r>
      <w:r>
        <w:rPr>
          <w:spacing w:val="-18"/>
        </w:rPr>
        <w:t> </w:t>
      </w:r>
      <w:r>
        <w:rPr/>
        <w:t>indenfor</w:t>
      </w:r>
      <w:r>
        <w:rPr>
          <w:spacing w:val="-18"/>
        </w:rPr>
        <w:t> </w:t>
      </w:r>
      <w:r>
        <w:rPr/>
        <w:t>og</w:t>
      </w:r>
      <w:r>
        <w:rPr>
          <w:spacing w:val="-19"/>
        </w:rPr>
        <w:t> </w:t>
      </w:r>
      <w:r>
        <w:rPr/>
        <w:t>udenfor</w:t>
      </w:r>
      <w:r>
        <w:rPr>
          <w:spacing w:val="-18"/>
        </w:rPr>
        <w:t> </w:t>
      </w:r>
      <w:r>
        <w:rPr/>
        <w:t>polygonla- get) er opfyldt som følge af forskellige typer </w:t>
      </w:r>
      <w:r>
        <w:rPr>
          <w:spacing w:val="-6"/>
        </w:rPr>
        <w:t>af </w:t>
      </w:r>
      <w:r>
        <w:rPr/>
        <w:t>bias, som vi har valgt at betegne </w:t>
      </w:r>
      <w:r>
        <w:rPr>
          <w:spacing w:val="-4"/>
        </w:rPr>
        <w:t>hhv. </w:t>
      </w:r>
      <w:r>
        <w:rPr/>
        <w:t>“Geogra- fisk bias” og “Geologisk</w:t>
      </w:r>
      <w:r>
        <w:rPr>
          <w:spacing w:val="-7"/>
        </w:rPr>
        <w:t> </w:t>
      </w:r>
      <w:r>
        <w:rPr/>
        <w:t>bias”.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Antagelsen om en repræsentativ stikprøve</w:t>
      </w:r>
      <w:r>
        <w:rPr>
          <w:spacing w:val="-40"/>
        </w:rPr>
        <w:t> </w:t>
      </w:r>
      <w:r>
        <w:rPr>
          <w:spacing w:val="-7"/>
        </w:rPr>
        <w:t>ved </w:t>
      </w:r>
      <w:r>
        <w:rPr/>
        <w:t>anvendelse af data fra fikspunktdatabasen til </w:t>
      </w:r>
      <w:r>
        <w:rPr>
          <w:spacing w:val="-7"/>
        </w:rPr>
        <w:t>va- </w:t>
      </w:r>
      <w:r>
        <w:rPr/>
        <w:t>lidering af screeningskortet er sandsynligvis </w:t>
      </w:r>
      <w:r>
        <w:rPr>
          <w:spacing w:val="-5"/>
        </w:rPr>
        <w:t>ik- </w:t>
      </w:r>
      <w:r>
        <w:rPr/>
        <w:t>ke helt opfyldt, idet der er en overvægt af </w:t>
      </w:r>
      <w:r>
        <w:rPr>
          <w:spacing w:val="-3"/>
        </w:rPr>
        <w:t>især </w:t>
      </w:r>
      <w:r>
        <w:rPr/>
        <w:t>jyske</w:t>
      </w:r>
      <w:r>
        <w:rPr>
          <w:spacing w:val="-16"/>
        </w:rPr>
        <w:t> </w:t>
      </w:r>
      <w:r>
        <w:rPr/>
        <w:t>kommuner,</w:t>
      </w:r>
      <w:r>
        <w:rPr>
          <w:spacing w:val="-16"/>
        </w:rPr>
        <w:t> </w:t>
      </w:r>
      <w:r>
        <w:rPr/>
        <w:t>som</w:t>
      </w:r>
      <w:r>
        <w:rPr>
          <w:spacing w:val="-15"/>
        </w:rPr>
        <w:t> </w:t>
      </w:r>
      <w:r>
        <w:rPr/>
        <w:t>løbende</w:t>
      </w:r>
      <w:r>
        <w:rPr>
          <w:spacing w:val="-16"/>
        </w:rPr>
        <w:t> </w:t>
      </w:r>
      <w:r>
        <w:rPr/>
        <w:t>har</w:t>
      </w:r>
      <w:r>
        <w:rPr>
          <w:spacing w:val="-15"/>
        </w:rPr>
        <w:t> </w:t>
      </w:r>
      <w:r>
        <w:rPr/>
        <w:t>anskaffet</w:t>
      </w:r>
      <w:r>
        <w:rPr>
          <w:spacing w:val="-16"/>
        </w:rPr>
        <w:t> </w:t>
      </w:r>
      <w:r>
        <w:rPr>
          <w:spacing w:val="-3"/>
        </w:rPr>
        <w:t>sup- </w:t>
      </w:r>
      <w:r>
        <w:rPr/>
        <w:t>plerende nivellementsdata (Figur </w:t>
      </w:r>
      <w:hyperlink w:history="true" w:anchor="_bookmark24">
        <w:r>
          <w:rPr>
            <w:color w:val="FF0000"/>
          </w:rPr>
          <w:t>6</w:t>
        </w:r>
      </w:hyperlink>
      <w:r>
        <w:rPr/>
        <w:t>). Dette </w:t>
      </w:r>
      <w:r>
        <w:rPr>
          <w:spacing w:val="-3"/>
        </w:rPr>
        <w:t>med- </w:t>
      </w:r>
      <w:r>
        <w:rPr/>
        <w:t>fører en geografisk bias i form af en national skævvridning af antallet af fikspunkter, som </w:t>
      </w:r>
      <w:r>
        <w:rPr>
          <w:spacing w:val="-5"/>
        </w:rPr>
        <w:t>kan </w:t>
      </w:r>
      <w:r>
        <w:rPr/>
        <w:t>anvendes til punktvis beregning af vertikal </w:t>
      </w:r>
      <w:r>
        <w:rPr>
          <w:spacing w:val="-3"/>
        </w:rPr>
        <w:t>land- </w:t>
      </w:r>
      <w:r>
        <w:rPr/>
        <w:t>bevægelse, og dermed til validering af </w:t>
      </w:r>
      <w:r>
        <w:rPr>
          <w:spacing w:val="-3"/>
        </w:rPr>
        <w:t>scree- </w:t>
      </w:r>
      <w:r>
        <w:rPr/>
        <w:t>ningskortet.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Der kan desuden være tale om to typer af </w:t>
      </w:r>
      <w:r>
        <w:rPr>
          <w:spacing w:val="-4"/>
        </w:rPr>
        <w:t>ge- </w:t>
      </w:r>
      <w:r>
        <w:rPr/>
        <w:t>ologisk bias, som hver især kan påvirke F- </w:t>
      </w:r>
      <w:r>
        <w:rPr>
          <w:spacing w:val="-7"/>
        </w:rPr>
        <w:t>og </w:t>
      </w:r>
      <w:r>
        <w:rPr/>
        <w:t>t-test resultaterne i modsat retning. Den ene </w:t>
      </w:r>
      <w:r>
        <w:rPr>
          <w:spacing w:val="-5"/>
        </w:rPr>
        <w:t>ty- </w:t>
      </w:r>
      <w:r>
        <w:rPr/>
        <w:t>pe geologisk bias introduceres af det forhold, </w:t>
      </w:r>
      <w:r>
        <w:rPr>
          <w:spacing w:val="-9"/>
        </w:rPr>
        <w:t>at </w:t>
      </w:r>
      <w:r>
        <w:rPr/>
        <w:t>fikspunkter i visse områder primært er etableret som referencepunkter for landmålingsarbejder, og</w:t>
      </w:r>
      <w:r>
        <w:rPr>
          <w:spacing w:val="-16"/>
        </w:rPr>
        <w:t> </w:t>
      </w:r>
      <w:r>
        <w:rPr/>
        <w:t>dermed</w:t>
      </w:r>
      <w:r>
        <w:rPr>
          <w:spacing w:val="-16"/>
        </w:rPr>
        <w:t> </w:t>
      </w:r>
      <w:r>
        <w:rPr/>
        <w:t>i</w:t>
      </w:r>
      <w:r>
        <w:rPr>
          <w:spacing w:val="-15"/>
        </w:rPr>
        <w:t> </w:t>
      </w:r>
      <w:r>
        <w:rPr/>
        <w:t>overvejende</w:t>
      </w:r>
      <w:r>
        <w:rPr>
          <w:spacing w:val="-16"/>
        </w:rPr>
        <w:t> </w:t>
      </w:r>
      <w:r>
        <w:rPr/>
        <w:t>grad</w:t>
      </w:r>
      <w:r>
        <w:rPr>
          <w:spacing w:val="-16"/>
        </w:rPr>
        <w:t> </w:t>
      </w:r>
      <w:r>
        <w:rPr/>
        <w:t>er</w:t>
      </w:r>
      <w:r>
        <w:rPr>
          <w:spacing w:val="-15"/>
        </w:rPr>
        <w:t> </w:t>
      </w:r>
      <w:r>
        <w:rPr/>
        <w:t>placeret</w:t>
      </w:r>
      <w:r>
        <w:rPr>
          <w:spacing w:val="-16"/>
        </w:rPr>
        <w:t> </w:t>
      </w:r>
      <w:r>
        <w:rPr/>
        <w:t>i</w:t>
      </w:r>
      <w:r>
        <w:rPr>
          <w:spacing w:val="-15"/>
        </w:rPr>
        <w:t> </w:t>
      </w:r>
      <w:r>
        <w:rPr/>
        <w:t>stabile sedimenter. Den anden type geologisk bias </w:t>
      </w:r>
      <w:r>
        <w:rPr>
          <w:spacing w:val="-4"/>
        </w:rPr>
        <w:t>skyl- </w:t>
      </w:r>
      <w:r>
        <w:rPr/>
        <w:t>des det modsatte forhold; nemlig at fikspunkter i visse områder også er etableret med det </w:t>
      </w:r>
      <w:r>
        <w:rPr>
          <w:spacing w:val="-6"/>
        </w:rPr>
        <w:t>for- </w:t>
      </w:r>
      <w:r>
        <w:rPr/>
        <w:t>mål at dokumentere vertikal landbevægelse, </w:t>
      </w:r>
      <w:r>
        <w:rPr>
          <w:spacing w:val="-7"/>
        </w:rPr>
        <w:t>og </w:t>
      </w:r>
      <w:r>
        <w:rPr/>
        <w:t>at der dermed lokalt er en særlig stor punkttæt- hed af fikspunkter på ustabile sedimenter. </w:t>
      </w:r>
      <w:r>
        <w:rPr>
          <w:spacing w:val="-3"/>
        </w:rPr>
        <w:t>Dette </w:t>
      </w:r>
      <w:r>
        <w:rPr/>
        <w:t>forekommer f.eks. på mange havneanlæg, </w:t>
      </w:r>
      <w:r>
        <w:rPr>
          <w:spacing w:val="-6"/>
        </w:rPr>
        <w:t>hvor </w:t>
      </w:r>
      <w:r>
        <w:rPr/>
        <w:t>der typisk er blevet igangsat opmålingskampag- ner ved havneudvidelser, og langs den jyske ve- stkyst,</w:t>
      </w:r>
      <w:r>
        <w:rPr>
          <w:spacing w:val="-15"/>
        </w:rPr>
        <w:t> </w:t>
      </w:r>
      <w:r>
        <w:rPr/>
        <w:t>hvor</w:t>
      </w:r>
      <w:r>
        <w:rPr>
          <w:spacing w:val="-14"/>
        </w:rPr>
        <w:t> </w:t>
      </w:r>
      <w:r>
        <w:rPr/>
        <w:t>Kystdirektoratet</w:t>
      </w:r>
      <w:r>
        <w:rPr>
          <w:spacing w:val="-14"/>
        </w:rPr>
        <w:t> </w:t>
      </w:r>
      <w:r>
        <w:rPr/>
        <w:t>får</w:t>
      </w:r>
      <w:r>
        <w:rPr>
          <w:spacing w:val="-15"/>
        </w:rPr>
        <w:t> </w:t>
      </w:r>
      <w:r>
        <w:rPr/>
        <w:t>udført</w:t>
      </w:r>
      <w:r>
        <w:rPr>
          <w:spacing w:val="-14"/>
        </w:rPr>
        <w:t> </w:t>
      </w:r>
      <w:r>
        <w:rPr/>
        <w:t>motorise- rede kvalitets- og præcisionsnivellementer </w:t>
      </w:r>
      <w:r>
        <w:rPr>
          <w:spacing w:val="-5"/>
        </w:rPr>
        <w:t>med </w:t>
      </w:r>
      <w:r>
        <w:rPr/>
        <w:t>en fast kadence (</w:t>
      </w:r>
      <w:hyperlink w:history="true" w:anchor="_bookmark46">
        <w:r>
          <w:rPr>
            <w:color w:val="0000FF"/>
          </w:rPr>
          <w:t>Meister et al.</w:t>
        </w:r>
      </w:hyperlink>
      <w:r>
        <w:rPr/>
        <w:t>,</w:t>
      </w:r>
      <w:r>
        <w:rPr>
          <w:spacing w:val="-10"/>
        </w:rPr>
        <w:t> </w:t>
      </w:r>
      <w:hyperlink w:history="true" w:anchor="_bookmark46">
        <w:r>
          <w:rPr>
            <w:color w:val="0000FF"/>
          </w:rPr>
          <w:t>2013</w:t>
        </w:r>
      </w:hyperlink>
      <w:r>
        <w:rPr/>
        <w:t>).</w:t>
      </w:r>
    </w:p>
    <w:p>
      <w:pPr>
        <w:pStyle w:val="BodyText"/>
        <w:spacing w:line="260" w:lineRule="exact"/>
        <w:ind w:left="563"/>
      </w:pPr>
      <w:r>
        <w:rPr/>
        <w:t>Umiddelbart</w:t>
      </w:r>
      <w:r>
        <w:rPr>
          <w:spacing w:val="17"/>
        </w:rPr>
        <w:t> </w:t>
      </w:r>
      <w:r>
        <w:rPr/>
        <w:t>forekommer</w:t>
      </w:r>
      <w:r>
        <w:rPr>
          <w:spacing w:val="18"/>
        </w:rPr>
        <w:t> </w:t>
      </w:r>
      <w:r>
        <w:rPr/>
        <w:t>der</w:t>
      </w:r>
      <w:r>
        <w:rPr>
          <w:spacing w:val="17"/>
        </w:rPr>
        <w:t> </w:t>
      </w:r>
      <w:r>
        <w:rPr/>
        <w:t>ikke</w:t>
      </w:r>
      <w:r>
        <w:rPr>
          <w:spacing w:val="18"/>
        </w:rPr>
        <w:t> </w:t>
      </w:r>
      <w:r>
        <w:rPr/>
        <w:t>at</w:t>
      </w:r>
      <w:r>
        <w:rPr>
          <w:spacing w:val="18"/>
        </w:rPr>
        <w:t> </w:t>
      </w:r>
      <w:r>
        <w:rPr/>
        <w:t>være</w:t>
      </w:r>
      <w:r>
        <w:rPr>
          <w:spacing w:val="17"/>
        </w:rPr>
        <w:t> </w:t>
      </w:r>
      <w:r>
        <w:rPr/>
        <w:t>et</w:t>
      </w:r>
    </w:p>
    <w:p>
      <w:pPr>
        <w:pStyle w:val="BodyText"/>
        <w:spacing w:line="252" w:lineRule="auto"/>
        <w:ind w:left="329" w:right="1131"/>
        <w:jc w:val="both"/>
      </w:pPr>
      <w:r>
        <w:rPr/>
        <w:t>tydeligt sammenfald imellem screeningskortet og områder, hvor der ud fra de historiske fiks- punktmålinger og beregninger af koter kan </w:t>
      </w:r>
      <w:r>
        <w:rPr>
          <w:spacing w:val="-4"/>
        </w:rPr>
        <w:t>kon- </w:t>
      </w:r>
      <w:r>
        <w:rPr/>
        <w:t>stateres sætninger (Figurerne </w:t>
      </w:r>
      <w:hyperlink w:history="true" w:anchor="_bookmark25">
        <w:r>
          <w:rPr>
            <w:color w:val="FF0000"/>
          </w:rPr>
          <w:t>7</w:t>
        </w:r>
      </w:hyperlink>
      <w:r>
        <w:rPr/>
        <w:t>-</w:t>
      </w:r>
      <w:hyperlink w:history="true" w:anchor="_bookmark27">
        <w:r>
          <w:rPr>
            <w:color w:val="FF0000"/>
          </w:rPr>
          <w:t>9</w:t>
        </w:r>
      </w:hyperlink>
      <w:r>
        <w:rPr/>
        <w:t>). Imidlertid</w:t>
      </w:r>
      <w:r>
        <w:rPr>
          <w:spacing w:val="-20"/>
        </w:rPr>
        <w:t> </w:t>
      </w:r>
      <w:r>
        <w:rPr>
          <w:spacing w:val="-5"/>
        </w:rPr>
        <w:t>vi-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0" w:right="0"/>
          <w:cols w:num="2" w:equalWidth="0">
            <w:col w:w="5769" w:space="40"/>
            <w:col w:w="6101"/>
          </w:cols>
        </w:sectPr>
      </w:pPr>
    </w:p>
    <w:p>
      <w:pPr>
        <w:pStyle w:val="BodyText"/>
        <w:spacing w:line="252" w:lineRule="auto" w:before="71"/>
        <w:ind w:left="1133"/>
        <w:jc w:val="both"/>
      </w:pPr>
      <w:r>
        <w:rPr/>
        <w:t>ser den statistiske analyse af data, som blev </w:t>
      </w:r>
      <w:r>
        <w:rPr>
          <w:spacing w:val="-6"/>
        </w:rPr>
        <w:t>ud- </w:t>
      </w:r>
      <w:r>
        <w:rPr/>
        <w:t>ført ved F- og t-tests, at der er signifikant </w:t>
      </w:r>
      <w:r>
        <w:rPr>
          <w:spacing w:val="-8"/>
        </w:rPr>
        <w:t>for- </w:t>
      </w:r>
      <w:r>
        <w:rPr/>
        <w:t>skel (P&lt;0,001) imellem spredningerne og </w:t>
      </w:r>
      <w:r>
        <w:rPr>
          <w:spacing w:val="-5"/>
        </w:rPr>
        <w:t>mid- </w:t>
      </w:r>
      <w:r>
        <w:rPr/>
        <w:t>delværdierne af de beregnede sætningsrater </w:t>
      </w:r>
      <w:r>
        <w:rPr>
          <w:spacing w:val="-6"/>
        </w:rPr>
        <w:t>for </w:t>
      </w:r>
      <w:r>
        <w:rPr/>
        <w:t>fikspunkter beliggende </w:t>
      </w:r>
      <w:r>
        <w:rPr>
          <w:spacing w:val="-4"/>
        </w:rPr>
        <w:t>hhv. </w:t>
      </w:r>
      <w:r>
        <w:rPr/>
        <w:t>indenfor og </w:t>
      </w:r>
      <w:r>
        <w:rPr>
          <w:spacing w:val="-3"/>
        </w:rPr>
        <w:t>udenfor </w:t>
      </w:r>
      <w:r>
        <w:rPr/>
        <w:t>de områder, som er udpeget i screeningskortet.</w:t>
      </w:r>
    </w:p>
    <w:p>
      <w:pPr>
        <w:pStyle w:val="BodyText"/>
        <w:spacing w:before="7"/>
        <w:rPr>
          <w:sz w:val="37"/>
        </w:rPr>
      </w:pPr>
    </w:p>
    <w:p>
      <w:pPr>
        <w:pStyle w:val="Heading2"/>
        <w:numPr>
          <w:ilvl w:val="1"/>
          <w:numId w:val="6"/>
        </w:numPr>
        <w:tabs>
          <w:tab w:pos="1890" w:val="left" w:leader="none"/>
          <w:tab w:pos="1891" w:val="left" w:leader="none"/>
        </w:tabs>
        <w:spacing w:line="240" w:lineRule="auto" w:before="0" w:after="0"/>
        <w:ind w:left="1890" w:right="0" w:hanging="757"/>
        <w:jc w:val="left"/>
      </w:pPr>
      <w:bookmarkStart w:name="_bookmark35" w:id="50"/>
      <w:bookmarkEnd w:id="50"/>
      <w:r>
        <w:rPr>
          <w:b w:val="0"/>
        </w:rPr>
      </w:r>
      <w:bookmarkStart w:name="_bookmark35" w:id="51"/>
      <w:bookmarkEnd w:id="51"/>
      <w:r>
        <w:rPr/>
        <w:t>Geologiske</w:t>
      </w:r>
      <w:r>
        <w:rPr>
          <w:spacing w:val="5"/>
        </w:rPr>
        <w:t> </w:t>
      </w:r>
      <w:r>
        <w:rPr/>
        <w:t>forhold</w:t>
      </w:r>
    </w:p>
    <w:p>
      <w:pPr>
        <w:pStyle w:val="BodyText"/>
        <w:spacing w:line="252" w:lineRule="auto" w:before="247"/>
        <w:ind w:left="1133"/>
        <w:jc w:val="both"/>
      </w:pPr>
      <w:r>
        <w:rPr/>
        <w:t>Ud fra ændringsrater beregnet vha. </w:t>
      </w:r>
      <w:r>
        <w:rPr>
          <w:spacing w:val="-5"/>
        </w:rPr>
        <w:t>PSI- </w:t>
      </w:r>
      <w:r>
        <w:rPr/>
        <w:t>teknologien og geologisk information, </w:t>
      </w:r>
      <w:r>
        <w:rPr>
          <w:spacing w:val="-4"/>
        </w:rPr>
        <w:t>iden-</w:t>
      </w:r>
      <w:r>
        <w:rPr>
          <w:spacing w:val="52"/>
        </w:rPr>
        <w:t> </w:t>
      </w:r>
      <w:r>
        <w:rPr/>
        <w:t>tificerede PanGeo-projektet jordarter, </w:t>
      </w:r>
      <w:r>
        <w:rPr>
          <w:spacing w:val="-6"/>
        </w:rPr>
        <w:t>som </w:t>
      </w:r>
      <w:r>
        <w:rPr/>
        <w:t>karakteriserer ustabile områder og indsynk- ning i de to testområder omkring Aalborg </w:t>
      </w:r>
      <w:r>
        <w:rPr>
          <w:spacing w:val="-8"/>
        </w:rPr>
        <w:t>og  </w:t>
      </w:r>
      <w:r>
        <w:rPr/>
        <w:t>København. Det drejer sig om områder </w:t>
      </w:r>
      <w:r>
        <w:rPr>
          <w:spacing w:val="-5"/>
        </w:rPr>
        <w:t>med </w:t>
      </w:r>
      <w:r>
        <w:rPr/>
        <w:t>tykke fyldlag, postglaciale</w:t>
      </w:r>
      <w:r>
        <w:rPr>
          <w:spacing w:val="-19"/>
        </w:rPr>
        <w:t> </w:t>
      </w:r>
      <w:r>
        <w:rPr/>
        <w:t>ferskvandsaflejringer (fortrinsvis tørv), postglacialt og senglacialt </w:t>
      </w:r>
      <w:r>
        <w:rPr>
          <w:spacing w:val="-7"/>
        </w:rPr>
        <w:t>ler </w:t>
      </w:r>
      <w:r>
        <w:rPr/>
        <w:t>samt inddæmmede områder. Disse jordarter er </w:t>
      </w:r>
      <w:r>
        <w:rPr>
          <w:spacing w:val="-16"/>
        </w:rPr>
        <w:t>i </w:t>
      </w:r>
      <w:r>
        <w:rPr/>
        <w:t>det</w:t>
      </w:r>
      <w:r>
        <w:rPr>
          <w:spacing w:val="-9"/>
        </w:rPr>
        <w:t> </w:t>
      </w:r>
      <w:r>
        <w:rPr/>
        <w:t>store</w:t>
      </w:r>
      <w:r>
        <w:rPr>
          <w:spacing w:val="-9"/>
        </w:rPr>
        <w:t> </w:t>
      </w:r>
      <w:r>
        <w:rPr/>
        <w:t>hele</w:t>
      </w:r>
      <w:r>
        <w:rPr>
          <w:spacing w:val="-9"/>
        </w:rPr>
        <w:t> </w:t>
      </w:r>
      <w:r>
        <w:rPr/>
        <w:t>omfattet</w:t>
      </w:r>
      <w:r>
        <w:rPr>
          <w:spacing w:val="-9"/>
        </w:rPr>
        <w:t> </w:t>
      </w:r>
      <w:r>
        <w:rPr/>
        <w:t>af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kort,</w:t>
      </w:r>
      <w:r>
        <w:rPr>
          <w:spacing w:val="-9"/>
        </w:rPr>
        <w:t> </w:t>
      </w:r>
      <w:r>
        <w:rPr/>
        <w:t>som</w:t>
      </w:r>
      <w:r>
        <w:rPr>
          <w:spacing w:val="-9"/>
        </w:rPr>
        <w:t> </w:t>
      </w:r>
      <w:r>
        <w:rPr/>
        <w:t>er</w:t>
      </w:r>
      <w:r>
        <w:rPr>
          <w:spacing w:val="-9"/>
        </w:rPr>
        <w:t> </w:t>
      </w:r>
      <w:r>
        <w:rPr/>
        <w:t>anvendt til fremstilling af screeningskortet (Figur </w:t>
      </w:r>
      <w:hyperlink w:history="true" w:anchor="_bookmark18">
        <w:r>
          <w:rPr>
            <w:color w:val="FF0000"/>
          </w:rPr>
          <w:t>2</w:t>
        </w:r>
      </w:hyperlink>
      <w:r>
        <w:rPr/>
        <w:t>), </w:t>
      </w:r>
      <w:r>
        <w:rPr>
          <w:spacing w:val="-7"/>
        </w:rPr>
        <w:t>og </w:t>
      </w:r>
      <w:r>
        <w:rPr/>
        <w:t>det er derfor heller ikke overraskende, at der </w:t>
      </w:r>
      <w:r>
        <w:rPr>
          <w:spacing w:val="-6"/>
        </w:rPr>
        <w:t>er </w:t>
      </w:r>
      <w:r>
        <w:rPr/>
        <w:t>nogen overensstemmelse imellem </w:t>
      </w:r>
      <w:r>
        <w:rPr>
          <w:spacing w:val="-2"/>
        </w:rPr>
        <w:t>resultaterne </w:t>
      </w:r>
      <w:r>
        <w:rPr/>
        <w:t>fra de to danske PanGeo-projektområder </w:t>
      </w:r>
      <w:r>
        <w:rPr>
          <w:spacing w:val="-7"/>
        </w:rPr>
        <w:t>og </w:t>
      </w:r>
      <w:r>
        <w:rPr/>
        <w:t>screeningskortet (Figurerne</w:t>
      </w:r>
      <w:r>
        <w:rPr>
          <w:spacing w:val="-4"/>
        </w:rPr>
        <w:t> </w:t>
      </w:r>
      <w:hyperlink w:history="true" w:anchor="_bookmark29">
        <w:r>
          <w:rPr>
            <w:color w:val="FF0000"/>
          </w:rPr>
          <w:t>11</w:t>
        </w:r>
      </w:hyperlink>
      <w:r>
        <w:rPr/>
        <w:t>-</w:t>
      </w:r>
      <w:hyperlink w:history="true" w:anchor="_bookmark31">
        <w:r>
          <w:rPr>
            <w:color w:val="FF0000"/>
          </w:rPr>
          <w:t>13</w:t>
        </w:r>
      </w:hyperlink>
      <w:r>
        <w:rPr/>
        <w:t>).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Der er beregnet store sætningsrater for </w:t>
      </w:r>
      <w:r>
        <w:rPr>
          <w:spacing w:val="-3"/>
        </w:rPr>
        <w:t>fiks- </w:t>
      </w:r>
      <w:r>
        <w:rPr/>
        <w:t>punkter placeret på opfyldsområder, f.eks. </w:t>
      </w:r>
      <w:r>
        <w:rPr>
          <w:spacing w:val="-8"/>
        </w:rPr>
        <w:t>ved </w:t>
      </w:r>
      <w:r>
        <w:rPr/>
        <w:t>Aarhus Havn og Aalborg Havn. Ligeledes er </w:t>
      </w:r>
      <w:r>
        <w:rPr>
          <w:spacing w:val="-9"/>
        </w:rPr>
        <w:t>19 </w:t>
      </w:r>
      <w:r>
        <w:rPr/>
        <w:t>ud af de 20 områder, for hvilke der i Ålborg </w:t>
      </w:r>
      <w:r>
        <w:rPr>
          <w:spacing w:val="-6"/>
        </w:rPr>
        <w:t>og </w:t>
      </w:r>
      <w:r>
        <w:rPr/>
        <w:t>København</w:t>
      </w:r>
      <w:r>
        <w:rPr>
          <w:spacing w:val="-18"/>
        </w:rPr>
        <w:t> </w:t>
      </w:r>
      <w:r>
        <w:rPr/>
        <w:t>er</w:t>
      </w:r>
      <w:r>
        <w:rPr>
          <w:spacing w:val="-18"/>
        </w:rPr>
        <w:t> </w:t>
      </w:r>
      <w:r>
        <w:rPr/>
        <w:t>beregnet</w:t>
      </w:r>
      <w:r>
        <w:rPr>
          <w:spacing w:val="-18"/>
        </w:rPr>
        <w:t> </w:t>
      </w:r>
      <w:r>
        <w:rPr/>
        <w:t>større</w:t>
      </w:r>
      <w:r>
        <w:rPr>
          <w:spacing w:val="-18"/>
        </w:rPr>
        <w:t> </w:t>
      </w:r>
      <w:r>
        <w:rPr/>
        <w:t>sætningsrater</w:t>
      </w:r>
      <w:r>
        <w:rPr>
          <w:spacing w:val="-18"/>
        </w:rPr>
        <w:t> </w:t>
      </w:r>
      <w:r>
        <w:rPr/>
        <w:t>i</w:t>
      </w:r>
      <w:r>
        <w:rPr>
          <w:spacing w:val="-18"/>
        </w:rPr>
        <w:t> </w:t>
      </w:r>
      <w:r>
        <w:rPr>
          <w:spacing w:val="-5"/>
        </w:rPr>
        <w:t>regi </w:t>
      </w:r>
      <w:r>
        <w:rPr/>
        <w:t>af</w:t>
      </w:r>
      <w:r>
        <w:rPr>
          <w:spacing w:val="-10"/>
        </w:rPr>
        <w:t> </w:t>
      </w:r>
      <w:r>
        <w:rPr/>
        <w:t>PanGeo</w:t>
      </w:r>
      <w:r>
        <w:rPr>
          <w:spacing w:val="-9"/>
        </w:rPr>
        <w:t> </w:t>
      </w:r>
      <w:r>
        <w:rPr/>
        <w:t>projektet,</w:t>
      </w:r>
      <w:r>
        <w:rPr>
          <w:spacing w:val="-10"/>
        </w:rPr>
        <w:t> </w:t>
      </w:r>
      <w:r>
        <w:rPr/>
        <w:t>karakteriseret</w:t>
      </w:r>
      <w:r>
        <w:rPr>
          <w:spacing w:val="-9"/>
        </w:rPr>
        <w:t> </w:t>
      </w:r>
      <w:r>
        <w:rPr/>
        <w:t>som</w:t>
      </w:r>
      <w:r>
        <w:rPr>
          <w:spacing w:val="-10"/>
        </w:rPr>
        <w:t> </w:t>
      </w:r>
      <w:r>
        <w:rPr/>
        <w:t>opfylds- områder.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En kortlægning af opfyldsområder vil </w:t>
      </w:r>
      <w:r>
        <w:rPr>
          <w:spacing w:val="-3"/>
        </w:rPr>
        <w:t>derfor </w:t>
      </w:r>
      <w:r>
        <w:rPr/>
        <w:t>kunne være et væsentligt bidrag til den </w:t>
      </w:r>
      <w:r>
        <w:rPr>
          <w:spacing w:val="-3"/>
        </w:rPr>
        <w:t>vide-  </w:t>
      </w:r>
      <w:r>
        <w:rPr>
          <w:spacing w:val="54"/>
        </w:rPr>
        <w:t> </w:t>
      </w:r>
      <w:r>
        <w:rPr/>
        <w:t>re udvikling af screeningskortet. </w:t>
      </w:r>
      <w:r>
        <w:rPr>
          <w:spacing w:val="-2"/>
        </w:rPr>
        <w:t>Opfyldsområ- </w:t>
      </w:r>
      <w:r>
        <w:rPr/>
        <w:t>der vil langt hen ad vejen kunne kortlægges </w:t>
      </w:r>
      <w:r>
        <w:rPr>
          <w:spacing w:val="-7"/>
        </w:rPr>
        <w:t>ved </w:t>
      </w:r>
      <w:r>
        <w:rPr/>
        <w:t>at sammenholde historiske og recente topografi- ske</w:t>
      </w:r>
      <w:r>
        <w:rPr>
          <w:spacing w:val="-13"/>
        </w:rPr>
        <w:t> </w:t>
      </w:r>
      <w:r>
        <w:rPr/>
        <w:t>kort,</w:t>
      </w:r>
      <w:r>
        <w:rPr>
          <w:spacing w:val="-11"/>
        </w:rPr>
        <w:t> </w:t>
      </w:r>
      <w:r>
        <w:rPr/>
        <w:t>og</w:t>
      </w:r>
      <w:r>
        <w:rPr>
          <w:spacing w:val="-12"/>
        </w:rPr>
        <w:t> </w:t>
      </w:r>
      <w:r>
        <w:rPr/>
        <w:t>ved</w:t>
      </w:r>
      <w:r>
        <w:rPr>
          <w:spacing w:val="-11"/>
        </w:rPr>
        <w:t> </w:t>
      </w:r>
      <w:r>
        <w:rPr/>
        <w:t>at</w:t>
      </w:r>
      <w:r>
        <w:rPr>
          <w:spacing w:val="-12"/>
        </w:rPr>
        <w:t> </w:t>
      </w:r>
      <w:r>
        <w:rPr/>
        <w:t>benytte</w:t>
      </w:r>
      <w:r>
        <w:rPr>
          <w:spacing w:val="-11"/>
        </w:rPr>
        <w:t> </w:t>
      </w:r>
      <w:r>
        <w:rPr/>
        <w:t>højdemodeller</w:t>
      </w:r>
      <w:r>
        <w:rPr>
          <w:spacing w:val="-12"/>
        </w:rPr>
        <w:t> </w:t>
      </w:r>
      <w:r>
        <w:rPr/>
        <w:t>og</w:t>
      </w:r>
      <w:r>
        <w:rPr>
          <w:spacing w:val="-12"/>
        </w:rPr>
        <w:t> </w:t>
      </w:r>
      <w:r>
        <w:rPr>
          <w:spacing w:val="-4"/>
        </w:rPr>
        <w:t>høj- </w:t>
      </w:r>
      <w:r>
        <w:rPr/>
        <w:t>deinformation fra historiske kort til at afgrænse fyldlag.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Der er stadig potentielle og ikke undersøg-   te geologiske forhold, som bør tages i </w:t>
      </w:r>
      <w:r>
        <w:rPr>
          <w:spacing w:val="-3"/>
        </w:rPr>
        <w:t>betragt- </w:t>
      </w:r>
      <w:r>
        <w:rPr/>
        <w:t>ning og undersøges for at opnå  en</w:t>
      </w:r>
      <w:r>
        <w:rPr>
          <w:spacing w:val="36"/>
        </w:rPr>
        <w:t> </w:t>
      </w:r>
      <w:r>
        <w:rPr/>
        <w:t>fuldstæn- dig geologisk forståelse af den observerede </w:t>
      </w:r>
      <w:r>
        <w:rPr>
          <w:spacing w:val="-7"/>
        </w:rPr>
        <w:t>for- </w:t>
      </w:r>
      <w:r>
        <w:rPr/>
        <w:t>deling af hævnings- og sænkningsrater. </w:t>
      </w:r>
      <w:r>
        <w:rPr>
          <w:spacing w:val="-3"/>
        </w:rPr>
        <w:t>Eksem- </w:t>
      </w:r>
      <w:r>
        <w:rPr/>
        <w:t>pelvis indikerer resultaterne en mulig </w:t>
      </w:r>
      <w:r>
        <w:rPr>
          <w:spacing w:val="-3"/>
        </w:rPr>
        <w:t>sammen- </w:t>
      </w:r>
      <w:r>
        <w:rPr/>
        <w:t>hæng mellem landhævning/sænkning og </w:t>
      </w:r>
      <w:r>
        <w:rPr>
          <w:spacing w:val="-4"/>
        </w:rPr>
        <w:t>forde- </w:t>
      </w:r>
      <w:r>
        <w:rPr/>
        <w:t>lingen af de forskellige sedimenter, der </w:t>
      </w:r>
      <w:r>
        <w:rPr>
          <w:spacing w:val="-3"/>
        </w:rPr>
        <w:t>findes </w:t>
      </w:r>
      <w:r>
        <w:rPr/>
        <w:t>under istidslagene. Dette kan anes ved</w:t>
      </w:r>
      <w:r>
        <w:rPr>
          <w:spacing w:val="36"/>
        </w:rPr>
        <w:t> </w:t>
      </w:r>
      <w:r>
        <w:rPr/>
        <w:t>afgræns-</w:t>
      </w:r>
    </w:p>
    <w:p>
      <w:pPr>
        <w:pStyle w:val="BodyText"/>
        <w:spacing w:line="206" w:lineRule="auto"/>
        <w:ind w:left="1133"/>
        <w:jc w:val="both"/>
      </w:pPr>
      <w:r>
        <w:rPr/>
        <w:t>ningen af et hævningsområde, som strækker </w:t>
      </w:r>
      <w:r>
        <w:rPr>
          <w:spacing w:val="-6"/>
        </w:rPr>
        <w:t>sig </w:t>
      </w:r>
      <w:r>
        <w:rPr/>
        <w:t>henover</w:t>
      </w:r>
      <w:r>
        <w:rPr>
          <w:spacing w:val="26"/>
        </w:rPr>
        <w:t> </w:t>
      </w:r>
      <w:r>
        <w:rPr/>
        <w:t>den</w:t>
      </w:r>
      <w:r>
        <w:rPr>
          <w:spacing w:val="26"/>
        </w:rPr>
        <w:t> </w:t>
      </w:r>
      <w:r>
        <w:rPr/>
        <w:t>nordlige</w:t>
      </w:r>
      <w:r>
        <w:rPr>
          <w:spacing w:val="25"/>
        </w:rPr>
        <w:t> </w:t>
      </w:r>
      <w:r>
        <w:rPr/>
        <w:t>del</w:t>
      </w:r>
      <w:r>
        <w:rPr>
          <w:spacing w:val="26"/>
        </w:rPr>
        <w:t> </w:t>
      </w:r>
      <w:r>
        <w:rPr/>
        <w:t>af</w:t>
      </w:r>
      <w:r>
        <w:rPr>
          <w:spacing w:val="26"/>
        </w:rPr>
        <w:t> </w:t>
      </w:r>
      <w:r>
        <w:rPr/>
        <w:t>Djursland,</w:t>
      </w:r>
      <w:r>
        <w:rPr>
          <w:spacing w:val="26"/>
        </w:rPr>
        <w:t> </w:t>
      </w:r>
      <w:r>
        <w:rPr/>
        <w:t>og</w:t>
      </w:r>
      <w:r>
        <w:rPr>
          <w:spacing w:val="26"/>
        </w:rPr>
        <w:t> </w:t>
      </w:r>
      <w:r>
        <w:rPr>
          <w:spacing w:val="-6"/>
        </w:rPr>
        <w:t>om-</w:t>
      </w:r>
    </w:p>
    <w:p>
      <w:pPr>
        <w:pStyle w:val="BodyText"/>
        <w:spacing w:line="252" w:lineRule="auto" w:before="71"/>
        <w:ind w:left="329" w:right="1131"/>
        <w:jc w:val="both"/>
      </w:pPr>
      <w:r>
        <w:rPr/>
        <w:br w:type="column"/>
      </w:r>
      <w:r>
        <w:rPr/>
        <w:t>rådet syd herfor, som er sammenfaldende </w:t>
      </w:r>
      <w:r>
        <w:rPr>
          <w:spacing w:val="-5"/>
        </w:rPr>
        <w:t>med </w:t>
      </w:r>
      <w:r>
        <w:rPr/>
        <w:t>overgangen fra kalk/kridt til palæocent </w:t>
      </w:r>
      <w:r>
        <w:rPr>
          <w:spacing w:val="-4"/>
        </w:rPr>
        <w:t>ler. Den- </w:t>
      </w:r>
      <w:r>
        <w:rPr/>
        <w:t>ne sammenhæng kan imidlertid ikke anes i </w:t>
      </w:r>
      <w:r>
        <w:rPr>
          <w:spacing w:val="-13"/>
        </w:rPr>
        <w:t>NV- </w:t>
      </w:r>
      <w:r>
        <w:rPr/>
        <w:t>Jylland, hvor samme overgang mellem palæo- cænt ler og kalk/kridt forekommer. Et andet </w:t>
      </w:r>
      <w:r>
        <w:rPr>
          <w:spacing w:val="-5"/>
        </w:rPr>
        <w:t>ge- </w:t>
      </w:r>
      <w:r>
        <w:rPr/>
        <w:t>ologisk fænomen, som kan være i spil, er </w:t>
      </w:r>
      <w:r>
        <w:rPr>
          <w:spacing w:val="-3"/>
        </w:rPr>
        <w:t>salt- </w:t>
      </w:r>
      <w:r>
        <w:rPr/>
        <w:t>diapirer, som i visse tilfælde kan være årsag </w:t>
      </w:r>
      <w:r>
        <w:rPr>
          <w:spacing w:val="-5"/>
        </w:rPr>
        <w:t>til </w:t>
      </w:r>
      <w:r>
        <w:rPr/>
        <w:t>lokale landhævninger. I Figur </w:t>
      </w:r>
      <w:hyperlink w:history="true" w:anchor="_bookmark24">
        <w:r>
          <w:rPr>
            <w:color w:val="FF0000"/>
          </w:rPr>
          <w:t>6</w:t>
        </w:r>
      </w:hyperlink>
      <w:r>
        <w:rPr>
          <w:color w:val="FF0000"/>
        </w:rPr>
        <w:t> </w:t>
      </w:r>
      <w:r>
        <w:rPr/>
        <w:t>antydes en </w:t>
      </w:r>
      <w:r>
        <w:rPr>
          <w:spacing w:val="-4"/>
        </w:rPr>
        <w:t>lo- </w:t>
      </w:r>
      <w:r>
        <w:rPr/>
        <w:t>kal hævning omkring Mors, som evt. kan </w:t>
      </w:r>
      <w:r>
        <w:rPr>
          <w:spacing w:val="-4"/>
        </w:rPr>
        <w:t>til- </w:t>
      </w:r>
      <w:r>
        <w:rPr/>
        <w:t>skrives Mors-saltstrukturen. Endelig </w:t>
      </w:r>
      <w:r>
        <w:rPr>
          <w:spacing w:val="-3"/>
        </w:rPr>
        <w:t>konklude- </w:t>
      </w:r>
      <w:r>
        <w:rPr/>
        <w:t>rer PanGeo projektet, at overordnede mønstre </w:t>
      </w:r>
      <w:r>
        <w:rPr>
          <w:spacing w:val="-12"/>
        </w:rPr>
        <w:t>i </w:t>
      </w:r>
      <w:r>
        <w:rPr/>
        <w:t>de PSI-beregnede ændringsrater for </w:t>
      </w:r>
      <w:r>
        <w:rPr>
          <w:spacing w:val="-4"/>
        </w:rPr>
        <w:t>København </w:t>
      </w:r>
      <w:r>
        <w:rPr/>
        <w:t>kan tilskrives Carlsberg-forkastningen.</w:t>
      </w:r>
    </w:p>
    <w:p>
      <w:pPr>
        <w:pStyle w:val="BodyText"/>
        <w:spacing w:before="11"/>
        <w:rPr>
          <w:sz w:val="38"/>
        </w:rPr>
      </w:pPr>
    </w:p>
    <w:p>
      <w:pPr>
        <w:pStyle w:val="Heading2"/>
        <w:numPr>
          <w:ilvl w:val="1"/>
          <w:numId w:val="6"/>
        </w:numPr>
        <w:tabs>
          <w:tab w:pos="1087" w:val="left" w:leader="none"/>
        </w:tabs>
        <w:spacing w:line="295" w:lineRule="auto" w:before="0" w:after="0"/>
        <w:ind w:left="1086" w:right="1131" w:hanging="757"/>
        <w:jc w:val="both"/>
      </w:pPr>
      <w:bookmarkStart w:name="_bookmark36" w:id="52"/>
      <w:bookmarkEnd w:id="52"/>
      <w:r>
        <w:rPr>
          <w:b w:val="0"/>
        </w:rPr>
      </w:r>
      <w:bookmarkStart w:name="_bookmark36" w:id="53"/>
      <w:bookmarkEnd w:id="53"/>
      <w:r>
        <w:rPr/>
        <w:t>K</w:t>
      </w:r>
      <w:r>
        <w:rPr/>
        <w:t>ortlægning af vertikal landbevægelse og </w:t>
      </w:r>
      <w:r>
        <w:rPr>
          <w:spacing w:val="-4"/>
        </w:rPr>
        <w:t>sæt- </w:t>
      </w:r>
      <w:r>
        <w:rPr/>
        <w:t>ningsrater</w:t>
      </w:r>
    </w:p>
    <w:p>
      <w:pPr>
        <w:pStyle w:val="BodyText"/>
        <w:spacing w:line="252" w:lineRule="auto" w:before="164"/>
        <w:ind w:left="329" w:right="1131"/>
        <w:jc w:val="both"/>
      </w:pPr>
      <w:r>
        <w:rPr/>
        <w:t>Landsætningskortet kan i fremtiden gøres </w:t>
      </w:r>
      <w:r>
        <w:rPr>
          <w:spacing w:val="-5"/>
        </w:rPr>
        <w:t>me- </w:t>
      </w:r>
      <w:r>
        <w:rPr/>
        <w:t>re nøjagtigt med flere detaljerede højdemålin- ger til brug for pålidelige beregninger af </w:t>
      </w:r>
      <w:r>
        <w:rPr>
          <w:spacing w:val="-3"/>
        </w:rPr>
        <w:t>vertikal </w:t>
      </w:r>
      <w:r>
        <w:rPr/>
        <w:t>landbevægelse og sætningsrater. Det </w:t>
      </w:r>
      <w:r>
        <w:rPr>
          <w:spacing w:val="-3"/>
        </w:rPr>
        <w:t>overordne- </w:t>
      </w:r>
      <w:r>
        <w:rPr/>
        <w:t>de og langsigtede mål er at kunne fremstille </w:t>
      </w:r>
      <w:r>
        <w:rPr>
          <w:spacing w:val="-8"/>
        </w:rPr>
        <w:t>et </w:t>
      </w:r>
      <w:r>
        <w:rPr/>
        <w:t>landsdækkende kort med detaljerede</w:t>
      </w:r>
      <w:r>
        <w:rPr>
          <w:spacing w:val="-45"/>
        </w:rPr>
        <w:t> </w:t>
      </w:r>
      <w:r>
        <w:rPr/>
        <w:t>informatio- ner om landbevægelser på lokal skala. Et </w:t>
      </w:r>
      <w:r>
        <w:rPr>
          <w:spacing w:val="-3"/>
        </w:rPr>
        <w:t>delmål </w:t>
      </w:r>
      <w:r>
        <w:rPr/>
        <w:t>på denne vej er at oparbejde mere viden om </w:t>
      </w:r>
      <w:r>
        <w:rPr>
          <w:spacing w:val="-6"/>
        </w:rPr>
        <w:t>de </w:t>
      </w:r>
      <w:r>
        <w:rPr/>
        <w:t>lokale sætningers størrelse og omfang i </w:t>
      </w:r>
      <w:r>
        <w:rPr>
          <w:spacing w:val="-3"/>
        </w:rPr>
        <w:t>kystnæ- </w:t>
      </w:r>
      <w:r>
        <w:rPr/>
        <w:t>re og lavtliggende flade områder, samt at </w:t>
      </w:r>
      <w:r>
        <w:rPr>
          <w:spacing w:val="-4"/>
        </w:rPr>
        <w:t>opnå </w:t>
      </w:r>
      <w:r>
        <w:rPr/>
        <w:t>større indsigt i geologiske, geomorfologiske </w:t>
      </w:r>
      <w:r>
        <w:rPr>
          <w:spacing w:val="-7"/>
        </w:rPr>
        <w:t>og </w:t>
      </w:r>
      <w:r>
        <w:rPr/>
        <w:t>menneskeskabte forhold af</w:t>
      </w:r>
      <w:r>
        <w:rPr>
          <w:spacing w:val="-6"/>
        </w:rPr>
        <w:t> </w:t>
      </w:r>
      <w:r>
        <w:rPr/>
        <w:t>betydning.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For at tage det næste skridt og producere </w:t>
      </w:r>
      <w:r>
        <w:rPr>
          <w:spacing w:val="-8"/>
        </w:rPr>
        <w:t>en </w:t>
      </w:r>
      <w:r>
        <w:rPr/>
        <w:t>mere detaljeret kortlægning af vertikale landbe- vægelser i forhold til DVR90, er anvendelsen </w:t>
      </w:r>
      <w:r>
        <w:rPr>
          <w:spacing w:val="-6"/>
        </w:rPr>
        <w:t>af </w:t>
      </w:r>
      <w:r>
        <w:rPr/>
        <w:t>eksisterende højdemålinger kombineret med</w:t>
      </w:r>
      <w:r>
        <w:rPr>
          <w:spacing w:val="-26"/>
        </w:rPr>
        <w:t> </w:t>
      </w:r>
      <w:r>
        <w:rPr>
          <w:spacing w:val="-7"/>
        </w:rPr>
        <w:t>nye </w:t>
      </w:r>
      <w:r>
        <w:rPr/>
        <w:t>supplerende målinger en</w:t>
      </w:r>
      <w:r>
        <w:rPr>
          <w:spacing w:val="-7"/>
        </w:rPr>
        <w:t> </w:t>
      </w:r>
      <w:r>
        <w:rPr/>
        <w:t>nødvendighed.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På nuværende tidspunkt indeholder Geodata- styrelsens fikspunktdatabase i alt 73.963 </w:t>
      </w:r>
      <w:r>
        <w:rPr>
          <w:spacing w:val="-3"/>
        </w:rPr>
        <w:t>højde- </w:t>
      </w:r>
      <w:r>
        <w:rPr/>
        <w:t>fikspunkter med tilhørende DVR90 </w:t>
      </w:r>
      <w:r>
        <w:rPr>
          <w:spacing w:val="-3"/>
        </w:rPr>
        <w:t>koter. </w:t>
      </w:r>
      <w:r>
        <w:rPr>
          <w:spacing w:val="-5"/>
        </w:rPr>
        <w:t>Her- </w:t>
      </w:r>
      <w:r>
        <w:rPr/>
        <w:t>af forefindes observationer til de 56.859 </w:t>
      </w:r>
      <w:r>
        <w:rPr>
          <w:spacing w:val="-3"/>
        </w:rPr>
        <w:t>punk- </w:t>
      </w:r>
      <w:r>
        <w:rPr/>
        <w:t>ter på digital form, hvilket betyder, at der </w:t>
      </w:r>
      <w:r>
        <w:rPr>
          <w:spacing w:val="-5"/>
        </w:rPr>
        <w:t>for </w:t>
      </w:r>
      <w:r>
        <w:rPr/>
        <w:t>disse punkter umiddelbart kan gennemføres </w:t>
      </w:r>
      <w:r>
        <w:rPr>
          <w:spacing w:val="-7"/>
        </w:rPr>
        <w:t>nye </w:t>
      </w:r>
      <w:r>
        <w:rPr/>
        <w:t>beregninger. De resterende 17.104 punkter </w:t>
      </w:r>
      <w:r>
        <w:rPr>
          <w:spacing w:val="-3"/>
        </w:rPr>
        <w:t>fore- </w:t>
      </w:r>
      <w:r>
        <w:rPr/>
        <w:t>findes med en transformeret kote (GM1891</w:t>
      </w:r>
      <w:r>
        <w:rPr>
          <w:spacing w:val="-27"/>
        </w:rPr>
        <w:t> </w:t>
      </w:r>
      <w:r>
        <w:rPr>
          <w:spacing w:val="-4"/>
        </w:rPr>
        <w:t>eller </w:t>
      </w:r>
      <w:r>
        <w:rPr/>
        <w:t>GI1944 til DVR90) og observationerne </w:t>
      </w:r>
      <w:r>
        <w:rPr>
          <w:spacing w:val="-3"/>
        </w:rPr>
        <w:t>(målin- </w:t>
      </w:r>
      <w:r>
        <w:rPr/>
        <w:t>gerne)</w:t>
      </w:r>
      <w:r>
        <w:rPr>
          <w:spacing w:val="-17"/>
        </w:rPr>
        <w:t> </w:t>
      </w:r>
      <w:r>
        <w:rPr/>
        <w:t>til</w:t>
      </w:r>
      <w:r>
        <w:rPr>
          <w:spacing w:val="-17"/>
        </w:rPr>
        <w:t> </w:t>
      </w:r>
      <w:r>
        <w:rPr/>
        <w:t>ca.</w:t>
      </w:r>
      <w:r>
        <w:rPr>
          <w:spacing w:val="-17"/>
        </w:rPr>
        <w:t> </w:t>
      </w:r>
      <w:r>
        <w:rPr/>
        <w:t>98%</w:t>
      </w:r>
      <w:r>
        <w:rPr>
          <w:spacing w:val="-17"/>
        </w:rPr>
        <w:t> </w:t>
      </w:r>
      <w:r>
        <w:rPr/>
        <w:t>af</w:t>
      </w:r>
      <w:r>
        <w:rPr>
          <w:spacing w:val="-16"/>
        </w:rPr>
        <w:t> </w:t>
      </w:r>
      <w:r>
        <w:rPr/>
        <w:t>disse</w:t>
      </w:r>
      <w:r>
        <w:rPr>
          <w:spacing w:val="-17"/>
        </w:rPr>
        <w:t> </w:t>
      </w:r>
      <w:r>
        <w:rPr/>
        <w:t>punkter</w:t>
      </w:r>
      <w:r>
        <w:rPr>
          <w:spacing w:val="-17"/>
        </w:rPr>
        <w:t> </w:t>
      </w:r>
      <w:r>
        <w:rPr/>
        <w:t>foreligger</w:t>
      </w:r>
      <w:r>
        <w:rPr>
          <w:spacing w:val="-17"/>
        </w:rPr>
        <w:t> </w:t>
      </w:r>
      <w:r>
        <w:rPr>
          <w:spacing w:val="-3"/>
        </w:rPr>
        <w:t>ana- </w:t>
      </w:r>
      <w:r>
        <w:rPr/>
        <w:t>logt</w:t>
      </w:r>
      <w:r>
        <w:rPr>
          <w:spacing w:val="-13"/>
        </w:rPr>
        <w:t> </w:t>
      </w:r>
      <w:r>
        <w:rPr/>
        <w:t>i</w:t>
      </w:r>
      <w:r>
        <w:rPr>
          <w:spacing w:val="-13"/>
        </w:rPr>
        <w:t> </w:t>
      </w:r>
      <w:r>
        <w:rPr/>
        <w:t>gamle</w:t>
      </w:r>
      <w:r>
        <w:rPr>
          <w:spacing w:val="-13"/>
        </w:rPr>
        <w:t> </w:t>
      </w:r>
      <w:r>
        <w:rPr/>
        <w:t>målebøger</w:t>
      </w:r>
      <w:r>
        <w:rPr>
          <w:spacing w:val="-13"/>
        </w:rPr>
        <w:t> </w:t>
      </w:r>
      <w:r>
        <w:rPr/>
        <w:t>fra</w:t>
      </w:r>
      <w:r>
        <w:rPr>
          <w:spacing w:val="-13"/>
        </w:rPr>
        <w:t> </w:t>
      </w:r>
      <w:r>
        <w:rPr/>
        <w:t>hovedsagligt</w:t>
      </w:r>
      <w:r>
        <w:rPr>
          <w:spacing w:val="-13"/>
        </w:rPr>
        <w:t> </w:t>
      </w:r>
      <w:r>
        <w:rPr>
          <w:spacing w:val="-3"/>
        </w:rPr>
        <w:t>1940’er- </w:t>
      </w:r>
      <w:r>
        <w:rPr/>
        <w:t>ne og 1950’erne. En lang række af de tilhøren- de</w:t>
      </w:r>
      <w:r>
        <w:rPr>
          <w:spacing w:val="16"/>
        </w:rPr>
        <w:t> </w:t>
      </w:r>
      <w:r>
        <w:rPr/>
        <w:t>koter</w:t>
      </w:r>
      <w:r>
        <w:rPr>
          <w:spacing w:val="17"/>
        </w:rPr>
        <w:t> </w:t>
      </w:r>
      <w:r>
        <w:rPr/>
        <w:t>til</w:t>
      </w:r>
      <w:r>
        <w:rPr>
          <w:spacing w:val="17"/>
        </w:rPr>
        <w:t> </w:t>
      </w:r>
      <w:r>
        <w:rPr/>
        <w:t>disse</w:t>
      </w:r>
      <w:r>
        <w:rPr>
          <w:spacing w:val="17"/>
        </w:rPr>
        <w:t> </w:t>
      </w:r>
      <w:r>
        <w:rPr/>
        <w:t>punkter</w:t>
      </w:r>
      <w:r>
        <w:rPr>
          <w:spacing w:val="17"/>
        </w:rPr>
        <w:t> </w:t>
      </w:r>
      <w:r>
        <w:rPr/>
        <w:t>vil</w:t>
      </w:r>
      <w:r>
        <w:rPr>
          <w:spacing w:val="17"/>
        </w:rPr>
        <w:t> </w:t>
      </w:r>
      <w:r>
        <w:rPr/>
        <w:t>med</w:t>
      </w:r>
      <w:r>
        <w:rPr>
          <w:spacing w:val="16"/>
        </w:rPr>
        <w:t> </w:t>
      </w:r>
      <w:r>
        <w:rPr/>
        <w:t>stor</w:t>
      </w:r>
      <w:r>
        <w:rPr>
          <w:spacing w:val="17"/>
        </w:rPr>
        <w:t> </w:t>
      </w:r>
      <w:r>
        <w:rPr/>
        <w:t>sandsyn-</w:t>
      </w:r>
    </w:p>
    <w:p>
      <w:pPr>
        <w:spacing w:after="0" w:line="252" w:lineRule="auto"/>
        <w:jc w:val="both"/>
        <w:sectPr>
          <w:footerReference w:type="default" r:id="rId46"/>
          <w:pgSz w:w="11910" w:h="16840"/>
          <w:pgMar w:footer="546" w:header="0" w:top="1060" w:bottom="740" w:left="0" w:right="0"/>
          <w:pgNumType w:start="27"/>
          <w:cols w:num="2" w:equalWidth="0">
            <w:col w:w="5769" w:space="40"/>
            <w:col w:w="6101"/>
          </w:cols>
        </w:sectPr>
      </w:pPr>
    </w:p>
    <w:p>
      <w:pPr>
        <w:pStyle w:val="BodyText"/>
        <w:spacing w:line="252" w:lineRule="auto" w:before="71"/>
        <w:ind w:left="1133"/>
        <w:jc w:val="both"/>
      </w:pPr>
      <w:r>
        <w:rPr/>
        <w:t>lighed være fejlbehæftet grundet de analoge </w:t>
      </w:r>
      <w:r>
        <w:rPr>
          <w:spacing w:val="-5"/>
        </w:rPr>
        <w:t>be- </w:t>
      </w:r>
      <w:r>
        <w:rPr/>
        <w:t>regningsmetoder og de på daværende tidspunkt manglende analyseredskaber. De</w:t>
      </w:r>
      <w:r>
        <w:rPr>
          <w:spacing w:val="-33"/>
        </w:rPr>
        <w:t> </w:t>
      </w:r>
      <w:r>
        <w:rPr>
          <w:spacing w:val="-3"/>
        </w:rPr>
        <w:t>tilbageværende </w:t>
      </w:r>
      <w:r>
        <w:rPr/>
        <w:t>ca.</w:t>
      </w:r>
      <w:r>
        <w:rPr>
          <w:spacing w:val="-13"/>
        </w:rPr>
        <w:t> </w:t>
      </w:r>
      <w:r>
        <w:rPr/>
        <w:t>2%</w:t>
      </w:r>
      <w:r>
        <w:rPr>
          <w:spacing w:val="-13"/>
        </w:rPr>
        <w:t> </w:t>
      </w:r>
      <w:r>
        <w:rPr/>
        <w:t>udgør</w:t>
      </w:r>
      <w:r>
        <w:rPr>
          <w:spacing w:val="-12"/>
        </w:rPr>
        <w:t> </w:t>
      </w:r>
      <w:r>
        <w:rPr/>
        <w:t>punkter,</w:t>
      </w:r>
      <w:r>
        <w:rPr>
          <w:spacing w:val="-13"/>
        </w:rPr>
        <w:t> </w:t>
      </w:r>
      <w:r>
        <w:rPr/>
        <w:t>som</w:t>
      </w:r>
      <w:r>
        <w:rPr>
          <w:spacing w:val="-12"/>
        </w:rPr>
        <w:t> </w:t>
      </w:r>
      <w:r>
        <w:rPr/>
        <w:t>gennem</w:t>
      </w:r>
      <w:r>
        <w:rPr>
          <w:spacing w:val="-13"/>
        </w:rPr>
        <w:t> </w:t>
      </w:r>
      <w:r>
        <w:rPr/>
        <w:t>tiden</w:t>
      </w:r>
      <w:r>
        <w:rPr>
          <w:spacing w:val="-12"/>
        </w:rPr>
        <w:t> </w:t>
      </w:r>
      <w:r>
        <w:rPr/>
        <w:t>er</w:t>
      </w:r>
      <w:r>
        <w:rPr>
          <w:spacing w:val="-13"/>
        </w:rPr>
        <w:t> </w:t>
      </w:r>
      <w:r>
        <w:rPr>
          <w:spacing w:val="-3"/>
        </w:rPr>
        <w:t>etab- </w:t>
      </w:r>
      <w:r>
        <w:rPr/>
        <w:t>leret af private opmålingsfirmaer eller </w:t>
      </w:r>
      <w:r>
        <w:rPr>
          <w:spacing w:val="-4"/>
        </w:rPr>
        <w:t>kommu-</w:t>
      </w:r>
      <w:r>
        <w:rPr>
          <w:spacing w:val="52"/>
        </w:rPr>
        <w:t> </w:t>
      </w:r>
      <w:r>
        <w:rPr>
          <w:spacing w:val="-3"/>
        </w:rPr>
        <w:t>ner, </w:t>
      </w:r>
      <w:r>
        <w:rPr/>
        <w:t>hvortil GST ikke har målingerne eller</w:t>
      </w:r>
      <w:r>
        <w:rPr>
          <w:spacing w:val="-28"/>
        </w:rPr>
        <w:t> </w:t>
      </w:r>
      <w:r>
        <w:rPr>
          <w:spacing w:val="-4"/>
        </w:rPr>
        <w:t>anden </w:t>
      </w:r>
      <w:r>
        <w:rPr/>
        <w:t>form for</w:t>
      </w:r>
      <w:r>
        <w:rPr>
          <w:spacing w:val="-3"/>
        </w:rPr>
        <w:t> </w:t>
      </w:r>
      <w:r>
        <w:rPr/>
        <w:t>dokumentation.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Figur </w:t>
      </w:r>
      <w:hyperlink w:history="true" w:anchor="_bookmark37">
        <w:r>
          <w:rPr>
            <w:color w:val="FF0000"/>
          </w:rPr>
          <w:t>14</w:t>
        </w:r>
      </w:hyperlink>
      <w:r>
        <w:rPr>
          <w:color w:val="FF0000"/>
        </w:rPr>
        <w:t> </w:t>
      </w:r>
      <w:r>
        <w:rPr/>
        <w:t>viser den geografiske fordeling </w:t>
      </w:r>
      <w:r>
        <w:rPr>
          <w:spacing w:val="-7"/>
        </w:rPr>
        <w:t>af </w:t>
      </w:r>
      <w:r>
        <w:rPr/>
        <w:t>højdefikspunkter med beregnede DVR90 </w:t>
      </w:r>
      <w:r>
        <w:rPr>
          <w:spacing w:val="-7"/>
        </w:rPr>
        <w:t>koter. </w:t>
      </w:r>
      <w:r>
        <w:rPr/>
        <w:t>Områder, hvor fikspunktmålingerne fra</w:t>
      </w:r>
      <w:r>
        <w:rPr>
          <w:spacing w:val="-31"/>
        </w:rPr>
        <w:t> </w:t>
      </w:r>
      <w:r>
        <w:rPr>
          <w:spacing w:val="-3"/>
        </w:rPr>
        <w:t>1940’er- </w:t>
      </w:r>
      <w:r>
        <w:rPr/>
        <w:t>ne og 1950’erne stadig befinder sig på </w:t>
      </w:r>
      <w:r>
        <w:rPr>
          <w:spacing w:val="-3"/>
        </w:rPr>
        <w:t>analog </w:t>
      </w:r>
      <w:r>
        <w:rPr/>
        <w:t>form, fremstår hvide i</w:t>
      </w:r>
      <w:r>
        <w:rPr>
          <w:spacing w:val="-7"/>
        </w:rPr>
        <w:t> </w:t>
      </w:r>
      <w:r>
        <w:rPr/>
        <w:t>figuren.</w:t>
      </w:r>
    </w:p>
    <w:p>
      <w:pPr>
        <w:pStyle w:val="BodyText"/>
        <w:spacing w:before="1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720001</wp:posOffset>
            </wp:positionH>
            <wp:positionV relativeFrom="paragraph">
              <wp:posOffset>111728</wp:posOffset>
            </wp:positionV>
            <wp:extent cx="2935605" cy="3470148"/>
            <wp:effectExtent l="0" t="0" r="0" b="0"/>
            <wp:wrapTopAndBottom/>
            <wp:docPr id="39" name="image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605" cy="3470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80" w:lineRule="auto" w:before="179"/>
        <w:ind w:left="1133" w:right="0" w:firstLine="0"/>
        <w:jc w:val="both"/>
        <w:rPr>
          <w:rFonts w:ascii="Arial" w:hAnsi="Arial"/>
          <w:sz w:val="20"/>
        </w:rPr>
      </w:pPr>
      <w:bookmarkStart w:name="_bookmark37" w:id="54"/>
      <w:bookmarkEnd w:id="54"/>
      <w:r>
        <w:rPr/>
      </w:r>
      <w:r>
        <w:rPr>
          <w:rFonts w:ascii="Arial" w:hAnsi="Arial"/>
          <w:sz w:val="22"/>
        </w:rPr>
        <w:t>Figur 14: </w:t>
      </w:r>
      <w:r>
        <w:rPr>
          <w:rFonts w:ascii="Arial" w:hAnsi="Arial"/>
          <w:sz w:val="20"/>
        </w:rPr>
        <w:t>Den geografiske fordeling af </w:t>
      </w:r>
      <w:r>
        <w:rPr>
          <w:rFonts w:ascii="Arial" w:hAnsi="Arial"/>
          <w:spacing w:val="-4"/>
          <w:sz w:val="20"/>
        </w:rPr>
        <w:t>højdefiks- </w:t>
      </w:r>
      <w:r>
        <w:rPr>
          <w:rFonts w:ascii="Arial" w:hAnsi="Arial"/>
          <w:sz w:val="20"/>
        </w:rPr>
        <w:t>punkter med beregnede </w:t>
      </w:r>
      <w:r>
        <w:rPr>
          <w:rFonts w:ascii="Arial" w:hAnsi="Arial"/>
          <w:spacing w:val="-3"/>
          <w:sz w:val="20"/>
        </w:rPr>
        <w:t>DVR90 koter. </w:t>
      </w:r>
      <w:r>
        <w:rPr>
          <w:rFonts w:ascii="Arial" w:hAnsi="Arial"/>
          <w:sz w:val="20"/>
        </w:rPr>
        <w:t>I de hvide</w:t>
      </w:r>
      <w:r>
        <w:rPr>
          <w:rFonts w:ascii="Arial" w:hAnsi="Arial"/>
          <w:spacing w:val="-35"/>
          <w:sz w:val="20"/>
        </w:rPr>
        <w:t> </w:t>
      </w:r>
      <w:r>
        <w:rPr>
          <w:rFonts w:ascii="Arial" w:hAnsi="Arial"/>
          <w:spacing w:val="-5"/>
          <w:sz w:val="20"/>
        </w:rPr>
        <w:t>om- </w:t>
      </w:r>
      <w:r>
        <w:rPr>
          <w:rFonts w:ascii="Arial" w:hAnsi="Arial"/>
          <w:sz w:val="20"/>
        </w:rPr>
        <w:t>råder befinder fikspunktmålingerne fra 1940’erne </w:t>
      </w:r>
      <w:r>
        <w:rPr>
          <w:rFonts w:ascii="Arial" w:hAnsi="Arial"/>
          <w:spacing w:val="-9"/>
          <w:sz w:val="20"/>
        </w:rPr>
        <w:t>og </w:t>
      </w:r>
      <w:r>
        <w:rPr>
          <w:rFonts w:ascii="Arial" w:hAnsi="Arial"/>
          <w:sz w:val="20"/>
        </w:rPr>
        <w:t>1950’erne sig stadig på analog</w:t>
      </w:r>
      <w:r>
        <w:rPr>
          <w:rFonts w:ascii="Arial" w:hAnsi="Arial"/>
          <w:spacing w:val="2"/>
          <w:sz w:val="20"/>
        </w:rPr>
        <w:t> </w:t>
      </w:r>
      <w:r>
        <w:rPr>
          <w:rFonts w:ascii="Arial" w:hAnsi="Arial"/>
          <w:sz w:val="20"/>
        </w:rPr>
        <w:t>form.</w:t>
      </w:r>
    </w:p>
    <w:p>
      <w:pPr>
        <w:pStyle w:val="BodyText"/>
        <w:spacing w:line="252" w:lineRule="auto" w:before="210"/>
        <w:ind w:left="1133" w:firstLine="234"/>
        <w:jc w:val="both"/>
      </w:pPr>
      <w:r>
        <w:rPr/>
        <w:t>Den billigste og mest rationelle vej til et </w:t>
      </w:r>
      <w:r>
        <w:rPr>
          <w:spacing w:val="-4"/>
        </w:rPr>
        <w:t>de- </w:t>
      </w:r>
      <w:r>
        <w:rPr/>
        <w:t>taljeret sætningskort vil være en digitalisering</w:t>
      </w:r>
      <w:r>
        <w:rPr>
          <w:spacing w:val="-19"/>
        </w:rPr>
        <w:t> </w:t>
      </w:r>
      <w:r>
        <w:rPr>
          <w:spacing w:val="-9"/>
        </w:rPr>
        <w:t>af </w:t>
      </w:r>
      <w:r>
        <w:rPr/>
        <w:t>målingerne til de godt 17.000 punkter, som </w:t>
      </w:r>
      <w:r>
        <w:rPr>
          <w:spacing w:val="-5"/>
        </w:rPr>
        <w:t>for </w:t>
      </w:r>
      <w:r>
        <w:rPr/>
        <w:t>det første vil </w:t>
      </w:r>
      <w:r>
        <w:rPr>
          <w:spacing w:val="-3"/>
        </w:rPr>
        <w:t>give </w:t>
      </w:r>
      <w:r>
        <w:rPr/>
        <w:t>et ekstra landsdækkende </w:t>
      </w:r>
      <w:r>
        <w:rPr>
          <w:spacing w:val="-4"/>
        </w:rPr>
        <w:t>data- </w:t>
      </w:r>
      <w:r>
        <w:rPr/>
        <w:t>sæt med kvalitetssikrede </w:t>
      </w:r>
      <w:r>
        <w:rPr>
          <w:spacing w:val="-3"/>
        </w:rPr>
        <w:t>koter, </w:t>
      </w:r>
      <w:r>
        <w:rPr/>
        <w:t>og for det </w:t>
      </w:r>
      <w:r>
        <w:rPr>
          <w:spacing w:val="-3"/>
        </w:rPr>
        <w:t>andet give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historik</w:t>
      </w:r>
      <w:r>
        <w:rPr>
          <w:spacing w:val="-14"/>
        </w:rPr>
        <w:t> </w:t>
      </w:r>
      <w:r>
        <w:rPr/>
        <w:t>tilbage</w:t>
      </w:r>
      <w:r>
        <w:rPr>
          <w:spacing w:val="-15"/>
        </w:rPr>
        <w:t> </w:t>
      </w:r>
      <w:r>
        <w:rPr/>
        <w:t>fra</w:t>
      </w:r>
      <w:r>
        <w:rPr>
          <w:spacing w:val="-14"/>
        </w:rPr>
        <w:t> </w:t>
      </w:r>
      <w:r>
        <w:rPr/>
        <w:t>1940’erne</w:t>
      </w:r>
      <w:r>
        <w:rPr>
          <w:spacing w:val="-15"/>
        </w:rPr>
        <w:t> </w:t>
      </w:r>
      <w:r>
        <w:rPr/>
        <w:t>og</w:t>
      </w:r>
      <w:r>
        <w:rPr>
          <w:spacing w:val="-14"/>
        </w:rPr>
        <w:t> </w:t>
      </w:r>
      <w:r>
        <w:rPr>
          <w:spacing w:val="-3"/>
        </w:rPr>
        <w:t>1950’er- </w:t>
      </w:r>
      <w:r>
        <w:rPr/>
        <w:t>ne. Dette, sammenholdt med målinger og </w:t>
      </w:r>
      <w:r>
        <w:rPr>
          <w:spacing w:val="-5"/>
        </w:rPr>
        <w:t>koter </w:t>
      </w:r>
      <w:r>
        <w:rPr/>
        <w:t>fra de mange højdenetsrenoveringer siden </w:t>
      </w:r>
      <w:r>
        <w:rPr>
          <w:spacing w:val="-6"/>
        </w:rPr>
        <w:t>star- </w:t>
      </w:r>
      <w:r>
        <w:rPr/>
        <w:t>ten af 1990’erne, vil i en række områder</w:t>
      </w:r>
      <w:r>
        <w:rPr>
          <w:spacing w:val="42"/>
        </w:rPr>
        <w:t> </w:t>
      </w:r>
      <w:r>
        <w:rPr>
          <w:spacing w:val="-3"/>
        </w:rPr>
        <w:t>udgøre</w:t>
      </w:r>
    </w:p>
    <w:p>
      <w:pPr>
        <w:pStyle w:val="BodyText"/>
        <w:spacing w:line="252" w:lineRule="auto" w:before="71"/>
        <w:ind w:left="329" w:right="1131"/>
        <w:jc w:val="both"/>
      </w:pPr>
      <w:r>
        <w:rPr/>
        <w:br w:type="column"/>
      </w:r>
      <w:r>
        <w:rPr/>
        <w:t>et</w:t>
      </w:r>
      <w:r>
        <w:rPr>
          <w:spacing w:val="-9"/>
        </w:rPr>
        <w:t> </w:t>
      </w:r>
      <w:r>
        <w:rPr/>
        <w:t>godt</w:t>
      </w:r>
      <w:r>
        <w:rPr>
          <w:spacing w:val="-8"/>
        </w:rPr>
        <w:t> </w:t>
      </w:r>
      <w:r>
        <w:rPr/>
        <w:t>vidensgrundlag</w:t>
      </w:r>
      <w:r>
        <w:rPr>
          <w:spacing w:val="-8"/>
        </w:rPr>
        <w:t> </w:t>
      </w:r>
      <w:r>
        <w:rPr/>
        <w:t>for</w:t>
      </w:r>
      <w:r>
        <w:rPr>
          <w:spacing w:val="-9"/>
        </w:rPr>
        <w:t> </w:t>
      </w:r>
      <w:r>
        <w:rPr/>
        <w:t>at</w:t>
      </w:r>
      <w:r>
        <w:rPr>
          <w:spacing w:val="-7"/>
        </w:rPr>
        <w:t> </w:t>
      </w:r>
      <w:r>
        <w:rPr/>
        <w:t>vurdere,</w:t>
      </w:r>
      <w:r>
        <w:rPr>
          <w:spacing w:val="-9"/>
        </w:rPr>
        <w:t> </w:t>
      </w:r>
      <w:r>
        <w:rPr/>
        <w:t>om</w:t>
      </w:r>
      <w:r>
        <w:rPr>
          <w:spacing w:val="-8"/>
        </w:rPr>
        <w:t> </w:t>
      </w:r>
      <w:r>
        <w:rPr/>
        <w:t>der</w:t>
      </w:r>
      <w:r>
        <w:rPr>
          <w:spacing w:val="-8"/>
        </w:rPr>
        <w:t> </w:t>
      </w:r>
      <w:r>
        <w:rPr>
          <w:spacing w:val="-5"/>
        </w:rPr>
        <w:t>fo- </w:t>
      </w:r>
      <w:r>
        <w:rPr/>
        <w:t>rekommer vertikale landbevægelser, og i </w:t>
      </w:r>
      <w:r>
        <w:rPr>
          <w:spacing w:val="-3"/>
        </w:rPr>
        <w:t>hvilket </w:t>
      </w:r>
      <w:r>
        <w:rPr/>
        <w:t>omfang der eventuelt skal udføres supplerende målekampagner.</w:t>
      </w:r>
    </w:p>
    <w:p>
      <w:pPr>
        <w:pStyle w:val="BodyText"/>
        <w:spacing w:line="221" w:lineRule="exact"/>
        <w:ind w:left="563"/>
      </w:pPr>
      <w:r>
        <w:rPr/>
        <w:t>Det vurderes, at der er et potentiale i at kombi-</w:t>
      </w:r>
    </w:p>
    <w:p>
      <w:pPr>
        <w:pStyle w:val="BodyText"/>
        <w:spacing w:line="252" w:lineRule="auto" w:before="13"/>
        <w:ind w:left="329" w:right="1131"/>
        <w:jc w:val="both"/>
      </w:pPr>
      <w:r>
        <w:rPr/>
        <w:t>nere traditionelle højdemålinger med ændrings- rater beregnet vha. PSI-teknologi, både i </w:t>
      </w:r>
      <w:r>
        <w:rPr>
          <w:spacing w:val="-3"/>
        </w:rPr>
        <w:t>forhold </w:t>
      </w:r>
      <w:r>
        <w:rPr/>
        <w:t>til at få fortættet datagrundlaget, men også i </w:t>
      </w:r>
      <w:r>
        <w:rPr>
          <w:spacing w:val="-6"/>
        </w:rPr>
        <w:t>for- </w:t>
      </w:r>
      <w:r>
        <w:rPr/>
        <w:t>hold til at få skabt et grundlag for en uafhæn- gig</w:t>
      </w:r>
      <w:r>
        <w:rPr>
          <w:spacing w:val="-9"/>
        </w:rPr>
        <w:t> </w:t>
      </w:r>
      <w:r>
        <w:rPr/>
        <w:t>kvalitetskontrol</w:t>
      </w:r>
      <w:r>
        <w:rPr>
          <w:spacing w:val="-8"/>
        </w:rPr>
        <w:t> </w:t>
      </w:r>
      <w:r>
        <w:rPr/>
        <w:t>af</w:t>
      </w:r>
      <w:r>
        <w:rPr>
          <w:spacing w:val="-8"/>
        </w:rPr>
        <w:t> </w:t>
      </w:r>
      <w:r>
        <w:rPr/>
        <w:t>hvert</w:t>
      </w:r>
      <w:r>
        <w:rPr>
          <w:spacing w:val="-8"/>
        </w:rPr>
        <w:t> </w:t>
      </w:r>
      <w:r>
        <w:rPr/>
        <w:t>af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datasæt.</w:t>
      </w:r>
      <w:r>
        <w:rPr>
          <w:spacing w:val="-9"/>
        </w:rPr>
        <w:t> </w:t>
      </w:r>
      <w:r>
        <w:rPr>
          <w:spacing w:val="-5"/>
        </w:rPr>
        <w:t>Det </w:t>
      </w:r>
      <w:r>
        <w:rPr/>
        <w:t>bør derfor undersøges nærmere, hvad den </w:t>
      </w:r>
      <w:r>
        <w:rPr>
          <w:spacing w:val="-4"/>
        </w:rPr>
        <w:t>rum- </w:t>
      </w:r>
      <w:r>
        <w:rPr/>
        <w:t>lige og temporale dækningsgrad er mht. </w:t>
      </w:r>
      <w:r>
        <w:rPr>
          <w:spacing w:val="-5"/>
        </w:rPr>
        <w:t>radar- </w:t>
      </w:r>
      <w:r>
        <w:rPr/>
        <w:t>satellitbilleder over Danmark, herunder om </w:t>
      </w:r>
      <w:r>
        <w:rPr>
          <w:spacing w:val="-4"/>
        </w:rPr>
        <w:t>den- </w:t>
      </w:r>
      <w:r>
        <w:rPr/>
        <w:t>ne er tilstrækkelig til at opnå en tilfredsstillende nøjagtighed på de resulterende </w:t>
      </w:r>
      <w:r>
        <w:rPr>
          <w:spacing w:val="-3"/>
        </w:rPr>
        <w:t>PSI-beregninger. </w:t>
      </w:r>
      <w:r>
        <w:rPr/>
        <w:t>Endvidere bør vilkår og økonomi </w:t>
      </w:r>
      <w:r>
        <w:rPr>
          <w:spacing w:val="-4"/>
        </w:rPr>
        <w:t>vedr. </w:t>
      </w:r>
      <w:r>
        <w:rPr>
          <w:spacing w:val="-3"/>
        </w:rPr>
        <w:t>frem- </w:t>
      </w:r>
      <w:r>
        <w:rPr/>
        <w:t>skaffelse af PSI-beregnede ændringsrater for</w:t>
      </w:r>
      <w:r>
        <w:rPr>
          <w:spacing w:val="-24"/>
        </w:rPr>
        <w:t> </w:t>
      </w:r>
      <w:r>
        <w:rPr>
          <w:spacing w:val="-5"/>
        </w:rPr>
        <w:t>he- </w:t>
      </w:r>
      <w:r>
        <w:rPr/>
        <w:t>le Danmark undersøges. Endelig vil et </w:t>
      </w:r>
      <w:r>
        <w:rPr>
          <w:spacing w:val="-3"/>
        </w:rPr>
        <w:t>fremad- </w:t>
      </w:r>
      <w:r>
        <w:rPr/>
        <w:t>rettet fokus på og indsamling af data fra </w:t>
      </w:r>
      <w:r>
        <w:rPr>
          <w:spacing w:val="-4"/>
        </w:rPr>
        <w:t>GPS- </w:t>
      </w:r>
      <w:r>
        <w:rPr/>
        <w:t>målinger, herunder på forskelle i resultater </w:t>
      </w:r>
      <w:r>
        <w:rPr>
          <w:spacing w:val="-5"/>
        </w:rPr>
        <w:t>fra </w:t>
      </w:r>
      <w:r>
        <w:rPr/>
        <w:t>GPS-målinger og traditionelle opmålinger, </w:t>
      </w:r>
      <w:r>
        <w:rPr>
          <w:spacing w:val="-4"/>
        </w:rPr>
        <w:t>kun- </w:t>
      </w:r>
      <w:r>
        <w:rPr/>
        <w:t>ne </w:t>
      </w:r>
      <w:r>
        <w:rPr>
          <w:spacing w:val="-3"/>
        </w:rPr>
        <w:t>give </w:t>
      </w:r>
      <w:r>
        <w:rPr/>
        <w:t>et mere detaljeret billede af sætnings- mønstre og de faktorer, der har betydning </w:t>
      </w:r>
      <w:r>
        <w:rPr>
          <w:spacing w:val="-4"/>
        </w:rPr>
        <w:t>for </w:t>
      </w:r>
      <w:r>
        <w:rPr/>
        <w:t>sætninger.</w:t>
      </w:r>
    </w:p>
    <w:p>
      <w:pPr>
        <w:pStyle w:val="BodyText"/>
        <w:spacing w:before="6"/>
        <w:rPr>
          <w:sz w:val="38"/>
        </w:rPr>
      </w:pPr>
    </w:p>
    <w:p>
      <w:pPr>
        <w:pStyle w:val="Heading2"/>
        <w:numPr>
          <w:ilvl w:val="1"/>
          <w:numId w:val="6"/>
        </w:numPr>
        <w:tabs>
          <w:tab w:pos="1086" w:val="left" w:leader="none"/>
          <w:tab w:pos="1087" w:val="left" w:leader="none"/>
          <w:tab w:pos="3174" w:val="left" w:leader="none"/>
          <w:tab w:pos="3854" w:val="left" w:leader="none"/>
        </w:tabs>
        <w:spacing w:line="295" w:lineRule="auto" w:before="0" w:after="0"/>
        <w:ind w:left="1086" w:right="1131" w:hanging="757"/>
        <w:jc w:val="left"/>
      </w:pPr>
      <w:bookmarkStart w:name="_bookmark38" w:id="55"/>
      <w:bookmarkEnd w:id="55"/>
      <w:r>
        <w:rPr>
          <w:b w:val="0"/>
        </w:rPr>
      </w:r>
      <w:bookmarkStart w:name="_bookmark38" w:id="56"/>
      <w:bookmarkEnd w:id="56"/>
      <w:r>
        <w:rPr/>
        <w:t>Fikspunkter</w:t>
      </w:r>
      <w:r>
        <w:rPr/>
        <w:tab/>
        <w:t>og</w:t>
        <w:tab/>
      </w:r>
      <w:r>
        <w:rPr>
          <w:spacing w:val="-3"/>
        </w:rPr>
        <w:t>terræn- </w:t>
      </w:r>
      <w:r>
        <w:rPr/>
        <w:t>koter</w:t>
      </w:r>
    </w:p>
    <w:p>
      <w:pPr>
        <w:pStyle w:val="BodyText"/>
        <w:spacing w:line="252" w:lineRule="auto" w:before="164"/>
        <w:ind w:left="329" w:right="1131"/>
        <w:jc w:val="both"/>
      </w:pPr>
      <w:r>
        <w:rPr/>
        <w:t>Det er vigtigt også at påpege, at gentagelsesmå- linger til veldefinerede fikspunkter på</w:t>
      </w:r>
      <w:r>
        <w:rPr>
          <w:spacing w:val="-37"/>
        </w:rPr>
        <w:t> </w:t>
      </w:r>
      <w:r>
        <w:rPr/>
        <w:t>bygninger og de heraf beregnede sætningsrater ikke </w:t>
      </w:r>
      <w:r>
        <w:rPr>
          <w:spacing w:val="-4"/>
        </w:rPr>
        <w:t>nød- </w:t>
      </w:r>
      <w:r>
        <w:rPr/>
        <w:t>vendigvis er repræsentative for overfladeterræ- nets vertikale bevægelser, hvor der sagtens </w:t>
      </w:r>
      <w:r>
        <w:rPr>
          <w:spacing w:val="-4"/>
        </w:rPr>
        <w:t>kan </w:t>
      </w:r>
      <w:r>
        <w:rPr/>
        <w:t>forekomme langt større ændringer end 10 </w:t>
      </w:r>
      <w:r>
        <w:rPr>
          <w:spacing w:val="-7"/>
        </w:rPr>
        <w:t>mm </w:t>
      </w:r>
      <w:r>
        <w:rPr/>
        <w:t>om året. Dette kan f.eks. skyldes dræning,</w:t>
      </w:r>
      <w:r>
        <w:rPr>
          <w:spacing w:val="-40"/>
        </w:rPr>
        <w:t> </w:t>
      </w:r>
      <w:r>
        <w:rPr>
          <w:spacing w:val="-3"/>
        </w:rPr>
        <w:t>sænk- </w:t>
      </w:r>
      <w:r>
        <w:rPr/>
        <w:t>ning af grundvandstanden og ændret belastning af overfladen. I sådanne områder må det </w:t>
      </w:r>
      <w:r>
        <w:rPr>
          <w:spacing w:val="-6"/>
        </w:rPr>
        <w:t>for- </w:t>
      </w:r>
      <w:r>
        <w:rPr/>
        <w:t>ventes, at den relative nøjagtighed i </w:t>
      </w:r>
      <w:r>
        <w:rPr>
          <w:spacing w:val="-5"/>
        </w:rPr>
        <w:t>DHM/Ter- </w:t>
      </w:r>
      <w:r>
        <w:rPr/>
        <w:t>ræn kun er aktuel i en kortere periode, og </w:t>
      </w:r>
      <w:r>
        <w:rPr>
          <w:spacing w:val="-7"/>
        </w:rPr>
        <w:t>der- </w:t>
      </w:r>
      <w:r>
        <w:rPr/>
        <w:t>for kan en hyppigere vedligeholdelsesfrekvens lokalt være nødvendig – især i</w:t>
      </w:r>
      <w:r>
        <w:rPr>
          <w:spacing w:val="-33"/>
        </w:rPr>
        <w:t> </w:t>
      </w:r>
      <w:r>
        <w:rPr/>
        <w:t>oversvømmelses- truede områder, hvor få cm kan </w:t>
      </w:r>
      <w:r>
        <w:rPr>
          <w:spacing w:val="-3"/>
        </w:rPr>
        <w:t>have </w:t>
      </w:r>
      <w:r>
        <w:rPr/>
        <w:t>afgørende betydning for overfladevandets strømningsmøn- stre og</w:t>
      </w:r>
      <w:r>
        <w:rPr>
          <w:spacing w:val="-3"/>
        </w:rPr>
        <w:t> </w:t>
      </w:r>
      <w:r>
        <w:rPr/>
        <w:t>akkumulation.</w:t>
      </w:r>
    </w:p>
    <w:p>
      <w:pPr>
        <w:spacing w:after="0" w:line="252" w:lineRule="auto"/>
        <w:jc w:val="both"/>
        <w:sectPr>
          <w:pgSz w:w="11910" w:h="16840"/>
          <w:pgMar w:header="0" w:footer="546" w:top="1060" w:bottom="740" w:left="0" w:right="0"/>
          <w:cols w:num="2" w:equalWidth="0">
            <w:col w:w="5769" w:space="40"/>
            <w:col w:w="6101"/>
          </w:cols>
        </w:sectPr>
      </w:pPr>
    </w:p>
    <w:p>
      <w:pPr>
        <w:pStyle w:val="BodyText"/>
        <w:spacing w:before="10"/>
        <w:rPr>
          <w:sz w:val="28"/>
        </w:rPr>
      </w:pPr>
    </w:p>
    <w:p>
      <w:pPr>
        <w:spacing w:before="111"/>
        <w:ind w:left="1133" w:right="0" w:firstLine="0"/>
        <w:jc w:val="left"/>
        <w:rPr>
          <w:rFonts w:ascii="Arial"/>
          <w:b/>
          <w:sz w:val="45"/>
        </w:rPr>
      </w:pPr>
      <w:r>
        <w:rPr>
          <w:rFonts w:ascii="Arial"/>
          <w:b/>
          <w:sz w:val="45"/>
        </w:rPr>
        <w:t>Kapitel 5</w:t>
      </w:r>
    </w:p>
    <w:p>
      <w:pPr>
        <w:spacing w:before="478"/>
        <w:ind w:left="1133" w:right="0" w:firstLine="0"/>
        <w:jc w:val="left"/>
        <w:rPr>
          <w:rFonts w:ascii="Arial"/>
          <w:b/>
          <w:sz w:val="45"/>
        </w:rPr>
      </w:pPr>
      <w:r>
        <w:rPr>
          <w:rFonts w:ascii="Arial"/>
          <w:b/>
          <w:sz w:val="45"/>
        </w:rPr>
        <w:t>Konklusion og perspektivering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2"/>
        </w:rPr>
      </w:pPr>
    </w:p>
    <w:p>
      <w:pPr>
        <w:spacing w:after="0"/>
        <w:rPr>
          <w:rFonts w:ascii="Arial"/>
          <w:sz w:val="22"/>
        </w:rPr>
        <w:sectPr>
          <w:footerReference w:type="default" r:id="rId48"/>
          <w:pgSz w:w="11910" w:h="16840"/>
          <w:pgMar w:footer="0" w:header="0" w:top="1580" w:bottom="280" w:left="0" w:right="0"/>
        </w:sectPr>
      </w:pPr>
    </w:p>
    <w:p>
      <w:pPr>
        <w:pStyle w:val="BodyText"/>
        <w:spacing w:line="252" w:lineRule="auto" w:before="97"/>
        <w:ind w:left="1133" w:firstLine="234"/>
        <w:jc w:val="both"/>
      </w:pPr>
      <w:bookmarkStart w:name="_bookmark39" w:id="57"/>
      <w:bookmarkEnd w:id="57"/>
      <w:r>
        <w:rPr/>
      </w:r>
      <w:r>
        <w:rPr/>
        <w:t>De udpegede områder i screeningskortet, </w:t>
      </w:r>
      <w:r>
        <w:rPr>
          <w:spacing w:val="-9"/>
        </w:rPr>
        <w:t>er </w:t>
      </w:r>
      <w:r>
        <w:rPr/>
        <w:t>karakteriseret ved signifikant større sætninger end øvrige områder. Screeningskortet tjener</w:t>
      </w:r>
      <w:r>
        <w:rPr>
          <w:spacing w:val="-27"/>
        </w:rPr>
        <w:t> </w:t>
      </w:r>
      <w:r>
        <w:rPr>
          <w:spacing w:val="-6"/>
        </w:rPr>
        <w:t>der- </w:t>
      </w:r>
      <w:r>
        <w:rPr/>
        <w:t>for som et kvalificeret første bud på, hvor </w:t>
      </w:r>
      <w:r>
        <w:rPr>
          <w:spacing w:val="-5"/>
        </w:rPr>
        <w:t>man </w:t>
      </w:r>
      <w:r>
        <w:rPr/>
        <w:t>bør</w:t>
      </w:r>
      <w:r>
        <w:rPr>
          <w:spacing w:val="-14"/>
        </w:rPr>
        <w:t> </w:t>
      </w:r>
      <w:r>
        <w:rPr/>
        <w:t>være</w:t>
      </w:r>
      <w:r>
        <w:rPr>
          <w:spacing w:val="-13"/>
        </w:rPr>
        <w:t> </w:t>
      </w:r>
      <w:r>
        <w:rPr/>
        <w:t>særligt</w:t>
      </w:r>
      <w:r>
        <w:rPr>
          <w:spacing w:val="-14"/>
        </w:rPr>
        <w:t> </w:t>
      </w:r>
      <w:r>
        <w:rPr/>
        <w:t>opmærksom</w:t>
      </w:r>
      <w:r>
        <w:rPr>
          <w:spacing w:val="-13"/>
        </w:rPr>
        <w:t> </w:t>
      </w:r>
      <w:r>
        <w:rPr/>
        <w:t>på</w:t>
      </w:r>
      <w:r>
        <w:rPr>
          <w:spacing w:val="-14"/>
        </w:rPr>
        <w:t> </w:t>
      </w:r>
      <w:r>
        <w:rPr/>
        <w:t>risikoen</w:t>
      </w:r>
      <w:r>
        <w:rPr>
          <w:spacing w:val="-13"/>
        </w:rPr>
        <w:t> </w:t>
      </w:r>
      <w:r>
        <w:rPr/>
        <w:t>for</w:t>
      </w:r>
      <w:r>
        <w:rPr>
          <w:spacing w:val="-14"/>
        </w:rPr>
        <w:t> </w:t>
      </w:r>
      <w:r>
        <w:rPr>
          <w:spacing w:val="-4"/>
        </w:rPr>
        <w:t>sæt- </w:t>
      </w:r>
      <w:r>
        <w:rPr/>
        <w:t>ningsproblematikker. Kortet har et </w:t>
      </w:r>
      <w:r>
        <w:rPr>
          <w:spacing w:val="-4"/>
        </w:rPr>
        <w:t>anvendelses- </w:t>
      </w:r>
      <w:r>
        <w:rPr/>
        <w:t>potentiale f.eks. ved udarbejdelse af</w:t>
      </w:r>
      <w:r>
        <w:rPr>
          <w:spacing w:val="-19"/>
        </w:rPr>
        <w:t> </w:t>
      </w:r>
      <w:r>
        <w:rPr>
          <w:spacing w:val="-2"/>
        </w:rPr>
        <w:t>klimatilpas- </w:t>
      </w:r>
      <w:r>
        <w:rPr/>
        <w:t>ningsplaner eller i forbindelse med </w:t>
      </w:r>
      <w:r>
        <w:rPr>
          <w:spacing w:val="-3"/>
        </w:rPr>
        <w:t>renovering </w:t>
      </w:r>
      <w:r>
        <w:rPr/>
        <w:t>og projektering af</w:t>
      </w:r>
      <w:r>
        <w:rPr>
          <w:spacing w:val="-6"/>
        </w:rPr>
        <w:t> </w:t>
      </w:r>
      <w:r>
        <w:rPr/>
        <w:t>kloakarbejder.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Undersøgelsen viser dog også sætninger i </w:t>
      </w:r>
      <w:r>
        <w:rPr>
          <w:spacing w:val="-8"/>
        </w:rPr>
        <w:t>en </w:t>
      </w:r>
      <w:r>
        <w:rPr/>
        <w:t>del punkter, beregnet ud fra historiske højdemå- linger og koteberegninger, der ikke er </w:t>
      </w:r>
      <w:r>
        <w:rPr>
          <w:spacing w:val="-3"/>
        </w:rPr>
        <w:t>omfattet </w:t>
      </w:r>
      <w:r>
        <w:rPr/>
        <w:t>af screeningskortet. Dette indikerer, at der er</w:t>
      </w:r>
      <w:r>
        <w:rPr>
          <w:spacing w:val="-30"/>
        </w:rPr>
        <w:t> </w:t>
      </w:r>
      <w:r>
        <w:rPr>
          <w:spacing w:val="-4"/>
        </w:rPr>
        <w:t>be- </w:t>
      </w:r>
      <w:r>
        <w:rPr/>
        <w:t>hov</w:t>
      </w:r>
      <w:r>
        <w:rPr>
          <w:spacing w:val="-19"/>
        </w:rPr>
        <w:t> </w:t>
      </w:r>
      <w:r>
        <w:rPr/>
        <w:t>for</w:t>
      </w:r>
      <w:r>
        <w:rPr>
          <w:spacing w:val="-19"/>
        </w:rPr>
        <w:t> </w:t>
      </w:r>
      <w:r>
        <w:rPr/>
        <w:t>at</w:t>
      </w:r>
      <w:r>
        <w:rPr>
          <w:spacing w:val="-19"/>
        </w:rPr>
        <w:t> </w:t>
      </w:r>
      <w:r>
        <w:rPr/>
        <w:t>lede</w:t>
      </w:r>
      <w:r>
        <w:rPr>
          <w:spacing w:val="-19"/>
        </w:rPr>
        <w:t> </w:t>
      </w:r>
      <w:r>
        <w:rPr/>
        <w:t>efter</w:t>
      </w:r>
      <w:r>
        <w:rPr>
          <w:spacing w:val="-19"/>
        </w:rPr>
        <w:t> </w:t>
      </w:r>
      <w:r>
        <w:rPr/>
        <w:t>flere</w:t>
      </w:r>
      <w:r>
        <w:rPr>
          <w:spacing w:val="-19"/>
        </w:rPr>
        <w:t> </w:t>
      </w:r>
      <w:r>
        <w:rPr/>
        <w:t>forklarende</w:t>
      </w:r>
      <w:r>
        <w:rPr>
          <w:spacing w:val="-19"/>
        </w:rPr>
        <w:t> </w:t>
      </w:r>
      <w:r>
        <w:rPr/>
        <w:t>faktorer</w:t>
      </w:r>
      <w:r>
        <w:rPr>
          <w:spacing w:val="-19"/>
        </w:rPr>
        <w:t> </w:t>
      </w:r>
      <w:r>
        <w:rPr>
          <w:spacing w:val="-5"/>
        </w:rPr>
        <w:t>end </w:t>
      </w:r>
      <w:r>
        <w:rPr/>
        <w:t>omfattet</w:t>
      </w:r>
      <w:r>
        <w:rPr>
          <w:spacing w:val="-15"/>
        </w:rPr>
        <w:t> </w:t>
      </w:r>
      <w:r>
        <w:rPr/>
        <w:t>af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datasæt</w:t>
      </w:r>
      <w:r>
        <w:rPr>
          <w:spacing w:val="-14"/>
        </w:rPr>
        <w:t> </w:t>
      </w:r>
      <w:r>
        <w:rPr/>
        <w:t>og</w:t>
      </w:r>
      <w:r>
        <w:rPr>
          <w:spacing w:val="-14"/>
        </w:rPr>
        <w:t> </w:t>
      </w:r>
      <w:r>
        <w:rPr/>
        <w:t>metoder,</w:t>
      </w:r>
      <w:r>
        <w:rPr>
          <w:spacing w:val="-14"/>
        </w:rPr>
        <w:t> </w:t>
      </w:r>
      <w:r>
        <w:rPr/>
        <w:t>som</w:t>
      </w:r>
      <w:r>
        <w:rPr>
          <w:spacing w:val="-14"/>
        </w:rPr>
        <w:t> </w:t>
      </w:r>
      <w:r>
        <w:rPr/>
        <w:t>her</w:t>
      </w:r>
      <w:r>
        <w:rPr>
          <w:spacing w:val="-14"/>
        </w:rPr>
        <w:t> </w:t>
      </w:r>
      <w:r>
        <w:rPr/>
        <w:t>er</w:t>
      </w:r>
      <w:r>
        <w:rPr>
          <w:spacing w:val="-14"/>
        </w:rPr>
        <w:t> </w:t>
      </w:r>
      <w:r>
        <w:rPr>
          <w:spacing w:val="-5"/>
        </w:rPr>
        <w:t>an- </w:t>
      </w:r>
      <w:r>
        <w:rPr/>
        <w:t>vendt til udarbejdelse af</w:t>
      </w:r>
      <w:r>
        <w:rPr>
          <w:spacing w:val="-10"/>
        </w:rPr>
        <w:t> </w:t>
      </w:r>
      <w:r>
        <w:rPr/>
        <w:t>screeningskortet.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Der er en tydelig tendens til, at meget </w:t>
      </w:r>
      <w:r>
        <w:rPr>
          <w:spacing w:val="-5"/>
        </w:rPr>
        <w:t>sto-    </w:t>
      </w:r>
      <w:r>
        <w:rPr/>
        <w:t>re sætningsrater findes på opfyldsarealer. </w:t>
      </w:r>
      <w:r>
        <w:rPr>
          <w:spacing w:val="-7"/>
        </w:rPr>
        <w:t>Her- </w:t>
      </w:r>
      <w:r>
        <w:rPr/>
        <w:t>udover forekommer større sætningsrater </w:t>
      </w:r>
      <w:r>
        <w:rPr>
          <w:spacing w:val="-3"/>
        </w:rPr>
        <w:t>typisk  </w:t>
      </w:r>
      <w:r>
        <w:rPr/>
        <w:t>i områder med postglaciale aflejringer eller </w:t>
      </w:r>
      <w:r>
        <w:rPr>
          <w:spacing w:val="-9"/>
        </w:rPr>
        <w:t>på </w:t>
      </w:r>
      <w:r>
        <w:rPr/>
        <w:t>inddæmmede arealer. Undersøgelsen viser </w:t>
      </w:r>
      <w:r>
        <w:rPr>
          <w:spacing w:val="-3"/>
        </w:rPr>
        <w:t>såle- </w:t>
      </w:r>
      <w:r>
        <w:rPr/>
        <w:t>des, at opfyldsarealer f.eks. omkring større </w:t>
      </w:r>
      <w:r>
        <w:rPr>
          <w:spacing w:val="-7"/>
        </w:rPr>
        <w:t>hav- </w:t>
      </w:r>
      <w:r>
        <w:rPr/>
        <w:t>ne er karakteriseret ved høje sætningsrater, </w:t>
      </w:r>
      <w:r>
        <w:rPr>
          <w:spacing w:val="-5"/>
        </w:rPr>
        <w:t>samt </w:t>
      </w:r>
      <w:r>
        <w:rPr/>
        <w:t>at</w:t>
      </w:r>
      <w:r>
        <w:rPr>
          <w:spacing w:val="-12"/>
        </w:rPr>
        <w:t> </w:t>
      </w:r>
      <w:r>
        <w:rPr/>
        <w:t>større</w:t>
      </w:r>
      <w:r>
        <w:rPr>
          <w:spacing w:val="-11"/>
        </w:rPr>
        <w:t> </w:t>
      </w:r>
      <w:r>
        <w:rPr/>
        <w:t>områder</w:t>
      </w:r>
      <w:r>
        <w:rPr>
          <w:spacing w:val="-11"/>
        </w:rPr>
        <w:t> </w:t>
      </w:r>
      <w:r>
        <w:rPr/>
        <w:t>med</w:t>
      </w:r>
      <w:r>
        <w:rPr>
          <w:spacing w:val="-11"/>
        </w:rPr>
        <w:t> </w:t>
      </w:r>
      <w:r>
        <w:rPr/>
        <w:t>relativt</w:t>
      </w:r>
      <w:r>
        <w:rPr>
          <w:spacing w:val="-11"/>
        </w:rPr>
        <w:t> </w:t>
      </w:r>
      <w:r>
        <w:rPr/>
        <w:t>store</w:t>
      </w:r>
      <w:r>
        <w:rPr>
          <w:spacing w:val="-12"/>
        </w:rPr>
        <w:t> </w:t>
      </w:r>
      <w:r>
        <w:rPr/>
        <w:t>sætninger</w:t>
      </w:r>
      <w:r>
        <w:rPr>
          <w:spacing w:val="-10"/>
        </w:rPr>
        <w:t> </w:t>
      </w:r>
      <w:r>
        <w:rPr>
          <w:spacing w:val="-6"/>
        </w:rPr>
        <w:t>fo- </w:t>
      </w:r>
      <w:r>
        <w:rPr/>
        <w:t>rekommer langs den jyske vestkyst, visse </w:t>
      </w:r>
      <w:r>
        <w:rPr>
          <w:spacing w:val="-3"/>
        </w:rPr>
        <w:t>steder </w:t>
      </w:r>
      <w:r>
        <w:rPr/>
        <w:t>i Limfjordsregionen og omkring Aarhus. </w:t>
      </w:r>
      <w:r>
        <w:rPr>
          <w:spacing w:val="-3"/>
        </w:rPr>
        <w:t>Hertil </w:t>
      </w:r>
      <w:r>
        <w:rPr/>
        <w:t>kommer andre mindre områder spredt ud </w:t>
      </w:r>
      <w:r>
        <w:rPr>
          <w:spacing w:val="-6"/>
        </w:rPr>
        <w:t>over </w:t>
      </w:r>
      <w:r>
        <w:rPr/>
        <w:t>landet, hvoraf en stor del er beliggende i </w:t>
      </w:r>
      <w:r>
        <w:rPr>
          <w:spacing w:val="-3"/>
        </w:rPr>
        <w:t>bebyg- </w:t>
      </w:r>
      <w:r>
        <w:rPr/>
        <w:t>gede</w:t>
      </w:r>
      <w:r>
        <w:rPr>
          <w:spacing w:val="-2"/>
        </w:rPr>
        <w:t> </w:t>
      </w:r>
      <w:r>
        <w:rPr/>
        <w:t>områder.</w:t>
      </w:r>
    </w:p>
    <w:p>
      <w:pPr>
        <w:pStyle w:val="BodyText"/>
        <w:spacing w:line="252" w:lineRule="auto"/>
        <w:ind w:left="1133" w:firstLine="234"/>
        <w:jc w:val="both"/>
      </w:pPr>
      <w:r>
        <w:rPr/>
        <w:t>Kortlægningen kan forbedres ved at inddrage information om andre sætningsgivende </w:t>
      </w:r>
      <w:r>
        <w:rPr>
          <w:spacing w:val="-5"/>
        </w:rPr>
        <w:t>faktorer. </w:t>
      </w:r>
      <w:r>
        <w:rPr/>
        <w:t>Især en kortlægning af opfyldsområder </w:t>
      </w:r>
      <w:r>
        <w:rPr>
          <w:spacing w:val="-3"/>
        </w:rPr>
        <w:t>vurderes </w:t>
      </w:r>
      <w:r>
        <w:rPr/>
        <w:t>at kunne forbedre nøjagtigheden af screenings- kortet væsentligt, men også information om</w:t>
      </w:r>
      <w:r>
        <w:rPr>
          <w:spacing w:val="51"/>
        </w:rPr>
        <w:t> </w:t>
      </w:r>
      <w:r>
        <w:rPr>
          <w:spacing w:val="-5"/>
        </w:rPr>
        <w:t>dy-</w:t>
      </w:r>
    </w:p>
    <w:p>
      <w:pPr>
        <w:pStyle w:val="BodyText"/>
        <w:spacing w:line="252" w:lineRule="auto" w:before="97"/>
        <w:ind w:left="329" w:right="1131"/>
        <w:jc w:val="both"/>
      </w:pPr>
      <w:r>
        <w:rPr/>
        <w:br w:type="column"/>
      </w:r>
      <w:r>
        <w:rPr/>
        <w:t>bereliggende</w:t>
      </w:r>
      <w:r>
        <w:rPr>
          <w:spacing w:val="-20"/>
        </w:rPr>
        <w:t> </w:t>
      </w:r>
      <w:r>
        <w:rPr/>
        <w:t>geologiske</w:t>
      </w:r>
      <w:r>
        <w:rPr>
          <w:spacing w:val="-19"/>
        </w:rPr>
        <w:t> </w:t>
      </w:r>
      <w:r>
        <w:rPr/>
        <w:t>forhold,</w:t>
      </w:r>
      <w:r>
        <w:rPr>
          <w:spacing w:val="-20"/>
        </w:rPr>
        <w:t> </w:t>
      </w:r>
      <w:r>
        <w:rPr/>
        <w:t>f.eks.</w:t>
      </w:r>
      <w:r>
        <w:rPr>
          <w:spacing w:val="-19"/>
        </w:rPr>
        <w:t> </w:t>
      </w:r>
      <w:r>
        <w:rPr/>
        <w:t>salthorst- formationer, sprækkedale og plastisk </w:t>
      </w:r>
      <w:r>
        <w:rPr>
          <w:spacing w:val="-3"/>
        </w:rPr>
        <w:t>ler, vurde- </w:t>
      </w:r>
      <w:r>
        <w:rPr/>
        <w:t>res at kunne bidrage til forbedring af</w:t>
      </w:r>
      <w:r>
        <w:rPr>
          <w:spacing w:val="-15"/>
        </w:rPr>
        <w:t> </w:t>
      </w:r>
      <w:r>
        <w:rPr/>
        <w:t>kortet.</w:t>
      </w:r>
    </w:p>
    <w:p>
      <w:pPr>
        <w:pStyle w:val="BodyText"/>
        <w:spacing w:line="228" w:lineRule="auto" w:before="8"/>
        <w:ind w:left="329" w:right="1131" w:firstLine="234"/>
        <w:jc w:val="both"/>
      </w:pPr>
      <w:r>
        <w:rPr/>
        <w:t>Fremtidige arbejder vil sigte mod en kortlæg- ning af absolut vertikal landbevægelse på lokal skala. Der er behov for en landsdækkende kort-</w:t>
      </w:r>
    </w:p>
    <w:p>
      <w:pPr>
        <w:pStyle w:val="BodyText"/>
        <w:spacing w:line="252" w:lineRule="auto" w:before="18"/>
        <w:ind w:left="329" w:right="1131"/>
        <w:jc w:val="both"/>
      </w:pPr>
      <w:r>
        <w:rPr/>
        <w:t>lægning, som indeholder information om både sætninger og hævninger, herunder også infor- mation om geologisk stabilitet. Der kan tages udgangspunkt i højdemålinger fra fikspunkter- ne og i de historiske målinger på analog form. Disse data kan sammen med nye højdemålinger fra traditionel opmåling og GPS, samt evt. PSI- beregnede ændringsrater, danne udgangspunkt for kortlægningen.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Et mere detaljeret datagrundlag kan samtidig bidrage til en øget forståelse af de </w:t>
      </w:r>
      <w:r>
        <w:rPr>
          <w:spacing w:val="-3"/>
        </w:rPr>
        <w:t>geologiske </w:t>
      </w:r>
      <w:r>
        <w:rPr/>
        <w:t>forhold, som har betydning for vertikale landbe- vægelser; herunder fordelingen af de </w:t>
      </w:r>
      <w:r>
        <w:rPr>
          <w:spacing w:val="-3"/>
        </w:rPr>
        <w:t>forskellige </w:t>
      </w:r>
      <w:r>
        <w:rPr/>
        <w:t>sedimenter, der findes under istidslagene, </w:t>
      </w:r>
      <w:r>
        <w:rPr>
          <w:spacing w:val="-4"/>
        </w:rPr>
        <w:t>samt</w:t>
      </w:r>
      <w:r>
        <w:rPr>
          <w:spacing w:val="52"/>
        </w:rPr>
        <w:t> </w:t>
      </w:r>
      <w:r>
        <w:rPr/>
        <w:t>forekomster af saltformationer og </w:t>
      </w:r>
      <w:r>
        <w:rPr>
          <w:spacing w:val="-2"/>
        </w:rPr>
        <w:t>forkastnings- </w:t>
      </w:r>
      <w:r>
        <w:rPr>
          <w:spacing w:val="-3"/>
        </w:rPr>
        <w:t>zoner.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En forbedret viden om og forståelse af </w:t>
      </w:r>
      <w:r>
        <w:rPr>
          <w:spacing w:val="-7"/>
        </w:rPr>
        <w:t>de </w:t>
      </w:r>
      <w:r>
        <w:rPr/>
        <w:t>geodynamiske sammenhænge, som tilsammen er styrende for vertikal landbevægelse, herunder også effekter af grundvandshåndtering, er af </w:t>
      </w:r>
      <w:r>
        <w:rPr>
          <w:spacing w:val="-5"/>
        </w:rPr>
        <w:t>af- </w:t>
      </w:r>
      <w:r>
        <w:rPr/>
        <w:t>gørende betydning for den videre kortlægning</w:t>
      </w:r>
      <w:r>
        <w:rPr>
          <w:spacing w:val="-35"/>
        </w:rPr>
        <w:t> </w:t>
      </w:r>
      <w:r>
        <w:rPr>
          <w:spacing w:val="-6"/>
        </w:rPr>
        <w:t>af </w:t>
      </w:r>
      <w:r>
        <w:rPr/>
        <w:t>den vertikale landbevægelse i absolutte </w:t>
      </w:r>
      <w:r>
        <w:rPr>
          <w:spacing w:val="-3"/>
        </w:rPr>
        <w:t>værdi- </w:t>
      </w:r>
      <w:r>
        <w:rPr>
          <w:spacing w:val="-5"/>
        </w:rPr>
        <w:t>er. </w:t>
      </w:r>
      <w:r>
        <w:rPr/>
        <w:t>En sådan kortlægning vil udgøre en markant forbedring af beslutningsgrundlaget til brug </w:t>
      </w:r>
      <w:r>
        <w:rPr>
          <w:spacing w:val="-6"/>
        </w:rPr>
        <w:t>for </w:t>
      </w:r>
      <w:r>
        <w:rPr/>
        <w:t>renovering og projektering af kloakker og </w:t>
      </w:r>
      <w:r>
        <w:rPr>
          <w:spacing w:val="-3"/>
        </w:rPr>
        <w:t>spil- </w:t>
      </w:r>
      <w:r>
        <w:rPr/>
        <w:t>devandssystemer og til udarbejdelse af klimatil- pasningsplaner.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0" w:right="0"/>
          <w:cols w:num="2" w:equalWidth="0">
            <w:col w:w="5769" w:space="40"/>
            <w:col w:w="6101"/>
          </w:cols>
        </w:sectPr>
      </w:pPr>
    </w:p>
    <w:p>
      <w:pPr>
        <w:pStyle w:val="BodyText"/>
        <w:spacing w:before="10"/>
        <w:rPr>
          <w:sz w:val="28"/>
        </w:rPr>
      </w:pPr>
    </w:p>
    <w:p>
      <w:pPr>
        <w:pStyle w:val="Heading1"/>
      </w:pPr>
      <w:r>
        <w:rPr/>
        <w:t>Litteratur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footerReference w:type="default" r:id="rId49"/>
          <w:pgSz w:w="11910" w:h="16840"/>
          <w:pgMar w:footer="0" w:header="0" w:top="1580" w:bottom="280" w:left="0" w:right="0"/>
        </w:sectPr>
      </w:pPr>
    </w:p>
    <w:p>
      <w:pPr>
        <w:pStyle w:val="BodyText"/>
        <w:spacing w:before="9"/>
        <w:rPr>
          <w:rFonts w:ascii="Arial"/>
          <w:b/>
          <w:sz w:val="22"/>
        </w:rPr>
      </w:pPr>
    </w:p>
    <w:p>
      <w:pPr>
        <w:pStyle w:val="BodyText"/>
        <w:spacing w:line="252" w:lineRule="auto"/>
        <w:ind w:left="1367" w:hanging="235"/>
        <w:jc w:val="both"/>
      </w:pPr>
      <w:bookmarkStart w:name="_bookmark40" w:id="58"/>
      <w:bookmarkEnd w:id="58"/>
      <w:r>
        <w:rPr/>
      </w:r>
      <w:bookmarkStart w:name="_bookmark42" w:id="59"/>
      <w:bookmarkEnd w:id="59"/>
      <w:r>
        <w:rPr/>
      </w:r>
      <w:r>
        <w:rPr/>
        <w:t>ESA.</w:t>
      </w:r>
      <w:r>
        <w:rPr>
          <w:spacing w:val="-4"/>
        </w:rPr>
        <w:t> </w:t>
      </w:r>
      <w:r>
        <w:rPr/>
        <w:t>The</w:t>
      </w:r>
      <w:r>
        <w:rPr>
          <w:spacing w:val="-18"/>
        </w:rPr>
        <w:t> </w:t>
      </w:r>
      <w:r>
        <w:rPr/>
        <w:t>Terrafirma</w:t>
      </w:r>
      <w:r>
        <w:rPr>
          <w:spacing w:val="-18"/>
        </w:rPr>
        <w:t> </w:t>
      </w:r>
      <w:r>
        <w:rPr/>
        <w:t>atlas.</w:t>
      </w:r>
      <w:r>
        <w:rPr>
          <w:spacing w:val="-17"/>
        </w:rPr>
        <w:t> </w:t>
      </w:r>
      <w:r>
        <w:rPr/>
        <w:t>terrain-motion</w:t>
      </w:r>
      <w:r>
        <w:rPr>
          <w:spacing w:val="-18"/>
        </w:rPr>
        <w:t> </w:t>
      </w:r>
      <w:r>
        <w:rPr>
          <w:spacing w:val="-3"/>
        </w:rPr>
        <w:t>across </w:t>
      </w:r>
      <w:r>
        <w:rPr/>
        <w:t>Europe. a compendium of results produced</w:t>
      </w:r>
      <w:r>
        <w:rPr>
          <w:spacing w:val="-31"/>
        </w:rPr>
        <w:t> </w:t>
      </w:r>
      <w:r>
        <w:rPr>
          <w:spacing w:val="-10"/>
        </w:rPr>
        <w:t>by </w:t>
      </w:r>
      <w:r>
        <w:rPr/>
        <w:t>the European Space Agency GMES </w:t>
      </w:r>
      <w:r>
        <w:rPr>
          <w:spacing w:val="-3"/>
        </w:rPr>
        <w:t>Service </w:t>
      </w:r>
      <w:r>
        <w:rPr/>
        <w:t>Element project Terrafirma 2003–2009,</w:t>
      </w:r>
      <w:r>
        <w:rPr>
          <w:spacing w:val="-21"/>
        </w:rPr>
        <w:t> </w:t>
      </w:r>
      <w:r>
        <w:rPr>
          <w:spacing w:val="-4"/>
        </w:rPr>
        <w:t>2009. </w:t>
      </w:r>
      <w:r>
        <w:rPr/>
        <w:t>URL</w:t>
      </w:r>
      <w:bookmarkStart w:name="_bookmark41" w:id="60"/>
      <w:bookmarkEnd w:id="60"/>
      <w:r>
        <w:rPr/>
      </w:r>
      <w:r>
        <w:rPr>
          <w:spacing w:val="-29"/>
        </w:rPr>
        <w:t> </w:t>
      </w:r>
      <w:hyperlink r:id="rId50">
        <w:r>
          <w:rPr>
            <w:color w:val="FF0000"/>
          </w:rPr>
          <w:t>http://esamultimedia.esa.int/multimedia/</w:t>
        </w:r>
      </w:hyperlink>
      <w:r>
        <w:rPr>
          <w:color w:val="FF0000"/>
        </w:rPr>
        <w:t> </w:t>
      </w:r>
      <w:hyperlink r:id="rId50">
        <w:r>
          <w:rPr>
            <w:color w:val="FF0000"/>
          </w:rPr>
          <w:t>publications/TerrafirmaAtlas/pageflip.html</w:t>
        </w:r>
      </w:hyperlink>
      <w:r>
        <w:rPr/>
        <w:t>.</w:t>
      </w:r>
    </w:p>
    <w:p>
      <w:pPr>
        <w:pStyle w:val="BodyText"/>
        <w:spacing w:line="271" w:lineRule="exact"/>
        <w:ind w:left="1367"/>
      </w:pPr>
      <w:hyperlink w:history="true" w:anchor="_bookmark6">
        <w:r>
          <w:rPr>
            <w:color w:val="FF0000"/>
          </w:rPr>
          <w:t>1.4</w:t>
        </w:r>
      </w:hyperlink>
    </w:p>
    <w:p>
      <w:pPr>
        <w:pStyle w:val="BodyText"/>
        <w:spacing w:line="252" w:lineRule="auto" w:before="188"/>
        <w:ind w:left="1367" w:hanging="235"/>
        <w:jc w:val="both"/>
      </w:pPr>
      <w:bookmarkStart w:name="_bookmark43" w:id="61"/>
      <w:bookmarkEnd w:id="61"/>
      <w:r>
        <w:rPr/>
      </w:r>
      <w:r>
        <w:rPr/>
        <w:t>M. H. Greve, O. </w:t>
      </w:r>
      <w:r>
        <w:rPr>
          <w:spacing w:val="-10"/>
        </w:rPr>
        <w:t>F. </w:t>
      </w:r>
      <w:r>
        <w:rPr/>
        <w:t>Christensen, and M. B. </w:t>
      </w:r>
      <w:r>
        <w:rPr>
          <w:spacing w:val="-4"/>
        </w:rPr>
        <w:t>Gre- </w:t>
      </w:r>
      <w:r>
        <w:rPr/>
        <w:t>ve. Kortlægning</w:t>
      </w:r>
      <w:r>
        <w:rPr>
          <w:spacing w:val="-13"/>
        </w:rPr>
        <w:t> </w:t>
      </w:r>
      <w:r>
        <w:rPr/>
        <w:t>af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organiske</w:t>
      </w:r>
      <w:r>
        <w:rPr>
          <w:spacing w:val="-14"/>
        </w:rPr>
        <w:t> </w:t>
      </w:r>
      <w:r>
        <w:rPr/>
        <w:t>jorde</w:t>
      </w:r>
      <w:r>
        <w:rPr>
          <w:spacing w:val="-13"/>
        </w:rPr>
        <w:t> </w:t>
      </w:r>
      <w:r>
        <w:rPr/>
        <w:t>på</w:t>
      </w:r>
      <w:r>
        <w:rPr>
          <w:spacing w:val="-14"/>
        </w:rPr>
        <w:t> </w:t>
      </w:r>
      <w:r>
        <w:rPr>
          <w:spacing w:val="-3"/>
        </w:rPr>
        <w:t>land- </w:t>
      </w:r>
      <w:r>
        <w:rPr/>
        <w:t>brugsarealer. Internt notat, Institut for </w:t>
      </w:r>
      <w:r>
        <w:rPr>
          <w:spacing w:val="-3"/>
        </w:rPr>
        <w:t>Jord- </w:t>
      </w:r>
      <w:r>
        <w:rPr/>
        <w:t>brugsproduktion</w:t>
      </w:r>
      <w:r>
        <w:rPr>
          <w:spacing w:val="-16"/>
        </w:rPr>
        <w:t> </w:t>
      </w:r>
      <w:r>
        <w:rPr/>
        <w:t>og</w:t>
      </w:r>
      <w:r>
        <w:rPr>
          <w:spacing w:val="-15"/>
        </w:rPr>
        <w:t> </w:t>
      </w:r>
      <w:r>
        <w:rPr/>
        <w:t>Miljø,</w:t>
      </w:r>
      <w:r>
        <w:rPr>
          <w:spacing w:val="-16"/>
        </w:rPr>
        <w:t> </w:t>
      </w:r>
      <w:r>
        <w:rPr/>
        <w:t>Aarhus</w:t>
      </w:r>
      <w:r>
        <w:rPr>
          <w:spacing w:val="-15"/>
        </w:rPr>
        <w:t> </w:t>
      </w:r>
      <w:r>
        <w:rPr>
          <w:spacing w:val="-3"/>
        </w:rPr>
        <w:t>Universitet, </w:t>
      </w:r>
      <w:r>
        <w:rPr/>
        <w:t>2013.</w:t>
      </w:r>
      <w:r>
        <w:rPr>
          <w:spacing w:val="25"/>
        </w:rPr>
        <w:t> </w:t>
      </w:r>
      <w:hyperlink w:history="true" w:anchor="_bookmark12">
        <w:r>
          <w:rPr>
            <w:color w:val="FF0000"/>
          </w:rPr>
          <w:t>2.1</w:t>
        </w:r>
      </w:hyperlink>
    </w:p>
    <w:p>
      <w:pPr>
        <w:pStyle w:val="BodyText"/>
        <w:spacing w:line="252" w:lineRule="auto" w:before="170"/>
        <w:ind w:left="1367" w:hanging="235"/>
      </w:pPr>
      <w:bookmarkStart w:name="_bookmark45" w:id="62"/>
      <w:bookmarkEnd w:id="62"/>
      <w:r>
        <w:rPr/>
      </w:r>
      <w:r>
        <w:rPr>
          <w:spacing w:val="-14"/>
        </w:rPr>
        <w:t>P. </w:t>
      </w:r>
      <w:r>
        <w:rPr/>
        <w:t>R. Jakobsen and S. A. S. Pedersen. </w:t>
      </w:r>
      <w:bookmarkStart w:name="_bookmark44" w:id="63"/>
      <w:bookmarkEnd w:id="63"/>
      <w:r>
        <w:rPr/>
        <w:t>Enablin</w:t>
      </w:r>
      <w:r>
        <w:rPr/>
        <w:t>g access to geological information in </w:t>
      </w:r>
      <w:r>
        <w:rPr>
          <w:spacing w:val="-3"/>
        </w:rPr>
        <w:t>support  </w:t>
      </w:r>
      <w:r>
        <w:rPr/>
        <w:t>of GMES, D7.1.9 Geohazard Description </w:t>
      </w:r>
      <w:r>
        <w:rPr>
          <w:spacing w:val="-6"/>
        </w:rPr>
        <w:t>for </w:t>
      </w:r>
      <w:r>
        <w:rPr/>
        <w:t>Aalborg. Technical report, Geological </w:t>
      </w:r>
      <w:r>
        <w:rPr>
          <w:spacing w:val="-5"/>
        </w:rPr>
        <w:t>Survey </w:t>
      </w:r>
      <w:r>
        <w:rPr/>
        <w:t>of Denmark and Greenland, June 2013a.</w:t>
      </w:r>
      <w:r>
        <w:rPr>
          <w:spacing w:val="-26"/>
        </w:rPr>
        <w:t> </w:t>
      </w:r>
      <w:bookmarkStart w:name="_bookmark46" w:id="64"/>
      <w:bookmarkEnd w:id="64"/>
      <w:r>
        <w:rPr>
          <w:spacing w:val="-6"/>
        </w:rPr>
        <w:t>UR</w:t>
      </w:r>
      <w:r>
        <w:rPr>
          <w:spacing w:val="-6"/>
        </w:rPr>
        <w:t>L</w:t>
      </w:r>
      <w:r>
        <w:rPr>
          <w:color w:val="FF0000"/>
          <w:spacing w:val="-6"/>
        </w:rPr>
        <w:t> </w:t>
      </w:r>
      <w:hyperlink r:id="rId51">
        <w:r>
          <w:rPr>
            <w:color w:val="FF0000"/>
          </w:rPr>
          <w:t>http://www.pangeoproject.eu/pdfs/locale/</w:t>
        </w:r>
      </w:hyperlink>
      <w:hyperlink r:id="rId51">
        <w:r>
          <w:rPr>
            <w:color w:val="FF0000"/>
          </w:rPr>
          <w:t> aalborg/Geohazard-Description-aalborg.pdf</w:t>
        </w:r>
      </w:hyperlink>
      <w:r>
        <w:rPr/>
        <w:t>.</w:t>
      </w:r>
      <w:hyperlink w:history="true" w:anchor="_bookmark6">
        <w:r>
          <w:rPr>
            <w:color w:val="FF0000"/>
          </w:rPr>
          <w:t> 1.4</w:t>
        </w:r>
      </w:hyperlink>
    </w:p>
    <w:p>
      <w:pPr>
        <w:pStyle w:val="BodyText"/>
        <w:tabs>
          <w:tab w:pos="1778" w:val="left" w:leader="none"/>
          <w:tab w:pos="2714" w:val="left" w:leader="none"/>
          <w:tab w:pos="3697" w:val="left" w:leader="none"/>
          <w:tab w:pos="4028" w:val="left" w:leader="none"/>
          <w:tab w:pos="4944" w:val="left" w:leader="none"/>
        </w:tabs>
        <w:spacing w:line="252" w:lineRule="auto" w:before="168"/>
        <w:ind w:left="1367" w:hanging="235"/>
      </w:pPr>
      <w:bookmarkStart w:name="_bookmark48" w:id="65"/>
      <w:bookmarkEnd w:id="65"/>
      <w:r>
        <w:rPr/>
      </w:r>
      <w:r>
        <w:rPr>
          <w:spacing w:val="-14"/>
        </w:rPr>
        <w:t>P. </w:t>
      </w:r>
      <w:r>
        <w:rPr/>
        <w:t>R. Jakobsen and S. A. S. Pedersen. Enabling access to geological information in </w:t>
      </w:r>
      <w:r>
        <w:rPr>
          <w:spacing w:val="-3"/>
        </w:rPr>
        <w:t>support  </w:t>
      </w:r>
      <w:r>
        <w:rPr/>
        <w:t>of</w:t>
        <w:tab/>
        <w:t>GMES,</w:t>
        <w:tab/>
        <w:t>D7.1.19</w:t>
        <w:tab/>
        <w:t>Geohazard</w:t>
        <w:tab/>
      </w:r>
      <w:bookmarkStart w:name="_bookmark47" w:id="66"/>
      <w:bookmarkEnd w:id="66"/>
      <w:r>
        <w:rPr>
          <w:spacing w:val="-3"/>
        </w:rPr>
        <w:t>Descrip</w:t>
      </w:r>
      <w:r>
        <w:rPr>
          <w:spacing w:val="-3"/>
        </w:rPr>
        <w:t>- </w:t>
      </w:r>
      <w:r>
        <w:rPr/>
        <w:t>tion </w:t>
      </w:r>
      <w:r>
        <w:rPr>
          <w:spacing w:val="45"/>
        </w:rPr>
        <w:t> </w:t>
      </w:r>
      <w:r>
        <w:rPr/>
        <w:t>for </w:t>
      </w:r>
      <w:r>
        <w:rPr>
          <w:spacing w:val="45"/>
        </w:rPr>
        <w:t> </w:t>
      </w:r>
      <w:r>
        <w:rPr/>
        <w:t>Copenhagen.</w:t>
        <w:tab/>
        <w:tab/>
        <w:t>Technical </w:t>
      </w:r>
      <w:r>
        <w:rPr>
          <w:spacing w:val="-3"/>
        </w:rPr>
        <w:t>report, </w:t>
      </w:r>
      <w:r>
        <w:rPr/>
        <w:t>Geological Survey of Denmark and </w:t>
      </w:r>
      <w:r>
        <w:rPr>
          <w:spacing w:val="-4"/>
        </w:rPr>
        <w:t>Gre- </w:t>
      </w:r>
      <w:r>
        <w:rPr/>
        <w:t>enland, </w:t>
      </w:r>
      <w:r>
        <w:rPr>
          <w:spacing w:val="5"/>
        </w:rPr>
        <w:t> </w:t>
      </w:r>
      <w:r>
        <w:rPr/>
        <w:t>January </w:t>
      </w:r>
      <w:r>
        <w:rPr>
          <w:spacing w:val="5"/>
        </w:rPr>
        <w:t> </w:t>
      </w:r>
      <w:r>
        <w:rPr/>
        <w:t>2013b.</w:t>
        <w:tab/>
        <w:t>URL </w:t>
      </w:r>
      <w:hyperlink r:id="rId52">
        <w:r>
          <w:rPr>
            <w:color w:val="FF0000"/>
            <w:spacing w:val="-4"/>
          </w:rPr>
          <w:t>http://www.</w:t>
        </w:r>
      </w:hyperlink>
      <w:hyperlink r:id="rId52">
        <w:r>
          <w:rPr>
            <w:color w:val="FF0000"/>
            <w:spacing w:val="-4"/>
          </w:rPr>
          <w:t> </w:t>
        </w:r>
        <w:r>
          <w:rPr>
            <w:color w:val="FF0000"/>
          </w:rPr>
          <w:t>pangeoproject.eu/pdfs/locale/copenhagen/</w:t>
        </w:r>
      </w:hyperlink>
      <w:hyperlink r:id="rId52">
        <w:r>
          <w:rPr>
            <w:color w:val="FF0000"/>
          </w:rPr>
          <w:t> Geohazard-Description-copenhagen.pdf</w:t>
        </w:r>
      </w:hyperlink>
      <w:r>
        <w:rPr/>
        <w:t>.</w:t>
      </w:r>
      <w:r>
        <w:rPr>
          <w:spacing w:val="27"/>
        </w:rPr>
        <w:t> </w:t>
      </w:r>
      <w:hyperlink w:history="true" w:anchor="_bookmark6">
        <w:r>
          <w:rPr>
            <w:color w:val="FF0000"/>
          </w:rPr>
          <w:t>1.4</w:t>
        </w:r>
      </w:hyperlink>
    </w:p>
    <w:p>
      <w:pPr>
        <w:pStyle w:val="BodyText"/>
        <w:spacing w:before="168"/>
        <w:ind w:left="1133"/>
      </w:pPr>
      <w:bookmarkStart w:name="_bookmark50" w:id="67"/>
      <w:bookmarkEnd w:id="67"/>
      <w:r>
        <w:rPr/>
      </w:r>
      <w:r>
        <w:rPr/>
        <w:t>P. R. Jakobsen, U. Wegmuller, R. Capes, </w:t>
      </w:r>
      <w:bookmarkStart w:name="_bookmark49" w:id="68"/>
      <w:bookmarkEnd w:id="68"/>
      <w:r>
        <w:rPr/>
        <w:t>an</w:t>
      </w:r>
      <w:r>
        <w:rPr/>
        <w:t>d</w:t>
      </w:r>
    </w:p>
    <w:p>
      <w:pPr>
        <w:pStyle w:val="ListParagraph"/>
        <w:numPr>
          <w:ilvl w:val="0"/>
          <w:numId w:val="7"/>
        </w:numPr>
        <w:tabs>
          <w:tab w:pos="1674" w:val="left" w:leader="none"/>
        </w:tabs>
        <w:spacing w:line="252" w:lineRule="auto" w:before="13" w:after="0"/>
        <w:ind w:left="1367" w:right="0" w:firstLine="0"/>
        <w:jc w:val="both"/>
        <w:rPr>
          <w:sz w:val="24"/>
        </w:rPr>
      </w:pPr>
      <w:r>
        <w:rPr>
          <w:sz w:val="24"/>
        </w:rPr>
        <w:t>A. S. Pedersen. </w:t>
      </w:r>
      <w:r>
        <w:rPr>
          <w:spacing w:val="-3"/>
          <w:sz w:val="24"/>
        </w:rPr>
        <w:t>Terrain </w:t>
      </w:r>
      <w:r>
        <w:rPr>
          <w:sz w:val="24"/>
        </w:rPr>
        <w:t>subsidence </w:t>
      </w:r>
      <w:r>
        <w:rPr>
          <w:spacing w:val="-6"/>
          <w:sz w:val="24"/>
        </w:rPr>
        <w:t>de- </w:t>
      </w:r>
      <w:r>
        <w:rPr>
          <w:sz w:val="24"/>
        </w:rPr>
        <w:t>tected by satellite radar scanning of the </w:t>
      </w:r>
      <w:r>
        <w:rPr>
          <w:spacing w:val="-5"/>
          <w:sz w:val="24"/>
        </w:rPr>
        <w:t>Co- </w:t>
      </w:r>
      <w:r>
        <w:rPr>
          <w:sz w:val="24"/>
        </w:rPr>
        <w:t>penhagen area, Denmark, and its relation </w:t>
      </w:r>
      <w:r>
        <w:rPr>
          <w:spacing w:val="-10"/>
          <w:sz w:val="24"/>
        </w:rPr>
        <w:t>to </w:t>
      </w:r>
      <w:r>
        <w:rPr>
          <w:sz w:val="24"/>
        </w:rPr>
        <w:t>the tectonic framework. </w:t>
      </w:r>
      <w:r>
        <w:rPr>
          <w:i/>
          <w:sz w:val="24"/>
        </w:rPr>
        <w:t>Geological Survey </w:t>
      </w:r>
      <w:r>
        <w:rPr>
          <w:i/>
          <w:spacing w:val="-7"/>
          <w:sz w:val="24"/>
        </w:rPr>
        <w:t>of </w:t>
      </w:r>
      <w:r>
        <w:rPr>
          <w:i/>
          <w:sz w:val="24"/>
        </w:rPr>
        <w:t>Denmark and Greenland</w:t>
      </w:r>
      <w:r>
        <w:rPr>
          <w:sz w:val="24"/>
        </w:rPr>
        <w:t>,</w:t>
      </w:r>
      <w:r>
        <w:rPr>
          <w:spacing w:val="-34"/>
          <w:sz w:val="24"/>
        </w:rPr>
        <w:t> </w:t>
      </w:r>
      <w:r>
        <w:rPr>
          <w:sz w:val="24"/>
        </w:rPr>
        <w:t>Bulletin(28):25–28, 2013. URL </w:t>
      </w:r>
      <w:hyperlink r:id="rId53">
        <w:r>
          <w:rPr>
            <w:color w:val="FF0000"/>
            <w:sz w:val="24"/>
          </w:rPr>
          <w:t>http://www.geus.dk/publications/</w:t>
        </w:r>
      </w:hyperlink>
      <w:hyperlink r:id="rId53">
        <w:r>
          <w:rPr>
            <w:color w:val="FF0000"/>
            <w:sz w:val="24"/>
          </w:rPr>
          <w:t> bull/nr28/nr28_p25-28.pdf</w:t>
        </w:r>
      </w:hyperlink>
      <w:r>
        <w:rPr>
          <w:sz w:val="24"/>
        </w:rPr>
        <w:t>.</w:t>
      </w:r>
      <w:r>
        <w:rPr>
          <w:spacing w:val="25"/>
          <w:sz w:val="24"/>
        </w:rPr>
        <w:t> </w:t>
      </w:r>
      <w:hyperlink w:history="true" w:anchor="_bookmark6">
        <w:r>
          <w:rPr>
            <w:color w:val="FF0000"/>
            <w:sz w:val="24"/>
          </w:rPr>
          <w:t>1.4</w:t>
        </w:r>
      </w:hyperlink>
    </w:p>
    <w:p>
      <w:pPr>
        <w:pStyle w:val="BodyText"/>
        <w:spacing w:line="252" w:lineRule="auto" w:before="169"/>
        <w:ind w:left="1367" w:hanging="235"/>
        <w:jc w:val="both"/>
      </w:pPr>
      <w:bookmarkStart w:name="_bookmark51" w:id="69"/>
      <w:bookmarkEnd w:id="69"/>
      <w:r>
        <w:rPr/>
      </w:r>
      <w:r>
        <w:rPr>
          <w:spacing w:val="-14"/>
        </w:rPr>
        <w:t>P.   </w:t>
      </w:r>
      <w:r>
        <w:rPr/>
        <w:t>Knudsen  and  K.  </w:t>
      </w:r>
      <w:r>
        <w:rPr>
          <w:spacing w:val="-4"/>
        </w:rPr>
        <w:t>Vognsen.   </w:t>
      </w:r>
      <w:r>
        <w:rPr>
          <w:spacing w:val="52"/>
        </w:rPr>
        <w:t> </w:t>
      </w:r>
      <w:r>
        <w:rPr/>
        <w:t>Metode</w:t>
      </w:r>
      <w:r>
        <w:rPr>
          <w:spacing w:val="60"/>
        </w:rPr>
        <w:t> </w:t>
      </w:r>
      <w:bookmarkStart w:name="_bookmark52" w:id="70"/>
      <w:bookmarkEnd w:id="70"/>
      <w:r>
        <w:rPr>
          <w:spacing w:val="-6"/>
        </w:rPr>
        <w:t>ti</w:t>
      </w:r>
      <w:r>
        <w:rPr>
          <w:spacing w:val="-6"/>
        </w:rPr>
        <w:t>l  </w:t>
      </w:r>
      <w:r>
        <w:rPr>
          <w:spacing w:val="48"/>
        </w:rPr>
        <w:t> </w:t>
      </w:r>
      <w:r>
        <w:rPr/>
        <w:t>at følge vandstandsstigningstakten i </w:t>
      </w:r>
      <w:r>
        <w:rPr>
          <w:spacing w:val="-9"/>
        </w:rPr>
        <w:t>de </w:t>
      </w:r>
      <w:r>
        <w:rPr/>
        <w:t>danske farvande. Technical Report </w:t>
      </w:r>
      <w:r>
        <w:rPr>
          <w:spacing w:val="-8"/>
        </w:rPr>
        <w:t>8, </w:t>
      </w:r>
      <w:r>
        <w:rPr/>
        <w:t>National Survey and Cadastre</w:t>
      </w:r>
      <w:r>
        <w:rPr>
          <w:spacing w:val="7"/>
        </w:rPr>
        <w:t> </w:t>
      </w:r>
      <w:r>
        <w:rPr>
          <w:spacing w:val="-3"/>
        </w:rPr>
        <w:t>(KMS),</w:t>
      </w:r>
    </w:p>
    <w:p>
      <w:pPr>
        <w:pStyle w:val="BodyText"/>
        <w:spacing w:before="9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tabs>
          <w:tab w:pos="2065" w:val="left" w:leader="none"/>
          <w:tab w:pos="3261" w:val="left" w:leader="none"/>
          <w:tab w:pos="4485" w:val="left" w:leader="none"/>
        </w:tabs>
        <w:spacing w:line="252" w:lineRule="auto"/>
        <w:ind w:left="563" w:right="1131"/>
      </w:pPr>
      <w:r>
        <w:rPr/>
        <w:t>Copenhagen,</w:t>
        <w:tab/>
        <w:t>Denmark,</w:t>
        <w:tab/>
        <w:t>2010.</w:t>
        <w:tab/>
      </w:r>
      <w:r>
        <w:rPr>
          <w:spacing w:val="-6"/>
        </w:rPr>
        <w:t>URL </w:t>
      </w:r>
      <w:hyperlink r:id="rId54">
        <w:r>
          <w:rPr>
            <w:color w:val="FF0000"/>
          </w:rPr>
          <w:t>ftp://ftp.kms.dk/download/Technical_</w:t>
        </w:r>
      </w:hyperlink>
      <w:r>
        <w:rPr>
          <w:color w:val="FF0000"/>
        </w:rPr>
        <w:t> </w:t>
      </w:r>
      <w:hyperlink r:id="rId54">
        <w:r>
          <w:rPr>
            <w:color w:val="FF0000"/>
          </w:rPr>
          <w:t>Reports/KMS_Technical_Report_8.pdf</w:t>
        </w:r>
      </w:hyperlink>
      <w:r>
        <w:rPr/>
        <w:t>.</w:t>
      </w:r>
    </w:p>
    <w:p>
      <w:pPr>
        <w:pStyle w:val="BodyText"/>
        <w:spacing w:line="273" w:lineRule="exact"/>
        <w:ind w:left="563"/>
      </w:pPr>
      <w:hyperlink w:history="true" w:anchor="_bookmark3">
        <w:r>
          <w:rPr>
            <w:color w:val="FF0000"/>
          </w:rPr>
          <w:t>1.1</w:t>
        </w:r>
      </w:hyperlink>
      <w:r>
        <w:rPr/>
        <w:t>, </w:t>
      </w:r>
      <w:hyperlink w:history="true" w:anchor="_bookmark14">
        <w:r>
          <w:rPr>
            <w:color w:val="FF0000"/>
          </w:rPr>
          <w:t>2.1</w:t>
        </w:r>
      </w:hyperlink>
    </w:p>
    <w:p>
      <w:pPr>
        <w:pStyle w:val="ListParagraph"/>
        <w:numPr>
          <w:ilvl w:val="0"/>
          <w:numId w:val="7"/>
        </w:numPr>
        <w:tabs>
          <w:tab w:pos="686" w:val="left" w:leader="none"/>
        </w:tabs>
        <w:spacing w:line="240" w:lineRule="auto" w:before="212" w:after="0"/>
        <w:ind w:left="685" w:right="0" w:hanging="356"/>
        <w:jc w:val="left"/>
        <w:rPr>
          <w:sz w:val="24"/>
        </w:rPr>
      </w:pPr>
      <w:r>
        <w:rPr>
          <w:sz w:val="24"/>
        </w:rPr>
        <w:t>Knudsen, N. S. Dalå, </w:t>
      </w:r>
      <w:r>
        <w:rPr>
          <w:spacing w:val="-14"/>
          <w:sz w:val="24"/>
        </w:rPr>
        <w:t>P. </w:t>
      </w:r>
      <w:r>
        <w:rPr>
          <w:sz w:val="24"/>
        </w:rPr>
        <w:t>Knudsen,</w:t>
      </w:r>
      <w:r>
        <w:rPr>
          <w:spacing w:val="38"/>
          <w:sz w:val="24"/>
        </w:rPr>
        <w:t> </w:t>
      </w:r>
      <w:r>
        <w:rPr>
          <w:sz w:val="24"/>
        </w:rPr>
        <w:t>and</w:t>
      </w:r>
    </w:p>
    <w:p>
      <w:pPr>
        <w:pStyle w:val="BodyText"/>
        <w:spacing w:line="252" w:lineRule="auto" w:before="13"/>
        <w:ind w:left="563" w:right="1131"/>
        <w:jc w:val="both"/>
      </w:pPr>
      <w:r>
        <w:rPr>
          <w:spacing w:val="-14"/>
        </w:rPr>
        <w:t>P. </w:t>
      </w:r>
      <w:r>
        <w:rPr/>
        <w:t>R. Jakobsen. </w:t>
      </w:r>
      <w:r>
        <w:rPr>
          <w:spacing w:val="-4"/>
        </w:rPr>
        <w:t>ABSRATE</w:t>
      </w:r>
      <w:r>
        <w:rPr>
          <w:spacing w:val="52"/>
        </w:rPr>
        <w:t> </w:t>
      </w:r>
      <w:r>
        <w:rPr/>
        <w:t>– absolute subsidence rates from persistent scatterer interferometry data. final report. </w:t>
      </w:r>
      <w:r>
        <w:rPr>
          <w:spacing w:val="-4"/>
        </w:rPr>
        <w:t>Technical</w:t>
      </w:r>
      <w:r>
        <w:rPr>
          <w:spacing w:val="52"/>
        </w:rPr>
        <w:t> </w:t>
      </w:r>
      <w:r>
        <w:rPr/>
        <w:t>Report 05, National Survey and Cadastre (KMS),  Copenhagen,  Denmark,   </w:t>
      </w:r>
      <w:r>
        <w:rPr>
          <w:spacing w:val="-4"/>
        </w:rPr>
        <w:t>2009. </w:t>
      </w:r>
      <w:r>
        <w:rPr/>
        <w:t>URL </w:t>
      </w:r>
      <w:hyperlink r:id="rId55">
        <w:r>
          <w:rPr>
            <w:color w:val="FF0000"/>
          </w:rPr>
          <w:t>ftp://ftp.kms.dk/download/Technical_</w:t>
        </w:r>
      </w:hyperlink>
      <w:hyperlink r:id="rId55">
        <w:r>
          <w:rPr>
            <w:color w:val="FF0000"/>
          </w:rPr>
          <w:t> Reports/KMS_Technical_Report_5.pdf</w:t>
        </w:r>
      </w:hyperlink>
      <w:r>
        <w:rPr/>
        <w:t>.</w:t>
      </w:r>
      <w:r>
        <w:rPr>
          <w:spacing w:val="16"/>
        </w:rPr>
        <w:t> </w:t>
      </w:r>
      <w:hyperlink w:history="true" w:anchor="_bookmark6">
        <w:r>
          <w:rPr>
            <w:color w:val="FF0000"/>
          </w:rPr>
          <w:t>1.4</w:t>
        </w:r>
      </w:hyperlink>
    </w:p>
    <w:p>
      <w:pPr>
        <w:spacing w:line="252" w:lineRule="auto" w:before="193"/>
        <w:ind w:left="563" w:right="1131" w:hanging="235"/>
        <w:jc w:val="both"/>
        <w:rPr>
          <w:sz w:val="24"/>
        </w:rPr>
      </w:pPr>
      <w:r>
        <w:rPr>
          <w:spacing w:val="-14"/>
          <w:sz w:val="24"/>
        </w:rPr>
        <w:t>P. </w:t>
      </w:r>
      <w:r>
        <w:rPr>
          <w:sz w:val="24"/>
        </w:rPr>
        <w:t>Korsgaard. </w:t>
      </w:r>
      <w:r>
        <w:rPr>
          <w:i/>
          <w:spacing w:val="-3"/>
          <w:sz w:val="24"/>
        </w:rPr>
        <w:t>Kort </w:t>
      </w:r>
      <w:r>
        <w:rPr>
          <w:i/>
          <w:sz w:val="24"/>
        </w:rPr>
        <w:t>som kilde – En håndbog </w:t>
      </w:r>
      <w:r>
        <w:rPr>
          <w:i/>
          <w:spacing w:val="-6"/>
          <w:sz w:val="24"/>
        </w:rPr>
        <w:t>om </w:t>
      </w:r>
      <w:r>
        <w:rPr>
          <w:i/>
          <w:sz w:val="24"/>
        </w:rPr>
        <w:t>historiske</w:t>
      </w:r>
      <w:r>
        <w:rPr>
          <w:i/>
          <w:spacing w:val="-19"/>
          <w:sz w:val="24"/>
        </w:rPr>
        <w:t> </w:t>
      </w:r>
      <w:r>
        <w:rPr>
          <w:i/>
          <w:sz w:val="24"/>
        </w:rPr>
        <w:t>kort</w:t>
      </w:r>
      <w:r>
        <w:rPr>
          <w:i/>
          <w:spacing w:val="-18"/>
          <w:sz w:val="24"/>
        </w:rPr>
        <w:t> </w:t>
      </w:r>
      <w:r>
        <w:rPr>
          <w:i/>
          <w:sz w:val="24"/>
        </w:rPr>
        <w:t>og</w:t>
      </w:r>
      <w:r>
        <w:rPr>
          <w:i/>
          <w:spacing w:val="-19"/>
          <w:sz w:val="24"/>
        </w:rPr>
        <w:t> </w:t>
      </w:r>
      <w:r>
        <w:rPr>
          <w:i/>
          <w:sz w:val="24"/>
        </w:rPr>
        <w:t>deres</w:t>
      </w:r>
      <w:r>
        <w:rPr>
          <w:i/>
          <w:spacing w:val="-18"/>
          <w:sz w:val="24"/>
        </w:rPr>
        <w:t> </w:t>
      </w:r>
      <w:r>
        <w:rPr>
          <w:i/>
          <w:sz w:val="24"/>
        </w:rPr>
        <w:t>anvendelse</w:t>
      </w:r>
      <w:r>
        <w:rPr>
          <w:sz w:val="24"/>
        </w:rPr>
        <w:t>.</w:t>
      </w:r>
      <w:r>
        <w:rPr>
          <w:spacing w:val="-9"/>
          <w:sz w:val="24"/>
        </w:rPr>
        <w:t> </w:t>
      </w:r>
      <w:r>
        <w:rPr>
          <w:sz w:val="24"/>
        </w:rPr>
        <w:t>Dansk</w:t>
      </w:r>
      <w:r>
        <w:rPr>
          <w:spacing w:val="-18"/>
          <w:sz w:val="24"/>
        </w:rPr>
        <w:t> </w:t>
      </w:r>
      <w:r>
        <w:rPr>
          <w:spacing w:val="-4"/>
          <w:sz w:val="24"/>
        </w:rPr>
        <w:t>Hi- </w:t>
      </w:r>
      <w:r>
        <w:rPr>
          <w:sz w:val="24"/>
        </w:rPr>
        <w:t>storisk Fællesråd. Sammenslutningen af </w:t>
      </w:r>
      <w:r>
        <w:rPr>
          <w:spacing w:val="-3"/>
          <w:sz w:val="24"/>
        </w:rPr>
        <w:t>loka- larkiver, </w:t>
      </w:r>
      <w:r>
        <w:rPr>
          <w:sz w:val="24"/>
        </w:rPr>
        <w:t>2006.</w:t>
      </w:r>
      <w:r>
        <w:rPr>
          <w:spacing w:val="28"/>
          <w:sz w:val="24"/>
        </w:rPr>
        <w:t> </w:t>
      </w:r>
      <w:hyperlink w:history="true" w:anchor="_bookmark5">
        <w:r>
          <w:rPr>
            <w:color w:val="FF0000"/>
            <w:sz w:val="24"/>
          </w:rPr>
          <w:t>1.3</w:t>
        </w:r>
      </w:hyperlink>
    </w:p>
    <w:p>
      <w:pPr>
        <w:pStyle w:val="BodyText"/>
        <w:spacing w:line="252" w:lineRule="auto" w:before="196"/>
        <w:ind w:left="563" w:right="1131" w:hanging="235"/>
        <w:jc w:val="both"/>
      </w:pPr>
      <w:r>
        <w:rPr/>
        <w:t>A. Meister, K. </w:t>
      </w:r>
      <w:r>
        <w:rPr>
          <w:spacing w:val="-3"/>
        </w:rPr>
        <w:t>Keller, </w:t>
      </w:r>
      <w:r>
        <w:rPr/>
        <w:t>and K. </w:t>
      </w:r>
      <w:r>
        <w:rPr>
          <w:spacing w:val="-4"/>
        </w:rPr>
        <w:t>Vognsen. </w:t>
      </w:r>
      <w:r>
        <w:rPr>
          <w:spacing w:val="-3"/>
        </w:rPr>
        <w:t>Kystdi- </w:t>
      </w:r>
      <w:r>
        <w:rPr/>
        <w:t>rektoratet 2012 - sikring af niveauet til </w:t>
      </w:r>
      <w:r>
        <w:rPr>
          <w:spacing w:val="-4"/>
        </w:rPr>
        <w:t>kyst-</w:t>
      </w:r>
      <w:r>
        <w:rPr>
          <w:spacing w:val="52"/>
        </w:rPr>
        <w:t> </w:t>
      </w:r>
      <w:r>
        <w:rPr/>
        <w:t>direktoratets gnss-stationer,</w:t>
      </w:r>
      <w:r>
        <w:rPr>
          <w:spacing w:val="-41"/>
        </w:rPr>
        <w:t> </w:t>
      </w:r>
      <w:r>
        <w:rPr/>
        <w:t>vandstandsmålere og 3d-fikspunkter i vandstandsområde 2. </w:t>
      </w:r>
      <w:r>
        <w:rPr>
          <w:spacing w:val="-5"/>
        </w:rPr>
        <w:t>In- </w:t>
      </w:r>
      <w:r>
        <w:rPr/>
        <w:t>tern rapport, Danish Geodata </w:t>
      </w:r>
      <w:r>
        <w:rPr>
          <w:spacing w:val="-3"/>
        </w:rPr>
        <w:t>Agency, 2013.</w:t>
      </w:r>
      <w:r>
        <w:rPr>
          <w:color w:val="FF0000"/>
          <w:spacing w:val="-3"/>
        </w:rPr>
        <w:t> </w:t>
      </w:r>
      <w:hyperlink w:history="true" w:anchor="_bookmark34">
        <w:r>
          <w:rPr>
            <w:color w:val="FF0000"/>
          </w:rPr>
          <w:t>4.2</w:t>
        </w:r>
      </w:hyperlink>
    </w:p>
    <w:p>
      <w:pPr>
        <w:pStyle w:val="ListParagraph"/>
        <w:numPr>
          <w:ilvl w:val="0"/>
          <w:numId w:val="8"/>
        </w:numPr>
        <w:tabs>
          <w:tab w:pos="627" w:val="left" w:leader="none"/>
        </w:tabs>
        <w:spacing w:line="252" w:lineRule="auto" w:before="194" w:after="0"/>
        <w:ind w:left="563" w:right="1131" w:hanging="234"/>
        <w:jc w:val="both"/>
        <w:rPr>
          <w:sz w:val="24"/>
        </w:rPr>
      </w:pPr>
      <w:r>
        <w:rPr>
          <w:sz w:val="24"/>
        </w:rPr>
        <w:t>S. Nerem, D. Chambers, C. Choe, and G. </w:t>
      </w:r>
      <w:r>
        <w:rPr>
          <w:spacing w:val="-9"/>
          <w:sz w:val="24"/>
        </w:rPr>
        <w:t>T. </w:t>
      </w:r>
      <w:r>
        <w:rPr>
          <w:sz w:val="24"/>
        </w:rPr>
        <w:t>Mitchum. Estimating mean sea level </w:t>
      </w:r>
      <w:r>
        <w:rPr>
          <w:spacing w:val="-3"/>
          <w:sz w:val="24"/>
        </w:rPr>
        <w:t>chan-  </w:t>
      </w:r>
      <w:r>
        <w:rPr>
          <w:sz w:val="24"/>
        </w:rPr>
        <w:t>ge from the TOPEX and Jason altimeter </w:t>
      </w:r>
      <w:r>
        <w:rPr>
          <w:spacing w:val="-4"/>
          <w:sz w:val="24"/>
        </w:rPr>
        <w:t>mis- </w:t>
      </w:r>
      <w:r>
        <w:rPr>
          <w:sz w:val="24"/>
        </w:rPr>
        <w:t>sions. </w:t>
      </w:r>
      <w:r>
        <w:rPr>
          <w:i/>
          <w:sz w:val="24"/>
        </w:rPr>
        <w:t>Marine Geodesy</w:t>
      </w:r>
      <w:r>
        <w:rPr>
          <w:sz w:val="24"/>
        </w:rPr>
        <w:t>, 33(1 supp 1):435, 2010. URL </w:t>
      </w:r>
      <w:hyperlink r:id="rId56">
        <w:r>
          <w:rPr>
            <w:color w:val="FF0000"/>
            <w:sz w:val="24"/>
          </w:rPr>
          <w:t>http://sealevel.colorado.edu</w:t>
        </w:r>
      </w:hyperlink>
      <w:r>
        <w:rPr>
          <w:sz w:val="24"/>
        </w:rPr>
        <w:t>. </w:t>
      </w:r>
      <w:r>
        <w:rPr>
          <w:spacing w:val="-6"/>
          <w:sz w:val="24"/>
        </w:rPr>
        <w:t>Re- </w:t>
      </w:r>
      <w:r>
        <w:rPr>
          <w:sz w:val="24"/>
        </w:rPr>
        <w:t>lease notes 2013, Rel. 8.</w:t>
      </w:r>
      <w:r>
        <w:rPr>
          <w:spacing w:val="20"/>
          <w:sz w:val="24"/>
        </w:rPr>
        <w:t> </w:t>
      </w:r>
      <w:hyperlink w:history="true" w:anchor="_bookmark3">
        <w:r>
          <w:rPr>
            <w:color w:val="FF0000"/>
            <w:sz w:val="24"/>
          </w:rPr>
          <w:t>1.1</w:t>
        </w:r>
      </w:hyperlink>
    </w:p>
    <w:p>
      <w:pPr>
        <w:pStyle w:val="ListParagraph"/>
        <w:numPr>
          <w:ilvl w:val="0"/>
          <w:numId w:val="8"/>
        </w:numPr>
        <w:tabs>
          <w:tab w:pos="708" w:val="left" w:leader="none"/>
        </w:tabs>
        <w:spacing w:line="252" w:lineRule="auto" w:before="195" w:after="0"/>
        <w:ind w:left="563" w:right="1131" w:hanging="234"/>
        <w:jc w:val="both"/>
        <w:rPr>
          <w:sz w:val="24"/>
        </w:rPr>
      </w:pPr>
      <w:r>
        <w:rPr/>
        <w:tab/>
      </w:r>
      <w:r>
        <w:rPr>
          <w:sz w:val="24"/>
        </w:rPr>
        <w:t>A. S. Pedersen, M. Gaset, and </w:t>
      </w:r>
      <w:r>
        <w:rPr>
          <w:spacing w:val="-14"/>
          <w:sz w:val="24"/>
        </w:rPr>
        <w:t>P. </w:t>
      </w:r>
      <w:r>
        <w:rPr>
          <w:sz w:val="24"/>
        </w:rPr>
        <w:t>R. Jakobsen. Detection of terrain changes </w:t>
      </w:r>
      <w:r>
        <w:rPr>
          <w:spacing w:val="-7"/>
          <w:sz w:val="24"/>
        </w:rPr>
        <w:t>in </w:t>
      </w:r>
      <w:r>
        <w:rPr>
          <w:sz w:val="24"/>
        </w:rPr>
        <w:t>southern Denmark using persistent  </w:t>
      </w:r>
      <w:r>
        <w:rPr>
          <w:spacing w:val="-3"/>
          <w:sz w:val="24"/>
        </w:rPr>
        <w:t>scatte-  </w:t>
      </w:r>
      <w:r>
        <w:rPr>
          <w:sz w:val="24"/>
        </w:rPr>
        <w:t>rer interferometry. </w:t>
      </w:r>
      <w:r>
        <w:rPr>
          <w:i/>
          <w:sz w:val="24"/>
        </w:rPr>
        <w:t>Geological Survey </w:t>
      </w:r>
      <w:r>
        <w:rPr>
          <w:i/>
          <w:spacing w:val="-8"/>
          <w:sz w:val="24"/>
        </w:rPr>
        <w:t>of </w:t>
      </w:r>
      <w:r>
        <w:rPr>
          <w:i/>
          <w:sz w:val="24"/>
        </w:rPr>
        <w:t>Denmark and Greenland</w:t>
      </w:r>
      <w:r>
        <w:rPr>
          <w:sz w:val="24"/>
        </w:rPr>
        <w:t>,</w:t>
      </w:r>
      <w:r>
        <w:rPr>
          <w:spacing w:val="-32"/>
          <w:sz w:val="24"/>
        </w:rPr>
        <w:t> </w:t>
      </w:r>
      <w:r>
        <w:rPr>
          <w:sz w:val="24"/>
        </w:rPr>
        <w:t>Bulletin(23):41–44, 2011. URL </w:t>
      </w:r>
      <w:hyperlink r:id="rId57">
        <w:r>
          <w:rPr>
            <w:color w:val="FF0000"/>
            <w:sz w:val="24"/>
          </w:rPr>
          <w:t>http://www.geus.dk/publications/</w:t>
        </w:r>
      </w:hyperlink>
      <w:hyperlink r:id="rId57">
        <w:r>
          <w:rPr>
            <w:color w:val="FF0000"/>
            <w:sz w:val="24"/>
          </w:rPr>
          <w:t> bull/nr23/nr23_p41-44.pdf</w:t>
        </w:r>
      </w:hyperlink>
      <w:r>
        <w:rPr>
          <w:sz w:val="24"/>
        </w:rPr>
        <w:t>.</w:t>
      </w:r>
      <w:r>
        <w:rPr>
          <w:spacing w:val="25"/>
          <w:sz w:val="24"/>
        </w:rPr>
        <w:t> </w:t>
      </w:r>
      <w:hyperlink w:history="true" w:anchor="_bookmark6">
        <w:r>
          <w:rPr>
            <w:color w:val="FF0000"/>
            <w:sz w:val="24"/>
          </w:rPr>
          <w:t>1.4</w:t>
        </w:r>
      </w:hyperlink>
    </w:p>
    <w:p>
      <w:pPr>
        <w:pStyle w:val="BodyText"/>
        <w:spacing w:line="252" w:lineRule="auto" w:before="193"/>
        <w:ind w:left="563" w:right="1131" w:hanging="235"/>
        <w:jc w:val="both"/>
      </w:pPr>
      <w:r>
        <w:rPr/>
        <w:t>B. C. Rosenkranz and  </w:t>
      </w:r>
      <w:r>
        <w:rPr>
          <w:spacing w:val="-14"/>
        </w:rPr>
        <w:t>P.  </w:t>
      </w:r>
      <w:r>
        <w:rPr/>
        <w:t>Frederiksen.  </w:t>
      </w:r>
      <w:r>
        <w:rPr>
          <w:spacing w:val="-4"/>
        </w:rPr>
        <w:t>Qua-  </w:t>
      </w:r>
      <w:r>
        <w:rPr/>
        <w:t>lity assessment of the Danish </w:t>
      </w:r>
      <w:r>
        <w:rPr>
          <w:spacing w:val="-4"/>
        </w:rPr>
        <w:t>Elevation </w:t>
      </w:r>
      <w:r>
        <w:rPr/>
        <w:t>Model (DK-DEM). Technical Report </w:t>
      </w:r>
      <w:r>
        <w:rPr>
          <w:spacing w:val="-5"/>
        </w:rPr>
        <w:t>12, </w:t>
      </w:r>
      <w:r>
        <w:rPr/>
        <w:t>National Survey and Cadastre</w:t>
      </w:r>
      <w:r>
        <w:rPr>
          <w:spacing w:val="9"/>
        </w:rPr>
        <w:t> </w:t>
      </w:r>
      <w:r>
        <w:rPr>
          <w:spacing w:val="-3"/>
        </w:rPr>
        <w:t>(KMS),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0" w:right="0"/>
          <w:cols w:num="2" w:equalWidth="0">
            <w:col w:w="5769" w:space="40"/>
            <w:col w:w="6101"/>
          </w:cols>
        </w:sectPr>
      </w:pPr>
    </w:p>
    <w:p>
      <w:pPr>
        <w:pStyle w:val="BodyText"/>
        <w:spacing w:before="8"/>
        <w:rPr>
          <w:sz w:val="20"/>
        </w:rPr>
      </w:pPr>
    </w:p>
    <w:p>
      <w:pPr>
        <w:spacing w:before="104"/>
        <w:ind w:left="0" w:right="0" w:firstLine="0"/>
        <w:jc w:val="center"/>
        <w:rPr>
          <w:rFonts w:ascii="Arial"/>
          <w:sz w:val="22"/>
        </w:rPr>
      </w:pPr>
      <w:r>
        <w:rPr>
          <w:rFonts w:ascii="Arial"/>
          <w:sz w:val="22"/>
        </w:rPr>
        <w:t>30</w:t>
      </w:r>
    </w:p>
    <w:p>
      <w:pPr>
        <w:spacing w:after="0"/>
        <w:jc w:val="center"/>
        <w:rPr>
          <w:rFonts w:ascii="Arial"/>
          <w:sz w:val="22"/>
        </w:rPr>
        <w:sectPr>
          <w:type w:val="continuous"/>
          <w:pgSz w:w="11910" w:h="16840"/>
          <w:pgMar w:top="0" w:bottom="280" w:left="0" w:right="0"/>
        </w:sectPr>
      </w:pPr>
    </w:p>
    <w:p>
      <w:pPr>
        <w:pStyle w:val="BodyText"/>
        <w:tabs>
          <w:tab w:pos="2870" w:val="left" w:leader="none"/>
          <w:tab w:pos="4066" w:val="left" w:leader="none"/>
          <w:tab w:pos="5289" w:val="left" w:leader="none"/>
        </w:tabs>
        <w:spacing w:line="252" w:lineRule="auto" w:before="71"/>
        <w:ind w:left="1367"/>
      </w:pPr>
      <w:r>
        <w:rPr/>
        <w:t>Copenhagen,</w:t>
        <w:tab/>
        <w:t>Denmark,</w:t>
        <w:tab/>
        <w:t>2011.</w:t>
        <w:tab/>
      </w:r>
      <w:r>
        <w:rPr>
          <w:spacing w:val="-7"/>
        </w:rPr>
        <w:t>URL </w:t>
      </w:r>
      <w:hyperlink r:id="rId59">
        <w:r>
          <w:rPr>
            <w:color w:val="FF0000"/>
          </w:rPr>
          <w:t>ftp://ftp.kms.dk/download/Technical_</w:t>
        </w:r>
      </w:hyperlink>
      <w:r>
        <w:rPr>
          <w:color w:val="FF0000"/>
        </w:rPr>
        <w:t> </w:t>
      </w:r>
      <w:hyperlink r:id="rId59">
        <w:r>
          <w:rPr>
            <w:color w:val="FF0000"/>
          </w:rPr>
          <w:t>Reports/KMS_Technical_Report_12.pdf</w:t>
        </w:r>
      </w:hyperlink>
      <w:r>
        <w:rPr/>
        <w:t>.</w:t>
      </w:r>
    </w:p>
    <w:p>
      <w:pPr>
        <w:pStyle w:val="BodyText"/>
        <w:spacing w:line="273" w:lineRule="exact"/>
        <w:ind w:left="1367"/>
      </w:pPr>
      <w:hyperlink w:history="true" w:anchor="_bookmark5">
        <w:r>
          <w:rPr>
            <w:color w:val="FF0000"/>
          </w:rPr>
          <w:t>1.3</w:t>
        </w:r>
      </w:hyperlink>
      <w:r>
        <w:rPr/>
        <w:t>, </w:t>
      </w:r>
      <w:hyperlink w:history="true" w:anchor="_bookmark13">
        <w:r>
          <w:rPr>
            <w:color w:val="FF0000"/>
          </w:rPr>
          <w:t>2.1</w:t>
        </w:r>
      </w:hyperlink>
    </w:p>
    <w:p>
      <w:pPr>
        <w:pStyle w:val="BodyText"/>
        <w:spacing w:line="252" w:lineRule="auto" w:before="172"/>
        <w:ind w:left="1367" w:hanging="235"/>
      </w:pPr>
      <w:bookmarkStart w:name="_bookmark53" w:id="71"/>
      <w:bookmarkEnd w:id="71"/>
      <w:r>
        <w:rPr/>
      </w:r>
      <w:r>
        <w:rPr>
          <w:spacing w:val="-9"/>
        </w:rPr>
        <w:t>T. </w:t>
      </w:r>
      <w:r>
        <w:rPr>
          <w:spacing w:val="-10"/>
        </w:rPr>
        <w:t>F. </w:t>
      </w:r>
      <w:r>
        <w:rPr/>
        <w:t>Stocker, D. Qin, G.-K. Plattner, M. </w:t>
      </w:r>
      <w:r>
        <w:rPr>
          <w:spacing w:val="-3"/>
        </w:rPr>
        <w:t>T</w:t>
      </w:r>
      <w:bookmarkStart w:name="_bookmark54" w:id="72"/>
      <w:bookmarkEnd w:id="72"/>
      <w:r>
        <w:rPr>
          <w:spacing w:val="-3"/>
        </w:rPr>
        <w:t>ig-</w:t>
      </w:r>
      <w:r>
        <w:rPr>
          <w:spacing w:val="-3"/>
        </w:rPr>
        <w:t> nor,  </w:t>
      </w:r>
      <w:r>
        <w:rPr/>
        <w:t>S.  K.  Allen,  J.  Boschung,  A. </w:t>
      </w:r>
      <w:r>
        <w:rPr>
          <w:spacing w:val="47"/>
        </w:rPr>
        <w:t> </w:t>
      </w:r>
      <w:r>
        <w:rPr>
          <w:spacing w:val="-3"/>
        </w:rPr>
        <w:t>Nauels,</w:t>
      </w:r>
    </w:p>
    <w:p>
      <w:pPr>
        <w:spacing w:line="252" w:lineRule="auto" w:before="0"/>
        <w:ind w:left="1367" w:right="0" w:firstLine="0"/>
        <w:jc w:val="both"/>
        <w:rPr>
          <w:sz w:val="24"/>
        </w:rPr>
      </w:pPr>
      <w:r>
        <w:rPr>
          <w:spacing w:val="-16"/>
          <w:sz w:val="24"/>
        </w:rPr>
        <w:t>Y. </w:t>
      </w:r>
      <w:r>
        <w:rPr>
          <w:sz w:val="24"/>
        </w:rPr>
        <w:t>Xia, </w:t>
      </w:r>
      <w:r>
        <w:rPr>
          <w:spacing w:val="-16"/>
          <w:sz w:val="24"/>
        </w:rPr>
        <w:t>V. </w:t>
      </w:r>
      <w:r>
        <w:rPr>
          <w:sz w:val="24"/>
        </w:rPr>
        <w:t>Bex, and </w:t>
      </w:r>
      <w:r>
        <w:rPr>
          <w:spacing w:val="-7"/>
          <w:sz w:val="24"/>
        </w:rPr>
        <w:t>P.M. </w:t>
      </w:r>
      <w:r>
        <w:rPr>
          <w:spacing w:val="-3"/>
          <w:sz w:val="24"/>
        </w:rPr>
        <w:t>Midgley, </w:t>
      </w:r>
      <w:r>
        <w:rPr>
          <w:sz w:val="24"/>
        </w:rPr>
        <w:t>editors. </w:t>
      </w:r>
      <w:r>
        <w:rPr>
          <w:i/>
          <w:sz w:val="24"/>
        </w:rPr>
        <w:t>Summary</w:t>
      </w:r>
      <w:r>
        <w:rPr>
          <w:i/>
          <w:spacing w:val="-18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8"/>
          <w:sz w:val="24"/>
        </w:rPr>
        <w:t> </w:t>
      </w:r>
      <w:r>
        <w:rPr>
          <w:i/>
          <w:sz w:val="24"/>
        </w:rPr>
        <w:t>Policymakers.</w:t>
      </w:r>
      <w:r>
        <w:rPr>
          <w:i/>
          <w:spacing w:val="-18"/>
          <w:sz w:val="24"/>
        </w:rPr>
        <w:t> </w:t>
      </w:r>
      <w:r>
        <w:rPr>
          <w:i/>
          <w:sz w:val="24"/>
        </w:rPr>
        <w:t>In:</w:t>
      </w:r>
      <w:r>
        <w:rPr>
          <w:i/>
          <w:spacing w:val="-17"/>
          <w:sz w:val="24"/>
        </w:rPr>
        <w:t> </w:t>
      </w:r>
      <w:r>
        <w:rPr>
          <w:i/>
          <w:sz w:val="24"/>
        </w:rPr>
        <w:t>Climate</w:t>
      </w:r>
      <w:r>
        <w:rPr>
          <w:i/>
          <w:spacing w:val="-18"/>
          <w:sz w:val="24"/>
        </w:rPr>
        <w:t> </w:t>
      </w:r>
      <w:r>
        <w:rPr>
          <w:i/>
          <w:spacing w:val="-4"/>
          <w:sz w:val="24"/>
        </w:rPr>
        <w:t>Chan- </w:t>
      </w:r>
      <w:r>
        <w:rPr>
          <w:i/>
          <w:sz w:val="24"/>
        </w:rPr>
        <w:t>ge 2013: The Physical Science Basis. </w:t>
      </w:r>
      <w:r>
        <w:rPr>
          <w:i/>
          <w:spacing w:val="-4"/>
          <w:sz w:val="24"/>
        </w:rPr>
        <w:t>Con- </w:t>
      </w:r>
      <w:r>
        <w:rPr>
          <w:i/>
          <w:sz w:val="24"/>
        </w:rPr>
        <w:t>tribution of </w:t>
      </w:r>
      <w:r>
        <w:rPr>
          <w:i/>
          <w:spacing w:val="-4"/>
          <w:sz w:val="24"/>
        </w:rPr>
        <w:t>Working </w:t>
      </w:r>
      <w:r>
        <w:rPr>
          <w:i/>
          <w:spacing w:val="-3"/>
          <w:sz w:val="24"/>
        </w:rPr>
        <w:t>Group </w:t>
      </w:r>
      <w:r>
        <w:rPr>
          <w:i/>
          <w:sz w:val="24"/>
        </w:rPr>
        <w:t>I to the </w:t>
      </w:r>
      <w:r>
        <w:rPr>
          <w:i/>
          <w:spacing w:val="-3"/>
          <w:sz w:val="24"/>
        </w:rPr>
        <w:t>Fifth </w:t>
      </w:r>
      <w:r>
        <w:rPr>
          <w:i/>
          <w:spacing w:val="-5"/>
          <w:sz w:val="24"/>
        </w:rPr>
        <w:t>As- </w:t>
      </w:r>
      <w:r>
        <w:rPr>
          <w:i/>
          <w:sz w:val="24"/>
        </w:rPr>
        <w:t>sessment Report of the Intergovernmental </w:t>
      </w:r>
      <w:r>
        <w:rPr>
          <w:i/>
          <w:spacing w:val="-13"/>
          <w:sz w:val="24"/>
        </w:rPr>
        <w:t>Pa- </w:t>
      </w:r>
      <w:r>
        <w:rPr>
          <w:i/>
          <w:sz w:val="24"/>
        </w:rPr>
        <w:t>nel on Climate Change</w:t>
      </w:r>
      <w:r>
        <w:rPr>
          <w:sz w:val="24"/>
        </w:rPr>
        <w:t>. Cambridge </w:t>
      </w:r>
      <w:r>
        <w:rPr>
          <w:spacing w:val="-5"/>
          <w:sz w:val="24"/>
        </w:rPr>
        <w:t>Univer- </w:t>
      </w:r>
      <w:r>
        <w:rPr>
          <w:sz w:val="24"/>
        </w:rPr>
        <w:t>sity</w:t>
      </w:r>
      <w:r>
        <w:rPr>
          <w:spacing w:val="29"/>
          <w:sz w:val="24"/>
        </w:rPr>
        <w:t> </w:t>
      </w:r>
      <w:r>
        <w:rPr>
          <w:sz w:val="24"/>
        </w:rPr>
        <w:t>Press,</w:t>
      </w:r>
      <w:r>
        <w:rPr>
          <w:spacing w:val="30"/>
          <w:sz w:val="24"/>
        </w:rPr>
        <w:t> </w:t>
      </w:r>
      <w:r>
        <w:rPr>
          <w:sz w:val="24"/>
        </w:rPr>
        <w:t>Cambridge,</w:t>
      </w:r>
      <w:r>
        <w:rPr>
          <w:spacing w:val="30"/>
          <w:sz w:val="24"/>
        </w:rPr>
        <w:t> </w:t>
      </w:r>
      <w:r>
        <w:rPr>
          <w:sz w:val="24"/>
        </w:rPr>
        <w:t>United</w:t>
      </w:r>
      <w:r>
        <w:rPr>
          <w:spacing w:val="30"/>
          <w:sz w:val="24"/>
        </w:rPr>
        <w:t> </w:t>
      </w:r>
      <w:r>
        <w:rPr>
          <w:sz w:val="24"/>
        </w:rPr>
        <w:t>Kingdom</w:t>
      </w:r>
      <w:r>
        <w:rPr>
          <w:spacing w:val="30"/>
          <w:sz w:val="24"/>
        </w:rPr>
        <w:t> </w:t>
      </w:r>
      <w:r>
        <w:rPr>
          <w:spacing w:val="-5"/>
          <w:sz w:val="24"/>
        </w:rPr>
        <w:t>and</w:t>
      </w:r>
    </w:p>
    <w:p>
      <w:pPr>
        <w:pStyle w:val="BodyText"/>
        <w:spacing w:line="252" w:lineRule="auto" w:before="71"/>
        <w:ind w:left="563" w:right="1031"/>
      </w:pPr>
      <w:r>
        <w:rPr/>
        <w:br w:type="column"/>
      </w:r>
      <w:r>
        <w:rPr/>
        <w:t>New York, NY, USA, 2013. URL </w:t>
      </w:r>
      <w:hyperlink r:id="rId60">
        <w:r>
          <w:rPr>
            <w:color w:val="FF0000"/>
          </w:rPr>
          <w:t>http://www.</w:t>
        </w:r>
      </w:hyperlink>
      <w:r>
        <w:rPr>
          <w:color w:val="FF0000"/>
        </w:rPr>
        <w:t> </w:t>
      </w:r>
      <w:hyperlink r:id="rId60">
        <w:r>
          <w:rPr>
            <w:color w:val="FF0000"/>
          </w:rPr>
          <w:t>climate2013.org/spm</w:t>
        </w:r>
      </w:hyperlink>
      <w:r>
        <w:rPr/>
        <w:t>. </w:t>
      </w:r>
      <w:hyperlink w:history="true" w:anchor="_bookmark3">
        <w:r>
          <w:rPr>
            <w:color w:val="FF0000"/>
          </w:rPr>
          <w:t>1.1</w:t>
        </w:r>
      </w:hyperlink>
    </w:p>
    <w:p>
      <w:pPr>
        <w:pStyle w:val="BodyText"/>
        <w:spacing w:line="252" w:lineRule="auto" w:before="197"/>
        <w:ind w:left="563" w:right="1131" w:hanging="235"/>
        <w:jc w:val="both"/>
      </w:pPr>
      <w:r>
        <w:rPr/>
        <w:t>K. </w:t>
      </w:r>
      <w:r>
        <w:rPr>
          <w:spacing w:val="-4"/>
        </w:rPr>
        <w:t>Vognsen, </w:t>
      </w:r>
      <w:r>
        <w:rPr/>
        <w:t>I. B. Sonne, N. H. Broge, C. </w:t>
      </w:r>
      <w:r>
        <w:rPr>
          <w:spacing w:val="-6"/>
        </w:rPr>
        <w:t>S. </w:t>
      </w:r>
      <w:r>
        <w:rPr/>
        <w:t>Sørensen, and </w:t>
      </w:r>
      <w:r>
        <w:rPr>
          <w:spacing w:val="-14"/>
        </w:rPr>
        <w:t>P. </w:t>
      </w:r>
      <w:r>
        <w:rPr/>
        <w:t>Knudsen. Metode </w:t>
      </w:r>
      <w:r>
        <w:rPr>
          <w:spacing w:val="-5"/>
        </w:rPr>
        <w:t>til </w:t>
      </w:r>
      <w:r>
        <w:rPr/>
        <w:t>fremskrivning af  oversvømmelsesomfang ved stormflod. Technical Report  16,  </w:t>
      </w:r>
      <w:r>
        <w:rPr>
          <w:spacing w:val="-5"/>
        </w:rPr>
        <w:t>Da- </w:t>
      </w:r>
      <w:r>
        <w:rPr/>
        <w:t>nish Geodata Agency and Danish Coastal Authority and Danish National </w:t>
      </w:r>
      <w:r>
        <w:rPr>
          <w:spacing w:val="-4"/>
        </w:rPr>
        <w:t>Space </w:t>
      </w:r>
      <w:r>
        <w:rPr/>
        <w:t>Institute, Copenhagen, Denmark,  </w:t>
      </w:r>
      <w:r>
        <w:rPr>
          <w:spacing w:val="-4"/>
        </w:rPr>
        <w:t>2013.  </w:t>
      </w:r>
      <w:r>
        <w:rPr/>
        <w:t>URL </w:t>
      </w:r>
      <w:hyperlink r:id="rId61">
        <w:r>
          <w:rPr>
            <w:color w:val="FF0000"/>
          </w:rPr>
          <w:t>ftp://ftp.kms.dk/download/Technical_</w:t>
        </w:r>
      </w:hyperlink>
      <w:hyperlink r:id="rId61">
        <w:r>
          <w:rPr>
            <w:color w:val="FF0000"/>
          </w:rPr>
          <w:t> Reports/GST_Technical_Report_16.pdf</w:t>
        </w:r>
      </w:hyperlink>
      <w:r>
        <w:rPr/>
        <w:t>.</w:t>
      </w:r>
      <w:r>
        <w:rPr>
          <w:spacing w:val="14"/>
        </w:rPr>
        <w:t> </w:t>
      </w:r>
      <w:hyperlink w:history="true" w:anchor="_bookmark3">
        <w:r>
          <w:rPr>
            <w:color w:val="FF0000"/>
          </w:rPr>
          <w:t>1.1</w:t>
        </w:r>
      </w:hyperlink>
    </w:p>
    <w:p>
      <w:pPr>
        <w:spacing w:after="0" w:line="252" w:lineRule="auto"/>
        <w:jc w:val="both"/>
        <w:sectPr>
          <w:footerReference w:type="default" r:id="rId58"/>
          <w:pgSz w:w="11910" w:h="16840"/>
          <w:pgMar w:footer="0" w:header="0" w:top="1060" w:bottom="280" w:left="0" w:right="0"/>
          <w:cols w:num="2" w:equalWidth="0">
            <w:col w:w="5769" w:space="40"/>
            <w:col w:w="6101"/>
          </w:cols>
        </w:sectPr>
      </w:pPr>
    </w:p>
    <w:p>
      <w:pPr>
        <w:spacing w:line="1059" w:lineRule="exact" w:before="0"/>
        <w:ind w:left="0" w:right="-87" w:firstLine="0"/>
        <w:jc w:val="right"/>
        <w:rPr>
          <w:rFonts w:ascii="Arial" w:hAnsi="Arial"/>
          <w:sz w:val="138"/>
        </w:rPr>
      </w:pPr>
      <w:r>
        <w:rPr/>
        <w:pict>
          <v:shape style="position:absolute;margin-left:460.517303pt;margin-top:1.573695pt;width:36.35pt;height:7.6pt;mso-position-horizontal-relative:page;mso-position-vertical-relative:paragraph;z-index:2776" type="#_x0000_t202" filled="false" stroked="false">
            <v:textbox inset="0,0,0,0">
              <w:txbxContent>
                <w:p>
                  <w:pPr>
                    <w:tabs>
                      <w:tab w:pos="634" w:val="left" w:leader="none"/>
                    </w:tabs>
                    <w:spacing w:line="230" w:lineRule="auto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547E6D"/>
                      <w:sz w:val="11"/>
                    </w:rPr>
                    <w:t>n.</w:t>
                    <w:tab/>
                  </w:r>
                  <w:r>
                    <w:rPr>
                      <w:rFonts w:ascii="Arial"/>
                      <w:color w:val="547E6D"/>
                      <w:spacing w:val="-10"/>
                      <w:position w:val="-2"/>
                      <w:sz w:val="11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7.103806pt;margin-top:31.821608pt;width:21.1pt;height:20.1pt;mso-position-horizontal-relative:page;mso-position-vertical-relative:paragraph;z-index:2800" type="#_x0000_t202" filled="false" stroked="false">
            <v:textbox inset="0,0,0,0">
              <w:txbxContent>
                <w:p>
                  <w:pPr>
                    <w:tabs>
                      <w:tab w:pos="329" w:val="left" w:leader="none"/>
                    </w:tabs>
                    <w:spacing w:line="165" w:lineRule="auto" w:before="1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color w:val="547E6D"/>
                      <w:sz w:val="8"/>
                    </w:rPr>
                    <w:t>A.</w:t>
                    <w:tab/>
                  </w:r>
                  <w:r>
                    <w:rPr>
                      <w:rFonts w:ascii="Arial"/>
                      <w:color w:val="547E6D"/>
                      <w:spacing w:val="-10"/>
                      <w:position w:val="-5"/>
                      <w:sz w:val="11"/>
                    </w:rPr>
                    <w:t>n.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b/>
                      <w:sz w:val="15"/>
                    </w:rPr>
                  </w:pPr>
                </w:p>
                <w:p>
                  <w:pPr>
                    <w:spacing w:before="0"/>
                    <w:ind w:left="76" w:right="0" w:firstLine="0"/>
                    <w:jc w:val="left"/>
                    <w:rPr>
                      <w:sz w:val="8"/>
                    </w:rPr>
                  </w:pPr>
                  <w:r>
                    <w:rPr>
                      <w:color w:val="547E6D"/>
                      <w:sz w:val="8"/>
                    </w:rPr>
                    <w:t>A.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7.636902pt;margin-top:41.938194pt;width:49.5pt;height:8.3pt;mso-position-horizontal-relative:page;mso-position-vertical-relative:paragraph;z-index:2824" type="#_x0000_t202" filled="false" stroked="false">
            <v:textbox inset="0,0,0,0">
              <w:txbxContent>
                <w:p>
                  <w:pPr>
                    <w:tabs>
                      <w:tab w:pos="897" w:val="left" w:leader="none"/>
                    </w:tabs>
                    <w:spacing w:line="230" w:lineRule="auto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color w:val="547E6D"/>
                      <w:position w:val="-4"/>
                      <w:sz w:val="8"/>
                    </w:rPr>
                    <w:t>A.</w:t>
                    <w:tab/>
                  </w:r>
                  <w:r>
                    <w:rPr>
                      <w:rFonts w:ascii="Arial"/>
                      <w:color w:val="547E6D"/>
                      <w:spacing w:val="-10"/>
                      <w:sz w:val="11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9.169708pt;margin-top:16.684908pt;width:13.7pt;height:14.05pt;mso-position-horizontal-relative:page;mso-position-vertical-relative:paragraph;z-index:2848" type="#_x0000_t202" filled="false" stroked="false">
            <v:textbox inset="0,0,0,0">
              <w:txbxContent>
                <w:p>
                  <w:pPr>
                    <w:spacing w:line="89" w:lineRule="exact" w:before="0"/>
                    <w:ind w:left="0" w:right="0" w:firstLine="0"/>
                    <w:jc w:val="left"/>
                    <w:rPr>
                      <w:sz w:val="8"/>
                    </w:rPr>
                  </w:pPr>
                  <w:r>
                    <w:rPr>
                      <w:color w:val="3D6E59"/>
                      <w:sz w:val="8"/>
                    </w:rPr>
                    <w:t>- I,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  <w:b/>
                      <w:sz w:val="8"/>
                    </w:rPr>
                  </w:pPr>
                </w:p>
                <w:p>
                  <w:pPr>
                    <w:tabs>
                      <w:tab w:pos="253" w:val="left" w:leader="none"/>
                    </w:tabs>
                    <w:spacing w:before="0"/>
                    <w:ind w:left="15" w:right="0" w:firstLine="0"/>
                    <w:jc w:val="left"/>
                    <w:rPr>
                      <w:sz w:val="8"/>
                    </w:rPr>
                  </w:pPr>
                  <w:r>
                    <w:rPr>
                      <w:color w:val="3D6E59"/>
                      <w:sz w:val="8"/>
                    </w:rPr>
                    <w:t>I</w:t>
                    <w:tab/>
                  </w:r>
                  <w:r>
                    <w:rPr>
                      <w:color w:val="3D6E59"/>
                      <w:spacing w:val="-20"/>
                      <w:sz w:val="8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1.238495pt;margin-top:16.710394pt;width:4.6pt;height:6.2pt;mso-position-horizontal-relative:page;mso-position-vertical-relative:paragraph;z-index:2872" type="#_x0000_t202" filled="false" stroked="false">
            <v:textbox inset="0,0,0,0">
              <w:txbxContent>
                <w:p>
                  <w:pPr>
                    <w:spacing w:line="123" w:lineRule="exact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547E6D"/>
                      <w:sz w:val="11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75.1828pt;margin-top:22.716995pt;width:33.950pt;height:7.6pt;mso-position-horizontal-relative:page;mso-position-vertical-relative:paragraph;z-index:2896" type="#_x0000_t202" filled="false" stroked="false">
            <v:textbox inset="0,0,0,0">
              <w:txbxContent>
                <w:p>
                  <w:pPr>
                    <w:tabs>
                      <w:tab w:pos="586" w:val="left" w:leader="none"/>
                    </w:tabs>
                    <w:spacing w:line="230" w:lineRule="auto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547E6D"/>
                      <w:position w:val="-2"/>
                      <w:sz w:val="11"/>
                    </w:rPr>
                    <w:t>n.</w:t>
                    <w:tab/>
                  </w:r>
                  <w:r>
                    <w:rPr>
                      <w:rFonts w:ascii="Arial"/>
                      <w:color w:val="547E6D"/>
                      <w:spacing w:val="-10"/>
                      <w:sz w:val="11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547E6D"/>
          <w:sz w:val="138"/>
        </w:rPr>
        <w:t>:æ</w:t>
      </w:r>
    </w:p>
    <w:p>
      <w:pPr>
        <w:spacing w:after="0" w:line="1059" w:lineRule="exact"/>
        <w:jc w:val="right"/>
        <w:rPr>
          <w:rFonts w:ascii="Arial" w:hAnsi="Arial"/>
          <w:sz w:val="138"/>
        </w:rPr>
        <w:sectPr>
          <w:footerReference w:type="default" r:id="rId62"/>
          <w:pgSz w:w="11910" w:h="16840"/>
          <w:pgMar w:footer="0" w:header="0" w:top="0" w:bottom="0" w:left="0" w:right="0"/>
        </w:sectPr>
      </w:pPr>
    </w:p>
    <w:p>
      <w:pPr>
        <w:spacing w:before="17"/>
        <w:ind w:left="0" w:right="171" w:firstLine="0"/>
        <w:jc w:val="right"/>
        <w:rPr>
          <w:rFonts w:ascii="Arial"/>
          <w:sz w:val="14"/>
        </w:rPr>
      </w:pPr>
      <w:r>
        <w:rPr>
          <w:rFonts w:ascii="Arial"/>
          <w:color w:val="3D6E59"/>
          <w:sz w:val="14"/>
        </w:rPr>
        <w:t>132</w:t>
      </w:r>
    </w:p>
    <w:p>
      <w:pPr>
        <w:spacing w:line="123" w:lineRule="exact" w:before="41"/>
        <w:ind w:left="775" w:right="437" w:firstLine="0"/>
        <w:jc w:val="center"/>
        <w:rPr>
          <w:rFonts w:ascii="Arial"/>
          <w:sz w:val="11"/>
        </w:rPr>
      </w:pPr>
      <w:r>
        <w:rPr>
          <w:rFonts w:ascii="Arial"/>
          <w:color w:val="547E6D"/>
          <w:sz w:val="11"/>
        </w:rPr>
        <w:t>n.</w:t>
      </w:r>
    </w:p>
    <w:p>
      <w:pPr>
        <w:spacing w:line="123" w:lineRule="exact"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color w:val="547E6D"/>
          <w:sz w:val="11"/>
        </w:rPr>
        <w:t>n.</w:t>
      </w:r>
    </w:p>
    <w:p>
      <w:pPr>
        <w:pStyle w:val="BodyText"/>
        <w:spacing w:before="8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tabs>
          <w:tab w:pos="908" w:val="left" w:leader="none"/>
          <w:tab w:pos="1528" w:val="left" w:leader="none"/>
        </w:tabs>
        <w:spacing w:line="114" w:lineRule="exact" w:before="0"/>
        <w:ind w:left="387" w:right="0" w:firstLine="0"/>
        <w:jc w:val="left"/>
        <w:rPr>
          <w:sz w:val="8"/>
        </w:rPr>
      </w:pPr>
      <w:r>
        <w:rPr>
          <w:rFonts w:ascii="Arial"/>
          <w:color w:val="547E6D"/>
          <w:sz w:val="11"/>
        </w:rPr>
        <w:t>n.</w:t>
        <w:tab/>
      </w:r>
      <w:r>
        <w:rPr>
          <w:color w:val="547E6D"/>
          <w:sz w:val="8"/>
        </w:rPr>
        <w:t>A.</w:t>
        <w:tab/>
      </w:r>
      <w:r>
        <w:rPr>
          <w:color w:val="547E6D"/>
          <w:spacing w:val="-10"/>
          <w:position w:val="1"/>
          <w:sz w:val="8"/>
        </w:rPr>
        <w:t>A.</w:t>
      </w:r>
    </w:p>
    <w:p>
      <w:pPr>
        <w:tabs>
          <w:tab w:pos="1224" w:val="left" w:leader="none"/>
        </w:tabs>
        <w:spacing w:line="114" w:lineRule="exact" w:before="0"/>
        <w:ind w:left="677" w:right="0" w:firstLine="0"/>
        <w:jc w:val="left"/>
        <w:rPr>
          <w:rFonts w:ascii="Arial"/>
          <w:sz w:val="11"/>
        </w:rPr>
      </w:pPr>
      <w:r>
        <w:rPr>
          <w:color w:val="547E6D"/>
          <w:sz w:val="8"/>
        </w:rPr>
        <w:t>A.</w:t>
        <w:tab/>
      </w:r>
      <w:r>
        <w:rPr>
          <w:rFonts w:ascii="Arial"/>
          <w:color w:val="547E6D"/>
          <w:sz w:val="11"/>
        </w:rPr>
        <w:t>n.</w:t>
      </w:r>
    </w:p>
    <w:p>
      <w:pPr>
        <w:tabs>
          <w:tab w:pos="573" w:val="left" w:leader="none"/>
        </w:tabs>
        <w:spacing w:before="0"/>
        <w:ind w:left="269" w:right="0" w:firstLine="0"/>
        <w:jc w:val="left"/>
        <w:rPr>
          <w:rFonts w:ascii="Courier New"/>
          <w:sz w:val="15"/>
        </w:rPr>
      </w:pPr>
      <w:r>
        <w:rPr/>
        <w:br w:type="column"/>
      </w:r>
      <w:r>
        <w:rPr>
          <w:rFonts w:ascii="Arial"/>
          <w:color w:val="547E6D"/>
          <w:position w:val="-4"/>
          <w:sz w:val="11"/>
        </w:rPr>
        <w:t>n.</w:t>
        <w:tab/>
      </w:r>
      <w:r>
        <w:rPr>
          <w:rFonts w:ascii="Courier New"/>
          <w:color w:val="547E6D"/>
          <w:sz w:val="15"/>
        </w:rPr>
        <w:t>44</w:t>
      </w:r>
    </w:p>
    <w:p>
      <w:pPr>
        <w:pStyle w:val="BodyText"/>
        <w:spacing w:before="7"/>
        <w:rPr>
          <w:rFonts w:ascii="Courier New"/>
          <w:sz w:val="18"/>
        </w:rPr>
      </w:pPr>
      <w:r>
        <w:rPr/>
        <w:br w:type="column"/>
      </w:r>
      <w:r>
        <w:rPr>
          <w:rFonts w:ascii="Courier New"/>
          <w:sz w:val="18"/>
        </w:rPr>
      </w:r>
    </w:p>
    <w:p>
      <w:pPr>
        <w:spacing w:before="0"/>
        <w:ind w:left="795" w:right="0" w:firstLine="0"/>
        <w:jc w:val="left"/>
        <w:rPr>
          <w:sz w:val="17"/>
        </w:rPr>
      </w:pPr>
      <w:r>
        <w:rPr>
          <w:color w:val="547E6D"/>
          <w:w w:val="140"/>
          <w:sz w:val="17"/>
        </w:rPr>
        <w:t>Dråby</w:t>
      </w:r>
    </w:p>
    <w:p>
      <w:pPr>
        <w:spacing w:after="0"/>
        <w:jc w:val="left"/>
        <w:rPr>
          <w:sz w:val="17"/>
        </w:rPr>
        <w:sectPr>
          <w:type w:val="continuous"/>
          <w:pgSz w:w="11910" w:h="16840"/>
          <w:pgMar w:top="0" w:bottom="280" w:left="0" w:right="0"/>
          <w:cols w:num="4" w:equalWidth="0">
            <w:col w:w="1345" w:space="40"/>
            <w:col w:w="1607" w:space="39"/>
            <w:col w:w="795" w:space="6233"/>
            <w:col w:w="1851"/>
          </w:cols>
        </w:sectPr>
      </w:pPr>
    </w:p>
    <w:p>
      <w:pPr>
        <w:tabs>
          <w:tab w:pos="1593" w:val="left" w:leader="none"/>
          <w:tab w:pos="2954" w:val="left" w:leader="none"/>
        </w:tabs>
        <w:spacing w:line="129" w:lineRule="exact" w:before="0"/>
        <w:ind w:left="576" w:right="0" w:firstLine="0"/>
        <w:jc w:val="left"/>
        <w:rPr>
          <w:rFonts w:ascii="Arial"/>
          <w:sz w:val="11"/>
        </w:rPr>
      </w:pPr>
      <w:r>
        <w:rPr>
          <w:color w:val="547E6D"/>
          <w:sz w:val="8"/>
        </w:rPr>
        <w:t>A.</w:t>
        <w:tab/>
      </w:r>
      <w:r>
        <w:rPr>
          <w:rFonts w:ascii="Arial"/>
          <w:color w:val="547E6D"/>
          <w:sz w:val="11"/>
        </w:rPr>
        <w:t>n.</w:t>
        <w:tab/>
      </w:r>
      <w:r>
        <w:rPr>
          <w:rFonts w:ascii="Arial"/>
          <w:color w:val="547E6D"/>
          <w:position w:val="1"/>
          <w:sz w:val="11"/>
        </w:rPr>
        <w:t>n.</w:t>
      </w:r>
    </w:p>
    <w:p>
      <w:pPr>
        <w:tabs>
          <w:tab w:pos="922" w:val="left" w:leader="none"/>
        </w:tabs>
        <w:spacing w:line="94" w:lineRule="exact" w:before="0"/>
        <w:ind w:left="305" w:right="0" w:firstLine="0"/>
        <w:jc w:val="left"/>
        <w:rPr>
          <w:sz w:val="8"/>
        </w:rPr>
      </w:pPr>
      <w:r>
        <w:rPr>
          <w:rFonts w:ascii="Arial"/>
          <w:color w:val="547E6D"/>
          <w:sz w:val="11"/>
        </w:rPr>
        <w:t>n.</w:t>
        <w:tab/>
      </w:r>
      <w:r>
        <w:rPr>
          <w:color w:val="547E6D"/>
          <w:sz w:val="8"/>
        </w:rPr>
        <w:t>A.</w:t>
      </w:r>
    </w:p>
    <w:p>
      <w:pPr>
        <w:spacing w:before="47"/>
        <w:ind w:left="305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547E6D"/>
          <w:w w:val="130"/>
          <w:sz w:val="13"/>
        </w:rPr>
        <w:t>Karls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0" w:bottom="280" w:left="0" w:right="0"/>
          <w:cols w:num="2" w:equalWidth="0">
            <w:col w:w="3087" w:space="7763"/>
            <w:col w:w="1060"/>
          </w:cols>
        </w:sectPr>
      </w:pPr>
    </w:p>
    <w:p>
      <w:pPr>
        <w:tabs>
          <w:tab w:pos="2310" w:val="left" w:leader="none"/>
        </w:tabs>
        <w:spacing w:line="213" w:lineRule="auto" w:before="0"/>
        <w:ind w:left="1223" w:right="0" w:firstLine="0"/>
        <w:jc w:val="left"/>
        <w:rPr>
          <w:rFonts w:ascii="Arial"/>
          <w:sz w:val="11"/>
        </w:rPr>
      </w:pPr>
      <w:r>
        <w:rPr/>
        <w:pict>
          <v:shape style="position:absolute;margin-left:572.074219pt;margin-top:3.828383pt;width:9.7pt;height:8.35pt;mso-position-horizontal-relative:page;mso-position-vertical-relative:paragraph;z-index:2944" type="#_x0000_t202" filled="false" stroked="false">
            <v:textbox inset="0,0,0,0">
              <w:txbxContent>
                <w:p>
                  <w:pPr>
                    <w:spacing w:line="166" w:lineRule="exact" w:before="0"/>
                    <w:ind w:left="0" w:right="0" w:firstLine="0"/>
                    <w:jc w:val="left"/>
                    <w:rPr>
                      <w:sz w:val="15"/>
                    </w:rPr>
                  </w:pPr>
                  <w:r>
                    <w:rPr>
                      <w:color w:val="3D6E59"/>
                      <w:w w:val="125"/>
                      <w:sz w:val="15"/>
                    </w:rPr>
                    <w:t>53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547E6D"/>
          <w:sz w:val="11"/>
        </w:rPr>
        <w:t>n.</w:t>
        <w:tab/>
      </w:r>
      <w:r>
        <w:rPr>
          <w:rFonts w:ascii="Arial"/>
          <w:color w:val="547E6D"/>
          <w:position w:val="-6"/>
          <w:sz w:val="11"/>
        </w:rPr>
        <w:t>n.</w:t>
      </w:r>
    </w:p>
    <w:p>
      <w:pPr>
        <w:spacing w:line="65" w:lineRule="exact" w:before="0"/>
        <w:ind w:left="23" w:right="0" w:firstLine="0"/>
        <w:jc w:val="left"/>
        <w:rPr>
          <w:sz w:val="8"/>
        </w:rPr>
      </w:pPr>
      <w:r>
        <w:rPr/>
        <w:pict>
          <v:shape style="position:absolute;margin-left:46.128349pt;margin-top:1.122509pt;width:5.05pt;height:4.45pt;mso-position-horizontal-relative:page;mso-position-vertical-relative:paragraph;z-index:-34528" type="#_x0000_t202" filled="false" stroked="false">
            <v:textbox inset="0,0,0,0">
              <w:txbxContent>
                <w:p>
                  <w:pPr>
                    <w:spacing w:line="89" w:lineRule="exact" w:before="0"/>
                    <w:ind w:left="0" w:right="0" w:firstLine="0"/>
                    <w:jc w:val="left"/>
                    <w:rPr>
                      <w:sz w:val="8"/>
                    </w:rPr>
                  </w:pPr>
                  <w:r>
                    <w:rPr>
                      <w:color w:val="547E6D"/>
                      <w:spacing w:val="-1"/>
                      <w:w w:val="130"/>
                      <w:sz w:val="8"/>
                    </w:rPr>
                    <w:t>A.</w:t>
                  </w:r>
                </w:p>
              </w:txbxContent>
            </v:textbox>
            <w10:wrap type="none"/>
          </v:shape>
        </w:pict>
      </w:r>
      <w:r>
        <w:rPr>
          <w:color w:val="547E6D"/>
          <w:sz w:val="8"/>
        </w:rPr>
        <w:t>A.</w:t>
      </w:r>
    </w:p>
    <w:p>
      <w:pPr>
        <w:tabs>
          <w:tab w:pos="10484" w:val="left" w:leader="none"/>
        </w:tabs>
        <w:spacing w:line="108" w:lineRule="exact" w:before="0"/>
        <w:ind w:left="292" w:right="0" w:firstLine="0"/>
        <w:jc w:val="left"/>
        <w:rPr>
          <w:rFonts w:ascii="Arial"/>
          <w:sz w:val="11"/>
        </w:rPr>
      </w:pPr>
      <w:r>
        <w:rPr/>
        <w:pict>
          <v:shape style="position:absolute;margin-left:124.504501pt;margin-top:3.153182pt;width:5.05pt;height:4.45pt;mso-position-horizontal-relative:page;mso-position-vertical-relative:paragraph;z-index:-34576" type="#_x0000_t202" filled="false" stroked="false">
            <v:textbox inset="0,0,0,0">
              <w:txbxContent>
                <w:p>
                  <w:pPr>
                    <w:spacing w:line="89" w:lineRule="exact" w:before="0"/>
                    <w:ind w:left="0" w:right="0" w:firstLine="0"/>
                    <w:jc w:val="left"/>
                    <w:rPr>
                      <w:sz w:val="8"/>
                    </w:rPr>
                  </w:pPr>
                  <w:r>
                    <w:rPr>
                      <w:color w:val="547E6D"/>
                      <w:spacing w:val="-1"/>
                      <w:w w:val="130"/>
                      <w:sz w:val="8"/>
                    </w:rPr>
                    <w:t>A.</w:t>
                  </w:r>
                </w:p>
              </w:txbxContent>
            </v:textbox>
            <w10:wrap type="none"/>
          </v:shape>
        </w:pict>
      </w:r>
      <w:r>
        <w:rPr>
          <w:color w:val="547E6D"/>
          <w:w w:val="130"/>
          <w:sz w:val="8"/>
        </w:rPr>
        <w:t>A.</w:t>
        <w:tab/>
      </w:r>
      <w:r>
        <w:rPr>
          <w:rFonts w:ascii="Arial"/>
          <w:color w:val="547E6D"/>
          <w:w w:val="130"/>
          <w:position w:val="1"/>
          <w:sz w:val="11"/>
        </w:rPr>
        <w:t>n.</w:t>
      </w:r>
    </w:p>
    <w:p>
      <w:pPr>
        <w:spacing w:line="23" w:lineRule="exact" w:before="0"/>
        <w:ind w:left="1292" w:right="0" w:firstLine="0"/>
        <w:jc w:val="left"/>
        <w:rPr>
          <w:sz w:val="8"/>
        </w:rPr>
      </w:pPr>
      <w:r>
        <w:rPr>
          <w:color w:val="547E6D"/>
          <w:w w:val="130"/>
          <w:sz w:val="8"/>
        </w:rPr>
        <w:t>A.</w:t>
      </w:r>
    </w:p>
    <w:p>
      <w:pPr>
        <w:pStyle w:val="ListParagraph"/>
        <w:numPr>
          <w:ilvl w:val="0"/>
          <w:numId w:val="9"/>
        </w:numPr>
        <w:tabs>
          <w:tab w:pos="646" w:val="left" w:leader="none"/>
          <w:tab w:pos="647" w:val="left" w:leader="none"/>
          <w:tab w:pos="1689" w:val="left" w:leader="none"/>
        </w:tabs>
        <w:spacing w:line="211" w:lineRule="auto" w:before="1" w:after="0"/>
        <w:ind w:left="646" w:right="0" w:hanging="620"/>
        <w:jc w:val="left"/>
        <w:rPr>
          <w:rFonts w:ascii="Arial"/>
          <w:sz w:val="11"/>
        </w:rPr>
      </w:pPr>
      <w:r>
        <w:rPr>
          <w:rFonts w:ascii="Arial"/>
          <w:color w:val="547E6D"/>
          <w:w w:val="130"/>
          <w:sz w:val="11"/>
        </w:rPr>
        <w:t>n.</w:t>
        <w:tab/>
        <w:t>n.</w:t>
      </w:r>
    </w:p>
    <w:p>
      <w:pPr>
        <w:pStyle w:val="ListParagraph"/>
        <w:numPr>
          <w:ilvl w:val="1"/>
          <w:numId w:val="9"/>
        </w:numPr>
        <w:tabs>
          <w:tab w:pos="1912" w:val="left" w:leader="none"/>
          <w:tab w:pos="1914" w:val="left" w:leader="none"/>
        </w:tabs>
        <w:spacing w:line="136" w:lineRule="auto" w:before="9" w:after="0"/>
        <w:ind w:left="1913" w:right="0" w:hanging="933"/>
        <w:jc w:val="left"/>
        <w:rPr>
          <w:sz w:val="8"/>
        </w:rPr>
      </w:pPr>
      <w:r>
        <w:rPr>
          <w:color w:val="547E6D"/>
          <w:w w:val="130"/>
          <w:sz w:val="8"/>
        </w:rPr>
        <w:t>A.</w:t>
      </w:r>
    </w:p>
    <w:p>
      <w:pPr>
        <w:tabs>
          <w:tab w:pos="1319" w:val="left" w:leader="none"/>
        </w:tabs>
        <w:spacing w:line="120" w:lineRule="exact" w:before="0"/>
        <w:ind w:left="340" w:right="0" w:firstLine="0"/>
        <w:jc w:val="left"/>
        <w:rPr>
          <w:rFonts w:ascii="Arial"/>
          <w:sz w:val="11"/>
        </w:rPr>
      </w:pPr>
      <w:r>
        <w:rPr>
          <w:color w:val="547E6D"/>
          <w:w w:val="130"/>
          <w:position w:val="-1"/>
          <w:sz w:val="8"/>
        </w:rPr>
        <w:t>A.</w:t>
        <w:tab/>
      </w:r>
      <w:r>
        <w:rPr>
          <w:rFonts w:ascii="Arial"/>
          <w:color w:val="547E6D"/>
          <w:w w:val="130"/>
          <w:sz w:val="11"/>
        </w:rPr>
        <w:t>n.</w:t>
      </w:r>
    </w:p>
    <w:p>
      <w:pPr>
        <w:tabs>
          <w:tab w:pos="738" w:val="left" w:leader="none"/>
          <w:tab w:pos="1988" w:val="left" w:leader="none"/>
        </w:tabs>
        <w:spacing w:line="164" w:lineRule="exact" w:before="38"/>
        <w:ind w:left="0" w:right="9762" w:firstLine="0"/>
        <w:jc w:val="center"/>
        <w:rPr>
          <w:rFonts w:ascii="Arial" w:hAnsi="Arial"/>
          <w:sz w:val="11"/>
        </w:rPr>
      </w:pPr>
      <w:r>
        <w:rPr>
          <w:color w:val="547E6D"/>
          <w:w w:val="125"/>
          <w:position w:val="4"/>
          <w:sz w:val="8"/>
        </w:rPr>
        <w:t>A.</w:t>
        <w:tab/>
      </w:r>
      <w:r>
        <w:rPr>
          <w:rFonts w:ascii="Arial" w:hAnsi="Arial"/>
          <w:color w:val="3D6E59"/>
          <w:w w:val="125"/>
          <w:sz w:val="13"/>
        </w:rPr>
        <w:t>Trehøje</w:t>
        <w:tab/>
      </w:r>
      <w:r>
        <w:rPr>
          <w:rFonts w:ascii="Arial" w:hAnsi="Arial"/>
          <w:color w:val="547E6D"/>
          <w:w w:val="125"/>
          <w:position w:val="-1"/>
          <w:sz w:val="11"/>
        </w:rPr>
        <w:t>n.</w:t>
      </w:r>
    </w:p>
    <w:p>
      <w:pPr>
        <w:tabs>
          <w:tab w:pos="1720" w:val="left" w:leader="none"/>
        </w:tabs>
        <w:spacing w:line="136" w:lineRule="exact" w:before="0"/>
        <w:ind w:left="645" w:right="0" w:firstLine="0"/>
        <w:jc w:val="left"/>
        <w:rPr>
          <w:sz w:val="13"/>
        </w:rPr>
      </w:pPr>
      <w:r>
        <w:rPr>
          <w:rFonts w:ascii="Arial" w:hAnsi="Arial"/>
          <w:color w:val="547E6D"/>
          <w:w w:val="130"/>
          <w:sz w:val="13"/>
        </w:rPr>
        <w:t>(Dyrehøje)</w:t>
        <w:tab/>
      </w:r>
      <w:r>
        <w:rPr>
          <w:color w:val="547E6D"/>
          <w:w w:val="130"/>
          <w:sz w:val="13"/>
          <w:vertAlign w:val="subscript"/>
        </w:rPr>
        <w:t>A.</w:t>
      </w:r>
    </w:p>
    <w:p>
      <w:pPr>
        <w:spacing w:line="114" w:lineRule="exact" w:before="0"/>
        <w:ind w:left="218" w:right="0" w:firstLine="0"/>
        <w:jc w:val="left"/>
        <w:rPr>
          <w:rFonts w:ascii="Arial"/>
          <w:sz w:val="11"/>
        </w:rPr>
      </w:pPr>
      <w:r>
        <w:rPr>
          <w:rFonts w:ascii="Arial"/>
          <w:color w:val="547E6D"/>
          <w:w w:val="130"/>
          <w:sz w:val="11"/>
        </w:rPr>
        <w:t>n.</w:t>
      </w:r>
    </w:p>
    <w:p>
      <w:pPr>
        <w:spacing w:before="9"/>
        <w:ind w:left="0" w:right="9796" w:firstLine="0"/>
        <w:jc w:val="center"/>
        <w:rPr>
          <w:rFonts w:ascii="Arial"/>
          <w:sz w:val="14"/>
        </w:rPr>
      </w:pPr>
      <w:r>
        <w:rPr>
          <w:rFonts w:ascii="Arial"/>
          <w:color w:val="3D6E59"/>
          <w:w w:val="125"/>
          <w:sz w:val="14"/>
        </w:rPr>
        <w:t>127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8"/>
        </w:rPr>
      </w:pPr>
    </w:p>
    <w:p>
      <w:pPr>
        <w:spacing w:line="273" w:lineRule="auto" w:before="103"/>
        <w:ind w:left="566" w:right="8799" w:firstLine="0"/>
        <w:jc w:val="left"/>
        <w:rPr>
          <w:rFonts w:ascii="Arial"/>
          <w:b/>
          <w:sz w:val="22"/>
        </w:rPr>
      </w:pPr>
      <w:r>
        <w:rPr/>
        <w:pict>
          <v:group style="position:absolute;margin-left:0pt;margin-top:-766.410156pt;width:595.3pt;height:756.85pt;mso-position-horizontal-relative:page;mso-position-vertical-relative:paragraph;z-index:-34768" coordorigin="0,-15328" coordsize="11906,15137">
            <v:shape style="position:absolute;left:566;top:-14762;width:10772;height:14571" coordorigin="567,-14761" coordsize="10772,14571" path="m11339,-10509l567,-10509,567,-191,11339,-191,11339,-10509m11339,-14761l567,-14761,567,-11076,11339,-11076,11339,-14761e" filled="true" fillcolor="#71a7a1" stroked="false">
              <v:path arrowok="t"/>
              <v:fill type="solid"/>
            </v:shape>
            <v:rect style="position:absolute;left:566;top:-11077;width:10772;height:567" filled="true" fillcolor="#578580" stroked="false">
              <v:fill type="solid"/>
            </v:rect>
            <v:shape style="position:absolute;left:0;top:-15329;width:2770;height:1077" type="#_x0000_t75" stroked="false">
              <v:imagedata r:id="rId63" o:title=""/>
            </v:shape>
            <v:shape style="position:absolute;left:1019;top:-15329;width:10887;height:4287" type="#_x0000_t75" stroked="false">
              <v:imagedata r:id="rId64" o:title=""/>
            </v:shape>
            <v:shape style="position:absolute;left:0;top:-11927;width:789;height:865" type="#_x0000_t75" stroked="false">
              <v:imagedata r:id="rId65" o:title=""/>
            </v:shape>
            <v:line style="position:absolute" from="8477,-14655" to="8477,-15328" stroked="true" strokeweight=".961671pt" strokecolor="#000000">
              <v:stroke dashstyle="solid"/>
            </v:line>
            <v:line style="position:absolute" from="8775,-14655" to="8775,-15328" stroked="true" strokeweight=".240418pt" strokecolor="#000000">
              <v:stroke dashstyle="solid"/>
            </v:line>
            <v:line style="position:absolute" from="10877,-12733" to="10877,-13694" stroked="true" strokeweight=".961671pt" strokecolor="#000000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752">
            <wp:simplePos x="0" y="0"/>
            <wp:positionH relativeFrom="page">
              <wp:posOffset>6494685</wp:posOffset>
            </wp:positionH>
            <wp:positionV relativeFrom="paragraph">
              <wp:posOffset>254669</wp:posOffset>
            </wp:positionV>
            <wp:extent cx="582662" cy="537050"/>
            <wp:effectExtent l="0" t="0" r="0" b="0"/>
            <wp:wrapNone/>
            <wp:docPr id="41" name="image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7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662" cy="53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71A7A1"/>
          <w:sz w:val="22"/>
        </w:rPr>
        <w:t>Danish Geodata </w:t>
      </w:r>
      <w:r>
        <w:rPr>
          <w:rFonts w:ascii="Arial"/>
          <w:b/>
          <w:color w:val="71A7A1"/>
          <w:spacing w:val="-4"/>
          <w:sz w:val="22"/>
        </w:rPr>
        <w:t>Agency </w:t>
      </w:r>
      <w:r>
        <w:rPr>
          <w:rFonts w:ascii="Arial"/>
          <w:b/>
          <w:color w:val="71A7A1"/>
          <w:sz w:val="22"/>
        </w:rPr>
        <w:t>Rentemestervej 8</w:t>
      </w:r>
    </w:p>
    <w:p>
      <w:pPr>
        <w:spacing w:line="273" w:lineRule="auto" w:before="1"/>
        <w:ind w:left="566" w:right="6720" w:firstLine="0"/>
        <w:jc w:val="left"/>
        <w:rPr>
          <w:rFonts w:ascii="Arial"/>
          <w:b/>
          <w:sz w:val="22"/>
        </w:rPr>
      </w:pPr>
      <w:r>
        <w:rPr>
          <w:rFonts w:ascii="Arial"/>
          <w:b/>
          <w:color w:val="71A7A1"/>
          <w:sz w:val="22"/>
        </w:rPr>
        <w:t>2400 Copenhagen </w:t>
      </w:r>
      <w:r>
        <w:rPr>
          <w:rFonts w:ascii="Arial"/>
          <w:b/>
          <w:color w:val="71A7A1"/>
          <w:spacing w:val="-9"/>
          <w:sz w:val="22"/>
        </w:rPr>
        <w:t>NV, </w:t>
      </w:r>
      <w:r>
        <w:rPr>
          <w:rFonts w:ascii="Arial"/>
          <w:b/>
          <w:color w:val="71A7A1"/>
          <w:spacing w:val="-3"/>
          <w:sz w:val="22"/>
        </w:rPr>
        <w:t>Denmark </w:t>
      </w:r>
      <w:hyperlink r:id="rId11">
        <w:r>
          <w:rPr>
            <w:rFonts w:ascii="Arial"/>
            <w:b/>
            <w:color w:val="71A7A1"/>
            <w:sz w:val="22"/>
          </w:rPr>
          <w:t>http://www.gst.dk</w:t>
        </w:r>
      </w:hyperlink>
    </w:p>
    <w:sectPr>
      <w:type w:val="continuous"/>
      <w:pgSz w:w="11910" w:h="16840"/>
      <w:pgMar w:top="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Verdana">
    <w:altName w:val="Verdana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Castellar">
    <w:altName w:val="Castellar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3.579987pt;margin-top:803.603271pt;width:8.15pt;height:15.65pt;mso-position-horizontal-relative:page;mso-position-vertical-relative:page;z-index:-36472" type="#_x0000_t202" filled="false" stroked="false">
          <v:textbox inset="0,0,0,0">
            <w:txbxContent>
              <w:p>
                <w:pPr>
                  <w:spacing w:before="23"/>
                  <w:ind w:left="2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>
                    <w:rFonts w:ascii="Arial"/>
                    <w:w w:val="99"/>
                    <w:sz w:val="22"/>
                  </w:rPr>
                  <w:t>3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9.52301pt;margin-top:802.931274pt;width:16.25pt;height:16.3pt;mso-position-horizontal-relative:page;mso-position-vertical-relative:page;z-index:-36376" type="#_x0000_t202" filled="false" stroked="false">
          <v:textbox inset="0,0,0,0">
            <w:txbxContent>
              <w:p>
                <w:pPr>
                  <w:spacing w:before="36"/>
                  <w:ind w:left="4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9.52301pt;margin-top:803.603271pt;width:16.25pt;height:15.65pt;mso-position-horizontal-relative:page;mso-position-vertical-relative:page;z-index:-36352" type="#_x0000_t202" filled="false" stroked="false">
          <v:textbox inset="0,0,0,0">
            <w:txbxContent>
              <w:p>
                <w:pPr>
                  <w:spacing w:before="23"/>
                  <w:ind w:left="4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3.579987pt;margin-top:803.603271pt;width:8.15pt;height:15.65pt;mso-position-horizontal-relative:page;mso-position-vertical-relative:page;z-index:-36448" type="#_x0000_t202" filled="false" stroked="false">
          <v:textbox inset="0,0,0,0">
            <w:txbxContent>
              <w:p>
                <w:pPr>
                  <w:spacing w:before="23"/>
                  <w:ind w:left="2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>
                    <w:rFonts w:ascii="Arial"/>
                    <w:w w:val="99"/>
                    <w:sz w:val="22"/>
                  </w:rPr>
                  <w:t>6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79987pt;margin-top:803.603271pt;width:10.15pt;height:15.65pt;mso-position-horizontal-relative:page;mso-position-vertical-relative:page;z-index:-36424" type="#_x0000_t202" filled="false" stroked="false">
          <v:textbox inset="0,0,0,0">
            <w:txbxContent>
              <w:p>
                <w:pPr>
                  <w:spacing w:before="23"/>
                  <w:ind w:left="4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w w:val="99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9.52301pt;margin-top:803.603271pt;width:16.25pt;height:15.65pt;mso-position-horizontal-relative:page;mso-position-vertical-relative:page;z-index:-36400" type="#_x0000_t202" filled="false" stroked="false">
          <v:textbox inset="0,0,0,0">
            <w:txbxContent>
              <w:p>
                <w:pPr>
                  <w:spacing w:before="23"/>
                  <w:ind w:left="4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8">
    <w:multiLevelType w:val="hybridMultilevel"/>
    <w:lvl w:ilvl="0">
      <w:start w:val="14"/>
      <w:numFmt w:val="lowerLetter"/>
      <w:lvlText w:val="%1."/>
      <w:lvlJc w:val="left"/>
      <w:pPr>
        <w:ind w:left="646" w:hanging="621"/>
        <w:jc w:val="left"/>
      </w:pPr>
      <w:rPr>
        <w:rFonts w:hint="default" w:ascii="Arial" w:hAnsi="Arial" w:eastAsia="Arial" w:cs="Arial"/>
        <w:color w:val="547E6D"/>
        <w:spacing w:val="-1"/>
        <w:w w:val="129"/>
        <w:position w:val="-5"/>
        <w:sz w:val="11"/>
        <w:szCs w:val="11"/>
      </w:rPr>
    </w:lvl>
    <w:lvl w:ilvl="1">
      <w:start w:val="1"/>
      <w:numFmt w:val="upperLetter"/>
      <w:lvlText w:val="%2."/>
      <w:lvlJc w:val="left"/>
      <w:pPr>
        <w:ind w:left="1913" w:hanging="933"/>
        <w:jc w:val="left"/>
      </w:pPr>
      <w:rPr>
        <w:rFonts w:hint="default" w:ascii="Times New Roman" w:hAnsi="Times New Roman" w:eastAsia="Times New Roman" w:cs="Times New Roman"/>
        <w:color w:val="547E6D"/>
        <w:spacing w:val="-1"/>
        <w:w w:val="129"/>
        <w:position w:val="-2"/>
        <w:sz w:val="8"/>
        <w:szCs w:val="8"/>
      </w:rPr>
    </w:lvl>
    <w:lvl w:ilvl="2">
      <w:start w:val="0"/>
      <w:numFmt w:val="bullet"/>
      <w:lvlText w:val="•"/>
      <w:lvlJc w:val="left"/>
      <w:pPr>
        <w:ind w:left="3029" w:hanging="93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139" w:hanging="93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48" w:hanging="93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58" w:hanging="93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67" w:hanging="93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77" w:hanging="93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86" w:hanging="933"/>
      </w:pPr>
      <w:rPr>
        <w:rFonts w:hint="default"/>
      </w:rPr>
    </w:lvl>
  </w:abstractNum>
  <w:abstractNum w:abstractNumId="7">
    <w:multiLevelType w:val="hybridMultilevel"/>
    <w:lvl w:ilvl="0">
      <w:start w:val="18"/>
      <w:numFmt w:val="upperLetter"/>
      <w:lvlText w:val="%1."/>
      <w:lvlJc w:val="left"/>
      <w:pPr>
        <w:ind w:left="563" w:hanging="298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1113" w:hanging="29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67" w:hanging="29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21" w:hanging="29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74" w:hanging="29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8" w:hanging="29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82" w:hanging="29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6" w:hanging="29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89" w:hanging="298"/>
      </w:pPr>
      <w:rPr>
        <w:rFonts w:hint="default"/>
      </w:rPr>
    </w:lvl>
  </w:abstractNum>
  <w:abstractNum w:abstractNumId="6">
    <w:multiLevelType w:val="hybridMultilevel"/>
    <w:lvl w:ilvl="0">
      <w:start w:val="19"/>
      <w:numFmt w:val="upperLetter"/>
      <w:lvlText w:val="%1."/>
      <w:lvlJc w:val="left"/>
      <w:pPr>
        <w:ind w:left="1367" w:hanging="306"/>
        <w:jc w:val="right"/>
      </w:pPr>
      <w:rPr>
        <w:rFonts w:hint="default" w:ascii="Times New Roman" w:hAnsi="Times New Roman" w:eastAsia="Times New Roman" w:cs="Times New Roman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1360" w:hanging="30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0" w:hanging="30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237" w:hanging="30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055" w:hanging="30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72" w:hanging="30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90" w:hanging="30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07" w:hanging="30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5" w:hanging="306"/>
      </w:pPr>
      <w:rPr>
        <w:rFonts w:hint="default"/>
      </w:rPr>
    </w:lvl>
  </w:abstractNum>
  <w:abstractNum w:abstractNumId="5">
    <w:multiLevelType w:val="hybridMultilevel"/>
    <w:lvl w:ilvl="0">
      <w:start w:val="4"/>
      <w:numFmt w:val="decimal"/>
      <w:lvlText w:val="%1"/>
      <w:lvlJc w:val="left"/>
      <w:pPr>
        <w:ind w:left="1890" w:hanging="75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90" w:hanging="758"/>
        <w:jc w:val="right"/>
      </w:pPr>
      <w:rPr>
        <w:rFonts w:hint="default" w:ascii="Arial" w:hAnsi="Arial" w:eastAsia="Arial" w:cs="Arial"/>
        <w:b/>
        <w:bCs/>
        <w:w w:val="102"/>
        <w:sz w:val="31"/>
        <w:szCs w:val="31"/>
      </w:rPr>
    </w:lvl>
    <w:lvl w:ilvl="2">
      <w:start w:val="0"/>
      <w:numFmt w:val="bullet"/>
      <w:lvlText w:val="•"/>
      <w:lvlJc w:val="left"/>
      <w:pPr>
        <w:ind w:left="2329" w:hanging="7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59" w:hanging="7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189" w:hanging="7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19" w:hanging="7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49" w:hanging="7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78" w:hanging="7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08" w:hanging="758"/>
      </w:pPr>
      <w:rPr>
        <w:rFonts w:hint="default"/>
      </w:rPr>
    </w:lvl>
  </w:abstractNum>
  <w:abstractNum w:abstractNumId="4">
    <w:multiLevelType w:val="hybridMultilevel"/>
    <w:lvl w:ilvl="0">
      <w:start w:val="3"/>
      <w:numFmt w:val="decimal"/>
      <w:lvlText w:val="%1"/>
      <w:lvlJc w:val="left"/>
      <w:pPr>
        <w:ind w:left="1890" w:hanging="75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90" w:hanging="758"/>
        <w:jc w:val="right"/>
      </w:pPr>
      <w:rPr>
        <w:rFonts w:hint="default" w:ascii="Arial" w:hAnsi="Arial" w:eastAsia="Arial" w:cs="Arial"/>
        <w:b/>
        <w:bCs/>
        <w:w w:val="102"/>
        <w:sz w:val="31"/>
        <w:szCs w:val="31"/>
      </w:rPr>
    </w:lvl>
    <w:lvl w:ilvl="2">
      <w:start w:val="1"/>
      <w:numFmt w:val="decimal"/>
      <w:lvlText w:val="%3."/>
      <w:lvlJc w:val="left"/>
      <w:pPr>
        <w:ind w:left="797" w:hanging="297"/>
        <w:jc w:val="right"/>
      </w:pPr>
      <w:rPr>
        <w:rFonts w:hint="default" w:ascii="Times New Roman" w:hAnsi="Times New Roman" w:eastAsia="Times New Roman" w:cs="Times New Roman"/>
        <w:w w:val="99"/>
        <w:sz w:val="24"/>
        <w:szCs w:val="24"/>
      </w:rPr>
    </w:lvl>
    <w:lvl w:ilvl="3">
      <w:start w:val="0"/>
      <w:numFmt w:val="bullet"/>
      <w:lvlText w:val="•"/>
      <w:lvlJc w:val="left"/>
      <w:pPr>
        <w:ind w:left="1468" w:hanging="29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253" w:hanging="29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037" w:hanging="29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22" w:hanging="29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06" w:hanging="29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91" w:hanging="297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602" w:hanging="29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2016" w:hanging="29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433" w:hanging="29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850" w:hanging="29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67" w:hanging="29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84" w:hanging="29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00" w:hanging="29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17" w:hanging="29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34" w:hanging="297"/>
      </w:pPr>
      <w:rPr>
        <w:rFonts w:hint="default"/>
      </w:rPr>
    </w:lvl>
  </w:abstractNum>
  <w:abstractNum w:abstractNumId="2">
    <w:multiLevelType w:val="hybridMultilevel"/>
    <w:lvl w:ilvl="0">
      <w:start w:val="2"/>
      <w:numFmt w:val="decimal"/>
      <w:lvlText w:val="%1"/>
      <w:lvlJc w:val="left"/>
      <w:pPr>
        <w:ind w:left="1086" w:hanging="75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6" w:hanging="758"/>
        <w:jc w:val="left"/>
      </w:pPr>
      <w:rPr>
        <w:rFonts w:hint="default" w:ascii="Arial" w:hAnsi="Arial" w:eastAsia="Arial" w:cs="Arial"/>
        <w:b/>
        <w:bCs/>
        <w:w w:val="102"/>
        <w:sz w:val="31"/>
        <w:szCs w:val="31"/>
      </w:rPr>
    </w:lvl>
    <w:lvl w:ilvl="2">
      <w:start w:val="0"/>
      <w:numFmt w:val="bullet"/>
      <w:lvlText w:val="•"/>
      <w:lvlJc w:val="left"/>
      <w:pPr>
        <w:ind w:left="797" w:hanging="237"/>
      </w:pPr>
      <w:rPr>
        <w:rFonts w:hint="default" w:ascii="Verdana" w:hAnsi="Verdana" w:eastAsia="Verdana" w:cs="Verdana"/>
        <w:i/>
        <w:w w:val="91"/>
        <w:sz w:val="24"/>
        <w:szCs w:val="24"/>
      </w:rPr>
    </w:lvl>
    <w:lvl w:ilvl="3">
      <w:start w:val="0"/>
      <w:numFmt w:val="bullet"/>
      <w:lvlText w:val="•"/>
      <w:lvlJc w:val="left"/>
      <w:pPr>
        <w:ind w:left="2194" w:hanging="23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52" w:hanging="23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09" w:hanging="23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67" w:hanging="23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24" w:hanging="23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82" w:hanging="237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"/>
      <w:lvlJc w:val="left"/>
      <w:pPr>
        <w:ind w:left="1890" w:hanging="75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90" w:hanging="758"/>
        <w:jc w:val="right"/>
      </w:pPr>
      <w:rPr>
        <w:rFonts w:hint="default" w:ascii="Arial" w:hAnsi="Arial" w:eastAsia="Arial" w:cs="Arial"/>
        <w:b/>
        <w:bCs/>
        <w:w w:val="102"/>
        <w:sz w:val="31"/>
        <w:szCs w:val="31"/>
      </w:rPr>
    </w:lvl>
    <w:lvl w:ilvl="2">
      <w:start w:val="0"/>
      <w:numFmt w:val="bullet"/>
      <w:lvlText w:val="•"/>
      <w:lvlJc w:val="left"/>
      <w:pPr>
        <w:ind w:left="2673" w:hanging="7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60" w:hanging="7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47" w:hanging="7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834" w:hanging="7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220" w:hanging="7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07" w:hanging="7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94" w:hanging="758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463" w:hanging="330"/>
        <w:jc w:val="left"/>
      </w:pPr>
      <w:rPr>
        <w:rFonts w:hint="default" w:ascii="Arial" w:hAnsi="Arial" w:eastAsia="Arial" w:cs="Arial"/>
        <w:b/>
        <w:bCs/>
        <w:color w:val="FF0000"/>
        <w:w w:val="99"/>
        <w:sz w:val="22"/>
        <w:szCs w:val="22"/>
      </w:rPr>
    </w:lvl>
    <w:lvl w:ilvl="1">
      <w:start w:val="1"/>
      <w:numFmt w:val="decimal"/>
      <w:lvlText w:val="%1.%2"/>
      <w:lvlJc w:val="left"/>
      <w:pPr>
        <w:ind w:left="1969" w:hanging="506"/>
        <w:jc w:val="left"/>
      </w:pPr>
      <w:rPr>
        <w:rFonts w:hint="default" w:ascii="Arial" w:hAnsi="Arial" w:eastAsia="Arial" w:cs="Arial"/>
        <w:color w:val="FF0000"/>
        <w:w w:val="99"/>
        <w:sz w:val="22"/>
        <w:szCs w:val="22"/>
      </w:rPr>
    </w:lvl>
    <w:lvl w:ilvl="2">
      <w:start w:val="0"/>
      <w:numFmt w:val="bullet"/>
      <w:lvlText w:val="•"/>
      <w:lvlJc w:val="left"/>
      <w:pPr>
        <w:ind w:left="3065" w:hanging="50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170" w:hanging="50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75" w:hanging="50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80" w:hanging="50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85" w:hanging="50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90" w:hanging="50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95" w:hanging="506"/>
      </w:pPr>
      <w:rPr>
        <w:rFonts w:hint="default"/>
      </w:rPr>
    </w:lvl>
  </w:abstract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TOC1" w:type="paragraph">
    <w:name w:val="TOC 1"/>
    <w:basedOn w:val="Normal"/>
    <w:uiPriority w:val="1"/>
    <w:qFormat/>
    <w:pPr>
      <w:spacing w:before="256"/>
      <w:ind w:left="1463" w:hanging="330"/>
    </w:pPr>
    <w:rPr>
      <w:rFonts w:ascii="Arial" w:hAnsi="Arial" w:eastAsia="Arial" w:cs="Arial"/>
      <w:b/>
      <w:bCs/>
      <w:sz w:val="22"/>
      <w:szCs w:val="22"/>
    </w:rPr>
  </w:style>
  <w:style w:styleId="TOC2" w:type="paragraph">
    <w:name w:val="TOC 2"/>
    <w:basedOn w:val="Normal"/>
    <w:uiPriority w:val="1"/>
    <w:qFormat/>
    <w:pPr>
      <w:spacing w:before="36"/>
      <w:ind w:left="1969" w:hanging="506"/>
    </w:pPr>
    <w:rPr>
      <w:rFonts w:ascii="Arial" w:hAnsi="Arial" w:eastAsia="Arial" w:cs="Arial"/>
      <w:sz w:val="22"/>
      <w:szCs w:val="22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</w:rPr>
  </w:style>
  <w:style w:styleId="Heading1" w:type="paragraph">
    <w:name w:val="Heading 1"/>
    <w:basedOn w:val="Normal"/>
    <w:uiPriority w:val="1"/>
    <w:qFormat/>
    <w:pPr>
      <w:spacing w:before="111"/>
      <w:ind w:left="1133"/>
      <w:outlineLvl w:val="1"/>
    </w:pPr>
    <w:rPr>
      <w:rFonts w:ascii="Arial" w:hAnsi="Arial" w:eastAsia="Arial" w:cs="Arial"/>
      <w:b/>
      <w:bCs/>
      <w:sz w:val="45"/>
      <w:szCs w:val="45"/>
    </w:rPr>
  </w:style>
  <w:style w:styleId="Heading2" w:type="paragraph">
    <w:name w:val="Heading 2"/>
    <w:basedOn w:val="Normal"/>
    <w:uiPriority w:val="1"/>
    <w:qFormat/>
    <w:pPr>
      <w:ind w:left="1086" w:hanging="757"/>
      <w:outlineLvl w:val="2"/>
    </w:pPr>
    <w:rPr>
      <w:rFonts w:ascii="Arial" w:hAnsi="Arial" w:eastAsia="Arial" w:cs="Arial"/>
      <w:b/>
      <w:bCs/>
      <w:sz w:val="31"/>
      <w:szCs w:val="31"/>
    </w:rPr>
  </w:style>
  <w:style w:styleId="Heading3" w:type="paragraph">
    <w:name w:val="Heading 3"/>
    <w:basedOn w:val="Normal"/>
    <w:uiPriority w:val="1"/>
    <w:qFormat/>
    <w:pPr>
      <w:spacing w:before="39"/>
      <w:ind w:left="1189"/>
      <w:jc w:val="center"/>
      <w:outlineLvl w:val="3"/>
    </w:pPr>
    <w:rPr>
      <w:rFonts w:ascii="Calibri" w:hAnsi="Calibri" w:eastAsia="Calibri" w:cs="Calibri"/>
      <w:sz w:val="31"/>
      <w:szCs w:val="31"/>
    </w:rPr>
  </w:style>
  <w:style w:styleId="Heading4" w:type="paragraph">
    <w:name w:val="Heading 4"/>
    <w:basedOn w:val="Normal"/>
    <w:uiPriority w:val="1"/>
    <w:qFormat/>
    <w:pPr>
      <w:ind w:left="1133"/>
      <w:outlineLvl w:val="4"/>
    </w:pPr>
    <w:rPr>
      <w:rFonts w:ascii="Arial" w:hAnsi="Arial" w:eastAsia="Arial" w:cs="Arial"/>
      <w:b/>
      <w:bCs/>
      <w:sz w:val="26"/>
      <w:szCs w:val="26"/>
    </w:rPr>
  </w:style>
  <w:style w:styleId="ListParagraph" w:type="paragraph">
    <w:name w:val="List Paragraph"/>
    <w:basedOn w:val="Normal"/>
    <w:uiPriority w:val="1"/>
    <w:qFormat/>
    <w:pPr>
      <w:spacing w:before="36"/>
      <w:ind w:left="1969" w:hanging="757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hyperlink" Target="http://www.gst.dk/" TargetMode="External"/><Relationship Id="rId12" Type="http://schemas.openxmlformats.org/officeDocument/2006/relationships/footer" Target="footer1.xml"/><Relationship Id="rId13" Type="http://schemas.openxmlformats.org/officeDocument/2006/relationships/footer" Target="footer2.xml"/><Relationship Id="rId14" Type="http://schemas.openxmlformats.org/officeDocument/2006/relationships/hyperlink" Target="http://miljoegis.mim.dk/?profile=miljoegis-klimatilpasningsplaner" TargetMode="External"/><Relationship Id="rId15" Type="http://schemas.openxmlformats.org/officeDocument/2006/relationships/footer" Target="footer3.xml"/><Relationship Id="rId16" Type="http://schemas.openxmlformats.org/officeDocument/2006/relationships/footer" Target="footer4.xml"/><Relationship Id="rId17" Type="http://schemas.openxmlformats.org/officeDocument/2006/relationships/image" Target="media/image7.jpeg"/><Relationship Id="rId18" Type="http://schemas.openxmlformats.org/officeDocument/2006/relationships/footer" Target="footer5.xml"/><Relationship Id="rId19" Type="http://schemas.openxmlformats.org/officeDocument/2006/relationships/footer" Target="footer6.xml"/><Relationship Id="rId20" Type="http://schemas.openxmlformats.org/officeDocument/2006/relationships/hyperlink" Target="http://www.altamira-information.com/html/1-18392-InSAR-Stable-Point-Network-SPN.php" TargetMode="External"/><Relationship Id="rId21" Type="http://schemas.openxmlformats.org/officeDocument/2006/relationships/image" Target="media/image8.jpeg"/><Relationship Id="rId22" Type="http://schemas.openxmlformats.org/officeDocument/2006/relationships/hyperlink" Target="http://www.gst.dk/Emner/Referencenet/Referencenet/Valdemar%2B%28internettjeneste%29/" TargetMode="External"/><Relationship Id="rId23" Type="http://schemas.openxmlformats.org/officeDocument/2006/relationships/footer" Target="footer7.xml"/><Relationship Id="rId24" Type="http://schemas.openxmlformats.org/officeDocument/2006/relationships/hyperlink" Target="http://arcims.mim.dk/website/geus/dk/geo/j200/beskriv.pdf" TargetMode="External"/><Relationship Id="rId25" Type="http://schemas.openxmlformats.org/officeDocument/2006/relationships/footer" Target="footer8.xml"/><Relationship Id="rId26" Type="http://schemas.openxmlformats.org/officeDocument/2006/relationships/hyperlink" Target="http://kortforsyningen.dk/" TargetMode="External"/><Relationship Id="rId27" Type="http://schemas.openxmlformats.org/officeDocument/2006/relationships/hyperlink" Target="http://www.pangeoproject.eu/" TargetMode="External"/><Relationship Id="rId28" Type="http://schemas.openxmlformats.org/officeDocument/2006/relationships/footer" Target="footer9.xml"/><Relationship Id="rId29" Type="http://schemas.openxmlformats.org/officeDocument/2006/relationships/footer" Target="footer10.xml"/><Relationship Id="rId30" Type="http://schemas.openxmlformats.org/officeDocument/2006/relationships/image" Target="media/image9.jpeg"/><Relationship Id="rId31" Type="http://schemas.openxmlformats.org/officeDocument/2006/relationships/image" Target="media/image10.jpeg"/><Relationship Id="rId32" Type="http://schemas.openxmlformats.org/officeDocument/2006/relationships/image" Target="media/image11.jpeg"/><Relationship Id="rId33" Type="http://schemas.openxmlformats.org/officeDocument/2006/relationships/image" Target="media/image12.jpeg"/><Relationship Id="rId34" Type="http://schemas.openxmlformats.org/officeDocument/2006/relationships/image" Target="media/image13.jpeg"/><Relationship Id="rId35" Type="http://schemas.openxmlformats.org/officeDocument/2006/relationships/image" Target="media/image14.jpeg"/><Relationship Id="rId36" Type="http://schemas.openxmlformats.org/officeDocument/2006/relationships/image" Target="media/image15.jpeg"/><Relationship Id="rId37" Type="http://schemas.openxmlformats.org/officeDocument/2006/relationships/image" Target="media/image16.jpeg"/><Relationship Id="rId38" Type="http://schemas.openxmlformats.org/officeDocument/2006/relationships/image" Target="media/image17.jpeg"/><Relationship Id="rId39" Type="http://schemas.openxmlformats.org/officeDocument/2006/relationships/image" Target="media/image18.jpeg"/><Relationship Id="rId40" Type="http://schemas.openxmlformats.org/officeDocument/2006/relationships/image" Target="media/image19.jpeg"/><Relationship Id="rId41" Type="http://schemas.openxmlformats.org/officeDocument/2006/relationships/image" Target="media/image20.jpeg"/><Relationship Id="rId42" Type="http://schemas.openxmlformats.org/officeDocument/2006/relationships/image" Target="media/image21.jpeg"/><Relationship Id="rId43" Type="http://schemas.openxmlformats.org/officeDocument/2006/relationships/image" Target="media/image22.jpeg"/><Relationship Id="rId44" Type="http://schemas.openxmlformats.org/officeDocument/2006/relationships/footer" Target="footer11.xml"/><Relationship Id="rId45" Type="http://schemas.openxmlformats.org/officeDocument/2006/relationships/footer" Target="footer12.xml"/><Relationship Id="rId46" Type="http://schemas.openxmlformats.org/officeDocument/2006/relationships/footer" Target="footer13.xml"/><Relationship Id="rId47" Type="http://schemas.openxmlformats.org/officeDocument/2006/relationships/image" Target="media/image23.jpeg"/><Relationship Id="rId48" Type="http://schemas.openxmlformats.org/officeDocument/2006/relationships/footer" Target="footer14.xml"/><Relationship Id="rId49" Type="http://schemas.openxmlformats.org/officeDocument/2006/relationships/footer" Target="footer15.xml"/><Relationship Id="rId50" Type="http://schemas.openxmlformats.org/officeDocument/2006/relationships/hyperlink" Target="http://esamultimedia.esa.int/multimedia/publications/TerrafirmaAtlas/pageflip.html" TargetMode="External"/><Relationship Id="rId51" Type="http://schemas.openxmlformats.org/officeDocument/2006/relationships/hyperlink" Target="http://www.pangeoproject.eu/pdfs/locale/aalborg/Geohazard-Description-aalborg.pdf" TargetMode="External"/><Relationship Id="rId52" Type="http://schemas.openxmlformats.org/officeDocument/2006/relationships/hyperlink" Target="http://www.pangeoproject.eu/pdfs/locale/copenhagen/Geohazard-Description-copenhagen.pdf" TargetMode="External"/><Relationship Id="rId53" Type="http://schemas.openxmlformats.org/officeDocument/2006/relationships/hyperlink" Target="http://www.geus.dk/publications/bull/nr28/nr28_p25-28.pdf" TargetMode="External"/><Relationship Id="rId54" Type="http://schemas.openxmlformats.org/officeDocument/2006/relationships/hyperlink" Target="ftp://ftp.kms.dk/download/Technical_Reports/KMS_Technical_Report_8.pdf" TargetMode="External"/><Relationship Id="rId55" Type="http://schemas.openxmlformats.org/officeDocument/2006/relationships/hyperlink" Target="ftp://ftp.kms.dk/download/Technical_Reports/KMS_Technical_Report_5.pdf" TargetMode="External"/><Relationship Id="rId56" Type="http://schemas.openxmlformats.org/officeDocument/2006/relationships/hyperlink" Target="http://sealevel.colorado.edu/" TargetMode="External"/><Relationship Id="rId57" Type="http://schemas.openxmlformats.org/officeDocument/2006/relationships/hyperlink" Target="http://www.geus.dk/publications/bull/nr23/nr23_p41-44.pdf" TargetMode="External"/><Relationship Id="rId58" Type="http://schemas.openxmlformats.org/officeDocument/2006/relationships/footer" Target="footer16.xml"/><Relationship Id="rId59" Type="http://schemas.openxmlformats.org/officeDocument/2006/relationships/hyperlink" Target="ftp://ftp.kms.dk/download/Technical_Reports/KMS_Technical_Report_12.pdf" TargetMode="External"/><Relationship Id="rId60" Type="http://schemas.openxmlformats.org/officeDocument/2006/relationships/hyperlink" Target="http://www.climate2013.org/spm" TargetMode="External"/><Relationship Id="rId61" Type="http://schemas.openxmlformats.org/officeDocument/2006/relationships/hyperlink" Target="ftp://ftp.kms.dk/download/Technical_Reports/GST_Technical_Report_16.pdf" TargetMode="External"/><Relationship Id="rId62" Type="http://schemas.openxmlformats.org/officeDocument/2006/relationships/footer" Target="footer17.xml"/><Relationship Id="rId63" Type="http://schemas.openxmlformats.org/officeDocument/2006/relationships/image" Target="media/image24.jpeg"/><Relationship Id="rId64" Type="http://schemas.openxmlformats.org/officeDocument/2006/relationships/image" Target="media/image25.jpeg"/><Relationship Id="rId65" Type="http://schemas.openxmlformats.org/officeDocument/2006/relationships/image" Target="media/image26.jpeg"/><Relationship Id="rId66" Type="http://schemas.openxmlformats.org/officeDocument/2006/relationships/image" Target="media/image27.jpeg"/><Relationship Id="rId67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2019-09-17T06:43:42Z</dcterms:created>
  <dcterms:modified xsi:type="dcterms:W3CDTF">2019-09-17T06:43:42Z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2013-12-03T00:00:00Z</vt:filetime>
  </property>
  <property fmtid="{D5CDD505-2E9C-101B-9397-08002B2CF9AE}" pid="3" name="Creator">
    <vt:lpwstr>LaTeX with hyperref package</vt:lpwstr>
  </property>
  <property fmtid="{D5CDD505-2E9C-101B-9397-08002B2CF9AE}" pid="4" name="LastSaved">
    <vt:filetime>2019-09-17T00:00:00Z</vt:filetime>
  </property>
</Properties>
</file>