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68420151">
            <wp:simplePos x="0" y="0"/>
            <wp:positionH relativeFrom="page">
              <wp:posOffset>-2754</wp:posOffset>
            </wp:positionH>
            <wp:positionV relativeFrom="page">
              <wp:posOffset>-3302</wp:posOffset>
            </wp:positionV>
            <wp:extent cx="7565519" cy="506404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65519" cy="506404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BodyText"/>
        <w:ind w:left="7370"/>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198.45pt;height:28.35pt;mso-position-horizontal-relative:char;mso-position-vertical-relative:line" type="#_x0000_t202" filled="true" fillcolor="#294947" stroked="false">
            <w10:anchorlock/>
            <v:textbox inset="0,0,0,0">
              <w:txbxContent>
                <w:p>
                  <w:pPr>
                    <w:spacing w:before="158"/>
                    <w:ind w:left="487" w:right="0" w:firstLine="0"/>
                    <w:jc w:val="left"/>
                    <w:rPr>
                      <w:b/>
                      <w:sz w:val="22"/>
                    </w:rPr>
                  </w:pPr>
                  <w:r>
                    <w:rPr>
                      <w:b/>
                      <w:color w:val="FFFFFF"/>
                      <w:sz w:val="22"/>
                    </w:rPr>
                    <w:t>TECHNICAL REPORT NO. 07</w:t>
                  </w:r>
                </w:p>
              </w:txbxContent>
            </v:textbox>
            <v:fill typ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0"/>
        </w:rPr>
      </w:pPr>
      <w:r>
        <w:rPr/>
        <w:pict>
          <v:shape style="position:absolute;margin-left:28.346001pt;margin-top:7.148695pt;width:538.6pt;height:338.55pt;mso-position-horizontal-relative:page;mso-position-vertical-relative:paragraph;z-index:-1000;mso-wrap-distance-left:0;mso-wrap-distance-right:0" type="#_x0000_t202" filled="true" fillcolor="#71a7a1" stroked="false">
            <v:textbox inset="0,0,0,0">
              <w:txbxContent>
                <w:p>
                  <w:pPr>
                    <w:pStyle w:val="BodyText"/>
                    <w:rPr>
                      <w:rFonts w:ascii="Times New Roman"/>
                      <w:sz w:val="56"/>
                    </w:rPr>
                  </w:pPr>
                </w:p>
                <w:p>
                  <w:pPr>
                    <w:spacing w:before="369"/>
                    <w:ind w:left="1133" w:right="0" w:firstLine="0"/>
                    <w:jc w:val="left"/>
                    <w:rPr>
                      <w:b/>
                      <w:sz w:val="45"/>
                    </w:rPr>
                  </w:pPr>
                  <w:r>
                    <w:rPr>
                      <w:b/>
                      <w:color w:val="FFFFFF"/>
                      <w:sz w:val="45"/>
                    </w:rPr>
                    <w:t>Veje til en hydrologiegnet højdemodel</w:t>
                  </w:r>
                </w:p>
                <w:p>
                  <w:pPr>
                    <w:pStyle w:val="BodyText"/>
                    <w:spacing w:before="320"/>
                    <w:ind w:left="1133"/>
                  </w:pPr>
                  <w:r>
                    <w:rPr>
                      <w:color w:val="FFFFFF"/>
                    </w:rPr>
                    <w:t>Nynne Sole Dalå og Thomas Knudsen</w:t>
                  </w:r>
                </w:p>
              </w:txbxContent>
            </v:textbox>
            <v:fill type="solid"/>
            <w10:wrap type="topAndBottom"/>
          </v:shape>
        </w:pict>
      </w:r>
      <w:r>
        <w:rPr/>
        <w:drawing>
          <wp:anchor distT="0" distB="0" distL="0" distR="0" allowOverlap="1" layoutInCell="1" locked="0" behindDoc="0" simplePos="0" relativeHeight="2">
            <wp:simplePos x="0" y="0"/>
            <wp:positionH relativeFrom="page">
              <wp:posOffset>5053410</wp:posOffset>
            </wp:positionH>
            <wp:positionV relativeFrom="paragraph">
              <wp:posOffset>4575750</wp:posOffset>
            </wp:positionV>
            <wp:extent cx="681740" cy="28003"/>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81740" cy="28003"/>
                    </a:xfrm>
                    <a:prstGeom prst="rect">
                      <a:avLst/>
                    </a:prstGeom>
                  </pic:spPr>
                </pic:pic>
              </a:graphicData>
            </a:graphic>
          </wp:anchor>
        </w:drawing>
      </w:r>
    </w:p>
    <w:p>
      <w:pPr>
        <w:pStyle w:val="BodyText"/>
        <w:spacing w:before="8"/>
        <w:rPr>
          <w:rFonts w:ascii="Times New Roman"/>
          <w:sz w:val="20"/>
        </w:rPr>
      </w:pPr>
    </w:p>
    <w:p>
      <w:pPr>
        <w:pStyle w:val="BodyText"/>
        <w:spacing w:before="4"/>
        <w:rPr>
          <w:rFonts w:ascii="Times New Roman"/>
          <w:sz w:val="4"/>
        </w:rPr>
      </w:pPr>
    </w:p>
    <w:p>
      <w:pPr>
        <w:spacing w:line="165" w:lineRule="exact"/>
        <w:ind w:left="7958" w:right="0" w:firstLine="0"/>
        <w:rPr>
          <w:rFonts w:ascii="Times New Roman"/>
          <w:sz w:val="16"/>
        </w:rPr>
      </w:pPr>
      <w:r>
        <w:rPr>
          <w:rFonts w:ascii="Times New Roman"/>
          <w:position w:val="-2"/>
          <w:sz w:val="16"/>
        </w:rPr>
        <w:drawing>
          <wp:inline distT="0" distB="0" distL="0" distR="0">
            <wp:extent cx="683894" cy="10477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83894" cy="104775"/>
                    </a:xfrm>
                    <a:prstGeom prst="rect">
                      <a:avLst/>
                    </a:prstGeom>
                  </pic:spPr>
                </pic:pic>
              </a:graphicData>
            </a:graphic>
          </wp:inline>
        </w:drawing>
      </w:r>
      <w:r>
        <w:rPr>
          <w:rFonts w:ascii="Times New Roman"/>
          <w:position w:val="-2"/>
          <w:sz w:val="16"/>
        </w:rPr>
      </w:r>
      <w:r>
        <w:rPr>
          <w:rFonts w:ascii="Times New Roman"/>
          <w:spacing w:val="74"/>
          <w:position w:val="-2"/>
          <w:sz w:val="16"/>
        </w:rPr>
        <w:t> </w:t>
      </w:r>
      <w:r>
        <w:rPr>
          <w:rFonts w:ascii="Times New Roman"/>
          <w:spacing w:val="74"/>
          <w:position w:val="-2"/>
          <w:sz w:val="16"/>
        </w:rPr>
        <w:drawing>
          <wp:inline distT="0" distB="0" distL="0" distR="0">
            <wp:extent cx="906779" cy="10477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06779" cy="104775"/>
                    </a:xfrm>
                    <a:prstGeom prst="rect">
                      <a:avLst/>
                    </a:prstGeom>
                  </pic:spPr>
                </pic:pic>
              </a:graphicData>
            </a:graphic>
          </wp:inline>
        </w:drawing>
      </w:r>
      <w:r>
        <w:rPr>
          <w:rFonts w:ascii="Times New Roman"/>
          <w:spacing w:val="74"/>
          <w:position w:val="-2"/>
          <w:sz w:val="16"/>
        </w:rPr>
      </w:r>
    </w:p>
    <w:p>
      <w:pPr>
        <w:pStyle w:val="BodyText"/>
        <w:spacing w:before="8"/>
        <w:rPr>
          <w:rFonts w:ascii="Times New Roman"/>
          <w:sz w:val="5"/>
        </w:rPr>
      </w:pPr>
      <w:r>
        <w:rPr/>
        <w:drawing>
          <wp:anchor distT="0" distB="0" distL="0" distR="0" allowOverlap="1" layoutInCell="1" locked="0" behindDoc="0" simplePos="0" relativeHeight="3">
            <wp:simplePos x="0" y="0"/>
            <wp:positionH relativeFrom="page">
              <wp:posOffset>5058210</wp:posOffset>
            </wp:positionH>
            <wp:positionV relativeFrom="paragraph">
              <wp:posOffset>68593</wp:posOffset>
            </wp:positionV>
            <wp:extent cx="216767" cy="102679"/>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16767" cy="102679"/>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5351028</wp:posOffset>
            </wp:positionH>
            <wp:positionV relativeFrom="paragraph">
              <wp:posOffset>66673</wp:posOffset>
            </wp:positionV>
            <wp:extent cx="363082" cy="10401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363082" cy="104012"/>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5786893</wp:posOffset>
            </wp:positionH>
            <wp:positionV relativeFrom="paragraph">
              <wp:posOffset>66673</wp:posOffset>
            </wp:positionV>
            <wp:extent cx="1371599" cy="10477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371599" cy="104775"/>
                    </a:xfrm>
                    <a:prstGeom prst="rect">
                      <a:avLst/>
                    </a:prstGeom>
                  </pic:spPr>
                </pic:pic>
              </a:graphicData>
            </a:graphic>
          </wp:anchor>
        </w:drawing>
      </w:r>
    </w:p>
    <w:p>
      <w:pPr>
        <w:pStyle w:val="BodyText"/>
        <w:spacing w:before="8"/>
        <w:rPr>
          <w:rFonts w:ascii="Times New Roman"/>
          <w:sz w:val="5"/>
        </w:rPr>
      </w:pPr>
    </w:p>
    <w:p>
      <w:pPr>
        <w:pStyle w:val="BodyText"/>
        <w:spacing w:line="30" w:lineRule="exact"/>
        <w:ind w:left="9113"/>
        <w:rPr>
          <w:rFonts w:ascii="Times New Roman"/>
          <w:sz w:val="3"/>
        </w:rPr>
      </w:pPr>
      <w:r>
        <w:rPr>
          <w:rFonts w:ascii="Times New Roman"/>
          <w:position w:val="0"/>
          <w:sz w:val="3"/>
        </w:rPr>
        <w:drawing>
          <wp:inline distT="0" distB="0" distL="0" distR="0">
            <wp:extent cx="1371600" cy="1905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371600" cy="19050"/>
                    </a:xfrm>
                    <a:prstGeom prst="rect">
                      <a:avLst/>
                    </a:prstGeom>
                  </pic:spPr>
                </pic:pic>
              </a:graphicData>
            </a:graphic>
          </wp:inline>
        </w:drawing>
      </w:r>
      <w:r>
        <w:rPr>
          <w:rFonts w:ascii="Times New Roman"/>
          <w:position w:val="0"/>
          <w:sz w:val="3"/>
        </w:rPr>
      </w:r>
    </w:p>
    <w:p>
      <w:pPr>
        <w:pStyle w:val="BodyText"/>
        <w:spacing w:before="4"/>
        <w:rPr>
          <w:rFonts w:ascii="Times New Roman"/>
          <w:sz w:val="11"/>
        </w:rPr>
      </w:pPr>
      <w:r>
        <w:rPr/>
        <w:drawing>
          <wp:anchor distT="0" distB="0" distL="0" distR="0" allowOverlap="1" layoutInCell="1" locked="0" behindDoc="0" simplePos="0" relativeHeight="6">
            <wp:simplePos x="0" y="0"/>
            <wp:positionH relativeFrom="page">
              <wp:posOffset>5782093</wp:posOffset>
            </wp:positionH>
            <wp:positionV relativeFrom="paragraph">
              <wp:posOffset>108027</wp:posOffset>
            </wp:positionV>
            <wp:extent cx="788786" cy="210026"/>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788786" cy="210026"/>
                    </a:xfrm>
                    <a:prstGeom prst="rect">
                      <a:avLst/>
                    </a:prstGeom>
                  </pic:spPr>
                </pic:pic>
              </a:graphicData>
            </a:graphic>
          </wp:anchor>
        </w:drawing>
      </w:r>
    </w:p>
    <w:p>
      <w:pPr>
        <w:spacing w:after="0"/>
        <w:rPr>
          <w:rFonts w:ascii="Times New Roman"/>
          <w:sz w:val="11"/>
        </w:rPr>
        <w:sectPr>
          <w:type w:val="continuous"/>
          <w:pgSz w:w="11910" w:h="16840"/>
          <w:pgMar w:top="0" w:bottom="280" w:left="0" w:right="160"/>
        </w:sectPr>
      </w:pPr>
    </w:p>
    <w:p>
      <w:pPr>
        <w:spacing w:before="91"/>
        <w:ind w:left="1133" w:right="0" w:firstLine="0"/>
        <w:jc w:val="left"/>
        <w:rPr>
          <w:b/>
          <w:sz w:val="26"/>
        </w:rPr>
      </w:pPr>
      <w:r>
        <w:rPr>
          <w:b/>
          <w:sz w:val="26"/>
        </w:rPr>
        <w:t>Indhold</w:t>
      </w:r>
    </w:p>
    <w:sdt>
      <w:sdtPr>
        <w:docPartObj>
          <w:docPartGallery w:val="Table of Contents"/>
          <w:docPartUnique/>
        </w:docPartObj>
      </w:sdtPr>
      <w:sdtEndPr/>
      <w:sdtContent>
        <w:p>
          <w:pPr>
            <w:pStyle w:val="TOC1"/>
            <w:numPr>
              <w:ilvl w:val="0"/>
              <w:numId w:val="1"/>
            </w:numPr>
            <w:tabs>
              <w:tab w:pos="1409" w:val="left" w:leader="none"/>
              <w:tab w:pos="10771" w:val="right" w:leader="none"/>
            </w:tabs>
            <w:spacing w:line="240" w:lineRule="auto" w:before="321" w:after="0"/>
            <w:ind w:left="1408" w:right="0" w:hanging="275"/>
            <w:jc w:val="left"/>
          </w:pPr>
          <w:hyperlink w:history="true" w:anchor="_bookmark0">
            <w:r>
              <w:rPr>
                <w:color w:val="FF0000"/>
              </w:rPr>
              <w:t>Indledning</w:t>
            </w:r>
          </w:hyperlink>
          <w:r>
            <w:rPr>
              <w:color w:val="FF0000"/>
            </w:rPr>
            <w:tab/>
          </w:r>
          <w:r>
            <w:rPr/>
            <w:t>3</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1">
            <w:r>
              <w:rPr>
                <w:color w:val="FF0000"/>
              </w:rPr>
              <w:t>Processen</w:t>
            </w:r>
          </w:hyperlink>
          <w:r>
            <w:rPr>
              <w:color w:val="FF0000"/>
            </w:rPr>
            <w:tab/>
          </w:r>
          <w:r>
            <w:rPr/>
            <w:t>3</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2">
            <w:r>
              <w:rPr>
                <w:color w:val="FF0000"/>
              </w:rPr>
              <w:t>Fremtiden</w:t>
            </w:r>
          </w:hyperlink>
          <w:r>
            <w:rPr>
              <w:color w:val="FF0000"/>
            </w:rPr>
            <w:tab/>
          </w:r>
          <w:r>
            <w:rPr/>
            <w:t>3</w:t>
          </w:r>
        </w:p>
        <w:p>
          <w:pPr>
            <w:pStyle w:val="TOC1"/>
            <w:numPr>
              <w:ilvl w:val="0"/>
              <w:numId w:val="1"/>
            </w:numPr>
            <w:tabs>
              <w:tab w:pos="1409" w:val="left" w:leader="none"/>
              <w:tab w:pos="10771" w:val="right" w:leader="none"/>
            </w:tabs>
            <w:spacing w:line="240" w:lineRule="auto" w:before="301" w:after="0"/>
            <w:ind w:left="1408" w:right="0" w:hanging="275"/>
            <w:jc w:val="left"/>
          </w:pPr>
          <w:hyperlink w:history="true" w:anchor="_bookmark3">
            <w:r>
              <w:rPr>
                <w:color w:val="FF0000"/>
              </w:rPr>
              <w:t>Potentielle tillægsprodukter</w:t>
            </w:r>
          </w:hyperlink>
          <w:r>
            <w:rPr>
              <w:color w:val="FF0000"/>
            </w:rPr>
            <w:tab/>
          </w:r>
          <w:r>
            <w:rPr/>
            <w:t>5</w:t>
          </w:r>
        </w:p>
        <w:p>
          <w:pPr>
            <w:pStyle w:val="TOC2"/>
            <w:tabs>
              <w:tab w:pos="10771" w:val="right" w:leader="dot"/>
            </w:tabs>
          </w:pPr>
          <w:hyperlink w:history="true" w:anchor="_bookmark4">
            <w:r>
              <w:rPr>
                <w:color w:val="FF0000"/>
              </w:rPr>
              <w:t>Potil 1: Terrænmodel med “spurious</w:t>
            </w:r>
            <w:r>
              <w:rPr>
                <w:color w:val="FF0000"/>
                <w:spacing w:val="1"/>
              </w:rPr>
              <w:t> </w:t>
            </w:r>
            <w:r>
              <w:rPr>
                <w:color w:val="FF0000"/>
              </w:rPr>
              <w:t>pit removal”</w:t>
            </w:r>
          </w:hyperlink>
          <w:r>
            <w:rPr>
              <w:color w:val="FF0000"/>
            </w:rPr>
            <w:tab/>
          </w:r>
          <w:r>
            <w:rPr/>
            <w:t>5</w:t>
          </w:r>
        </w:p>
        <w:p>
          <w:pPr>
            <w:pStyle w:val="TOC2"/>
            <w:tabs>
              <w:tab w:pos="10771" w:val="right" w:leader="dot"/>
            </w:tabs>
          </w:pPr>
          <w:hyperlink w:history="true" w:anchor="_bookmark5">
            <w:r>
              <w:rPr>
                <w:color w:val="FF0000"/>
              </w:rPr>
              <w:t>Potil 2: Terrænmodel med overordnede vandskel</w:t>
            </w:r>
          </w:hyperlink>
          <w:r>
            <w:rPr>
              <w:color w:val="FF0000"/>
            </w:rPr>
            <w:tab/>
          </w:r>
          <w:r>
            <w:rPr/>
            <w:t>5</w:t>
          </w:r>
        </w:p>
        <w:p>
          <w:pPr>
            <w:pStyle w:val="TOC2"/>
            <w:tabs>
              <w:tab w:pos="10771" w:val="right" w:leader="dot"/>
            </w:tabs>
          </w:pPr>
          <w:hyperlink w:history="true" w:anchor="_bookmark6">
            <w:r>
              <w:rPr>
                <w:color w:val="FF0000"/>
              </w:rPr>
              <w:t>Potil 3: Overflademodel uden</w:t>
            </w:r>
            <w:r>
              <w:rPr>
                <w:color w:val="FF0000"/>
                <w:spacing w:val="1"/>
              </w:rPr>
              <w:t> </w:t>
            </w:r>
            <w:r>
              <w:rPr>
                <w:color w:val="FF0000"/>
              </w:rPr>
              <w:t>broer</w:t>
            </w:r>
          </w:hyperlink>
          <w:r>
            <w:rPr>
              <w:color w:val="FF0000"/>
            </w:rPr>
            <w:tab/>
          </w:r>
          <w:r>
            <w:rPr/>
            <w:t>5</w:t>
          </w:r>
        </w:p>
        <w:p>
          <w:pPr>
            <w:pStyle w:val="TOC2"/>
            <w:tabs>
              <w:tab w:pos="10771" w:val="right" w:leader="dot"/>
            </w:tabs>
            <w:spacing w:before="117"/>
          </w:pPr>
          <w:hyperlink w:history="true" w:anchor="_bookmark7">
            <w:r>
              <w:rPr>
                <w:color w:val="FF0000"/>
              </w:rPr>
              <w:t>Potil 4: Blokstatistik</w:t>
            </w:r>
          </w:hyperlink>
          <w:r>
            <w:rPr>
              <w:color w:val="FF0000"/>
            </w:rPr>
            <w:tab/>
          </w:r>
          <w:r>
            <w:rPr/>
            <w:t>6</w:t>
          </w:r>
        </w:p>
        <w:p>
          <w:pPr>
            <w:pStyle w:val="TOC2"/>
            <w:tabs>
              <w:tab w:pos="10771" w:val="right" w:leader="dot"/>
            </w:tabs>
          </w:pPr>
          <w:hyperlink w:history="true" w:anchor="_bookmark8">
            <w:r>
              <w:rPr>
                <w:color w:val="FF0000"/>
              </w:rPr>
              <w:t>Potil 5: Konsistent vandløbsdatasæt</w:t>
            </w:r>
          </w:hyperlink>
          <w:r>
            <w:rPr>
              <w:color w:val="FF0000"/>
            </w:rPr>
            <w:tab/>
          </w:r>
          <w:r>
            <w:rPr/>
            <w:t>6</w:t>
          </w:r>
        </w:p>
        <w:p>
          <w:pPr>
            <w:pStyle w:val="TOC2"/>
            <w:tabs>
              <w:tab w:pos="10771" w:val="right" w:leader="dot"/>
            </w:tabs>
          </w:pPr>
          <w:hyperlink w:history="true" w:anchor="_bookmark9">
            <w:r>
              <w:rPr>
                <w:color w:val="FF0000"/>
              </w:rPr>
              <w:t>Potil 6: Vandløbsprofiler</w:t>
            </w:r>
          </w:hyperlink>
          <w:r>
            <w:rPr>
              <w:color w:val="FF0000"/>
            </w:rPr>
            <w:tab/>
          </w:r>
          <w:r>
            <w:rPr/>
            <w:t>7</w:t>
          </w:r>
        </w:p>
        <w:p>
          <w:pPr>
            <w:pStyle w:val="TOC2"/>
            <w:tabs>
              <w:tab w:pos="10771" w:val="right" w:leader="dot"/>
            </w:tabs>
          </w:pPr>
          <w:hyperlink w:history="true" w:anchor="_bookmark10">
            <w:r>
              <w:rPr>
                <w:color w:val="FF0000"/>
              </w:rPr>
              <w:t>Potil 7: Befæstningsgrad</w:t>
            </w:r>
          </w:hyperlink>
          <w:r>
            <w:rPr>
              <w:color w:val="FF0000"/>
            </w:rPr>
            <w:tab/>
          </w:r>
          <w:r>
            <w:rPr/>
            <w:t>7</w:t>
          </w:r>
        </w:p>
        <w:p>
          <w:pPr>
            <w:pStyle w:val="TOC2"/>
            <w:tabs>
              <w:tab w:pos="10771" w:val="right" w:leader="dot"/>
            </w:tabs>
          </w:pPr>
          <w:hyperlink w:history="true" w:anchor="_bookmark11">
            <w:r>
              <w:rPr>
                <w:color w:val="FF0000"/>
              </w:rPr>
              <w:t>Potil 8: Hældning og</w:t>
            </w:r>
            <w:r>
              <w:rPr>
                <w:color w:val="FF0000"/>
                <w:spacing w:val="1"/>
              </w:rPr>
              <w:t> </w:t>
            </w:r>
            <w:r>
              <w:rPr>
                <w:color w:val="FF0000"/>
              </w:rPr>
              <w:t>eksponering</w:t>
            </w:r>
          </w:hyperlink>
          <w:r>
            <w:rPr>
              <w:color w:val="FF0000"/>
            </w:rPr>
            <w:tab/>
          </w:r>
          <w:r>
            <w:rPr/>
            <w:t>7</w:t>
          </w:r>
        </w:p>
        <w:p>
          <w:pPr>
            <w:pStyle w:val="TOC2"/>
            <w:tabs>
              <w:tab w:pos="10771" w:val="right" w:leader="dot"/>
            </w:tabs>
            <w:spacing w:before="117"/>
          </w:pPr>
          <w:hyperlink w:history="true" w:anchor="_bookmark12">
            <w:r>
              <w:rPr>
                <w:color w:val="FF0000"/>
              </w:rPr>
              <w:t>Potil 9: Hillshading</w:t>
            </w:r>
          </w:hyperlink>
          <w:r>
            <w:rPr>
              <w:color w:val="FF0000"/>
            </w:rPr>
            <w:tab/>
          </w:r>
          <w:r>
            <w:rPr/>
            <w:t>8</w:t>
          </w:r>
        </w:p>
        <w:p>
          <w:pPr>
            <w:pStyle w:val="TOC2"/>
            <w:tabs>
              <w:tab w:pos="10771" w:val="right" w:leader="dot"/>
            </w:tabs>
          </w:pPr>
          <w:hyperlink w:history="true" w:anchor="_bookmark13">
            <w:r>
              <w:rPr>
                <w:color w:val="FF0000"/>
              </w:rPr>
              <w:t>Potil 10: Dit produkt</w:t>
            </w:r>
          </w:hyperlink>
          <w:r>
            <w:rPr>
              <w:color w:val="FF0000"/>
            </w:rPr>
            <w:tab/>
          </w:r>
          <w:r>
            <w:rPr/>
            <w:t>8</w:t>
          </w:r>
        </w:p>
        <w:p>
          <w:pPr>
            <w:pStyle w:val="TOC1"/>
            <w:numPr>
              <w:ilvl w:val="0"/>
              <w:numId w:val="1"/>
            </w:numPr>
            <w:tabs>
              <w:tab w:pos="1409" w:val="left" w:leader="none"/>
              <w:tab w:pos="10771" w:val="right" w:leader="none"/>
            </w:tabs>
            <w:spacing w:line="240" w:lineRule="auto" w:before="301" w:after="0"/>
            <w:ind w:left="1408" w:right="0" w:hanging="275"/>
            <w:jc w:val="left"/>
          </w:pPr>
          <w:hyperlink w:history="true" w:anchor="_bookmark14">
            <w:r>
              <w:rPr>
                <w:color w:val="FF0000"/>
              </w:rPr>
              <w:t>Eksempel</w:t>
            </w:r>
          </w:hyperlink>
          <w:r>
            <w:rPr>
              <w:color w:val="FF0000"/>
            </w:rPr>
            <w:tab/>
          </w:r>
          <w:r>
            <w:rPr/>
            <w:t>9</w:t>
          </w:r>
        </w:p>
        <w:p>
          <w:pPr>
            <w:pStyle w:val="TOC1"/>
            <w:numPr>
              <w:ilvl w:val="0"/>
              <w:numId w:val="1"/>
            </w:numPr>
            <w:tabs>
              <w:tab w:pos="1409" w:val="left" w:leader="none"/>
              <w:tab w:pos="10771" w:val="right" w:leader="none"/>
            </w:tabs>
            <w:spacing w:line="240" w:lineRule="auto" w:before="301" w:after="0"/>
            <w:ind w:left="1408" w:right="0" w:hanging="275"/>
            <w:jc w:val="left"/>
          </w:pPr>
          <w:hyperlink w:history="true" w:anchor="_bookmark15">
            <w:r>
              <w:rPr>
                <w:color w:val="FF0000"/>
              </w:rPr>
              <w:t>Opsummering</w:t>
            </w:r>
          </w:hyperlink>
          <w:r>
            <w:rPr>
              <w:color w:val="FF0000"/>
            </w:rPr>
            <w:tab/>
          </w:r>
          <w:r>
            <w:rPr/>
            <w:t>9</w:t>
          </w:r>
        </w:p>
      </w:sdtContent>
    </w:sdt>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6"/>
        </w:rPr>
      </w:pPr>
      <w:r>
        <w:rPr/>
        <w:pict>
          <v:line style="position:absolute;mso-position-horizontal-relative:page;mso-position-vertical-relative:paragraph;z-index:-832;mso-wrap-distance-left:0;mso-wrap-distance-right:0" from="56.693001pt,17.486723pt" to="538.583001pt,17.486723pt" stroked="true" strokeweight=".398pt" strokecolor="#000000">
            <v:stroke dashstyle="solid"/>
            <w10:wrap type="topAndBottom"/>
          </v:line>
        </w:pict>
      </w:r>
    </w:p>
    <w:p>
      <w:pPr>
        <w:spacing w:line="312" w:lineRule="auto" w:before="145"/>
        <w:ind w:left="1133" w:right="7739" w:firstLine="0"/>
        <w:jc w:val="left"/>
        <w:rPr>
          <w:sz w:val="16"/>
        </w:rPr>
      </w:pPr>
      <w:r>
        <w:rPr>
          <w:w w:val="105"/>
          <w:sz w:val="16"/>
        </w:rPr>
        <w:t>Nynne Sole Dalå og Thomas Knudsen Veje til en hydrologiegnet højdemodel</w:t>
      </w:r>
    </w:p>
    <w:p>
      <w:pPr>
        <w:pStyle w:val="BodyText"/>
        <w:spacing w:before="9"/>
        <w:rPr>
          <w:sz w:val="20"/>
        </w:rPr>
      </w:pPr>
    </w:p>
    <w:p>
      <w:pPr>
        <w:spacing w:line="312" w:lineRule="auto" w:before="0"/>
        <w:ind w:left="1133" w:right="5019" w:firstLine="0"/>
        <w:jc w:val="left"/>
        <w:rPr>
          <w:sz w:val="16"/>
        </w:rPr>
      </w:pPr>
      <w:r>
        <w:rPr>
          <w:w w:val="105"/>
          <w:sz w:val="16"/>
        </w:rPr>
        <w:t>National</w:t>
      </w:r>
      <w:r>
        <w:rPr>
          <w:spacing w:val="-13"/>
          <w:w w:val="105"/>
          <w:sz w:val="16"/>
        </w:rPr>
        <w:t> </w:t>
      </w:r>
      <w:r>
        <w:rPr>
          <w:w w:val="105"/>
          <w:sz w:val="16"/>
        </w:rPr>
        <w:t>Survey</w:t>
      </w:r>
      <w:r>
        <w:rPr>
          <w:spacing w:val="-12"/>
          <w:w w:val="105"/>
          <w:sz w:val="16"/>
        </w:rPr>
        <w:t> </w:t>
      </w:r>
      <w:r>
        <w:rPr>
          <w:w w:val="105"/>
          <w:sz w:val="16"/>
        </w:rPr>
        <w:t>and</w:t>
      </w:r>
      <w:r>
        <w:rPr>
          <w:spacing w:val="-13"/>
          <w:w w:val="105"/>
          <w:sz w:val="16"/>
        </w:rPr>
        <w:t> </w:t>
      </w:r>
      <w:r>
        <w:rPr>
          <w:w w:val="105"/>
          <w:sz w:val="16"/>
        </w:rPr>
        <w:t>Cadastre—Denmark,</w:t>
      </w:r>
      <w:r>
        <w:rPr>
          <w:spacing w:val="-12"/>
          <w:w w:val="105"/>
          <w:sz w:val="16"/>
        </w:rPr>
        <w:t> </w:t>
      </w:r>
      <w:r>
        <w:rPr>
          <w:w w:val="105"/>
          <w:sz w:val="16"/>
        </w:rPr>
        <w:t>technical</w:t>
      </w:r>
      <w:r>
        <w:rPr>
          <w:spacing w:val="-12"/>
          <w:w w:val="105"/>
          <w:sz w:val="16"/>
        </w:rPr>
        <w:t> </w:t>
      </w:r>
      <w:r>
        <w:rPr>
          <w:w w:val="105"/>
          <w:sz w:val="16"/>
        </w:rPr>
        <w:t>report</w:t>
      </w:r>
      <w:r>
        <w:rPr>
          <w:spacing w:val="-13"/>
          <w:w w:val="105"/>
          <w:sz w:val="16"/>
        </w:rPr>
        <w:t> </w:t>
      </w:r>
      <w:r>
        <w:rPr>
          <w:w w:val="105"/>
          <w:sz w:val="16"/>
        </w:rPr>
        <w:t>series</w:t>
      </w:r>
      <w:r>
        <w:rPr>
          <w:spacing w:val="-12"/>
          <w:w w:val="105"/>
          <w:sz w:val="16"/>
        </w:rPr>
        <w:t> </w:t>
      </w:r>
      <w:r>
        <w:rPr>
          <w:w w:val="105"/>
          <w:sz w:val="16"/>
        </w:rPr>
        <w:t>number</w:t>
      </w:r>
      <w:r>
        <w:rPr>
          <w:spacing w:val="-13"/>
          <w:w w:val="105"/>
          <w:sz w:val="16"/>
        </w:rPr>
        <w:t> </w:t>
      </w:r>
      <w:r>
        <w:rPr>
          <w:w w:val="105"/>
          <w:sz w:val="16"/>
        </w:rPr>
        <w:t>07 ISBN</w:t>
      </w:r>
      <w:r>
        <w:rPr>
          <w:spacing w:val="-2"/>
          <w:w w:val="105"/>
          <w:sz w:val="16"/>
        </w:rPr>
        <w:t> </w:t>
      </w:r>
      <w:r>
        <w:rPr>
          <w:w w:val="105"/>
          <w:sz w:val="16"/>
        </w:rPr>
        <w:t>978-78-92107-33-6</w:t>
      </w:r>
    </w:p>
    <w:p>
      <w:pPr>
        <w:spacing w:line="312" w:lineRule="auto" w:before="0"/>
        <w:ind w:left="1133" w:right="8629" w:firstLine="0"/>
        <w:jc w:val="left"/>
        <w:rPr>
          <w:sz w:val="16"/>
        </w:rPr>
      </w:pPr>
      <w:r>
        <w:rPr>
          <w:w w:val="105"/>
          <w:sz w:val="16"/>
        </w:rPr>
        <w:t>Technical Report Published 2009-12</w:t>
      </w:r>
    </w:p>
    <w:p>
      <w:pPr>
        <w:spacing w:before="0"/>
        <w:ind w:left="1133" w:right="0" w:firstLine="0"/>
        <w:jc w:val="left"/>
        <w:rPr>
          <w:sz w:val="16"/>
        </w:rPr>
      </w:pPr>
      <w:r>
        <w:rPr>
          <w:w w:val="105"/>
          <w:sz w:val="16"/>
        </w:rPr>
        <w:t>This report is available from </w:t>
      </w:r>
      <w:hyperlink r:id="rId14">
        <w:r>
          <w:rPr>
            <w:color w:val="FF0000"/>
            <w:w w:val="105"/>
            <w:sz w:val="16"/>
          </w:rPr>
          <w:t>http://www.kms.dk</w:t>
        </w:r>
      </w:hyperlink>
    </w:p>
    <w:p>
      <w:pPr>
        <w:spacing w:after="0"/>
        <w:jc w:val="left"/>
        <w:rPr>
          <w:sz w:val="16"/>
        </w:rPr>
        <w:sectPr>
          <w:pgSz w:w="11910" w:h="16840"/>
          <w:pgMar w:top="980" w:bottom="280" w:left="0" w:right="160"/>
        </w:sectPr>
      </w:pPr>
    </w:p>
    <w:p>
      <w:pPr>
        <w:pStyle w:val="Heading1"/>
        <w:numPr>
          <w:ilvl w:val="0"/>
          <w:numId w:val="2"/>
        </w:numPr>
        <w:tabs>
          <w:tab w:pos="1545" w:val="left" w:leader="none"/>
        </w:tabs>
        <w:spacing w:line="240" w:lineRule="auto" w:before="91" w:after="0"/>
        <w:ind w:left="1544" w:right="0" w:hanging="411"/>
        <w:jc w:val="both"/>
      </w:pPr>
      <w:bookmarkStart w:name="_bookmark0" w:id="1"/>
      <w:bookmarkEnd w:id="1"/>
      <w:r>
        <w:rPr>
          <w:b w:val="0"/>
        </w:rPr>
      </w:r>
      <w:bookmarkStart w:name="_bookmark0" w:id="2"/>
      <w:bookmarkEnd w:id="2"/>
      <w:r>
        <w:rPr/>
        <w:t>Indledning</w:t>
      </w:r>
    </w:p>
    <w:p>
      <w:pPr>
        <w:pStyle w:val="BodyText"/>
        <w:spacing w:before="4"/>
        <w:rPr>
          <w:b/>
          <w:sz w:val="28"/>
        </w:rPr>
      </w:pPr>
    </w:p>
    <w:p>
      <w:pPr>
        <w:pStyle w:val="BodyText"/>
        <w:spacing w:line="278" w:lineRule="auto"/>
        <w:ind w:left="1133" w:right="971"/>
        <w:jc w:val="both"/>
      </w:pPr>
      <w:r>
        <w:rPr/>
        <w:t>Danmarks Højdemodel (DHM) er en landsdækkende digital højdemodel baseret på laserscanning fra fly. Kort &amp; Matrikel- styrelsen (KMS) har indkøbt DHM med brugsret til hele staten gennem et udbud, hvor kontrakten giver kommunerne mulighed for at købe DHM direkte hos leverandøren. KMS har gennemført en meget omfattende leverance- og kvalitet- skontrol, og DHM er fra december 2009 tilgængelig i en kvalitetsgodkendt version.</w:t>
      </w:r>
    </w:p>
    <w:p>
      <w:pPr>
        <w:pStyle w:val="BodyText"/>
        <w:spacing w:before="81"/>
        <w:ind w:left="1133"/>
        <w:jc w:val="both"/>
      </w:pPr>
      <w:r>
        <w:rPr/>
        <w:t>Danmarks Højdemodel, består af tre datasæt:</w:t>
      </w:r>
    </w:p>
    <w:p>
      <w:pPr>
        <w:pStyle w:val="BodyText"/>
        <w:spacing w:before="9"/>
        <w:rPr>
          <w:sz w:val="28"/>
        </w:rPr>
      </w:pPr>
    </w:p>
    <w:p>
      <w:pPr>
        <w:pStyle w:val="BodyText"/>
        <w:spacing w:line="278" w:lineRule="auto"/>
        <w:ind w:left="1632" w:right="792" w:hanging="499"/>
      </w:pPr>
      <w:r>
        <w:rPr>
          <w:b/>
        </w:rPr>
        <w:t>DHM/Terræn </w:t>
      </w:r>
      <w:r>
        <w:rPr/>
        <w:t>er en model af terrænets højde over havniveau. Alle objekter over terræn (træer, huse, høstakke, halm- baller, biler mm.) er fjernet.</w:t>
      </w:r>
    </w:p>
    <w:p>
      <w:pPr>
        <w:pStyle w:val="BodyText"/>
        <w:spacing w:before="175"/>
        <w:ind w:left="1133"/>
        <w:jc w:val="both"/>
      </w:pPr>
      <w:r>
        <w:rPr>
          <w:b/>
        </w:rPr>
        <w:t>DHM/Overflade </w:t>
      </w:r>
      <w:r>
        <w:rPr/>
        <w:t>er en sammenhængende beskrivelse af landskabet i 3D (inkl. bygningsanlæg og vegetation).</w:t>
      </w:r>
    </w:p>
    <w:p>
      <w:pPr>
        <w:pStyle w:val="BodyText"/>
        <w:spacing w:before="2"/>
      </w:pPr>
    </w:p>
    <w:p>
      <w:pPr>
        <w:pStyle w:val="BodyText"/>
        <w:ind w:left="1133"/>
        <w:jc w:val="both"/>
      </w:pPr>
      <w:r>
        <w:rPr>
          <w:b/>
        </w:rPr>
        <w:t>DHM/Højdekurver </w:t>
      </w:r>
      <w:r>
        <w:rPr/>
        <w:t>repræsenterer terrænets topografi i form af isolinier, der hver især angiver terrænhøjden.</w:t>
      </w:r>
    </w:p>
    <w:p>
      <w:pPr>
        <w:pStyle w:val="BodyText"/>
        <w:spacing w:before="8"/>
        <w:rPr>
          <w:sz w:val="28"/>
        </w:rPr>
      </w:pPr>
    </w:p>
    <w:p>
      <w:pPr>
        <w:pStyle w:val="BodyText"/>
        <w:spacing w:line="278" w:lineRule="auto" w:before="1"/>
        <w:ind w:left="1133" w:right="971"/>
        <w:jc w:val="both"/>
      </w:pPr>
      <w:r>
        <w:rPr/>
        <w:t>Højdemodellen kan benyttes til mange formål i både stat og kommuner, og fælles for de fleste anvendelser </w:t>
      </w:r>
      <w:r>
        <w:rPr>
          <w:spacing w:val="-4"/>
        </w:rPr>
        <w:t>er, </w:t>
      </w:r>
      <w:r>
        <w:rPr/>
        <w:t>at DHM  vil indgå i opgaveløsningen sammen med andre datasæt. Vandområdet er ingen undtagelse. Når det skal vurderes, </w:t>
      </w:r>
      <w:r>
        <w:rPr>
          <w:spacing w:val="-5"/>
        </w:rPr>
        <w:t>hvor </w:t>
      </w:r>
      <w:r>
        <w:rPr/>
        <w:t>der</w:t>
      </w:r>
      <w:r>
        <w:rPr>
          <w:spacing w:val="-5"/>
        </w:rPr>
        <w:t> </w:t>
      </w:r>
      <w:r>
        <w:rPr/>
        <w:t>er</w:t>
      </w:r>
      <w:r>
        <w:rPr>
          <w:spacing w:val="-5"/>
        </w:rPr>
        <w:t> </w:t>
      </w:r>
      <w:r>
        <w:rPr/>
        <w:t>risiko</w:t>
      </w:r>
      <w:r>
        <w:rPr>
          <w:spacing w:val="-5"/>
        </w:rPr>
        <w:t> </w:t>
      </w:r>
      <w:r>
        <w:rPr/>
        <w:t>for</w:t>
      </w:r>
      <w:r>
        <w:rPr>
          <w:spacing w:val="-5"/>
        </w:rPr>
        <w:t> </w:t>
      </w:r>
      <w:r>
        <w:rPr/>
        <w:t>oversvømmelse,</w:t>
      </w:r>
      <w:r>
        <w:rPr>
          <w:spacing w:val="-5"/>
        </w:rPr>
        <w:t> </w:t>
      </w:r>
      <w:r>
        <w:rPr/>
        <w:t>er</w:t>
      </w:r>
      <w:r>
        <w:rPr>
          <w:spacing w:val="-5"/>
        </w:rPr>
        <w:t> </w:t>
      </w:r>
      <w:r>
        <w:rPr/>
        <w:t>det</w:t>
      </w:r>
      <w:r>
        <w:rPr>
          <w:spacing w:val="-4"/>
        </w:rPr>
        <w:t> </w:t>
      </w:r>
      <w:r>
        <w:rPr/>
        <w:t>naturlige</w:t>
      </w:r>
      <w:r>
        <w:rPr>
          <w:spacing w:val="-5"/>
        </w:rPr>
        <w:t> </w:t>
      </w:r>
      <w:r>
        <w:rPr>
          <w:spacing w:val="-3"/>
        </w:rPr>
        <w:t>første</w:t>
      </w:r>
      <w:r>
        <w:rPr>
          <w:spacing w:val="-5"/>
        </w:rPr>
        <w:t> </w:t>
      </w:r>
      <w:r>
        <w:rPr/>
        <w:t>valg</w:t>
      </w:r>
      <w:r>
        <w:rPr>
          <w:spacing w:val="-5"/>
        </w:rPr>
        <w:t> </w:t>
      </w:r>
      <w:r>
        <w:rPr/>
        <w:t>at</w:t>
      </w:r>
      <w:r>
        <w:rPr>
          <w:spacing w:val="-5"/>
        </w:rPr>
        <w:t> </w:t>
      </w:r>
      <w:r>
        <w:rPr/>
        <w:t>benytte</w:t>
      </w:r>
      <w:r>
        <w:rPr>
          <w:spacing w:val="-5"/>
        </w:rPr>
        <w:t> </w:t>
      </w:r>
      <w:r>
        <w:rPr/>
        <w:t>en</w:t>
      </w:r>
      <w:r>
        <w:rPr>
          <w:spacing w:val="-4"/>
        </w:rPr>
        <w:t> </w:t>
      </w:r>
      <w:r>
        <w:rPr/>
        <w:t>højdemodel</w:t>
      </w:r>
      <w:r>
        <w:rPr>
          <w:spacing w:val="-5"/>
        </w:rPr>
        <w:t> </w:t>
      </w:r>
      <w:r>
        <w:rPr/>
        <w:t>og</w:t>
      </w:r>
      <w:r>
        <w:rPr>
          <w:spacing w:val="-5"/>
        </w:rPr>
        <w:t> </w:t>
      </w:r>
      <w:r>
        <w:rPr/>
        <w:t>farve</w:t>
      </w:r>
      <w:r>
        <w:rPr>
          <w:spacing w:val="-5"/>
        </w:rPr>
        <w:t> </w:t>
      </w:r>
      <w:r>
        <w:rPr/>
        <w:t>modellen</w:t>
      </w:r>
      <w:r>
        <w:rPr>
          <w:spacing w:val="-5"/>
        </w:rPr>
        <w:t> </w:t>
      </w:r>
      <w:r>
        <w:rPr/>
        <w:t>blå</w:t>
      </w:r>
      <w:r>
        <w:rPr>
          <w:spacing w:val="-5"/>
        </w:rPr>
        <w:t> </w:t>
      </w:r>
      <w:r>
        <w:rPr/>
        <w:t>op</w:t>
      </w:r>
      <w:r>
        <w:rPr>
          <w:spacing w:val="-4"/>
        </w:rPr>
        <w:t> </w:t>
      </w:r>
      <w:r>
        <w:rPr/>
        <w:t>til</w:t>
      </w:r>
      <w:r>
        <w:rPr>
          <w:spacing w:val="-5"/>
        </w:rPr>
        <w:t> </w:t>
      </w:r>
      <w:r>
        <w:rPr/>
        <w:t>en</w:t>
      </w:r>
      <w:r>
        <w:rPr>
          <w:spacing w:val="-5"/>
        </w:rPr>
        <w:t> </w:t>
      </w:r>
      <w:r>
        <w:rPr/>
        <w:t>given kote – det der er blåt </w:t>
      </w:r>
      <w:r>
        <w:rPr>
          <w:spacing w:val="-3"/>
        </w:rPr>
        <w:t>oversvømmes. </w:t>
      </w:r>
      <w:r>
        <w:rPr/>
        <w:t>Metoden er enkel men desværre oftest meget misvisende, da der hverken tages </w:t>
      </w:r>
      <w:r>
        <w:rPr>
          <w:spacing w:val="-3"/>
        </w:rPr>
        <w:t>højde </w:t>
      </w:r>
      <w:r>
        <w:rPr/>
        <w:t>for mulige til- og </w:t>
      </w:r>
      <w:r>
        <w:rPr>
          <w:spacing w:val="-4"/>
        </w:rPr>
        <w:t>afløb,  </w:t>
      </w:r>
      <w:r>
        <w:rPr/>
        <w:t>overfladens beskaffenhed, varigheden af vandpåvirkningen eller eksisterende barrierer  som fx diger. Skal der laves troværdige vurderinger skal der indgå mange typer af data, realistisk modellering af vandets bevægelser i landskabet, og i nogle tilfælde kan det kræve tilpasninger af den eksisterende</w:t>
      </w:r>
      <w:r>
        <w:rPr>
          <w:spacing w:val="41"/>
        </w:rPr>
        <w:t> </w:t>
      </w:r>
      <w:r>
        <w:rPr/>
        <w:t>højdemodel.</w:t>
      </w:r>
    </w:p>
    <w:p>
      <w:pPr>
        <w:pStyle w:val="BodyText"/>
        <w:spacing w:line="278" w:lineRule="auto" w:before="78"/>
        <w:ind w:left="1133" w:right="971"/>
        <w:jc w:val="both"/>
      </w:pPr>
      <w:r>
        <w:rPr/>
        <w:t>Denne rapport samler resultaterne af en undersøgelse af behov for og krav til en Danmarks Højdemodel, der er tilpasset hydrologiske anvendelser – en DHyM.</w:t>
      </w:r>
    </w:p>
    <w:p>
      <w:pPr>
        <w:pStyle w:val="BodyText"/>
        <w:rPr>
          <w:sz w:val="22"/>
        </w:rPr>
      </w:pPr>
    </w:p>
    <w:p>
      <w:pPr>
        <w:pStyle w:val="Heading2"/>
        <w:numPr>
          <w:ilvl w:val="1"/>
          <w:numId w:val="2"/>
        </w:numPr>
        <w:tabs>
          <w:tab w:pos="1660" w:val="left" w:leader="none"/>
        </w:tabs>
        <w:spacing w:line="240" w:lineRule="auto" w:before="166" w:after="0"/>
        <w:ind w:left="1659" w:right="0" w:hanging="526"/>
        <w:jc w:val="both"/>
      </w:pPr>
      <w:bookmarkStart w:name="_bookmark1" w:id="3"/>
      <w:bookmarkEnd w:id="3"/>
      <w:r>
        <w:rPr>
          <w:b w:val="0"/>
        </w:rPr>
      </w:r>
      <w:bookmarkStart w:name="_bookmark1" w:id="4"/>
      <w:bookmarkEnd w:id="4"/>
      <w:r>
        <w:rPr/>
        <w:t>P</w:t>
      </w:r>
      <w:r>
        <w:rPr/>
        <w:t>rocessen</w:t>
      </w:r>
    </w:p>
    <w:p>
      <w:pPr>
        <w:pStyle w:val="BodyText"/>
        <w:spacing w:before="4"/>
        <w:rPr>
          <w:b/>
          <w:sz w:val="22"/>
        </w:rPr>
      </w:pPr>
    </w:p>
    <w:p>
      <w:pPr>
        <w:pStyle w:val="BodyText"/>
        <w:spacing w:line="278" w:lineRule="auto" w:before="1"/>
        <w:ind w:left="1133" w:right="971"/>
        <w:jc w:val="both"/>
      </w:pPr>
      <w:r>
        <w:rPr/>
        <w:t>Kort &amp; Matrikelstyrelsen har i efteråret 2009 arbejdet på at kortlægge hvilke højdemodelrelaterede data, som hydrologi- interessenter har behov for. Mere løst formuleret betyder det, at vi har arbejdet på at afklare hvilke behov, der er for en hydrologiegnet højdemodel.</w:t>
      </w:r>
    </w:p>
    <w:p>
      <w:pPr>
        <w:pStyle w:val="BodyText"/>
        <w:spacing w:line="278" w:lineRule="auto" w:before="82"/>
        <w:ind w:left="1133" w:right="971"/>
        <w:jc w:val="both"/>
      </w:pPr>
      <w:r>
        <w:rPr/>
        <w:t>Behovsundersøgelsen er udført i flere trin. I </w:t>
      </w:r>
      <w:r>
        <w:rPr>
          <w:spacing w:val="-3"/>
        </w:rPr>
        <w:t>første </w:t>
      </w:r>
      <w:r>
        <w:rPr/>
        <w:t>omgang spurgte vi et udvalg af kendte hydrologiintresserenter om behov og krav til DHyM og svarene herfra </w:t>
      </w:r>
      <w:r>
        <w:rPr>
          <w:spacing w:val="-3"/>
        </w:rPr>
        <w:t>blev  </w:t>
      </w:r>
      <w:r>
        <w:rPr/>
        <w:t>i anden omgang brugt som inspiration til spørgsmål, udsendt </w:t>
      </w:r>
      <w:r>
        <w:rPr>
          <w:spacing w:val="-4"/>
        </w:rPr>
        <w:t>pr.  </w:t>
      </w:r>
      <w:r>
        <w:rPr/>
        <w:t>epost   til en bredere skare af interessenter, herunder medlemmerne af det statslige DHM samarbejdsforum. Ca. 35 eksterne modtog spørgsmålene, 8 svarede og sammen med de interessenter, der </w:t>
      </w:r>
      <w:r>
        <w:rPr>
          <w:spacing w:val="-3"/>
        </w:rPr>
        <w:t>blev </w:t>
      </w:r>
      <w:r>
        <w:rPr/>
        <w:t>spurgt i undersøgelsens </w:t>
      </w:r>
      <w:r>
        <w:rPr>
          <w:spacing w:val="-3"/>
        </w:rPr>
        <w:t>første </w:t>
      </w:r>
      <w:r>
        <w:rPr/>
        <w:t>trin har vi </w:t>
      </w:r>
      <w:r>
        <w:rPr>
          <w:spacing w:val="-3"/>
        </w:rPr>
        <w:t>svar, </w:t>
      </w:r>
      <w:r>
        <w:rPr/>
        <w:t>forslag og kommentarer fra i alt 14 mennesker. Det lyder ikke umiddelbart som mange. Ikke desto mindre er vi godt tilfredse med tilbagemeldingerne: respondenterne har tilknytning til en række </w:t>
      </w:r>
      <w:r>
        <w:rPr>
          <w:spacing w:val="-3"/>
        </w:rPr>
        <w:t>førende </w:t>
      </w:r>
      <w:r>
        <w:rPr/>
        <w:t>statslige, kommunale og private organisationer,</w:t>
      </w:r>
      <w:r>
        <w:rPr>
          <w:spacing w:val="5"/>
        </w:rPr>
        <w:t> </w:t>
      </w:r>
      <w:r>
        <w:rPr/>
        <w:t>så</w:t>
      </w:r>
      <w:r>
        <w:rPr>
          <w:spacing w:val="6"/>
        </w:rPr>
        <w:t> </w:t>
      </w:r>
      <w:r>
        <w:rPr/>
        <w:t>vi</w:t>
      </w:r>
      <w:r>
        <w:rPr>
          <w:spacing w:val="6"/>
        </w:rPr>
        <w:t> </w:t>
      </w:r>
      <w:r>
        <w:rPr/>
        <w:t>har</w:t>
      </w:r>
      <w:r>
        <w:rPr>
          <w:spacing w:val="6"/>
        </w:rPr>
        <w:t> </w:t>
      </w:r>
      <w:r>
        <w:rPr/>
        <w:t>særdeles</w:t>
      </w:r>
      <w:r>
        <w:rPr>
          <w:spacing w:val="5"/>
        </w:rPr>
        <w:t> </w:t>
      </w:r>
      <w:r>
        <w:rPr/>
        <w:t>god</w:t>
      </w:r>
      <w:r>
        <w:rPr>
          <w:spacing w:val="6"/>
        </w:rPr>
        <w:t> </w:t>
      </w:r>
      <w:r>
        <w:rPr/>
        <w:t>dækning</w:t>
      </w:r>
      <w:r>
        <w:rPr>
          <w:spacing w:val="6"/>
        </w:rPr>
        <w:t> </w:t>
      </w:r>
      <w:r>
        <w:rPr/>
        <w:t>af</w:t>
      </w:r>
      <w:r>
        <w:rPr>
          <w:spacing w:val="6"/>
        </w:rPr>
        <w:t> </w:t>
      </w:r>
      <w:r>
        <w:rPr/>
        <w:t>området</w:t>
      </w:r>
      <w:r>
        <w:rPr>
          <w:spacing w:val="5"/>
        </w:rPr>
        <w:t> </w:t>
      </w:r>
      <w:r>
        <w:rPr/>
        <w:t>–</w:t>
      </w:r>
      <w:r>
        <w:rPr>
          <w:spacing w:val="6"/>
        </w:rPr>
        <w:t> </w:t>
      </w:r>
      <w:r>
        <w:rPr/>
        <w:t>og</w:t>
      </w:r>
      <w:r>
        <w:rPr>
          <w:spacing w:val="6"/>
        </w:rPr>
        <w:t> </w:t>
      </w:r>
      <w:r>
        <w:rPr/>
        <w:t>de</w:t>
      </w:r>
      <w:r>
        <w:rPr>
          <w:spacing w:val="6"/>
        </w:rPr>
        <w:t> </w:t>
      </w:r>
      <w:r>
        <w:rPr/>
        <w:t>enkelte</w:t>
      </w:r>
      <w:r>
        <w:rPr>
          <w:spacing w:val="5"/>
        </w:rPr>
        <w:t> </w:t>
      </w:r>
      <w:r>
        <w:rPr/>
        <w:t>responsa</w:t>
      </w:r>
      <w:r>
        <w:rPr>
          <w:spacing w:val="6"/>
        </w:rPr>
        <w:t> </w:t>
      </w:r>
      <w:r>
        <w:rPr/>
        <w:t>har</w:t>
      </w:r>
      <w:r>
        <w:rPr>
          <w:spacing w:val="6"/>
        </w:rPr>
        <w:t> </w:t>
      </w:r>
      <w:r>
        <w:rPr/>
        <w:t>været</w:t>
      </w:r>
      <w:r>
        <w:rPr>
          <w:spacing w:val="6"/>
        </w:rPr>
        <w:t> </w:t>
      </w:r>
      <w:r>
        <w:rPr/>
        <w:t>af</w:t>
      </w:r>
      <w:r>
        <w:rPr>
          <w:spacing w:val="5"/>
        </w:rPr>
        <w:t> </w:t>
      </w:r>
      <w:r>
        <w:rPr/>
        <w:t>meget</w:t>
      </w:r>
      <w:r>
        <w:rPr>
          <w:spacing w:val="6"/>
        </w:rPr>
        <w:t> </w:t>
      </w:r>
      <w:r>
        <w:rPr>
          <w:spacing w:val="-4"/>
        </w:rPr>
        <w:t>høj</w:t>
      </w:r>
      <w:r>
        <w:rPr>
          <w:spacing w:val="6"/>
        </w:rPr>
        <w:t> </w:t>
      </w:r>
      <w:r>
        <w:rPr/>
        <w:t>kvalitet.</w:t>
      </w:r>
    </w:p>
    <w:p>
      <w:pPr>
        <w:pStyle w:val="BodyText"/>
        <w:rPr>
          <w:sz w:val="22"/>
        </w:rPr>
      </w:pPr>
    </w:p>
    <w:p>
      <w:pPr>
        <w:pStyle w:val="Heading2"/>
        <w:numPr>
          <w:ilvl w:val="1"/>
          <w:numId w:val="2"/>
        </w:numPr>
        <w:tabs>
          <w:tab w:pos="1660" w:val="left" w:leader="none"/>
        </w:tabs>
        <w:spacing w:line="240" w:lineRule="auto" w:before="161" w:after="0"/>
        <w:ind w:left="1659" w:right="0" w:hanging="526"/>
        <w:jc w:val="both"/>
      </w:pPr>
      <w:bookmarkStart w:name="_bookmark2" w:id="5"/>
      <w:bookmarkEnd w:id="5"/>
      <w:r>
        <w:rPr>
          <w:b w:val="0"/>
        </w:rPr>
      </w:r>
      <w:bookmarkStart w:name="_bookmark2" w:id="6"/>
      <w:bookmarkEnd w:id="6"/>
      <w:r>
        <w:rPr/>
        <w:t>Fremtiden</w:t>
      </w:r>
    </w:p>
    <w:p>
      <w:pPr>
        <w:pStyle w:val="BodyText"/>
        <w:spacing w:before="4"/>
        <w:rPr>
          <w:b/>
          <w:sz w:val="22"/>
        </w:rPr>
      </w:pPr>
    </w:p>
    <w:p>
      <w:pPr>
        <w:pStyle w:val="BodyText"/>
        <w:spacing w:line="278" w:lineRule="auto" w:before="1"/>
        <w:ind w:left="1133" w:right="971"/>
        <w:jc w:val="both"/>
      </w:pPr>
      <w:r>
        <w:rPr/>
        <w:t>Med denne rapport har vi samlet resultaterne af behovsundersøgelsen. Det viste sig allerede tidligt i processen at DHyM ikke kan udgøres af en enkelt tilpasset DHM. Der er snarere behov for et udvalg af </w:t>
      </w:r>
      <w:r>
        <w:rPr>
          <w:i/>
        </w:rPr>
        <w:t>po</w:t>
      </w:r>
      <w:r>
        <w:rPr/>
        <w:t>tentielle </w:t>
      </w:r>
      <w:r>
        <w:rPr>
          <w:i/>
        </w:rPr>
        <w:t>til </w:t>
      </w:r>
      <w:r>
        <w:rPr/>
        <w:t>lægsprodukter (på kort form kaldet </w:t>
      </w:r>
      <w:r>
        <w:rPr>
          <w:i/>
        </w:rPr>
        <w:t>potiller </w:t>
      </w:r>
      <w:r>
        <w:rPr/>
        <w:t>): tilpasninger eller videreudviklinger af DHM, og produkter hvor DHM i mere eller mindre tilpasset form indgår sammen med andre</w:t>
      </w:r>
      <w:r>
        <w:rPr>
          <w:spacing w:val="1"/>
        </w:rPr>
        <w:t> </w:t>
      </w:r>
      <w:r>
        <w:rPr/>
        <w:t>datatyper.</w:t>
      </w:r>
    </w:p>
    <w:p>
      <w:pPr>
        <w:pStyle w:val="BodyText"/>
        <w:spacing w:line="278" w:lineRule="auto" w:before="81"/>
        <w:ind w:left="1133" w:right="971"/>
        <w:jc w:val="both"/>
      </w:pPr>
      <w:r>
        <w:rPr/>
        <w:t>Gennem undersøgelsen har vi vurderet sværhedsgraden af de enkelte tillægsprodukter og som svar har interessenterne angivet</w:t>
      </w:r>
      <w:r>
        <w:rPr>
          <w:spacing w:val="-3"/>
        </w:rPr>
        <w:t> </w:t>
      </w:r>
      <w:r>
        <w:rPr/>
        <w:t>nytteværdien.</w:t>
      </w:r>
      <w:r>
        <w:rPr>
          <w:spacing w:val="-2"/>
        </w:rPr>
        <w:t> </w:t>
      </w:r>
      <w:r>
        <w:rPr/>
        <w:t>Den</w:t>
      </w:r>
      <w:r>
        <w:rPr>
          <w:spacing w:val="-3"/>
        </w:rPr>
        <w:t> </w:t>
      </w:r>
      <w:r>
        <w:rPr/>
        <w:t>slags</w:t>
      </w:r>
      <w:r>
        <w:rPr>
          <w:spacing w:val="-3"/>
        </w:rPr>
        <w:t> </w:t>
      </w:r>
      <w:r>
        <w:rPr/>
        <w:t>er</w:t>
      </w:r>
      <w:r>
        <w:rPr>
          <w:spacing w:val="-2"/>
        </w:rPr>
        <w:t> </w:t>
      </w:r>
      <w:r>
        <w:rPr/>
        <w:t>naturligvis</w:t>
      </w:r>
      <w:r>
        <w:rPr>
          <w:spacing w:val="-2"/>
        </w:rPr>
        <w:t> </w:t>
      </w:r>
      <w:r>
        <w:rPr/>
        <w:t>vanskeligt</w:t>
      </w:r>
      <w:r>
        <w:rPr>
          <w:spacing w:val="-2"/>
        </w:rPr>
        <w:t> </w:t>
      </w:r>
      <w:r>
        <w:rPr/>
        <w:t>at</w:t>
      </w:r>
      <w:r>
        <w:rPr>
          <w:spacing w:val="-4"/>
        </w:rPr>
        <w:t> </w:t>
      </w:r>
      <w:r>
        <w:rPr/>
        <w:t>kvantificere,</w:t>
      </w:r>
      <w:r>
        <w:rPr>
          <w:spacing w:val="-2"/>
        </w:rPr>
        <w:t> </w:t>
      </w:r>
      <w:r>
        <w:rPr/>
        <w:t>så</w:t>
      </w:r>
      <w:r>
        <w:rPr>
          <w:spacing w:val="-2"/>
        </w:rPr>
        <w:t> </w:t>
      </w:r>
      <w:r>
        <w:rPr/>
        <w:t>i</w:t>
      </w:r>
      <w:r>
        <w:rPr>
          <w:spacing w:val="-2"/>
        </w:rPr>
        <w:t> </w:t>
      </w:r>
      <w:r>
        <w:rPr/>
        <w:t>begge</w:t>
      </w:r>
      <w:r>
        <w:rPr>
          <w:spacing w:val="-3"/>
        </w:rPr>
        <w:t> </w:t>
      </w:r>
      <w:r>
        <w:rPr/>
        <w:t>tilfælde</w:t>
      </w:r>
      <w:r>
        <w:rPr>
          <w:spacing w:val="-2"/>
        </w:rPr>
        <w:t> </w:t>
      </w:r>
      <w:r>
        <w:rPr/>
        <w:t>benytter</w:t>
      </w:r>
      <w:r>
        <w:rPr>
          <w:spacing w:val="-2"/>
        </w:rPr>
        <w:t> </w:t>
      </w:r>
      <w:r>
        <w:rPr/>
        <w:t>vi</w:t>
      </w:r>
      <w:r>
        <w:rPr>
          <w:spacing w:val="-2"/>
        </w:rPr>
        <w:t> </w:t>
      </w:r>
      <w:r>
        <w:rPr/>
        <w:t>en</w:t>
      </w:r>
      <w:r>
        <w:rPr>
          <w:spacing w:val="-2"/>
        </w:rPr>
        <w:t> </w:t>
      </w:r>
      <w:r>
        <w:rPr/>
        <w:t>trafiklysmetafor, for ikke at overkvantificere:</w:t>
      </w:r>
    </w:p>
    <w:p>
      <w:pPr>
        <w:pStyle w:val="BodyText"/>
        <w:spacing w:before="10"/>
        <w:rPr>
          <w:sz w:val="21"/>
        </w:rPr>
      </w:pPr>
    </w:p>
    <w:p>
      <w:pPr>
        <w:pStyle w:val="BodyText"/>
        <w:spacing w:line="482" w:lineRule="auto"/>
        <w:ind w:left="1133" w:right="5224"/>
      </w:pPr>
      <w:r>
        <w:rPr>
          <w:b/>
        </w:rPr>
        <w:t>Rød </w:t>
      </w:r>
      <w:r>
        <w:rPr/>
        <w:t>står for en vanskelig opgave / et ikke særligt nyttigt produkt </w:t>
      </w:r>
      <w:r>
        <w:rPr>
          <w:b/>
        </w:rPr>
        <w:t>Gul </w:t>
      </w:r>
      <w:r>
        <w:rPr/>
        <w:t>står for en overkommelig opgave / et moderat nyttigt produkt </w:t>
      </w:r>
      <w:r>
        <w:rPr>
          <w:b/>
        </w:rPr>
        <w:t>Grøn </w:t>
      </w:r>
      <w:r>
        <w:rPr/>
        <w:t>står for en ukompliceret opgave / et særdeles nyttigt</w:t>
      </w:r>
      <w:r>
        <w:rPr>
          <w:spacing w:val="8"/>
        </w:rPr>
        <w:t> </w:t>
      </w:r>
      <w:r>
        <w:rPr/>
        <w:t>produkt</w:t>
      </w:r>
    </w:p>
    <w:p>
      <w:pPr>
        <w:pStyle w:val="BodyText"/>
        <w:spacing w:line="278" w:lineRule="auto" w:before="77"/>
        <w:ind w:left="1133" w:right="971"/>
        <w:jc w:val="both"/>
      </w:pPr>
      <w:r>
        <w:rPr/>
        <w:t>Med dette har vi et opnået et grundlag for design og udførelse af mindre eksperimenter, der kan bringe yderligere   indsigt og afklaring (specifikt vil det være oplagt at tage udgangspunkt i produkter der opnår bedømmelsen </w:t>
      </w:r>
      <w:r>
        <w:rPr>
          <w:spacing w:val="-3"/>
        </w:rPr>
        <w:t>“grøn/grøn”, </w:t>
      </w:r>
      <w:r>
        <w:rPr/>
        <w:t>dvs. produkter der vurderes som ukomplicerede at implementere, men som af interessenterne vurderes som særdeles nyttige).</w:t>
      </w:r>
    </w:p>
    <w:p>
      <w:pPr>
        <w:spacing w:after="0" w:line="278" w:lineRule="auto"/>
        <w:jc w:val="both"/>
        <w:sectPr>
          <w:footerReference w:type="default" r:id="rId15"/>
          <w:pgSz w:w="11910" w:h="16840"/>
          <w:pgMar w:footer="511" w:header="0" w:top="980" w:bottom="700" w:left="0" w:right="160"/>
          <w:pgNumType w:start="3"/>
        </w:sectPr>
      </w:pPr>
    </w:p>
    <w:p>
      <w:pPr>
        <w:pStyle w:val="BodyText"/>
        <w:spacing w:line="278" w:lineRule="auto" w:before="86"/>
        <w:ind w:left="1133" w:right="971"/>
        <w:jc w:val="both"/>
      </w:pPr>
      <w:r>
        <w:rPr/>
        <w:t>Rapporten er således bl.a. tænkt som afsæt for mindre eksperimenter til yderligere afklaring og som en del af beslut- ningsgrundlaget, når Kort &amp; Matrikelstyrelsen skal bestemme retningen og omfanget for det videre i arbejde med DHM   til hydrologiske anvendelser.</w:t>
      </w:r>
    </w:p>
    <w:p>
      <w:pPr>
        <w:pStyle w:val="BodyText"/>
        <w:spacing w:line="278" w:lineRule="auto" w:before="83"/>
        <w:ind w:left="1133" w:right="971"/>
        <w:jc w:val="both"/>
      </w:pPr>
      <w:r>
        <w:rPr/>
        <w:t>På de </w:t>
      </w:r>
      <w:r>
        <w:rPr>
          <w:spacing w:val="-3"/>
        </w:rPr>
        <w:t>følgende </w:t>
      </w:r>
      <w:r>
        <w:rPr/>
        <w:t>sider gennemgår vi de enkelte </w:t>
      </w:r>
      <w:r>
        <w:rPr>
          <w:i/>
        </w:rPr>
        <w:t>potiller</w:t>
      </w:r>
      <w:r>
        <w:rPr/>
        <w:t>, i den form det </w:t>
      </w:r>
      <w:r>
        <w:rPr>
          <w:spacing w:val="-3"/>
        </w:rPr>
        <w:t>blev </w:t>
      </w:r>
      <w:r>
        <w:rPr/>
        <w:t>udsendt til interessenterne, og perspektiverer ved (under deloverskriften </w:t>
      </w:r>
      <w:r>
        <w:rPr>
          <w:i/>
        </w:rPr>
        <w:t>kommentarer </w:t>
      </w:r>
      <w:r>
        <w:rPr/>
        <w:t>) at bringe citater fra deres </w:t>
      </w:r>
      <w:r>
        <w:rPr>
          <w:spacing w:val="-3"/>
        </w:rPr>
        <w:t>svar.  </w:t>
      </w:r>
      <w:r>
        <w:rPr/>
        <w:t>Der er imidlertid tale om en kombination af  svar der har “officiel” karakter, altså i en eller anden grad udtrykker en institutionel holdning, og svar der afspejler </w:t>
      </w:r>
      <w:r>
        <w:rPr>
          <w:spacing w:val="-4"/>
        </w:rPr>
        <w:t>den </w:t>
      </w:r>
      <w:r>
        <w:rPr/>
        <w:t>enkeltes personligt faglige holdning. Begge dele er nødvendige for at få et dækkende overblik, men de personlige og    de institutionelle vurderinger kan også være i uoverensstemmelse. For at eliminere spekulationer over den slags har vi anonymiseret og i udstrakt grad, parafraseret</w:t>
      </w:r>
      <w:r>
        <w:rPr>
          <w:spacing w:val="3"/>
        </w:rPr>
        <w:t> </w:t>
      </w:r>
      <w:r>
        <w:rPr/>
        <w:t>citaterne.</w:t>
      </w:r>
    </w:p>
    <w:p>
      <w:pPr>
        <w:spacing w:after="0" w:line="278" w:lineRule="auto"/>
        <w:jc w:val="both"/>
        <w:sectPr>
          <w:pgSz w:w="11910" w:h="16840"/>
          <w:pgMar w:header="0" w:footer="511" w:top="1060" w:bottom="700" w:left="0" w:right="160"/>
        </w:sectPr>
      </w:pPr>
    </w:p>
    <w:p>
      <w:pPr>
        <w:pStyle w:val="Heading1"/>
        <w:numPr>
          <w:ilvl w:val="0"/>
          <w:numId w:val="2"/>
        </w:numPr>
        <w:tabs>
          <w:tab w:pos="1544" w:val="left" w:leader="none"/>
          <w:tab w:pos="1545" w:val="left" w:leader="none"/>
        </w:tabs>
        <w:spacing w:line="240" w:lineRule="auto" w:before="91" w:after="0"/>
        <w:ind w:left="1544" w:right="0" w:hanging="411"/>
        <w:jc w:val="left"/>
      </w:pPr>
      <w:bookmarkStart w:name="_bookmark3" w:id="7"/>
      <w:bookmarkEnd w:id="7"/>
      <w:r>
        <w:rPr>
          <w:b w:val="0"/>
        </w:rPr>
      </w:r>
      <w:bookmarkStart w:name="_bookmark3" w:id="8"/>
      <w:bookmarkEnd w:id="8"/>
      <w:r>
        <w:rPr/>
        <w:t>P</w:t>
      </w:r>
      <w:r>
        <w:rPr/>
        <w:t>otentielle</w:t>
      </w:r>
      <w:r>
        <w:rPr>
          <w:spacing w:val="1"/>
        </w:rPr>
        <w:t> </w:t>
      </w:r>
      <w:r>
        <w:rPr/>
        <w:t>tillægsprodukter</w:t>
      </w:r>
    </w:p>
    <w:p>
      <w:pPr>
        <w:pStyle w:val="BodyText"/>
        <w:rPr>
          <w:b/>
          <w:sz w:val="20"/>
        </w:rPr>
      </w:pPr>
    </w:p>
    <w:p>
      <w:pPr>
        <w:pStyle w:val="BodyText"/>
        <w:spacing w:before="6"/>
        <w:rPr>
          <w:b/>
        </w:rPr>
      </w:pPr>
      <w:r>
        <w:rPr/>
        <w:pict>
          <v:line style="position:absolute;mso-position-horizontal-relative:page;mso-position-vertical-relative:paragraph;z-index:-808;mso-wrap-distance-left:0;mso-wrap-distance-right:0" from="56.693001pt,12.833246pt" to="538.583001pt,12.833246pt" stroked="true" strokeweight=".398pt" strokecolor="#000000">
            <v:stroke dashstyle="solid"/>
            <w10:wrap type="topAndBottom"/>
          </v:line>
        </w:pict>
      </w:r>
    </w:p>
    <w:p>
      <w:pPr>
        <w:pStyle w:val="BodyText"/>
        <w:spacing w:before="1"/>
        <w:rPr>
          <w:b/>
          <w:sz w:val="29"/>
        </w:rPr>
      </w:pPr>
    </w:p>
    <w:p>
      <w:pPr>
        <w:pStyle w:val="Heading2"/>
        <w:spacing w:before="103"/>
      </w:pPr>
      <w:r>
        <w:rPr/>
        <w:t>Potil 1: Terrænmodel med “spurious pit removal”</w:t>
      </w:r>
    </w:p>
    <w:p>
      <w:pPr>
        <w:pStyle w:val="BodyText"/>
        <w:rPr>
          <w:b/>
          <w:sz w:val="22"/>
        </w:rPr>
      </w:pPr>
    </w:p>
    <w:p>
      <w:pPr>
        <w:spacing w:line="278" w:lineRule="auto" w:before="0"/>
        <w:ind w:left="1133" w:right="792" w:firstLine="0"/>
        <w:jc w:val="left"/>
        <w:rPr>
          <w:sz w:val="18"/>
        </w:rPr>
      </w:pPr>
      <w:bookmarkStart w:name="_bookmark4" w:id="9"/>
      <w:bookmarkEnd w:id="9"/>
      <w:r>
        <w:rPr/>
      </w:r>
      <w:r>
        <w:rPr>
          <w:sz w:val="18"/>
        </w:rPr>
        <w:t>En filtrering af terrænmodellen, hvor der løst sagt </w:t>
      </w:r>
      <w:r>
        <w:rPr>
          <w:i/>
          <w:sz w:val="18"/>
        </w:rPr>
        <w:t>hældes en spand jord i insignifikante lokale fordybninger</w:t>
      </w:r>
      <w:r>
        <w:rPr>
          <w:sz w:val="18"/>
        </w:rPr>
        <w:t>. Insignifikant betyder her, at fordybningen ikke er dybere end at den (inden for måleusikkerheden) lige så godt kunne være plan.</w:t>
      </w:r>
    </w:p>
    <w:p>
      <w:pPr>
        <w:spacing w:line="390" w:lineRule="atLeast" w:before="83"/>
        <w:ind w:left="1133" w:right="7946" w:firstLine="0"/>
        <w:jc w:val="left"/>
        <w:rPr>
          <w:b/>
          <w:sz w:val="18"/>
        </w:rPr>
      </w:pPr>
      <w:r>
        <w:rPr>
          <w:b/>
          <w:sz w:val="18"/>
        </w:rPr>
        <w:t>Vanskelighedsgrad </w:t>
      </w:r>
      <w:r>
        <w:rPr>
          <w:sz w:val="18"/>
        </w:rPr>
        <w:t>Rød </w:t>
      </w:r>
      <w:r>
        <w:rPr>
          <w:b/>
          <w:sz w:val="18"/>
        </w:rPr>
        <w:t>Nyttegrad </w:t>
      </w:r>
      <w:r>
        <w:rPr>
          <w:sz w:val="18"/>
        </w:rPr>
        <w:t>Overvejende gul </w:t>
      </w:r>
      <w:r>
        <w:rPr>
          <w:b/>
          <w:sz w:val="18"/>
        </w:rPr>
        <w:t>Kommentarer</w:t>
      </w:r>
    </w:p>
    <w:p>
      <w:pPr>
        <w:pStyle w:val="ListParagraph"/>
        <w:numPr>
          <w:ilvl w:val="0"/>
          <w:numId w:val="3"/>
        </w:numPr>
        <w:tabs>
          <w:tab w:pos="2071" w:val="left" w:leader="none"/>
        </w:tabs>
        <w:spacing w:line="240" w:lineRule="auto" w:before="109" w:after="0"/>
        <w:ind w:left="2070" w:right="0" w:hanging="253"/>
        <w:jc w:val="left"/>
        <w:rPr>
          <w:sz w:val="18"/>
        </w:rPr>
      </w:pPr>
      <w:r>
        <w:rPr>
          <w:sz w:val="18"/>
        </w:rPr>
        <w:t>Insignifikante lunker skal fjernes, men uden at det </w:t>
      </w:r>
      <w:r>
        <w:rPr>
          <w:spacing w:val="-3"/>
          <w:sz w:val="18"/>
        </w:rPr>
        <w:t>medfører </w:t>
      </w:r>
      <w:r>
        <w:rPr>
          <w:sz w:val="18"/>
        </w:rPr>
        <w:t>at vandløbsnære engarealer blot fyldes</w:t>
      </w:r>
      <w:r>
        <w:rPr>
          <w:spacing w:val="42"/>
          <w:sz w:val="18"/>
        </w:rPr>
        <w:t> </w:t>
      </w:r>
      <w:r>
        <w:rPr>
          <w:sz w:val="18"/>
        </w:rPr>
        <w:t>op</w:t>
      </w:r>
    </w:p>
    <w:p>
      <w:pPr>
        <w:pStyle w:val="ListParagraph"/>
        <w:numPr>
          <w:ilvl w:val="0"/>
          <w:numId w:val="3"/>
        </w:numPr>
        <w:tabs>
          <w:tab w:pos="2071" w:val="left" w:leader="none"/>
        </w:tabs>
        <w:spacing w:line="278" w:lineRule="auto" w:before="105" w:after="0"/>
        <w:ind w:left="2070" w:right="971" w:hanging="253"/>
        <w:jc w:val="left"/>
        <w:rPr>
          <w:sz w:val="18"/>
        </w:rPr>
      </w:pPr>
      <w:r>
        <w:rPr>
          <w:sz w:val="18"/>
        </w:rPr>
        <w:t>Modellen kan med fordel </w:t>
      </w:r>
      <w:r>
        <w:rPr>
          <w:spacing w:val="-3"/>
          <w:sz w:val="18"/>
        </w:rPr>
        <w:t>have </w:t>
      </w:r>
      <w:r>
        <w:rPr>
          <w:sz w:val="18"/>
        </w:rPr>
        <w:t>en opløsning et sted mellem 8 og 32 meter, af hensyn til de efterfølgende analyser.</w:t>
      </w:r>
    </w:p>
    <w:p>
      <w:pPr>
        <w:pStyle w:val="ListParagraph"/>
        <w:numPr>
          <w:ilvl w:val="0"/>
          <w:numId w:val="3"/>
        </w:numPr>
        <w:tabs>
          <w:tab w:pos="2071" w:val="left" w:leader="none"/>
        </w:tabs>
        <w:spacing w:line="240" w:lineRule="auto" w:before="71" w:after="0"/>
        <w:ind w:left="2070" w:right="0" w:hanging="253"/>
        <w:jc w:val="left"/>
        <w:rPr>
          <w:sz w:val="18"/>
        </w:rPr>
      </w:pPr>
      <w:r>
        <w:rPr>
          <w:sz w:val="18"/>
        </w:rPr>
        <w:t>Der </w:t>
      </w:r>
      <w:r>
        <w:rPr>
          <w:spacing w:val="-4"/>
          <w:sz w:val="18"/>
        </w:rPr>
        <w:t>bør </w:t>
      </w:r>
      <w:r>
        <w:rPr>
          <w:sz w:val="18"/>
        </w:rPr>
        <w:t>regnes en udgave af modellen, som kan anvendes til beregning af </w:t>
      </w:r>
      <w:r>
        <w:rPr>
          <w:spacing w:val="-3"/>
          <w:sz w:val="18"/>
        </w:rPr>
        <w:t>flow, </w:t>
      </w:r>
      <w:r>
        <w:rPr>
          <w:sz w:val="18"/>
        </w:rPr>
        <w:t>erosionsrisiko, oplande</w:t>
      </w:r>
      <w:r>
        <w:rPr>
          <w:spacing w:val="-24"/>
          <w:sz w:val="18"/>
        </w:rPr>
        <w:t> </w:t>
      </w:r>
      <w:r>
        <w:rPr>
          <w:sz w:val="18"/>
        </w:rPr>
        <w:t>m.m.</w:t>
      </w:r>
    </w:p>
    <w:p>
      <w:pPr>
        <w:pStyle w:val="ListParagraph"/>
        <w:numPr>
          <w:ilvl w:val="0"/>
          <w:numId w:val="3"/>
        </w:numPr>
        <w:tabs>
          <w:tab w:pos="2071" w:val="left" w:leader="none"/>
        </w:tabs>
        <w:spacing w:line="278" w:lineRule="auto" w:before="106" w:after="0"/>
        <w:ind w:left="2070" w:right="971" w:hanging="253"/>
        <w:jc w:val="left"/>
        <w:rPr>
          <w:sz w:val="18"/>
        </w:rPr>
      </w:pPr>
      <w:r>
        <w:rPr>
          <w:sz w:val="18"/>
        </w:rPr>
        <w:t>For mindre områder er det ret let selv at </w:t>
      </w:r>
      <w:r>
        <w:rPr>
          <w:spacing w:val="-3"/>
          <w:sz w:val="18"/>
        </w:rPr>
        <w:t>gøre. </w:t>
      </w:r>
      <w:r>
        <w:rPr>
          <w:sz w:val="18"/>
        </w:rPr>
        <w:t>Og da der alligevel bl.a. skal åbnes for kendte underføringer undervejs i processen vil det ikke </w:t>
      </w:r>
      <w:r>
        <w:rPr>
          <w:spacing w:val="-3"/>
          <w:sz w:val="18"/>
        </w:rPr>
        <w:t>have </w:t>
      </w:r>
      <w:r>
        <w:rPr>
          <w:sz w:val="18"/>
        </w:rPr>
        <w:t>nogen egentlig</w:t>
      </w:r>
      <w:r>
        <w:rPr>
          <w:spacing w:val="11"/>
          <w:sz w:val="18"/>
        </w:rPr>
        <w:t> </w:t>
      </w:r>
      <w:r>
        <w:rPr>
          <w:sz w:val="18"/>
        </w:rPr>
        <w:t>værdi.</w:t>
      </w:r>
    </w:p>
    <w:p>
      <w:pPr>
        <w:pStyle w:val="ListParagraph"/>
        <w:numPr>
          <w:ilvl w:val="0"/>
          <w:numId w:val="3"/>
        </w:numPr>
        <w:tabs>
          <w:tab w:pos="2071" w:val="left" w:leader="none"/>
        </w:tabs>
        <w:spacing w:line="240" w:lineRule="auto" w:before="71" w:after="0"/>
        <w:ind w:left="2070" w:right="0" w:hanging="253"/>
        <w:jc w:val="left"/>
        <w:rPr>
          <w:sz w:val="18"/>
        </w:rPr>
      </w:pPr>
      <w:r>
        <w:rPr>
          <w:sz w:val="18"/>
        </w:rPr>
        <w:t>Rigtig godt til beregning af miljøbelastning fra punktkilder, på små</w:t>
      </w:r>
      <w:r>
        <w:rPr>
          <w:spacing w:val="8"/>
          <w:sz w:val="18"/>
        </w:rPr>
        <w:t> </w:t>
      </w:r>
      <w:r>
        <w:rPr>
          <w:sz w:val="18"/>
        </w:rPr>
        <w:t>oplande.</w:t>
      </w:r>
    </w:p>
    <w:p>
      <w:pPr>
        <w:pStyle w:val="BodyText"/>
        <w:rPr>
          <w:sz w:val="20"/>
        </w:rPr>
      </w:pPr>
    </w:p>
    <w:p>
      <w:pPr>
        <w:pStyle w:val="BodyText"/>
        <w:spacing w:before="8"/>
        <w:rPr>
          <w:sz w:val="16"/>
        </w:rPr>
      </w:pPr>
      <w:r>
        <w:rPr/>
        <w:pict>
          <v:line style="position:absolute;mso-position-horizontal-relative:page;mso-position-vertical-relative:paragraph;z-index:-784;mso-wrap-distance-left:0;mso-wrap-distance-right:0" from="56.693001pt,11.762295pt" to="538.583001pt,11.762295pt" stroked="true" strokeweight=".398pt" strokecolor="#000000">
            <v:stroke dashstyle="solid"/>
            <w10:wrap type="topAndBottom"/>
          </v:line>
        </w:pict>
      </w:r>
    </w:p>
    <w:p>
      <w:pPr>
        <w:pStyle w:val="BodyText"/>
        <w:spacing w:before="1"/>
        <w:rPr>
          <w:sz w:val="29"/>
        </w:rPr>
      </w:pPr>
    </w:p>
    <w:p>
      <w:pPr>
        <w:pStyle w:val="Heading2"/>
        <w:spacing w:before="103"/>
      </w:pPr>
      <w:r>
        <w:rPr/>
        <w:t>Potil 2: Terrænmodel med overordnede vandskel</w:t>
      </w:r>
    </w:p>
    <w:p>
      <w:pPr>
        <w:pStyle w:val="BodyText"/>
        <w:rPr>
          <w:b/>
          <w:sz w:val="22"/>
        </w:rPr>
      </w:pPr>
    </w:p>
    <w:p>
      <w:pPr>
        <w:pStyle w:val="BodyText"/>
        <w:ind w:left="1133"/>
      </w:pPr>
      <w:bookmarkStart w:name="_bookmark5" w:id="10"/>
      <w:bookmarkEnd w:id="10"/>
      <w:r>
        <w:rPr/>
      </w:r>
      <w:r>
        <w:rPr/>
        <w:t>For hvert gridpunkt anføres, hvor “nedbør der falder her”, ender.</w:t>
      </w:r>
    </w:p>
    <w:p>
      <w:pPr>
        <w:spacing w:line="390" w:lineRule="atLeast" w:before="117"/>
        <w:ind w:left="1133" w:right="7946" w:firstLine="0"/>
        <w:jc w:val="left"/>
        <w:rPr>
          <w:b/>
          <w:sz w:val="18"/>
        </w:rPr>
      </w:pPr>
      <w:r>
        <w:rPr>
          <w:b/>
          <w:sz w:val="18"/>
        </w:rPr>
        <w:t>Vanskelighedsgrad </w:t>
      </w:r>
      <w:r>
        <w:rPr>
          <w:sz w:val="18"/>
        </w:rPr>
        <w:t>Rød </w:t>
      </w:r>
      <w:r>
        <w:rPr>
          <w:b/>
          <w:sz w:val="18"/>
        </w:rPr>
        <w:t>Nyttegrad </w:t>
      </w:r>
      <w:r>
        <w:rPr>
          <w:sz w:val="18"/>
        </w:rPr>
        <w:t>Overvejende grøn </w:t>
      </w:r>
      <w:r>
        <w:rPr>
          <w:b/>
          <w:sz w:val="18"/>
        </w:rPr>
        <w:t>Kommentarer</w:t>
      </w:r>
    </w:p>
    <w:p>
      <w:pPr>
        <w:pStyle w:val="ListParagraph"/>
        <w:numPr>
          <w:ilvl w:val="0"/>
          <w:numId w:val="4"/>
        </w:numPr>
        <w:tabs>
          <w:tab w:pos="2071" w:val="left" w:leader="none"/>
        </w:tabs>
        <w:spacing w:line="278" w:lineRule="auto" w:before="109" w:after="0"/>
        <w:ind w:left="2070" w:right="971" w:hanging="253"/>
        <w:jc w:val="left"/>
        <w:rPr>
          <w:sz w:val="18"/>
        </w:rPr>
      </w:pPr>
      <w:r>
        <w:rPr>
          <w:spacing w:val="-3"/>
          <w:sz w:val="18"/>
        </w:rPr>
        <w:t>Vandskel </w:t>
      </w:r>
      <w:r>
        <w:rPr>
          <w:sz w:val="18"/>
        </w:rPr>
        <w:t>kan man arbejde videre på efter allerede kendte principper: Man kan beregne hvor der bliver vandopstuvning og sandsynlighed for oversvømmelse etc. ved store</w:t>
      </w:r>
      <w:r>
        <w:rPr>
          <w:spacing w:val="11"/>
          <w:sz w:val="18"/>
        </w:rPr>
        <w:t> </w:t>
      </w:r>
      <w:r>
        <w:rPr>
          <w:sz w:val="18"/>
        </w:rPr>
        <w:t>regnintensiteter.</w:t>
      </w:r>
    </w:p>
    <w:p>
      <w:pPr>
        <w:pStyle w:val="ListParagraph"/>
        <w:numPr>
          <w:ilvl w:val="0"/>
          <w:numId w:val="4"/>
        </w:numPr>
        <w:tabs>
          <w:tab w:pos="2071" w:val="left" w:leader="none"/>
        </w:tabs>
        <w:spacing w:line="278" w:lineRule="auto" w:before="71" w:after="0"/>
        <w:ind w:left="2070" w:right="971" w:hanging="253"/>
        <w:jc w:val="both"/>
        <w:rPr>
          <w:sz w:val="18"/>
        </w:rPr>
      </w:pPr>
      <w:r>
        <w:rPr>
          <w:spacing w:val="-2"/>
          <w:sz w:val="18"/>
        </w:rPr>
        <w:t>Kobles </w:t>
      </w:r>
      <w:r>
        <w:rPr>
          <w:sz w:val="18"/>
        </w:rPr>
        <w:t>vandskel med vandløbskapaciteter er der ikke meget overladt til tilfældighederne og man kan etablere automatisk alarmering ved voldsomt nedbør/vejrudsigt. Men det er kostbart at fremskaffe karakteristika for  </w:t>
      </w:r>
      <w:r>
        <w:rPr>
          <w:spacing w:val="-4"/>
          <w:sz w:val="18"/>
        </w:rPr>
        <w:t>rør </w:t>
      </w:r>
      <w:r>
        <w:rPr>
          <w:sz w:val="18"/>
        </w:rPr>
        <w:t>og </w:t>
      </w:r>
      <w:r>
        <w:rPr>
          <w:spacing w:val="-3"/>
          <w:sz w:val="18"/>
        </w:rPr>
        <w:t>vandløb </w:t>
      </w:r>
      <w:r>
        <w:rPr>
          <w:sz w:val="18"/>
        </w:rPr>
        <w:t>og deraf afledt kapacitet for vandafledning. Det er et oplagt registrerings- og udviklingsprojekt: fremtiden med voldsomt vejr er her</w:t>
      </w:r>
      <w:r>
        <w:rPr>
          <w:spacing w:val="2"/>
          <w:sz w:val="18"/>
        </w:rPr>
        <w:t> </w:t>
      </w:r>
      <w:r>
        <w:rPr>
          <w:sz w:val="18"/>
        </w:rPr>
        <w:t>allerede.</w:t>
      </w:r>
    </w:p>
    <w:p>
      <w:pPr>
        <w:pStyle w:val="ListParagraph"/>
        <w:numPr>
          <w:ilvl w:val="0"/>
          <w:numId w:val="4"/>
        </w:numPr>
        <w:tabs>
          <w:tab w:pos="2071" w:val="left" w:leader="none"/>
        </w:tabs>
        <w:spacing w:line="240" w:lineRule="auto" w:before="69" w:after="0"/>
        <w:ind w:left="2070" w:right="0" w:hanging="253"/>
        <w:jc w:val="left"/>
        <w:rPr>
          <w:sz w:val="18"/>
        </w:rPr>
      </w:pPr>
      <w:r>
        <w:rPr>
          <w:sz w:val="18"/>
        </w:rPr>
        <w:t>Relativt let at generere for mindre</w:t>
      </w:r>
      <w:r>
        <w:rPr>
          <w:spacing w:val="1"/>
          <w:sz w:val="18"/>
        </w:rPr>
        <w:t> </w:t>
      </w:r>
      <w:r>
        <w:rPr>
          <w:sz w:val="18"/>
        </w:rPr>
        <w:t>områder.</w:t>
      </w:r>
    </w:p>
    <w:p>
      <w:pPr>
        <w:pStyle w:val="ListParagraph"/>
        <w:numPr>
          <w:ilvl w:val="0"/>
          <w:numId w:val="4"/>
        </w:numPr>
        <w:tabs>
          <w:tab w:pos="2071" w:val="left" w:leader="none"/>
        </w:tabs>
        <w:spacing w:line="240" w:lineRule="auto" w:before="106" w:after="0"/>
        <w:ind w:left="2070" w:right="0" w:hanging="253"/>
        <w:jc w:val="left"/>
        <w:rPr>
          <w:sz w:val="18"/>
        </w:rPr>
      </w:pPr>
      <w:r>
        <w:rPr>
          <w:sz w:val="18"/>
        </w:rPr>
        <w:t>Meget brugbart i</w:t>
      </w:r>
      <w:r>
        <w:rPr>
          <w:spacing w:val="1"/>
          <w:sz w:val="18"/>
        </w:rPr>
        <w:t> </w:t>
      </w:r>
      <w:r>
        <w:rPr>
          <w:sz w:val="18"/>
        </w:rPr>
        <w:t>klimatilpasningssammenhæng.</w:t>
      </w:r>
    </w:p>
    <w:p>
      <w:pPr>
        <w:pStyle w:val="ListParagraph"/>
        <w:numPr>
          <w:ilvl w:val="0"/>
          <w:numId w:val="4"/>
        </w:numPr>
        <w:tabs>
          <w:tab w:pos="2071" w:val="left" w:leader="none"/>
        </w:tabs>
        <w:spacing w:line="278" w:lineRule="auto" w:before="105" w:after="0"/>
        <w:ind w:left="2070" w:right="971" w:hanging="253"/>
        <w:jc w:val="left"/>
        <w:rPr>
          <w:sz w:val="18"/>
        </w:rPr>
      </w:pPr>
      <w:r>
        <w:rPr>
          <w:sz w:val="18"/>
        </w:rPr>
        <w:t>Nødvendig ifbm. risikoberegninger mht. klimaforandringer. Brug af DHM til forbedring af oplandsskel, er væsentligt ifbm. arbejde inden for </w:t>
      </w:r>
      <w:r>
        <w:rPr>
          <w:spacing w:val="-3"/>
          <w:sz w:val="18"/>
        </w:rPr>
        <w:t>Grøn </w:t>
      </w:r>
      <w:r>
        <w:rPr>
          <w:sz w:val="18"/>
        </w:rPr>
        <w:t>Vækst og</w:t>
      </w:r>
      <w:r>
        <w:rPr>
          <w:spacing w:val="11"/>
          <w:sz w:val="18"/>
        </w:rPr>
        <w:t> </w:t>
      </w:r>
      <w:r>
        <w:rPr>
          <w:sz w:val="18"/>
        </w:rPr>
        <w:t>Vandrammedirektivet.</w:t>
      </w:r>
    </w:p>
    <w:p>
      <w:pPr>
        <w:pStyle w:val="BodyText"/>
        <w:rPr>
          <w:sz w:val="20"/>
        </w:rPr>
      </w:pPr>
    </w:p>
    <w:p>
      <w:pPr>
        <w:pStyle w:val="BodyText"/>
        <w:spacing w:before="8"/>
        <w:rPr>
          <w:sz w:val="13"/>
        </w:rPr>
      </w:pPr>
      <w:r>
        <w:rPr/>
        <w:pict>
          <v:line style="position:absolute;mso-position-horizontal-relative:page;mso-position-vertical-relative:paragraph;z-index:-760;mso-wrap-distance-left:0;mso-wrap-distance-right:0" from="56.693001pt,10.063334pt" to="538.583001pt,10.063334pt" stroked="true" strokeweight=".398pt" strokecolor="#000000">
            <v:stroke dashstyle="solid"/>
            <w10:wrap type="topAndBottom"/>
          </v:line>
        </w:pict>
      </w:r>
    </w:p>
    <w:p>
      <w:pPr>
        <w:pStyle w:val="BodyText"/>
        <w:spacing w:before="1"/>
        <w:rPr>
          <w:sz w:val="29"/>
        </w:rPr>
      </w:pPr>
    </w:p>
    <w:p>
      <w:pPr>
        <w:pStyle w:val="Heading2"/>
        <w:spacing w:before="103"/>
      </w:pPr>
      <w:r>
        <w:rPr/>
        <w:t>Potil 3: Overflademodel uden broer</w:t>
      </w:r>
    </w:p>
    <w:p>
      <w:pPr>
        <w:pStyle w:val="BodyText"/>
        <w:rPr>
          <w:b/>
          <w:sz w:val="22"/>
        </w:rPr>
      </w:pPr>
    </w:p>
    <w:p>
      <w:pPr>
        <w:pStyle w:val="BodyText"/>
        <w:spacing w:line="278" w:lineRule="auto"/>
        <w:ind w:left="1133" w:right="971"/>
        <w:jc w:val="both"/>
      </w:pPr>
      <w:bookmarkStart w:name="_bookmark6" w:id="11"/>
      <w:bookmarkEnd w:id="11"/>
      <w:r>
        <w:rPr/>
      </w:r>
      <w:r>
        <w:rPr/>
        <w:t>Dette produkt er en variant af overflademodellen (dvs. model som følger overfladen af bygninger og bevoksning), bear- bejdet så broer ikke kommer til at tage sig ud som dæmninger. Dette kan gøres ved at maske broerne ud, og overføre terrænmodeldata til overflademodellen.</w:t>
      </w:r>
    </w:p>
    <w:p>
      <w:pPr>
        <w:pStyle w:val="BodyText"/>
        <w:spacing w:before="1"/>
        <w:rPr>
          <w:sz w:val="23"/>
        </w:rPr>
      </w:pPr>
    </w:p>
    <w:p>
      <w:pPr>
        <w:spacing w:line="453" w:lineRule="auto" w:before="0"/>
        <w:ind w:left="1133" w:right="7946" w:firstLine="0"/>
        <w:jc w:val="left"/>
        <w:rPr>
          <w:b/>
          <w:sz w:val="18"/>
        </w:rPr>
      </w:pPr>
      <w:r>
        <w:rPr>
          <w:b/>
          <w:sz w:val="18"/>
        </w:rPr>
        <w:t>Vanskelighedsgrad </w:t>
      </w:r>
      <w:r>
        <w:rPr>
          <w:sz w:val="18"/>
        </w:rPr>
        <w:t>Gul </w:t>
      </w:r>
      <w:r>
        <w:rPr>
          <w:b/>
          <w:sz w:val="18"/>
        </w:rPr>
        <w:t>Nyttegrad </w:t>
      </w:r>
      <w:r>
        <w:rPr>
          <w:sz w:val="18"/>
        </w:rPr>
        <w:t>Gul/Grøn </w:t>
      </w:r>
      <w:r>
        <w:rPr>
          <w:b/>
          <w:sz w:val="18"/>
        </w:rPr>
        <w:t>Kommentarer</w:t>
      </w:r>
    </w:p>
    <w:p>
      <w:pPr>
        <w:spacing w:after="0" w:line="453" w:lineRule="auto"/>
        <w:jc w:val="left"/>
        <w:rPr>
          <w:sz w:val="18"/>
        </w:rPr>
        <w:sectPr>
          <w:pgSz w:w="11910" w:h="16840"/>
          <w:pgMar w:header="0" w:footer="511" w:top="980" w:bottom="700" w:left="0" w:right="160"/>
        </w:sectPr>
      </w:pPr>
    </w:p>
    <w:p>
      <w:pPr>
        <w:pStyle w:val="ListParagraph"/>
        <w:numPr>
          <w:ilvl w:val="0"/>
          <w:numId w:val="5"/>
        </w:numPr>
        <w:tabs>
          <w:tab w:pos="2071" w:val="left" w:leader="none"/>
        </w:tabs>
        <w:spacing w:line="240" w:lineRule="auto" w:before="86" w:after="0"/>
        <w:ind w:left="2070" w:right="0" w:hanging="253"/>
        <w:jc w:val="left"/>
        <w:rPr>
          <w:sz w:val="18"/>
        </w:rPr>
      </w:pPr>
      <w:r>
        <w:rPr>
          <w:sz w:val="18"/>
        </w:rPr>
        <w:t>Nytten er begrænset så længe vandet ikke kan flyde hele vejen gennem</w:t>
      </w:r>
      <w:r>
        <w:rPr>
          <w:spacing w:val="18"/>
          <w:sz w:val="18"/>
        </w:rPr>
        <w:t> </w:t>
      </w:r>
      <w:r>
        <w:rPr>
          <w:sz w:val="18"/>
        </w:rPr>
        <w:t>vandløbssystemet.</w:t>
      </w:r>
    </w:p>
    <w:p>
      <w:pPr>
        <w:pStyle w:val="ListParagraph"/>
        <w:numPr>
          <w:ilvl w:val="0"/>
          <w:numId w:val="5"/>
        </w:numPr>
        <w:tabs>
          <w:tab w:pos="2071" w:val="left" w:leader="none"/>
        </w:tabs>
        <w:spacing w:line="278" w:lineRule="auto" w:before="127" w:after="0"/>
        <w:ind w:left="2070" w:right="971" w:hanging="253"/>
        <w:jc w:val="left"/>
        <w:rPr>
          <w:sz w:val="18"/>
        </w:rPr>
      </w:pPr>
      <w:r>
        <w:rPr>
          <w:sz w:val="18"/>
        </w:rPr>
        <w:t>Det er mere vigtigt at </w:t>
      </w:r>
      <w:r>
        <w:rPr>
          <w:spacing w:val="-5"/>
          <w:sz w:val="18"/>
        </w:rPr>
        <w:t>føre </w:t>
      </w:r>
      <w:r>
        <w:rPr>
          <w:sz w:val="18"/>
        </w:rPr>
        <w:t>vandløbene igennem. En hydrologisk model støttet af vandløbene vil kunne </w:t>
      </w:r>
      <w:r>
        <w:rPr>
          <w:spacing w:val="-3"/>
          <w:sz w:val="18"/>
        </w:rPr>
        <w:t>løse </w:t>
      </w:r>
      <w:r>
        <w:rPr>
          <w:sz w:val="18"/>
        </w:rPr>
        <w:t>dette.</w:t>
      </w:r>
    </w:p>
    <w:p>
      <w:pPr>
        <w:pStyle w:val="ListParagraph"/>
        <w:numPr>
          <w:ilvl w:val="0"/>
          <w:numId w:val="5"/>
        </w:numPr>
        <w:tabs>
          <w:tab w:pos="2071" w:val="left" w:leader="none"/>
        </w:tabs>
        <w:spacing w:line="240" w:lineRule="auto" w:before="93" w:after="0"/>
        <w:ind w:left="2070" w:right="0" w:hanging="253"/>
        <w:jc w:val="left"/>
        <w:rPr>
          <w:sz w:val="18"/>
        </w:rPr>
      </w:pPr>
      <w:r>
        <w:rPr>
          <w:sz w:val="18"/>
        </w:rPr>
        <w:t>Kræver pt. en del manuelt arbejde, men der vil altid være områder der skal rettes</w:t>
      </w:r>
      <w:r>
        <w:rPr>
          <w:spacing w:val="20"/>
          <w:sz w:val="18"/>
        </w:rPr>
        <w:t> </w:t>
      </w:r>
      <w:r>
        <w:rPr>
          <w:sz w:val="18"/>
        </w:rPr>
        <w:t>til.</w:t>
      </w:r>
    </w:p>
    <w:p>
      <w:pPr>
        <w:pStyle w:val="ListParagraph"/>
        <w:numPr>
          <w:ilvl w:val="0"/>
          <w:numId w:val="5"/>
        </w:numPr>
        <w:tabs>
          <w:tab w:pos="2071" w:val="left" w:leader="none"/>
        </w:tabs>
        <w:spacing w:line="240" w:lineRule="auto" w:before="127" w:after="0"/>
        <w:ind w:left="2070" w:right="0" w:hanging="253"/>
        <w:jc w:val="left"/>
        <w:rPr>
          <w:sz w:val="18"/>
        </w:rPr>
      </w:pPr>
      <w:r>
        <w:rPr>
          <w:sz w:val="18"/>
        </w:rPr>
        <w:t>Understøtter mere realistiske oversvømmelsesberegninger fra</w:t>
      </w:r>
      <w:r>
        <w:rPr>
          <w:spacing w:val="3"/>
          <w:sz w:val="18"/>
        </w:rPr>
        <w:t> </w:t>
      </w:r>
      <w:r>
        <w:rPr>
          <w:sz w:val="18"/>
        </w:rPr>
        <w:t>kysten.</w:t>
      </w:r>
    </w:p>
    <w:p>
      <w:pPr>
        <w:pStyle w:val="BodyText"/>
        <w:rPr>
          <w:sz w:val="20"/>
        </w:rPr>
      </w:pPr>
    </w:p>
    <w:p>
      <w:pPr>
        <w:pStyle w:val="BodyText"/>
        <w:spacing w:before="1"/>
        <w:rPr>
          <w:sz w:val="20"/>
        </w:rPr>
      </w:pPr>
      <w:r>
        <w:rPr/>
        <w:pict>
          <v:line style="position:absolute;mso-position-horizontal-relative:page;mso-position-vertical-relative:paragraph;z-index:-736;mso-wrap-distance-left:0;mso-wrap-distance-right:0" from="56.693001pt,13.747652pt" to="538.583001pt,13.747652pt" stroked="true" strokeweight=".398pt" strokecolor="#000000">
            <v:stroke dashstyle="solid"/>
            <w10:wrap type="topAndBottom"/>
          </v:line>
        </w:pict>
      </w:r>
    </w:p>
    <w:p>
      <w:pPr>
        <w:pStyle w:val="BodyText"/>
        <w:rPr>
          <w:sz w:val="20"/>
        </w:rPr>
      </w:pPr>
    </w:p>
    <w:p>
      <w:pPr>
        <w:pStyle w:val="Heading2"/>
        <w:spacing w:before="247"/>
      </w:pPr>
      <w:r>
        <w:rPr/>
        <w:t>Potil 4: Blokstatistik</w:t>
      </w:r>
    </w:p>
    <w:p>
      <w:pPr>
        <w:pStyle w:val="BodyText"/>
        <w:spacing w:before="7"/>
        <w:rPr>
          <w:b/>
          <w:sz w:val="22"/>
        </w:rPr>
      </w:pPr>
    </w:p>
    <w:p>
      <w:pPr>
        <w:pStyle w:val="BodyText"/>
        <w:spacing w:line="278" w:lineRule="auto"/>
        <w:ind w:left="1133" w:right="971"/>
        <w:jc w:val="both"/>
      </w:pPr>
      <w:bookmarkStart w:name="_bookmark7" w:id="12"/>
      <w:bookmarkEnd w:id="12"/>
      <w:r>
        <w:rPr/>
      </w:r>
      <w:r>
        <w:rPr/>
        <w:t>Maksimum og minimumshøjder inden for større blokke af terrænmodellen, fx defineret ved “Danmarks Kvadratnet” (det vil være en marginal ekstraomkostning at </w:t>
      </w:r>
      <w:r>
        <w:rPr>
          <w:spacing w:val="-3"/>
        </w:rPr>
        <w:t>tilføje </w:t>
      </w:r>
      <w:r>
        <w:rPr/>
        <w:t>yderligere statistiske deskriptorer - fx varians, middelværdi, kvartiler, autokovarians, etc.)</w:t>
      </w:r>
    </w:p>
    <w:p>
      <w:pPr>
        <w:spacing w:line="430" w:lineRule="atLeast" w:before="82"/>
        <w:ind w:left="1133" w:right="7946" w:firstLine="0"/>
        <w:jc w:val="left"/>
        <w:rPr>
          <w:b/>
          <w:sz w:val="18"/>
        </w:rPr>
      </w:pPr>
      <w:r>
        <w:rPr>
          <w:b/>
          <w:sz w:val="18"/>
        </w:rPr>
        <w:t>Vanskelighedsgrad </w:t>
      </w:r>
      <w:r>
        <w:rPr>
          <w:sz w:val="18"/>
        </w:rPr>
        <w:t>Grøn </w:t>
      </w:r>
      <w:r>
        <w:rPr>
          <w:b/>
          <w:sz w:val="18"/>
        </w:rPr>
        <w:t>Nyttegrad </w:t>
      </w:r>
      <w:r>
        <w:rPr>
          <w:sz w:val="18"/>
        </w:rPr>
        <w:t>Rød/gul </w:t>
      </w:r>
      <w:r>
        <w:rPr>
          <w:b/>
          <w:sz w:val="18"/>
        </w:rPr>
        <w:t>Kommentarer</w:t>
      </w:r>
    </w:p>
    <w:p>
      <w:pPr>
        <w:pStyle w:val="ListParagraph"/>
        <w:numPr>
          <w:ilvl w:val="0"/>
          <w:numId w:val="6"/>
        </w:numPr>
        <w:tabs>
          <w:tab w:pos="2071" w:val="left" w:leader="none"/>
        </w:tabs>
        <w:spacing w:line="240" w:lineRule="auto" w:before="125" w:after="0"/>
        <w:ind w:left="2070" w:right="0" w:hanging="253"/>
        <w:jc w:val="left"/>
        <w:rPr>
          <w:sz w:val="18"/>
        </w:rPr>
      </w:pPr>
      <w:r>
        <w:rPr>
          <w:sz w:val="18"/>
        </w:rPr>
        <w:t>Nyttigt til hurtige “back of envelope”</w:t>
      </w:r>
      <w:r>
        <w:rPr>
          <w:spacing w:val="2"/>
          <w:sz w:val="18"/>
        </w:rPr>
        <w:t> </w:t>
      </w:r>
      <w:r>
        <w:rPr>
          <w:sz w:val="18"/>
        </w:rPr>
        <w:t>overslag.</w:t>
      </w:r>
    </w:p>
    <w:p>
      <w:pPr>
        <w:pStyle w:val="ListParagraph"/>
        <w:numPr>
          <w:ilvl w:val="0"/>
          <w:numId w:val="6"/>
        </w:numPr>
        <w:tabs>
          <w:tab w:pos="2071" w:val="left" w:leader="none"/>
        </w:tabs>
        <w:spacing w:line="240" w:lineRule="auto" w:before="127" w:after="0"/>
        <w:ind w:left="2070" w:right="0" w:hanging="253"/>
        <w:jc w:val="left"/>
        <w:rPr>
          <w:sz w:val="18"/>
        </w:rPr>
      </w:pPr>
      <w:r>
        <w:rPr>
          <w:sz w:val="18"/>
        </w:rPr>
        <w:t>Sanity check af nyopmålinger i særligt udsatte</w:t>
      </w:r>
      <w:r>
        <w:rPr>
          <w:spacing w:val="3"/>
          <w:sz w:val="18"/>
        </w:rPr>
        <w:t> </w:t>
      </w:r>
      <w:r>
        <w:rPr>
          <w:sz w:val="18"/>
        </w:rPr>
        <w:t>områder.</w:t>
      </w:r>
    </w:p>
    <w:p>
      <w:pPr>
        <w:pStyle w:val="ListParagraph"/>
        <w:numPr>
          <w:ilvl w:val="0"/>
          <w:numId w:val="6"/>
        </w:numPr>
        <w:tabs>
          <w:tab w:pos="2071" w:val="left" w:leader="none"/>
        </w:tabs>
        <w:spacing w:line="240" w:lineRule="auto" w:before="127" w:after="0"/>
        <w:ind w:left="2070" w:right="0" w:hanging="253"/>
        <w:jc w:val="left"/>
        <w:rPr>
          <w:sz w:val="18"/>
        </w:rPr>
      </w:pPr>
      <w:r>
        <w:rPr>
          <w:sz w:val="18"/>
        </w:rPr>
        <w:t>Det kan man let regne</w:t>
      </w:r>
      <w:r>
        <w:rPr>
          <w:spacing w:val="35"/>
          <w:sz w:val="18"/>
        </w:rPr>
        <w:t> </w:t>
      </w:r>
      <w:r>
        <w:rPr>
          <w:spacing w:val="-3"/>
          <w:sz w:val="18"/>
        </w:rPr>
        <w:t>selv.</w:t>
      </w:r>
    </w:p>
    <w:p>
      <w:pPr>
        <w:pStyle w:val="ListParagraph"/>
        <w:numPr>
          <w:ilvl w:val="0"/>
          <w:numId w:val="6"/>
        </w:numPr>
        <w:tabs>
          <w:tab w:pos="2071" w:val="left" w:leader="none"/>
        </w:tabs>
        <w:spacing w:line="240" w:lineRule="auto" w:before="127" w:after="0"/>
        <w:ind w:left="2070" w:right="0" w:hanging="253"/>
        <w:jc w:val="left"/>
        <w:rPr>
          <w:sz w:val="18"/>
        </w:rPr>
      </w:pPr>
      <w:r>
        <w:rPr>
          <w:sz w:val="18"/>
        </w:rPr>
        <w:t>Har ikke haft brug for</w:t>
      </w:r>
      <w:r>
        <w:rPr>
          <w:spacing w:val="24"/>
          <w:sz w:val="18"/>
        </w:rPr>
        <w:t> </w:t>
      </w:r>
      <w:r>
        <w:rPr>
          <w:sz w:val="18"/>
        </w:rPr>
        <w:t>dette.</w:t>
      </w:r>
    </w:p>
    <w:p>
      <w:pPr>
        <w:pStyle w:val="BodyText"/>
        <w:rPr>
          <w:sz w:val="20"/>
        </w:rPr>
      </w:pPr>
    </w:p>
    <w:p>
      <w:pPr>
        <w:pStyle w:val="BodyText"/>
        <w:spacing w:before="1"/>
        <w:rPr>
          <w:sz w:val="20"/>
        </w:rPr>
      </w:pPr>
      <w:r>
        <w:rPr/>
        <w:pict>
          <v:line style="position:absolute;mso-position-horizontal-relative:page;mso-position-vertical-relative:paragraph;z-index:-712;mso-wrap-distance-left:0;mso-wrap-distance-right:0" from="56.693001pt,13.729676pt" to="538.583001pt,13.729676pt" stroked="true" strokeweight=".398pt" strokecolor="#000000">
            <v:stroke dashstyle="solid"/>
            <w10:wrap type="topAndBottom"/>
          </v:line>
        </w:pict>
      </w:r>
    </w:p>
    <w:p>
      <w:pPr>
        <w:pStyle w:val="BodyText"/>
        <w:rPr>
          <w:sz w:val="20"/>
        </w:rPr>
      </w:pPr>
    </w:p>
    <w:p>
      <w:pPr>
        <w:pStyle w:val="Heading2"/>
        <w:spacing w:before="247"/>
      </w:pPr>
      <w:r>
        <w:rPr/>
        <w:t>Potil 5: Konsistent vandløbsdatasæt</w:t>
      </w:r>
    </w:p>
    <w:p>
      <w:pPr>
        <w:pStyle w:val="BodyText"/>
        <w:spacing w:before="7"/>
        <w:rPr>
          <w:b/>
          <w:sz w:val="22"/>
        </w:rPr>
      </w:pPr>
    </w:p>
    <w:p>
      <w:pPr>
        <w:pStyle w:val="BodyText"/>
        <w:spacing w:line="278" w:lineRule="auto"/>
        <w:ind w:left="1133" w:right="971"/>
        <w:jc w:val="both"/>
      </w:pPr>
      <w:bookmarkStart w:name="_bookmark8" w:id="13"/>
      <w:bookmarkEnd w:id="13"/>
      <w:r>
        <w:rPr/>
      </w:r>
      <w:r>
        <w:rPr/>
        <w:t>De eksisterende vandløbsregistreringer fra fx KMS’ Kort10, er ikke alle steder i overensstemmelse med højdemodellen: i nogle tilfælde vil det registrerede </w:t>
      </w:r>
      <w:r>
        <w:rPr>
          <w:spacing w:val="-3"/>
        </w:rPr>
        <w:t>forløb medføre, </w:t>
      </w:r>
      <w:r>
        <w:rPr/>
        <w:t>at vandet </w:t>
      </w:r>
      <w:r>
        <w:rPr>
          <w:spacing w:val="-3"/>
        </w:rPr>
        <w:t>løber </w:t>
      </w:r>
      <w:r>
        <w:rPr/>
        <w:t>op ad bakke, i andre at vandløbet ligger et sted, der ikke er en lokal fordybning, og i atter andre mangler der simpelthen registreringer af mindre </w:t>
      </w:r>
      <w:r>
        <w:rPr>
          <w:spacing w:val="-4"/>
        </w:rPr>
        <w:t>vandløb. </w:t>
      </w:r>
      <w:r>
        <w:rPr/>
        <w:t>Men hydrologitemaet i Kort10 er pt. under løbende revision, og den reviderede udgave vil være landsdækkende i </w:t>
      </w:r>
      <w:r>
        <w:rPr>
          <w:spacing w:val="-3"/>
        </w:rPr>
        <w:t>løbet </w:t>
      </w:r>
      <w:r>
        <w:rPr/>
        <w:t>af et par </w:t>
      </w:r>
      <w:r>
        <w:rPr>
          <w:spacing w:val="-4"/>
        </w:rPr>
        <w:t>år. </w:t>
      </w:r>
      <w:r>
        <w:rPr/>
        <w:t>Det er ikke oplagt hvad vi kan </w:t>
      </w:r>
      <w:r>
        <w:rPr>
          <w:spacing w:val="-3"/>
        </w:rPr>
        <w:t>gøre </w:t>
      </w:r>
      <w:r>
        <w:rPr/>
        <w:t>i mellemtiden - men kom gerne med forslag til </w:t>
      </w:r>
      <w:r>
        <w:rPr>
          <w:spacing w:val="-3"/>
        </w:rPr>
        <w:t>løsninger.</w:t>
      </w:r>
    </w:p>
    <w:p>
      <w:pPr>
        <w:spacing w:line="430" w:lineRule="atLeast" w:before="80"/>
        <w:ind w:left="1133" w:right="7946" w:firstLine="0"/>
        <w:jc w:val="left"/>
        <w:rPr>
          <w:b/>
          <w:sz w:val="18"/>
        </w:rPr>
      </w:pPr>
      <w:r>
        <w:rPr>
          <w:b/>
          <w:sz w:val="18"/>
        </w:rPr>
        <w:t>Vanskelighedsgrad </w:t>
      </w:r>
      <w:r>
        <w:rPr>
          <w:sz w:val="18"/>
        </w:rPr>
        <w:t>Rød </w:t>
      </w:r>
      <w:r>
        <w:rPr>
          <w:b/>
          <w:sz w:val="18"/>
        </w:rPr>
        <w:t>Nyttegrad </w:t>
      </w:r>
      <w:r>
        <w:rPr>
          <w:sz w:val="18"/>
        </w:rPr>
        <w:t>Overvejende grøn </w:t>
      </w:r>
      <w:r>
        <w:rPr>
          <w:b/>
          <w:sz w:val="18"/>
        </w:rPr>
        <w:t>Kommentarer</w:t>
      </w:r>
    </w:p>
    <w:p>
      <w:pPr>
        <w:pStyle w:val="ListParagraph"/>
        <w:numPr>
          <w:ilvl w:val="0"/>
          <w:numId w:val="7"/>
        </w:numPr>
        <w:tabs>
          <w:tab w:pos="2071" w:val="left" w:leader="none"/>
        </w:tabs>
        <w:spacing w:line="278" w:lineRule="auto" w:before="125" w:after="0"/>
        <w:ind w:left="2070" w:right="971" w:hanging="253"/>
        <w:jc w:val="both"/>
        <w:rPr>
          <w:sz w:val="18"/>
        </w:rPr>
      </w:pPr>
      <w:r>
        <w:rPr>
          <w:sz w:val="18"/>
        </w:rPr>
        <w:t>Der er </w:t>
      </w:r>
      <w:r>
        <w:rPr>
          <w:spacing w:val="-4"/>
          <w:sz w:val="18"/>
        </w:rPr>
        <w:t>bør </w:t>
      </w:r>
      <w:r>
        <w:rPr>
          <w:sz w:val="18"/>
        </w:rPr>
        <w:t>skabes flow for vandet ved at skære ud i højdemodellen så vandet kan </w:t>
      </w:r>
      <w:r>
        <w:rPr>
          <w:spacing w:val="-4"/>
          <w:sz w:val="18"/>
        </w:rPr>
        <w:t>følge </w:t>
      </w:r>
      <w:r>
        <w:rPr>
          <w:sz w:val="18"/>
        </w:rPr>
        <w:t>det naturlige fald gennem vejdæmninger og rørlagte strækninger. Udskæringen skal primært ske ved akkumuleringspunkter i højdemodellen – ikke blot ved simpel indbrænding af</w:t>
      </w:r>
      <w:r>
        <w:rPr>
          <w:spacing w:val="4"/>
          <w:sz w:val="18"/>
        </w:rPr>
        <w:t> </w:t>
      </w:r>
      <w:r>
        <w:rPr>
          <w:sz w:val="18"/>
        </w:rPr>
        <w:t>vandløbslinier.</w:t>
      </w:r>
    </w:p>
    <w:p>
      <w:pPr>
        <w:pStyle w:val="ListParagraph"/>
        <w:numPr>
          <w:ilvl w:val="0"/>
          <w:numId w:val="7"/>
        </w:numPr>
        <w:tabs>
          <w:tab w:pos="2071" w:val="left" w:leader="none"/>
        </w:tabs>
        <w:spacing w:line="278" w:lineRule="auto" w:before="92" w:after="0"/>
        <w:ind w:left="2070" w:right="971" w:hanging="253"/>
        <w:jc w:val="left"/>
        <w:rPr>
          <w:sz w:val="18"/>
        </w:rPr>
      </w:pPr>
      <w:r>
        <w:rPr>
          <w:spacing w:val="-4"/>
          <w:sz w:val="18"/>
        </w:rPr>
        <w:t>Vandløb </w:t>
      </w:r>
      <w:r>
        <w:rPr>
          <w:sz w:val="18"/>
        </w:rPr>
        <w:t>med korrekt flowretning og </w:t>
      </w:r>
      <w:r>
        <w:rPr>
          <w:spacing w:val="-3"/>
          <w:sz w:val="18"/>
        </w:rPr>
        <w:t>forløb </w:t>
      </w:r>
      <w:r>
        <w:rPr>
          <w:sz w:val="18"/>
        </w:rPr>
        <w:t>af koter er særdeles nyttige – men det burde være en del af Kort- 10/FOTs</w:t>
      </w:r>
      <w:r>
        <w:rPr>
          <w:spacing w:val="8"/>
          <w:sz w:val="18"/>
        </w:rPr>
        <w:t> </w:t>
      </w:r>
      <w:r>
        <w:rPr>
          <w:sz w:val="18"/>
        </w:rPr>
        <w:t>kvalitetssikring.</w:t>
      </w:r>
      <w:r>
        <w:rPr>
          <w:spacing w:val="8"/>
          <w:sz w:val="18"/>
        </w:rPr>
        <w:t> </w:t>
      </w:r>
      <w:r>
        <w:rPr>
          <w:spacing w:val="-5"/>
          <w:sz w:val="18"/>
        </w:rPr>
        <w:t>Ved</w:t>
      </w:r>
      <w:r>
        <w:rPr>
          <w:spacing w:val="8"/>
          <w:sz w:val="18"/>
        </w:rPr>
        <w:t> </w:t>
      </w:r>
      <w:r>
        <w:rPr>
          <w:sz w:val="18"/>
        </w:rPr>
        <w:t>uoverensstemmelse</w:t>
      </w:r>
      <w:r>
        <w:rPr>
          <w:spacing w:val="9"/>
          <w:sz w:val="18"/>
        </w:rPr>
        <w:t> </w:t>
      </w:r>
      <w:r>
        <w:rPr>
          <w:sz w:val="18"/>
        </w:rPr>
        <w:t>mellem</w:t>
      </w:r>
      <w:r>
        <w:rPr>
          <w:spacing w:val="8"/>
          <w:sz w:val="18"/>
        </w:rPr>
        <w:t> </w:t>
      </w:r>
      <w:r>
        <w:rPr>
          <w:sz w:val="18"/>
        </w:rPr>
        <w:t>FOTvektorer</w:t>
      </w:r>
      <w:r>
        <w:rPr>
          <w:spacing w:val="8"/>
          <w:sz w:val="18"/>
        </w:rPr>
        <w:t> </w:t>
      </w:r>
      <w:r>
        <w:rPr>
          <w:sz w:val="18"/>
        </w:rPr>
        <w:t>og</w:t>
      </w:r>
      <w:r>
        <w:rPr>
          <w:spacing w:val="8"/>
          <w:sz w:val="18"/>
        </w:rPr>
        <w:t> </w:t>
      </w:r>
      <w:r>
        <w:rPr>
          <w:sz w:val="18"/>
        </w:rPr>
        <w:t>DHM</w:t>
      </w:r>
      <w:r>
        <w:rPr>
          <w:spacing w:val="9"/>
          <w:sz w:val="18"/>
        </w:rPr>
        <w:t> </w:t>
      </w:r>
      <w:r>
        <w:rPr>
          <w:sz w:val="18"/>
        </w:rPr>
        <w:t>må</w:t>
      </w:r>
      <w:r>
        <w:rPr>
          <w:spacing w:val="8"/>
          <w:sz w:val="18"/>
        </w:rPr>
        <w:t> </w:t>
      </w:r>
      <w:r>
        <w:rPr>
          <w:sz w:val="18"/>
        </w:rPr>
        <w:t>man</w:t>
      </w:r>
      <w:r>
        <w:rPr>
          <w:spacing w:val="8"/>
          <w:sz w:val="18"/>
        </w:rPr>
        <w:t> </w:t>
      </w:r>
      <w:r>
        <w:rPr>
          <w:sz w:val="18"/>
        </w:rPr>
        <w:t>flytte</w:t>
      </w:r>
      <w:r>
        <w:rPr>
          <w:spacing w:val="9"/>
          <w:sz w:val="18"/>
        </w:rPr>
        <w:t> </w:t>
      </w:r>
      <w:r>
        <w:rPr>
          <w:sz w:val="18"/>
        </w:rPr>
        <w:t>vektorerne!</w:t>
      </w:r>
    </w:p>
    <w:p>
      <w:pPr>
        <w:pStyle w:val="ListParagraph"/>
        <w:numPr>
          <w:ilvl w:val="0"/>
          <w:numId w:val="7"/>
        </w:numPr>
        <w:tabs>
          <w:tab w:pos="2071" w:val="left" w:leader="none"/>
        </w:tabs>
        <w:spacing w:line="240" w:lineRule="auto" w:before="92" w:after="0"/>
        <w:ind w:left="2070" w:right="0" w:hanging="253"/>
        <w:jc w:val="left"/>
        <w:rPr>
          <w:sz w:val="18"/>
        </w:rPr>
      </w:pPr>
      <w:r>
        <w:rPr>
          <w:sz w:val="18"/>
        </w:rPr>
        <w:t>Vil meget gerne </w:t>
      </w:r>
      <w:r>
        <w:rPr>
          <w:spacing w:val="-3"/>
          <w:sz w:val="18"/>
        </w:rPr>
        <w:t>have </w:t>
      </w:r>
      <w:r>
        <w:rPr>
          <w:sz w:val="18"/>
        </w:rPr>
        <w:t>det, men ser ikke oplagte muligheder for at </w:t>
      </w:r>
      <w:r>
        <w:rPr>
          <w:spacing w:val="-3"/>
          <w:sz w:val="18"/>
        </w:rPr>
        <w:t>løse</w:t>
      </w:r>
      <w:r>
        <w:rPr>
          <w:spacing w:val="19"/>
          <w:sz w:val="18"/>
        </w:rPr>
        <w:t> </w:t>
      </w:r>
      <w:r>
        <w:rPr>
          <w:sz w:val="18"/>
        </w:rPr>
        <w:t>problemet.</w:t>
      </w:r>
    </w:p>
    <w:p>
      <w:pPr>
        <w:pStyle w:val="ListParagraph"/>
        <w:numPr>
          <w:ilvl w:val="0"/>
          <w:numId w:val="7"/>
        </w:numPr>
        <w:tabs>
          <w:tab w:pos="2071" w:val="left" w:leader="none"/>
        </w:tabs>
        <w:spacing w:line="278" w:lineRule="auto" w:before="127" w:after="0"/>
        <w:ind w:left="2070" w:right="971" w:hanging="253"/>
        <w:jc w:val="left"/>
        <w:rPr>
          <w:sz w:val="18"/>
        </w:rPr>
      </w:pPr>
      <w:r>
        <w:rPr>
          <w:sz w:val="18"/>
        </w:rPr>
        <w:t>Sikkerhed for korrekte registreringer er vigtig. I mellemtiden må vi vel fortsætte med en kombination af øvrige informationskilder.</w:t>
      </w:r>
    </w:p>
    <w:p>
      <w:pPr>
        <w:pStyle w:val="ListParagraph"/>
        <w:numPr>
          <w:ilvl w:val="0"/>
          <w:numId w:val="7"/>
        </w:numPr>
        <w:tabs>
          <w:tab w:pos="2071" w:val="left" w:leader="none"/>
        </w:tabs>
        <w:spacing w:line="240" w:lineRule="auto" w:before="93" w:after="0"/>
        <w:ind w:left="2070" w:right="0" w:hanging="253"/>
        <w:jc w:val="left"/>
        <w:rPr>
          <w:sz w:val="18"/>
        </w:rPr>
      </w:pPr>
      <w:r>
        <w:rPr>
          <w:sz w:val="18"/>
        </w:rPr>
        <w:t>Meget vigtigt! (jvf. INSPIRE og</w:t>
      </w:r>
      <w:r>
        <w:rPr>
          <w:spacing w:val="1"/>
          <w:sz w:val="18"/>
        </w:rPr>
        <w:t> </w:t>
      </w:r>
      <w:r>
        <w:rPr>
          <w:sz w:val="18"/>
        </w:rPr>
        <w:t>vandplan)</w:t>
      </w:r>
    </w:p>
    <w:p>
      <w:pPr>
        <w:pStyle w:val="ListParagraph"/>
        <w:numPr>
          <w:ilvl w:val="0"/>
          <w:numId w:val="7"/>
        </w:numPr>
        <w:tabs>
          <w:tab w:pos="2071" w:val="left" w:leader="none"/>
        </w:tabs>
        <w:spacing w:line="240" w:lineRule="auto" w:before="127" w:after="0"/>
        <w:ind w:left="2070" w:right="0" w:hanging="253"/>
        <w:jc w:val="left"/>
        <w:rPr>
          <w:sz w:val="18"/>
        </w:rPr>
      </w:pPr>
      <w:r>
        <w:rPr>
          <w:sz w:val="18"/>
        </w:rPr>
        <w:t>Shape filer med </w:t>
      </w:r>
      <w:r>
        <w:rPr>
          <w:spacing w:val="-3"/>
          <w:sz w:val="18"/>
        </w:rPr>
        <w:t>vandløb (forløb </w:t>
      </w:r>
      <w:r>
        <w:rPr>
          <w:sz w:val="18"/>
        </w:rPr>
        <w:t>og bredde) ville være rigtig</w:t>
      </w:r>
      <w:r>
        <w:rPr>
          <w:spacing w:val="16"/>
          <w:sz w:val="18"/>
        </w:rPr>
        <w:t> </w:t>
      </w:r>
      <w:r>
        <w:rPr>
          <w:sz w:val="18"/>
        </w:rPr>
        <w:t>nyttigt.</w:t>
      </w:r>
    </w:p>
    <w:p>
      <w:pPr>
        <w:pStyle w:val="ListParagraph"/>
        <w:numPr>
          <w:ilvl w:val="0"/>
          <w:numId w:val="7"/>
        </w:numPr>
        <w:tabs>
          <w:tab w:pos="2071" w:val="left" w:leader="none"/>
        </w:tabs>
        <w:spacing w:line="278" w:lineRule="auto" w:before="127" w:after="0"/>
        <w:ind w:left="2070" w:right="971" w:hanging="253"/>
        <w:jc w:val="left"/>
        <w:rPr>
          <w:sz w:val="18"/>
        </w:rPr>
      </w:pPr>
      <w:r>
        <w:rPr>
          <w:sz w:val="18"/>
        </w:rPr>
        <w:t>Ud fra DHM kan man automatisk og (forholdsvis) simpelt genererere et datasæt som vil kunne understøtte kvalitetssikring af </w:t>
      </w:r>
      <w:r>
        <w:rPr>
          <w:spacing w:val="-3"/>
          <w:sz w:val="18"/>
        </w:rPr>
        <w:t>FOT vandløb, </w:t>
      </w:r>
      <w:r>
        <w:rPr>
          <w:sz w:val="18"/>
        </w:rPr>
        <w:t>så det kan anvendes som et netværkstopologisk</w:t>
      </w:r>
      <w:r>
        <w:rPr>
          <w:spacing w:val="43"/>
          <w:sz w:val="18"/>
        </w:rPr>
        <w:t> </w:t>
      </w:r>
      <w:r>
        <w:rPr>
          <w:sz w:val="18"/>
        </w:rPr>
        <w:t>vandløbstema.</w:t>
      </w:r>
    </w:p>
    <w:p>
      <w:pPr>
        <w:spacing w:after="0" w:line="278" w:lineRule="auto"/>
        <w:jc w:val="left"/>
        <w:rPr>
          <w:sz w:val="18"/>
        </w:rPr>
        <w:sectPr>
          <w:footerReference w:type="default" r:id="rId16"/>
          <w:pgSz w:w="11910" w:h="16840"/>
          <w:pgMar w:footer="862" w:header="0" w:top="1060" w:bottom="1060" w:left="0" w:right="160"/>
          <w:pgNumType w:start="6"/>
        </w:sectPr>
      </w:pPr>
    </w:p>
    <w:p>
      <w:pPr>
        <w:pStyle w:val="Heading2"/>
        <w:spacing w:before="89"/>
      </w:pPr>
      <w:r>
        <w:rPr/>
        <w:t>Potil 6: Vandløbsprofiler</w:t>
      </w:r>
    </w:p>
    <w:p>
      <w:pPr>
        <w:pStyle w:val="BodyText"/>
        <w:rPr>
          <w:b/>
          <w:sz w:val="22"/>
        </w:rPr>
      </w:pPr>
    </w:p>
    <w:p>
      <w:pPr>
        <w:pStyle w:val="BodyText"/>
        <w:spacing w:line="278" w:lineRule="auto"/>
        <w:ind w:left="1133" w:right="792"/>
      </w:pPr>
      <w:bookmarkStart w:name="_bookmark9" w:id="14"/>
      <w:bookmarkEnd w:id="14"/>
      <w:r>
        <w:rPr/>
      </w:r>
      <w:r>
        <w:rPr/>
        <w:t>Dette er formodentlig et ekstremt kostbart produkt, som vil kræve omfattende nyopmåling - enten af aktive mennesker i waders, eller med vandgennemtrængende rød/grønne lasersystemer.</w:t>
      </w:r>
    </w:p>
    <w:p>
      <w:pPr>
        <w:spacing w:line="380" w:lineRule="atLeast" w:before="77"/>
        <w:ind w:left="1133" w:right="7946" w:firstLine="0"/>
        <w:jc w:val="left"/>
        <w:rPr>
          <w:b/>
          <w:sz w:val="18"/>
        </w:rPr>
      </w:pPr>
      <w:r>
        <w:rPr>
          <w:b/>
          <w:sz w:val="18"/>
        </w:rPr>
        <w:t>Vanskelighedsgrad </w:t>
      </w:r>
      <w:r>
        <w:rPr>
          <w:sz w:val="18"/>
        </w:rPr>
        <w:t>Rød </w:t>
      </w:r>
      <w:r>
        <w:rPr>
          <w:b/>
          <w:sz w:val="18"/>
        </w:rPr>
        <w:t>Nyttegrad </w:t>
      </w:r>
      <w:r>
        <w:rPr>
          <w:sz w:val="18"/>
        </w:rPr>
        <w:t>Overvejende gul </w:t>
      </w:r>
      <w:r>
        <w:rPr>
          <w:b/>
          <w:sz w:val="18"/>
        </w:rPr>
        <w:t>Kommentarer</w:t>
      </w:r>
    </w:p>
    <w:p>
      <w:pPr>
        <w:pStyle w:val="ListParagraph"/>
        <w:numPr>
          <w:ilvl w:val="0"/>
          <w:numId w:val="8"/>
        </w:numPr>
        <w:tabs>
          <w:tab w:pos="2071" w:val="left" w:leader="none"/>
        </w:tabs>
        <w:spacing w:line="278" w:lineRule="auto" w:before="110" w:after="0"/>
        <w:ind w:left="2070" w:right="971" w:hanging="253"/>
        <w:jc w:val="left"/>
        <w:rPr>
          <w:sz w:val="18"/>
        </w:rPr>
      </w:pPr>
      <w:r>
        <w:rPr>
          <w:sz w:val="18"/>
        </w:rPr>
        <w:t>ikke relevant: Nyquists sætning </w:t>
      </w:r>
      <w:r>
        <w:rPr>
          <w:spacing w:val="-3"/>
          <w:sz w:val="18"/>
        </w:rPr>
        <w:t>medfører </w:t>
      </w:r>
      <w:r>
        <w:rPr>
          <w:sz w:val="18"/>
        </w:rPr>
        <w:t>at vi kun kan se objekter større end 3.2 m. Hvis det skal være relevant skal vi meget længere ned i</w:t>
      </w:r>
      <w:r>
        <w:rPr>
          <w:spacing w:val="2"/>
          <w:sz w:val="18"/>
        </w:rPr>
        <w:t> </w:t>
      </w:r>
      <w:r>
        <w:rPr>
          <w:sz w:val="18"/>
        </w:rPr>
        <w:t>pixelstørrelse.</w:t>
      </w:r>
    </w:p>
    <w:p>
      <w:pPr>
        <w:pStyle w:val="ListParagraph"/>
        <w:numPr>
          <w:ilvl w:val="0"/>
          <w:numId w:val="8"/>
        </w:numPr>
        <w:tabs>
          <w:tab w:pos="2071" w:val="left" w:leader="none"/>
        </w:tabs>
        <w:spacing w:line="240" w:lineRule="auto" w:before="64" w:after="0"/>
        <w:ind w:left="2070" w:right="0" w:hanging="253"/>
        <w:jc w:val="left"/>
        <w:rPr>
          <w:sz w:val="18"/>
        </w:rPr>
      </w:pPr>
      <w:r>
        <w:rPr>
          <w:sz w:val="18"/>
        </w:rPr>
        <w:t>Kræver at vi kan måle igennem vand med</w:t>
      </w:r>
      <w:r>
        <w:rPr>
          <w:spacing w:val="3"/>
          <w:sz w:val="18"/>
        </w:rPr>
        <w:t> </w:t>
      </w:r>
      <w:r>
        <w:rPr>
          <w:sz w:val="18"/>
        </w:rPr>
        <w:t>grums.</w:t>
      </w:r>
    </w:p>
    <w:p>
      <w:pPr>
        <w:pStyle w:val="ListParagraph"/>
        <w:numPr>
          <w:ilvl w:val="0"/>
          <w:numId w:val="8"/>
        </w:numPr>
        <w:tabs>
          <w:tab w:pos="2071" w:val="left" w:leader="none"/>
        </w:tabs>
        <w:spacing w:line="240" w:lineRule="auto" w:before="99" w:after="0"/>
        <w:ind w:left="2070" w:right="0" w:hanging="253"/>
        <w:jc w:val="left"/>
        <w:rPr>
          <w:sz w:val="18"/>
        </w:rPr>
      </w:pPr>
      <w:r>
        <w:rPr>
          <w:sz w:val="18"/>
        </w:rPr>
        <w:t>Bedre viden omkring vandløbsprofiler ville </w:t>
      </w:r>
      <w:r>
        <w:rPr>
          <w:spacing w:val="-4"/>
          <w:sz w:val="18"/>
        </w:rPr>
        <w:t>øge </w:t>
      </w:r>
      <w:r>
        <w:rPr>
          <w:sz w:val="18"/>
        </w:rPr>
        <w:t>kvaliteten af rigtig mange projekter</w:t>
      </w:r>
      <w:r>
        <w:rPr>
          <w:spacing w:val="26"/>
          <w:sz w:val="18"/>
        </w:rPr>
        <w:t> </w:t>
      </w:r>
      <w:r>
        <w:rPr>
          <w:sz w:val="18"/>
        </w:rPr>
        <w:t>væsentligt.</w:t>
      </w:r>
    </w:p>
    <w:p>
      <w:pPr>
        <w:pStyle w:val="ListParagraph"/>
        <w:numPr>
          <w:ilvl w:val="0"/>
          <w:numId w:val="8"/>
        </w:numPr>
        <w:tabs>
          <w:tab w:pos="2071" w:val="left" w:leader="none"/>
        </w:tabs>
        <w:spacing w:line="240" w:lineRule="auto" w:before="99" w:after="0"/>
        <w:ind w:left="2070" w:right="0" w:hanging="253"/>
        <w:jc w:val="left"/>
        <w:rPr>
          <w:sz w:val="18"/>
        </w:rPr>
      </w:pPr>
      <w:r>
        <w:rPr>
          <w:sz w:val="18"/>
        </w:rPr>
        <w:t>Flere åprofiler vil være nyttige.</w:t>
      </w:r>
    </w:p>
    <w:p>
      <w:pPr>
        <w:pStyle w:val="ListParagraph"/>
        <w:numPr>
          <w:ilvl w:val="0"/>
          <w:numId w:val="8"/>
        </w:numPr>
        <w:tabs>
          <w:tab w:pos="2071" w:val="left" w:leader="none"/>
        </w:tabs>
        <w:spacing w:line="240" w:lineRule="auto" w:before="98" w:after="0"/>
        <w:ind w:left="2070" w:right="0" w:hanging="253"/>
        <w:jc w:val="left"/>
        <w:rPr>
          <w:sz w:val="18"/>
        </w:rPr>
      </w:pPr>
      <w:r>
        <w:rPr>
          <w:sz w:val="18"/>
        </w:rPr>
        <w:t>Meget værdifuldt, men forudsætter et opdateret</w:t>
      </w:r>
      <w:r>
        <w:rPr>
          <w:spacing w:val="4"/>
          <w:sz w:val="18"/>
        </w:rPr>
        <w:t> </w:t>
      </w:r>
      <w:r>
        <w:rPr>
          <w:sz w:val="18"/>
        </w:rPr>
        <w:t>vandløbsnetværk.</w:t>
      </w:r>
    </w:p>
    <w:p>
      <w:pPr>
        <w:pStyle w:val="ListParagraph"/>
        <w:numPr>
          <w:ilvl w:val="0"/>
          <w:numId w:val="8"/>
        </w:numPr>
        <w:tabs>
          <w:tab w:pos="2071" w:val="left" w:leader="none"/>
        </w:tabs>
        <w:spacing w:line="278" w:lineRule="auto" w:before="99" w:after="0"/>
        <w:ind w:left="2070" w:right="971" w:hanging="253"/>
        <w:jc w:val="left"/>
        <w:rPr>
          <w:sz w:val="18"/>
        </w:rPr>
      </w:pPr>
      <w:r>
        <w:rPr>
          <w:sz w:val="18"/>
        </w:rPr>
        <w:t>Anvendes</w:t>
      </w:r>
      <w:r>
        <w:rPr>
          <w:spacing w:val="-4"/>
          <w:sz w:val="18"/>
        </w:rPr>
        <w:t> </w:t>
      </w:r>
      <w:r>
        <w:rPr>
          <w:sz w:val="18"/>
        </w:rPr>
        <w:t>allerede</w:t>
      </w:r>
      <w:r>
        <w:rPr>
          <w:spacing w:val="-3"/>
          <w:sz w:val="18"/>
        </w:rPr>
        <w:t> </w:t>
      </w:r>
      <w:r>
        <w:rPr>
          <w:sz w:val="18"/>
        </w:rPr>
        <w:t>inden</w:t>
      </w:r>
      <w:r>
        <w:rPr>
          <w:spacing w:val="-4"/>
          <w:sz w:val="18"/>
        </w:rPr>
        <w:t> </w:t>
      </w:r>
      <w:r>
        <w:rPr>
          <w:sz w:val="18"/>
        </w:rPr>
        <w:t>for</w:t>
      </w:r>
      <w:r>
        <w:rPr>
          <w:spacing w:val="-3"/>
          <w:sz w:val="18"/>
        </w:rPr>
        <w:t> </w:t>
      </w:r>
      <w:r>
        <w:rPr>
          <w:sz w:val="18"/>
        </w:rPr>
        <w:t>beregning</w:t>
      </w:r>
      <w:r>
        <w:rPr>
          <w:spacing w:val="-4"/>
          <w:sz w:val="18"/>
        </w:rPr>
        <w:t> </w:t>
      </w:r>
      <w:r>
        <w:rPr>
          <w:sz w:val="18"/>
        </w:rPr>
        <w:t>af</w:t>
      </w:r>
      <w:r>
        <w:rPr>
          <w:spacing w:val="-3"/>
          <w:sz w:val="18"/>
        </w:rPr>
        <w:t> </w:t>
      </w:r>
      <w:r>
        <w:rPr>
          <w:sz w:val="18"/>
        </w:rPr>
        <w:t>vandløbsregulativer,</w:t>
      </w:r>
      <w:r>
        <w:rPr>
          <w:spacing w:val="-4"/>
          <w:sz w:val="18"/>
        </w:rPr>
        <w:t> </w:t>
      </w:r>
      <w:r>
        <w:rPr>
          <w:sz w:val="18"/>
        </w:rPr>
        <w:t>så</w:t>
      </w:r>
      <w:r>
        <w:rPr>
          <w:spacing w:val="-3"/>
          <w:sz w:val="18"/>
        </w:rPr>
        <w:t> </w:t>
      </w:r>
      <w:r>
        <w:rPr>
          <w:sz w:val="18"/>
        </w:rPr>
        <w:t>det</w:t>
      </w:r>
      <w:r>
        <w:rPr>
          <w:spacing w:val="-4"/>
          <w:sz w:val="18"/>
        </w:rPr>
        <w:t> </w:t>
      </w:r>
      <w:r>
        <w:rPr>
          <w:sz w:val="18"/>
        </w:rPr>
        <w:t>ville</w:t>
      </w:r>
      <w:r>
        <w:rPr>
          <w:spacing w:val="-3"/>
          <w:sz w:val="18"/>
        </w:rPr>
        <w:t> </w:t>
      </w:r>
      <w:r>
        <w:rPr>
          <w:sz w:val="18"/>
        </w:rPr>
        <w:t>være</w:t>
      </w:r>
      <w:r>
        <w:rPr>
          <w:spacing w:val="-4"/>
          <w:sz w:val="18"/>
        </w:rPr>
        <w:t> </w:t>
      </w:r>
      <w:r>
        <w:rPr>
          <w:sz w:val="18"/>
        </w:rPr>
        <w:t>mere</w:t>
      </w:r>
      <w:r>
        <w:rPr>
          <w:spacing w:val="-3"/>
          <w:sz w:val="18"/>
        </w:rPr>
        <w:t> </w:t>
      </w:r>
      <w:r>
        <w:rPr>
          <w:sz w:val="18"/>
        </w:rPr>
        <w:t>interessant</w:t>
      </w:r>
      <w:r>
        <w:rPr>
          <w:spacing w:val="-4"/>
          <w:sz w:val="18"/>
        </w:rPr>
        <w:t> </w:t>
      </w:r>
      <w:r>
        <w:rPr>
          <w:sz w:val="18"/>
        </w:rPr>
        <w:t>i</w:t>
      </w:r>
      <w:r>
        <w:rPr>
          <w:spacing w:val="-3"/>
          <w:sz w:val="18"/>
        </w:rPr>
        <w:t> </w:t>
      </w:r>
      <w:r>
        <w:rPr>
          <w:sz w:val="18"/>
        </w:rPr>
        <w:t>forbindelse med opbygning af hydrologiske</w:t>
      </w:r>
      <w:r>
        <w:rPr>
          <w:spacing w:val="1"/>
          <w:sz w:val="18"/>
        </w:rPr>
        <w:t> </w:t>
      </w:r>
      <w:r>
        <w:rPr>
          <w:sz w:val="18"/>
        </w:rPr>
        <w:t>modeller.</w:t>
      </w:r>
    </w:p>
    <w:p>
      <w:pPr>
        <w:pStyle w:val="BodyText"/>
        <w:rPr>
          <w:sz w:val="20"/>
        </w:rPr>
      </w:pPr>
    </w:p>
    <w:p>
      <w:pPr>
        <w:pStyle w:val="BodyText"/>
        <w:spacing w:before="4"/>
        <w:rPr>
          <w:sz w:val="12"/>
        </w:rPr>
      </w:pPr>
      <w:r>
        <w:rPr/>
        <w:pict>
          <v:line style="position:absolute;mso-position-horizontal-relative:page;mso-position-vertical-relative:paragraph;z-index:-688;mso-wrap-distance-left:0;mso-wrap-distance-right:0" from="56.693001pt,9.266758pt" to="538.583001pt,9.266758pt" stroked="true" strokeweight=".398pt" strokecolor="#000000">
            <v:stroke dashstyle="solid"/>
            <w10:wrap type="topAndBottom"/>
          </v:line>
        </w:pict>
      </w:r>
    </w:p>
    <w:p>
      <w:pPr>
        <w:pStyle w:val="BodyText"/>
        <w:spacing w:before="10"/>
        <w:rPr>
          <w:sz w:val="28"/>
        </w:rPr>
      </w:pPr>
    </w:p>
    <w:p>
      <w:pPr>
        <w:pStyle w:val="Heading2"/>
      </w:pPr>
      <w:r>
        <w:rPr/>
        <w:t>Potil 7: Befæstningsgrad</w:t>
      </w:r>
    </w:p>
    <w:p>
      <w:pPr>
        <w:pStyle w:val="BodyText"/>
        <w:rPr>
          <w:b/>
          <w:sz w:val="22"/>
        </w:rPr>
      </w:pPr>
    </w:p>
    <w:p>
      <w:pPr>
        <w:pStyle w:val="BodyText"/>
        <w:spacing w:line="278" w:lineRule="auto"/>
        <w:ind w:left="1133" w:right="971"/>
        <w:jc w:val="both"/>
      </w:pPr>
      <w:bookmarkStart w:name="_bookmark10" w:id="15"/>
      <w:bookmarkEnd w:id="15"/>
      <w:r>
        <w:rPr/>
      </w:r>
      <w:r>
        <w:rPr/>
        <w:t>I forbindelse med produktion af overflademodellen udarbejdede KMS en arealanvendelsesklassifikation baseret på ek- sisterende registreringer fra kortdatabaserne. I den grad denne klassifikation kan anvendes som bud på befæstnings- graden er vanskelighedsgraden “grøn”. Mere perfekte løsninger kræver ny dataopsamling, som kan være både vanskelig og kostbar at udføre på landsplan.</w:t>
      </w:r>
    </w:p>
    <w:p>
      <w:pPr>
        <w:spacing w:line="380" w:lineRule="atLeast" w:before="76"/>
        <w:ind w:left="1133" w:right="7739" w:firstLine="0"/>
        <w:jc w:val="left"/>
        <w:rPr>
          <w:b/>
          <w:sz w:val="18"/>
        </w:rPr>
      </w:pPr>
      <w:r>
        <w:rPr>
          <w:b/>
          <w:sz w:val="18"/>
        </w:rPr>
        <w:t>Vanskelighedsgrad </w:t>
      </w:r>
      <w:r>
        <w:rPr>
          <w:sz w:val="18"/>
        </w:rPr>
        <w:t>Rød/grøn </w:t>
      </w:r>
      <w:r>
        <w:rPr>
          <w:b/>
          <w:sz w:val="18"/>
        </w:rPr>
        <w:t>Nyttegrad </w:t>
      </w:r>
      <w:r>
        <w:rPr>
          <w:sz w:val="18"/>
        </w:rPr>
        <w:t>Overvejende gul </w:t>
      </w:r>
      <w:r>
        <w:rPr>
          <w:b/>
          <w:sz w:val="18"/>
        </w:rPr>
        <w:t>Kommentarer</w:t>
      </w:r>
    </w:p>
    <w:p>
      <w:pPr>
        <w:pStyle w:val="ListParagraph"/>
        <w:numPr>
          <w:ilvl w:val="0"/>
          <w:numId w:val="9"/>
        </w:numPr>
        <w:tabs>
          <w:tab w:pos="2071" w:val="left" w:leader="none"/>
        </w:tabs>
        <w:spacing w:line="240" w:lineRule="auto" w:before="109" w:after="0"/>
        <w:ind w:left="2070" w:right="0" w:hanging="253"/>
        <w:jc w:val="left"/>
        <w:rPr>
          <w:sz w:val="18"/>
        </w:rPr>
      </w:pPr>
      <w:r>
        <w:rPr>
          <w:sz w:val="18"/>
        </w:rPr>
        <w:t>Eksisterende datasæt er</w:t>
      </w:r>
      <w:r>
        <w:rPr>
          <w:spacing w:val="1"/>
          <w:sz w:val="18"/>
        </w:rPr>
        <w:t> </w:t>
      </w:r>
      <w:r>
        <w:rPr>
          <w:sz w:val="18"/>
        </w:rPr>
        <w:t>tilstrækkelige.</w:t>
      </w:r>
    </w:p>
    <w:p>
      <w:pPr>
        <w:pStyle w:val="ListParagraph"/>
        <w:numPr>
          <w:ilvl w:val="0"/>
          <w:numId w:val="9"/>
        </w:numPr>
        <w:tabs>
          <w:tab w:pos="2071" w:val="left" w:leader="none"/>
        </w:tabs>
        <w:spacing w:line="240" w:lineRule="auto" w:before="99" w:after="0"/>
        <w:ind w:left="2070" w:right="0" w:hanging="253"/>
        <w:jc w:val="left"/>
        <w:rPr>
          <w:sz w:val="18"/>
        </w:rPr>
      </w:pPr>
      <w:r>
        <w:rPr>
          <w:sz w:val="18"/>
        </w:rPr>
        <w:t>Den simple model er en</w:t>
      </w:r>
      <w:r>
        <w:rPr>
          <w:spacing w:val="1"/>
          <w:sz w:val="18"/>
        </w:rPr>
        <w:t> </w:t>
      </w:r>
      <w:r>
        <w:rPr>
          <w:sz w:val="18"/>
        </w:rPr>
        <w:t>forbedring.</w:t>
      </w:r>
    </w:p>
    <w:p>
      <w:pPr>
        <w:pStyle w:val="ListParagraph"/>
        <w:numPr>
          <w:ilvl w:val="0"/>
          <w:numId w:val="9"/>
        </w:numPr>
        <w:tabs>
          <w:tab w:pos="2071" w:val="left" w:leader="none"/>
        </w:tabs>
        <w:spacing w:line="278" w:lineRule="auto" w:before="99" w:after="0"/>
        <w:ind w:left="2070" w:right="971" w:hanging="253"/>
        <w:jc w:val="left"/>
        <w:rPr>
          <w:sz w:val="18"/>
        </w:rPr>
      </w:pPr>
      <w:r>
        <w:rPr>
          <w:sz w:val="18"/>
        </w:rPr>
        <w:t>Intensitetsbilledet fra punktobservationerne kan muligvis bruges, men giver næppe en væsentlig merværdi end jeres data.</w:t>
      </w:r>
    </w:p>
    <w:p>
      <w:pPr>
        <w:pStyle w:val="ListParagraph"/>
        <w:numPr>
          <w:ilvl w:val="0"/>
          <w:numId w:val="9"/>
        </w:numPr>
        <w:tabs>
          <w:tab w:pos="2071" w:val="left" w:leader="none"/>
        </w:tabs>
        <w:spacing w:line="278" w:lineRule="auto" w:before="64" w:after="0"/>
        <w:ind w:left="2070" w:right="971" w:hanging="253"/>
        <w:jc w:val="left"/>
        <w:rPr>
          <w:sz w:val="18"/>
        </w:rPr>
      </w:pPr>
      <w:r>
        <w:rPr>
          <w:sz w:val="18"/>
        </w:rPr>
        <w:t>Ofte benyttes kommunale registreringer af veje og ejendomme. Som </w:t>
      </w:r>
      <w:r>
        <w:rPr>
          <w:spacing w:val="-3"/>
          <w:sz w:val="18"/>
        </w:rPr>
        <w:t>første </w:t>
      </w:r>
      <w:r>
        <w:rPr>
          <w:sz w:val="18"/>
        </w:rPr>
        <w:t>bud eller ved generering af ”grove” modeller vil det være</w:t>
      </w:r>
      <w:r>
        <w:rPr>
          <w:spacing w:val="1"/>
          <w:sz w:val="18"/>
        </w:rPr>
        <w:t> </w:t>
      </w:r>
      <w:r>
        <w:rPr>
          <w:sz w:val="18"/>
        </w:rPr>
        <w:t>nyttigt.</w:t>
      </w:r>
    </w:p>
    <w:p>
      <w:pPr>
        <w:pStyle w:val="ListParagraph"/>
        <w:numPr>
          <w:ilvl w:val="0"/>
          <w:numId w:val="9"/>
        </w:numPr>
        <w:tabs>
          <w:tab w:pos="2071" w:val="left" w:leader="none"/>
        </w:tabs>
        <w:spacing w:line="240" w:lineRule="auto" w:before="65" w:after="0"/>
        <w:ind w:left="2070" w:right="0" w:hanging="253"/>
        <w:jc w:val="left"/>
        <w:rPr>
          <w:sz w:val="18"/>
        </w:rPr>
      </w:pPr>
      <w:r>
        <w:rPr>
          <w:sz w:val="18"/>
        </w:rPr>
        <w:t>Relevant i klimasammenhæng.</w:t>
      </w:r>
    </w:p>
    <w:p>
      <w:pPr>
        <w:pStyle w:val="BodyText"/>
        <w:rPr>
          <w:sz w:val="20"/>
        </w:rPr>
      </w:pPr>
    </w:p>
    <w:p>
      <w:pPr>
        <w:pStyle w:val="BodyText"/>
        <w:spacing w:before="3"/>
        <w:rPr>
          <w:sz w:val="15"/>
        </w:rPr>
      </w:pPr>
      <w:r>
        <w:rPr/>
        <w:pict>
          <v:line style="position:absolute;mso-position-horizontal-relative:page;mso-position-vertical-relative:paragraph;z-index:-664;mso-wrap-distance-left:0;mso-wrap-distance-right:0" from="56.693001pt,10.961286pt" to="538.583001pt,10.961286pt" stroked="true" strokeweight=".398pt" strokecolor="#000000">
            <v:stroke dashstyle="solid"/>
            <w10:wrap type="topAndBottom"/>
          </v:line>
        </w:pict>
      </w:r>
    </w:p>
    <w:p>
      <w:pPr>
        <w:pStyle w:val="BodyText"/>
        <w:spacing w:before="10"/>
        <w:rPr>
          <w:sz w:val="28"/>
        </w:rPr>
      </w:pPr>
    </w:p>
    <w:p>
      <w:pPr>
        <w:pStyle w:val="Heading2"/>
      </w:pPr>
      <w:r>
        <w:rPr/>
        <w:t>Potil 8: Hældning og eksponering</w:t>
      </w:r>
    </w:p>
    <w:p>
      <w:pPr>
        <w:pStyle w:val="BodyText"/>
        <w:rPr>
          <w:b/>
          <w:sz w:val="22"/>
        </w:rPr>
      </w:pPr>
    </w:p>
    <w:p>
      <w:pPr>
        <w:pStyle w:val="BodyText"/>
        <w:spacing w:line="278" w:lineRule="auto"/>
        <w:ind w:left="1133" w:right="971"/>
        <w:jc w:val="both"/>
      </w:pPr>
      <w:bookmarkStart w:name="_bookmark11" w:id="16"/>
      <w:bookmarkEnd w:id="16"/>
      <w:r>
        <w:rPr/>
      </w:r>
      <w:r>
        <w:rPr>
          <w:spacing w:val="-3"/>
        </w:rPr>
        <w:t>Terrænets  </w:t>
      </w:r>
      <w:r>
        <w:rPr/>
        <w:t>lokale hældningsvinkel og hældningsretning er i princippet trivielle at aflede direkte fra modellen. Der skal  dog nok filtreres en del for at få lokalt repræsentative værdier. Det vil kræve yderligere brugerkonsultation at fastslå </w:t>
      </w:r>
      <w:r>
        <w:rPr>
          <w:spacing w:val="-4"/>
        </w:rPr>
        <w:t>den </w:t>
      </w:r>
      <w:r>
        <w:rPr/>
        <w:t>rette filtreringsgrad.</w:t>
      </w:r>
    </w:p>
    <w:p>
      <w:pPr>
        <w:spacing w:line="380" w:lineRule="atLeast" w:before="77"/>
        <w:ind w:left="1133" w:right="7739" w:firstLine="0"/>
        <w:jc w:val="left"/>
        <w:rPr>
          <w:b/>
          <w:sz w:val="18"/>
        </w:rPr>
      </w:pPr>
      <w:r>
        <w:rPr>
          <w:b/>
          <w:sz w:val="18"/>
        </w:rPr>
        <w:t>Vanskelighedsgrad </w:t>
      </w:r>
      <w:r>
        <w:rPr>
          <w:sz w:val="18"/>
        </w:rPr>
        <w:t>Grøn </w:t>
      </w:r>
      <w:r>
        <w:rPr>
          <w:b/>
          <w:sz w:val="18"/>
        </w:rPr>
        <w:t>Nyttegrad </w:t>
      </w:r>
      <w:r>
        <w:rPr>
          <w:sz w:val="18"/>
        </w:rPr>
        <w:t>Overvejende grøn </w:t>
      </w:r>
      <w:r>
        <w:rPr>
          <w:b/>
          <w:sz w:val="18"/>
        </w:rPr>
        <w:t>Kommentarer</w:t>
      </w:r>
    </w:p>
    <w:p>
      <w:pPr>
        <w:pStyle w:val="ListParagraph"/>
        <w:numPr>
          <w:ilvl w:val="0"/>
          <w:numId w:val="10"/>
        </w:numPr>
        <w:tabs>
          <w:tab w:pos="2071" w:val="left" w:leader="none"/>
        </w:tabs>
        <w:spacing w:line="240" w:lineRule="auto" w:before="109" w:after="0"/>
        <w:ind w:left="2070" w:right="0" w:hanging="253"/>
        <w:jc w:val="left"/>
        <w:rPr>
          <w:sz w:val="18"/>
        </w:rPr>
      </w:pPr>
      <w:r>
        <w:rPr>
          <w:sz w:val="18"/>
        </w:rPr>
        <w:t>Det kan man let regne selv</w:t>
      </w:r>
      <w:r>
        <w:rPr>
          <w:spacing w:val="1"/>
          <w:sz w:val="18"/>
        </w:rPr>
        <w:t> </w:t>
      </w:r>
      <w:r>
        <w:rPr>
          <w:sz w:val="18"/>
        </w:rPr>
        <w:t>(lokalt).</w:t>
      </w:r>
    </w:p>
    <w:p>
      <w:pPr>
        <w:pStyle w:val="ListParagraph"/>
        <w:numPr>
          <w:ilvl w:val="0"/>
          <w:numId w:val="10"/>
        </w:numPr>
        <w:tabs>
          <w:tab w:pos="2071" w:val="left" w:leader="none"/>
        </w:tabs>
        <w:spacing w:line="240" w:lineRule="auto" w:before="99" w:after="0"/>
        <w:ind w:left="2070" w:right="0" w:hanging="253"/>
        <w:jc w:val="left"/>
        <w:rPr>
          <w:sz w:val="18"/>
        </w:rPr>
      </w:pPr>
      <w:r>
        <w:rPr>
          <w:sz w:val="18"/>
        </w:rPr>
        <w:t>Kunne hjælpe til at give et </w:t>
      </w:r>
      <w:r>
        <w:rPr>
          <w:spacing w:val="-3"/>
          <w:sz w:val="18"/>
        </w:rPr>
        <w:t>første </w:t>
      </w:r>
      <w:r>
        <w:rPr>
          <w:sz w:val="18"/>
        </w:rPr>
        <w:t>overblik over</w:t>
      </w:r>
      <w:r>
        <w:rPr>
          <w:spacing w:val="5"/>
          <w:sz w:val="18"/>
        </w:rPr>
        <w:t> </w:t>
      </w:r>
      <w:r>
        <w:rPr>
          <w:sz w:val="18"/>
        </w:rPr>
        <w:t>områder.</w:t>
      </w:r>
    </w:p>
    <w:p>
      <w:pPr>
        <w:spacing w:after="0" w:line="240" w:lineRule="auto"/>
        <w:jc w:val="left"/>
        <w:rPr>
          <w:sz w:val="18"/>
        </w:rPr>
        <w:sectPr>
          <w:pgSz w:w="11910" w:h="16840"/>
          <w:pgMar w:header="0" w:footer="862" w:top="1020" w:bottom="1060" w:left="0" w:right="160"/>
        </w:sectPr>
      </w:pPr>
    </w:p>
    <w:p>
      <w:pPr>
        <w:pStyle w:val="Heading2"/>
        <w:spacing w:before="89"/>
      </w:pPr>
      <w:r>
        <w:rPr/>
        <w:t>Potil 9: Hillshading</w:t>
      </w:r>
    </w:p>
    <w:p>
      <w:pPr>
        <w:pStyle w:val="BodyText"/>
        <w:spacing w:before="8"/>
        <w:rPr>
          <w:b/>
          <w:sz w:val="27"/>
        </w:rPr>
      </w:pPr>
    </w:p>
    <w:p>
      <w:pPr>
        <w:pStyle w:val="BodyText"/>
        <w:spacing w:line="278" w:lineRule="auto"/>
        <w:ind w:left="1133" w:right="792"/>
      </w:pPr>
      <w:bookmarkStart w:name="_bookmark12" w:id="17"/>
      <w:bookmarkEnd w:id="17"/>
      <w:r>
        <w:rPr/>
      </w:r>
      <w:r>
        <w:rPr/>
        <w:t>En hillshadingmaske giver et godt og simpelt grundlag for at danne sig et overblik over et område. Det kan desuden anvendes som “backdrop” til afbildninger af andre hydrologiske datasæt og derved understøtte fortolkningen af disse.</w:t>
      </w:r>
    </w:p>
    <w:p>
      <w:pPr>
        <w:pStyle w:val="BodyText"/>
        <w:rPr>
          <w:sz w:val="22"/>
        </w:rPr>
      </w:pPr>
    </w:p>
    <w:p>
      <w:pPr>
        <w:pStyle w:val="BodyText"/>
        <w:spacing w:before="6"/>
        <w:rPr>
          <w:sz w:val="20"/>
        </w:rPr>
      </w:pPr>
    </w:p>
    <w:p>
      <w:pPr>
        <w:pStyle w:val="Heading3"/>
        <w:ind w:left="1133"/>
        <w:rPr>
          <w:b w:val="0"/>
        </w:rPr>
      </w:pPr>
      <w:r>
        <w:rPr/>
        <w:t>Vanskelighedsgrad </w:t>
      </w:r>
      <w:r>
        <w:rPr>
          <w:b w:val="0"/>
          <w:spacing w:val="-3"/>
        </w:rPr>
        <w:t>Grøn</w:t>
      </w:r>
    </w:p>
    <w:p>
      <w:pPr>
        <w:pStyle w:val="BodyText"/>
        <w:rPr>
          <w:sz w:val="22"/>
        </w:rPr>
      </w:pPr>
    </w:p>
    <w:p>
      <w:pPr>
        <w:pStyle w:val="BodyText"/>
        <w:spacing w:before="5"/>
      </w:pPr>
    </w:p>
    <w:p>
      <w:pPr>
        <w:spacing w:before="0"/>
        <w:ind w:left="1133" w:right="0" w:firstLine="0"/>
        <w:jc w:val="left"/>
        <w:rPr>
          <w:sz w:val="18"/>
        </w:rPr>
      </w:pPr>
      <w:r>
        <w:rPr>
          <w:b/>
          <w:sz w:val="18"/>
        </w:rPr>
        <w:t>Nyttegrad </w:t>
      </w:r>
      <w:r>
        <w:rPr>
          <w:sz w:val="18"/>
        </w:rPr>
        <w:t>Gul/grøn</w:t>
      </w:r>
    </w:p>
    <w:p>
      <w:pPr>
        <w:pStyle w:val="BodyText"/>
        <w:rPr>
          <w:sz w:val="22"/>
        </w:rPr>
      </w:pPr>
    </w:p>
    <w:p>
      <w:pPr>
        <w:pStyle w:val="BodyText"/>
        <w:spacing w:before="6"/>
      </w:pPr>
    </w:p>
    <w:p>
      <w:pPr>
        <w:pStyle w:val="Heading3"/>
        <w:ind w:left="1133"/>
      </w:pPr>
      <w:r>
        <w:rPr/>
        <w:t>Kommentarer</w:t>
      </w:r>
    </w:p>
    <w:p>
      <w:pPr>
        <w:pStyle w:val="BodyText"/>
        <w:spacing w:before="7"/>
        <w:rPr>
          <w:b/>
          <w:sz w:val="21"/>
        </w:rPr>
      </w:pPr>
    </w:p>
    <w:p>
      <w:pPr>
        <w:pStyle w:val="ListParagraph"/>
        <w:numPr>
          <w:ilvl w:val="0"/>
          <w:numId w:val="11"/>
        </w:numPr>
        <w:tabs>
          <w:tab w:pos="2071" w:val="left" w:leader="none"/>
        </w:tabs>
        <w:spacing w:line="240" w:lineRule="auto" w:before="0" w:after="0"/>
        <w:ind w:left="2070" w:right="0" w:hanging="253"/>
        <w:jc w:val="left"/>
        <w:rPr>
          <w:sz w:val="18"/>
        </w:rPr>
      </w:pPr>
      <w:r>
        <w:rPr>
          <w:sz w:val="18"/>
        </w:rPr>
        <w:t>Nyttig at kunne slå til og</w:t>
      </w:r>
      <w:r>
        <w:rPr>
          <w:spacing w:val="1"/>
          <w:sz w:val="18"/>
        </w:rPr>
        <w:t> </w:t>
      </w:r>
      <w:r>
        <w:rPr>
          <w:sz w:val="18"/>
        </w:rPr>
        <w:t>fra.</w:t>
      </w:r>
    </w:p>
    <w:p>
      <w:pPr>
        <w:pStyle w:val="BodyText"/>
        <w:spacing w:before="7"/>
        <w:rPr>
          <w:sz w:val="21"/>
        </w:rPr>
      </w:pPr>
    </w:p>
    <w:p>
      <w:pPr>
        <w:pStyle w:val="ListParagraph"/>
        <w:numPr>
          <w:ilvl w:val="0"/>
          <w:numId w:val="11"/>
        </w:numPr>
        <w:tabs>
          <w:tab w:pos="2071" w:val="left" w:leader="none"/>
        </w:tabs>
        <w:spacing w:line="240" w:lineRule="auto" w:before="1" w:after="0"/>
        <w:ind w:left="2070" w:right="0" w:hanging="253"/>
        <w:jc w:val="left"/>
        <w:rPr>
          <w:sz w:val="18"/>
        </w:rPr>
      </w:pPr>
      <w:r>
        <w:rPr>
          <w:sz w:val="18"/>
        </w:rPr>
        <w:t>Hjælper med at få det </w:t>
      </w:r>
      <w:r>
        <w:rPr>
          <w:spacing w:val="-3"/>
          <w:sz w:val="18"/>
        </w:rPr>
        <w:t>første </w:t>
      </w:r>
      <w:r>
        <w:rPr>
          <w:sz w:val="18"/>
        </w:rPr>
        <w:t>overblik over </w:t>
      </w:r>
      <w:r>
        <w:rPr>
          <w:spacing w:val="-3"/>
          <w:sz w:val="18"/>
        </w:rPr>
        <w:t>nye</w:t>
      </w:r>
      <w:r>
        <w:rPr>
          <w:spacing w:val="6"/>
          <w:sz w:val="18"/>
        </w:rPr>
        <w:t> </w:t>
      </w:r>
      <w:r>
        <w:rPr>
          <w:sz w:val="18"/>
        </w:rPr>
        <w:t>områder.</w:t>
      </w:r>
    </w:p>
    <w:p>
      <w:pPr>
        <w:pStyle w:val="BodyText"/>
        <w:spacing w:before="7"/>
        <w:rPr>
          <w:sz w:val="21"/>
        </w:rPr>
      </w:pPr>
    </w:p>
    <w:p>
      <w:pPr>
        <w:pStyle w:val="ListParagraph"/>
        <w:numPr>
          <w:ilvl w:val="0"/>
          <w:numId w:val="11"/>
        </w:numPr>
        <w:tabs>
          <w:tab w:pos="2071" w:val="left" w:leader="none"/>
        </w:tabs>
        <w:spacing w:line="240" w:lineRule="auto" w:before="0" w:after="0"/>
        <w:ind w:left="2070" w:right="0" w:hanging="253"/>
        <w:jc w:val="left"/>
        <w:rPr>
          <w:sz w:val="18"/>
        </w:rPr>
      </w:pPr>
      <w:r>
        <w:rPr>
          <w:sz w:val="18"/>
        </w:rPr>
        <w:t>God til visning.</w:t>
      </w:r>
    </w:p>
    <w:p>
      <w:pPr>
        <w:pStyle w:val="BodyText"/>
        <w:spacing w:before="7"/>
        <w:rPr>
          <w:sz w:val="21"/>
        </w:rPr>
      </w:pPr>
    </w:p>
    <w:p>
      <w:pPr>
        <w:pStyle w:val="ListParagraph"/>
        <w:numPr>
          <w:ilvl w:val="0"/>
          <w:numId w:val="11"/>
        </w:numPr>
        <w:tabs>
          <w:tab w:pos="2071" w:val="left" w:leader="none"/>
        </w:tabs>
        <w:spacing w:line="240" w:lineRule="auto" w:before="0" w:after="0"/>
        <w:ind w:left="2070" w:right="0" w:hanging="253"/>
        <w:jc w:val="left"/>
        <w:rPr>
          <w:sz w:val="18"/>
        </w:rPr>
      </w:pPr>
      <w:r>
        <w:rPr>
          <w:sz w:val="18"/>
        </w:rPr>
        <w:t>Mest nyttig hvis beregnet ud fra en relativt grov model: fuld opløsning giver for meget</w:t>
      </w:r>
      <w:r>
        <w:rPr>
          <w:spacing w:val="20"/>
          <w:sz w:val="18"/>
        </w:rPr>
        <w:t> </w:t>
      </w:r>
      <w:r>
        <w:rPr>
          <w:spacing w:val="-3"/>
          <w:sz w:val="18"/>
        </w:rPr>
        <w:t>støj.</w:t>
      </w: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640;mso-wrap-distance-left:0;mso-wrap-distance-right:0" from="56.693001pt,11.402596pt" to="538.583001pt,11.402596pt" stroked="true" strokeweight=".398pt" strokecolor="#000000">
            <v:stroke dashstyle="solid"/>
            <w10:wrap type="topAndBottom"/>
          </v:line>
        </w:pict>
      </w:r>
    </w:p>
    <w:p>
      <w:pPr>
        <w:pStyle w:val="BodyText"/>
        <w:rPr>
          <w:sz w:val="20"/>
        </w:rPr>
      </w:pPr>
    </w:p>
    <w:p>
      <w:pPr>
        <w:pStyle w:val="BodyText"/>
        <w:rPr>
          <w:sz w:val="20"/>
        </w:rPr>
      </w:pPr>
    </w:p>
    <w:p>
      <w:pPr>
        <w:pStyle w:val="BodyText"/>
        <w:spacing w:before="1"/>
      </w:pPr>
    </w:p>
    <w:p>
      <w:pPr>
        <w:pStyle w:val="Heading2"/>
      </w:pPr>
      <w:r>
        <w:rPr/>
        <w:t>Potil 10: Dit produkt</w:t>
      </w:r>
    </w:p>
    <w:p>
      <w:pPr>
        <w:pStyle w:val="BodyText"/>
        <w:spacing w:before="9"/>
        <w:rPr>
          <w:b/>
          <w:sz w:val="27"/>
        </w:rPr>
      </w:pPr>
    </w:p>
    <w:p>
      <w:pPr>
        <w:pStyle w:val="BodyText"/>
        <w:spacing w:line="278" w:lineRule="auto"/>
        <w:ind w:left="1133" w:right="792"/>
      </w:pPr>
      <w:bookmarkStart w:name="_bookmark13" w:id="18"/>
      <w:bookmarkEnd w:id="18"/>
      <w:r>
        <w:rPr/>
      </w:r>
      <w:r>
        <w:rPr/>
        <w:t>Hvad savner du? Ovenstående 9 produkter er en sammenfatning af mange udmeldinger om behov og ønsker. Har vi overset det produkt, der vil understøtte lige præcis dine hydrologiske anvendelser af højdemodellen? Så beskriv det her</w:t>
      </w:r>
    </w:p>
    <w:p>
      <w:pPr>
        <w:pStyle w:val="BodyText"/>
        <w:spacing w:line="205" w:lineRule="exact"/>
        <w:ind w:left="1133"/>
      </w:pPr>
      <w:r>
        <w:rPr/>
        <w:t>- så detaljeret eller kursorisk du kan overkomme lige nu.</w:t>
      </w:r>
    </w:p>
    <w:p>
      <w:pPr>
        <w:pStyle w:val="BodyText"/>
        <w:rPr>
          <w:sz w:val="22"/>
        </w:rPr>
      </w:pPr>
    </w:p>
    <w:p>
      <w:pPr>
        <w:pStyle w:val="BodyText"/>
        <w:spacing w:before="5"/>
        <w:rPr>
          <w:sz w:val="23"/>
        </w:rPr>
      </w:pPr>
    </w:p>
    <w:p>
      <w:pPr>
        <w:spacing w:before="0"/>
        <w:ind w:left="1133" w:right="0" w:firstLine="0"/>
        <w:jc w:val="left"/>
        <w:rPr>
          <w:sz w:val="18"/>
        </w:rPr>
      </w:pPr>
      <w:r>
        <w:rPr>
          <w:b/>
          <w:sz w:val="18"/>
        </w:rPr>
        <w:t>Vanskelighedsgrad </w:t>
      </w:r>
      <w:r>
        <w:rPr>
          <w:sz w:val="18"/>
        </w:rPr>
        <w:t>Overvejende Rød</w:t>
      </w:r>
    </w:p>
    <w:p>
      <w:pPr>
        <w:pStyle w:val="BodyText"/>
        <w:rPr>
          <w:sz w:val="22"/>
        </w:rPr>
      </w:pPr>
    </w:p>
    <w:p>
      <w:pPr>
        <w:pStyle w:val="BodyText"/>
        <w:spacing w:before="5"/>
      </w:pPr>
    </w:p>
    <w:p>
      <w:pPr>
        <w:spacing w:before="1"/>
        <w:ind w:left="1133" w:right="0" w:firstLine="0"/>
        <w:jc w:val="left"/>
        <w:rPr>
          <w:sz w:val="18"/>
        </w:rPr>
      </w:pPr>
      <w:r>
        <w:rPr>
          <w:b/>
          <w:sz w:val="18"/>
        </w:rPr>
        <w:t>Nyttegrad </w:t>
      </w:r>
      <w:r>
        <w:rPr>
          <w:spacing w:val="-3"/>
          <w:sz w:val="18"/>
        </w:rPr>
        <w:t>Grøn</w:t>
      </w:r>
    </w:p>
    <w:p>
      <w:pPr>
        <w:pStyle w:val="BodyText"/>
        <w:rPr>
          <w:sz w:val="22"/>
        </w:rPr>
      </w:pPr>
    </w:p>
    <w:p>
      <w:pPr>
        <w:pStyle w:val="BodyText"/>
        <w:spacing w:before="5"/>
      </w:pPr>
    </w:p>
    <w:p>
      <w:pPr>
        <w:pStyle w:val="Heading3"/>
        <w:ind w:left="1133"/>
      </w:pPr>
      <w:r>
        <w:rPr/>
        <w:t>Kommentarer</w:t>
      </w:r>
    </w:p>
    <w:p>
      <w:pPr>
        <w:pStyle w:val="BodyText"/>
        <w:spacing w:before="7"/>
        <w:rPr>
          <w:b/>
          <w:sz w:val="21"/>
        </w:rPr>
      </w:pPr>
    </w:p>
    <w:p>
      <w:pPr>
        <w:pStyle w:val="ListParagraph"/>
        <w:numPr>
          <w:ilvl w:val="0"/>
          <w:numId w:val="12"/>
        </w:numPr>
        <w:tabs>
          <w:tab w:pos="2071" w:val="left" w:leader="none"/>
        </w:tabs>
        <w:spacing w:line="240" w:lineRule="auto" w:before="0" w:after="0"/>
        <w:ind w:left="2070" w:right="0" w:hanging="253"/>
        <w:jc w:val="left"/>
        <w:rPr>
          <w:sz w:val="18"/>
        </w:rPr>
      </w:pPr>
      <w:r>
        <w:rPr>
          <w:sz w:val="18"/>
        </w:rPr>
        <w:t>Dybder i kystnære farvande, fjorde,</w:t>
      </w:r>
      <w:r>
        <w:rPr>
          <w:spacing w:val="1"/>
          <w:sz w:val="18"/>
        </w:rPr>
        <w:t> </w:t>
      </w:r>
      <w:r>
        <w:rPr>
          <w:spacing w:val="-3"/>
          <w:sz w:val="18"/>
        </w:rPr>
        <w:t>søer</w:t>
      </w:r>
    </w:p>
    <w:p>
      <w:pPr>
        <w:pStyle w:val="BodyText"/>
        <w:spacing w:before="8"/>
        <w:rPr>
          <w:sz w:val="21"/>
        </w:rPr>
      </w:pPr>
    </w:p>
    <w:p>
      <w:pPr>
        <w:pStyle w:val="ListParagraph"/>
        <w:numPr>
          <w:ilvl w:val="0"/>
          <w:numId w:val="12"/>
        </w:numPr>
        <w:tabs>
          <w:tab w:pos="2071" w:val="left" w:leader="none"/>
        </w:tabs>
        <w:spacing w:line="240" w:lineRule="auto" w:before="0" w:after="0"/>
        <w:ind w:left="2070" w:right="0" w:hanging="253"/>
        <w:jc w:val="left"/>
        <w:rPr>
          <w:sz w:val="18"/>
        </w:rPr>
      </w:pPr>
      <w:r>
        <w:rPr>
          <w:sz w:val="18"/>
        </w:rPr>
        <w:t>Terrænmodel uden broer, men med sluser</w:t>
      </w:r>
    </w:p>
    <w:p>
      <w:pPr>
        <w:pStyle w:val="BodyText"/>
        <w:spacing w:before="7"/>
        <w:rPr>
          <w:sz w:val="21"/>
        </w:rPr>
      </w:pPr>
    </w:p>
    <w:p>
      <w:pPr>
        <w:pStyle w:val="ListParagraph"/>
        <w:numPr>
          <w:ilvl w:val="0"/>
          <w:numId w:val="12"/>
        </w:numPr>
        <w:tabs>
          <w:tab w:pos="2071" w:val="left" w:leader="none"/>
        </w:tabs>
        <w:spacing w:line="278" w:lineRule="auto" w:before="0" w:after="0"/>
        <w:ind w:left="2070" w:right="971" w:hanging="253"/>
        <w:jc w:val="left"/>
        <w:rPr>
          <w:sz w:val="18"/>
        </w:rPr>
      </w:pPr>
      <w:r>
        <w:rPr>
          <w:sz w:val="18"/>
        </w:rPr>
        <w:t>Plannøjagtighedsoversigt:</w:t>
      </w:r>
      <w:r>
        <w:rPr>
          <w:spacing w:val="-4"/>
          <w:sz w:val="18"/>
        </w:rPr>
        <w:t> </w:t>
      </w:r>
      <w:r>
        <w:rPr>
          <w:sz w:val="18"/>
        </w:rPr>
        <w:t>I</w:t>
      </w:r>
      <w:r>
        <w:rPr>
          <w:spacing w:val="-3"/>
          <w:sz w:val="18"/>
        </w:rPr>
        <w:t> </w:t>
      </w:r>
      <w:r>
        <w:rPr>
          <w:sz w:val="18"/>
        </w:rPr>
        <w:t>analyser</w:t>
      </w:r>
      <w:r>
        <w:rPr>
          <w:spacing w:val="-3"/>
          <w:sz w:val="18"/>
        </w:rPr>
        <w:t> </w:t>
      </w:r>
      <w:r>
        <w:rPr>
          <w:sz w:val="18"/>
        </w:rPr>
        <w:t>af</w:t>
      </w:r>
      <w:r>
        <w:rPr>
          <w:spacing w:val="-4"/>
          <w:sz w:val="18"/>
        </w:rPr>
        <w:t> </w:t>
      </w:r>
      <w:r>
        <w:rPr>
          <w:sz w:val="18"/>
        </w:rPr>
        <w:t>oversvømmelser</w:t>
      </w:r>
      <w:r>
        <w:rPr>
          <w:spacing w:val="-3"/>
          <w:sz w:val="18"/>
        </w:rPr>
        <w:t> </w:t>
      </w:r>
      <w:r>
        <w:rPr>
          <w:sz w:val="18"/>
        </w:rPr>
        <w:t>fra</w:t>
      </w:r>
      <w:r>
        <w:rPr>
          <w:spacing w:val="-3"/>
          <w:sz w:val="18"/>
        </w:rPr>
        <w:t> </w:t>
      </w:r>
      <w:r>
        <w:rPr>
          <w:sz w:val="18"/>
        </w:rPr>
        <w:t>havet</w:t>
      </w:r>
      <w:r>
        <w:rPr>
          <w:spacing w:val="-4"/>
          <w:sz w:val="18"/>
        </w:rPr>
        <w:t> </w:t>
      </w:r>
      <w:r>
        <w:rPr>
          <w:sz w:val="18"/>
        </w:rPr>
        <w:t>er</w:t>
      </w:r>
      <w:r>
        <w:rPr>
          <w:spacing w:val="-3"/>
          <w:sz w:val="18"/>
        </w:rPr>
        <w:t> </w:t>
      </w:r>
      <w:r>
        <w:rPr>
          <w:sz w:val="18"/>
        </w:rPr>
        <w:t>det</w:t>
      </w:r>
      <w:r>
        <w:rPr>
          <w:spacing w:val="-3"/>
          <w:sz w:val="18"/>
        </w:rPr>
        <w:t> </w:t>
      </w:r>
      <w:r>
        <w:rPr>
          <w:sz w:val="18"/>
        </w:rPr>
        <w:t>essentielt</w:t>
      </w:r>
      <w:r>
        <w:rPr>
          <w:spacing w:val="-3"/>
          <w:sz w:val="18"/>
        </w:rPr>
        <w:t> </w:t>
      </w:r>
      <w:r>
        <w:rPr>
          <w:sz w:val="18"/>
        </w:rPr>
        <w:t>at</w:t>
      </w:r>
      <w:r>
        <w:rPr>
          <w:spacing w:val="-4"/>
          <w:sz w:val="18"/>
        </w:rPr>
        <w:t> </w:t>
      </w:r>
      <w:r>
        <w:rPr>
          <w:sz w:val="18"/>
        </w:rPr>
        <w:t>vi</w:t>
      </w:r>
      <w:r>
        <w:rPr>
          <w:spacing w:val="-3"/>
          <w:sz w:val="18"/>
        </w:rPr>
        <w:t> </w:t>
      </w:r>
      <w:r>
        <w:rPr>
          <w:sz w:val="18"/>
        </w:rPr>
        <w:t>kender</w:t>
      </w:r>
      <w:r>
        <w:rPr>
          <w:spacing w:val="-3"/>
          <w:sz w:val="18"/>
        </w:rPr>
        <w:t> </w:t>
      </w:r>
      <w:r>
        <w:rPr>
          <w:sz w:val="18"/>
        </w:rPr>
        <w:t>nøjagtigheden på bl.a. diger.</w:t>
      </w:r>
    </w:p>
    <w:p>
      <w:pPr>
        <w:pStyle w:val="BodyText"/>
        <w:spacing w:before="8"/>
      </w:pPr>
    </w:p>
    <w:p>
      <w:pPr>
        <w:pStyle w:val="ListParagraph"/>
        <w:numPr>
          <w:ilvl w:val="0"/>
          <w:numId w:val="12"/>
        </w:numPr>
        <w:tabs>
          <w:tab w:pos="2071" w:val="left" w:leader="none"/>
        </w:tabs>
        <w:spacing w:line="240" w:lineRule="auto" w:before="0" w:after="0"/>
        <w:ind w:left="2070" w:right="0" w:hanging="253"/>
        <w:jc w:val="left"/>
        <w:rPr>
          <w:sz w:val="18"/>
        </w:rPr>
      </w:pPr>
      <w:r>
        <w:rPr>
          <w:sz w:val="18"/>
        </w:rPr>
        <w:t>Erosionspotentiale</w:t>
      </w:r>
    </w:p>
    <w:p>
      <w:pPr>
        <w:pStyle w:val="BodyText"/>
        <w:spacing w:before="7"/>
        <w:rPr>
          <w:sz w:val="21"/>
        </w:rPr>
      </w:pPr>
    </w:p>
    <w:p>
      <w:pPr>
        <w:pStyle w:val="ListParagraph"/>
        <w:numPr>
          <w:ilvl w:val="0"/>
          <w:numId w:val="12"/>
        </w:numPr>
        <w:tabs>
          <w:tab w:pos="2071" w:val="left" w:leader="none"/>
        </w:tabs>
        <w:spacing w:line="240" w:lineRule="auto" w:before="0" w:after="0"/>
        <w:ind w:left="2070" w:right="0" w:hanging="253"/>
        <w:jc w:val="left"/>
        <w:rPr>
          <w:sz w:val="18"/>
        </w:rPr>
      </w:pPr>
      <w:r>
        <w:rPr>
          <w:sz w:val="18"/>
        </w:rPr>
        <w:t>Oversvømmelseskort</w:t>
      </w:r>
    </w:p>
    <w:p>
      <w:pPr>
        <w:pStyle w:val="BodyText"/>
        <w:spacing w:before="7"/>
        <w:rPr>
          <w:sz w:val="21"/>
        </w:rPr>
      </w:pPr>
    </w:p>
    <w:p>
      <w:pPr>
        <w:pStyle w:val="ListParagraph"/>
        <w:numPr>
          <w:ilvl w:val="0"/>
          <w:numId w:val="12"/>
        </w:numPr>
        <w:tabs>
          <w:tab w:pos="2071" w:val="left" w:leader="none"/>
        </w:tabs>
        <w:spacing w:line="278" w:lineRule="auto" w:before="1" w:after="0"/>
        <w:ind w:left="2070" w:right="971" w:hanging="253"/>
        <w:jc w:val="left"/>
        <w:rPr>
          <w:sz w:val="18"/>
        </w:rPr>
      </w:pPr>
      <w:r>
        <w:rPr>
          <w:sz w:val="18"/>
        </w:rPr>
        <w:t>Hulkort (oversigt over naturlige fordybninger i landskabet, med potentiale som midlertidige afledningsreser- voirer for regnvand)</w:t>
      </w:r>
    </w:p>
    <w:p>
      <w:pPr>
        <w:pStyle w:val="BodyText"/>
        <w:spacing w:before="7"/>
      </w:pPr>
    </w:p>
    <w:p>
      <w:pPr>
        <w:pStyle w:val="ListParagraph"/>
        <w:numPr>
          <w:ilvl w:val="0"/>
          <w:numId w:val="12"/>
        </w:numPr>
        <w:tabs>
          <w:tab w:pos="2071" w:val="left" w:leader="none"/>
        </w:tabs>
        <w:spacing w:line="278" w:lineRule="auto" w:before="0" w:after="0"/>
        <w:ind w:left="2070" w:right="971" w:hanging="253"/>
        <w:jc w:val="both"/>
        <w:rPr>
          <w:sz w:val="18"/>
        </w:rPr>
      </w:pPr>
      <w:r>
        <w:rPr>
          <w:sz w:val="18"/>
        </w:rPr>
        <w:t>Der er i forbindelse med beregning af </w:t>
      </w:r>
      <w:r>
        <w:rPr>
          <w:spacing w:val="-3"/>
          <w:sz w:val="18"/>
        </w:rPr>
        <w:t>vandløb </w:t>
      </w:r>
      <w:r>
        <w:rPr>
          <w:sz w:val="18"/>
        </w:rPr>
        <w:t>og retning med højdemodellen fundet afvigelser mellem start- og sluthøjden på vandløbsstrækninger der skyldes fejl i udjævningen af terrænmodellen. Dette vil kunne bruges til at kvalitetstjekke</w:t>
      </w:r>
      <w:r>
        <w:rPr>
          <w:spacing w:val="1"/>
          <w:sz w:val="18"/>
        </w:rPr>
        <w:t> </w:t>
      </w:r>
      <w:r>
        <w:rPr>
          <w:sz w:val="18"/>
        </w:rPr>
        <w:t>terrænmodellen.</w:t>
      </w:r>
    </w:p>
    <w:p>
      <w:pPr>
        <w:spacing w:after="0" w:line="278" w:lineRule="auto"/>
        <w:jc w:val="both"/>
        <w:rPr>
          <w:sz w:val="18"/>
        </w:rPr>
        <w:sectPr>
          <w:pgSz w:w="11910" w:h="16840"/>
          <w:pgMar w:header="0" w:footer="862" w:top="1020" w:bottom="1060" w:left="0" w:right="160"/>
        </w:sectPr>
      </w:pPr>
    </w:p>
    <w:p>
      <w:pPr>
        <w:pStyle w:val="Heading1"/>
        <w:numPr>
          <w:ilvl w:val="0"/>
          <w:numId w:val="2"/>
        </w:numPr>
        <w:tabs>
          <w:tab w:pos="1545" w:val="left" w:leader="none"/>
        </w:tabs>
        <w:spacing w:line="240" w:lineRule="auto" w:before="91" w:after="0"/>
        <w:ind w:left="1544" w:right="0" w:hanging="411"/>
        <w:jc w:val="both"/>
      </w:pPr>
      <w:bookmarkStart w:name="_bookmark14" w:id="19"/>
      <w:bookmarkEnd w:id="19"/>
      <w:r>
        <w:rPr>
          <w:b w:val="0"/>
        </w:rPr>
      </w:r>
      <w:bookmarkStart w:name="_bookmark14" w:id="20"/>
      <w:bookmarkEnd w:id="20"/>
      <w:r>
        <w:rPr/>
        <w:t>Eksempel</w:t>
      </w:r>
    </w:p>
    <w:p>
      <w:pPr>
        <w:pStyle w:val="BodyText"/>
        <w:spacing w:before="11"/>
        <w:rPr>
          <w:b/>
          <w:sz w:val="27"/>
        </w:rPr>
      </w:pPr>
    </w:p>
    <w:p>
      <w:pPr>
        <w:pStyle w:val="BodyText"/>
        <w:spacing w:line="278" w:lineRule="auto"/>
        <w:ind w:left="1133" w:right="971"/>
        <w:jc w:val="both"/>
      </w:pPr>
      <w:r>
        <w:rPr/>
        <w:t>Som antydet i indledningen er der god grund til at fortsætte arbejdet med udgangspunkt i potiller der karakteriseres som grønne på både producent- og konsumentsiden. I dette afsnit giver vi et kort eksempel på hvad det kan være.</w:t>
      </w:r>
    </w:p>
    <w:p>
      <w:pPr>
        <w:pStyle w:val="BodyText"/>
        <w:spacing w:line="278" w:lineRule="auto" w:before="84"/>
        <w:ind w:left="1133" w:right="971"/>
        <w:jc w:val="both"/>
      </w:pPr>
      <w:r>
        <w:rPr/>
        <w:t>Der er indtil videre kun to potiller (8 og 9) der klart falder ind under </w:t>
      </w:r>
      <w:r>
        <w:rPr>
          <w:spacing w:val="-3"/>
        </w:rPr>
        <w:t>grøn/grøn </w:t>
      </w:r>
      <w:r>
        <w:rPr/>
        <w:t>kriteriet – og uheldigvis er potil 9 den oplagte visualisering af potil 8. Derfor illustrerer vi på </w:t>
      </w:r>
      <w:r>
        <w:rPr>
          <w:spacing w:val="-3"/>
        </w:rPr>
        <w:t>følgende  </w:t>
      </w:r>
      <w:r>
        <w:rPr/>
        <w:t>side potil 7 (befæstningsgrad) og 9 (hillshading). Begge  er produktionsmæssigt “grønne”, men befæstningsgrad er kun vurderet som gul i</w:t>
      </w:r>
      <w:r>
        <w:rPr>
          <w:spacing w:val="19"/>
        </w:rPr>
        <w:t> </w:t>
      </w:r>
      <w:r>
        <w:rPr/>
        <w:t>nytteværdi.</w:t>
      </w:r>
    </w:p>
    <w:p>
      <w:pPr>
        <w:pStyle w:val="BodyText"/>
        <w:spacing w:before="82"/>
        <w:ind w:left="1133"/>
        <w:jc w:val="both"/>
      </w:pPr>
      <w:r>
        <w:rPr/>
        <w:t>Delfigurerne (nummereret i almindelig læseretning) viser følgende</w:t>
      </w:r>
    </w:p>
    <w:p>
      <w:pPr>
        <w:pStyle w:val="BodyText"/>
        <w:spacing w:before="7"/>
        <w:rPr>
          <w:sz w:val="27"/>
        </w:rPr>
      </w:pPr>
    </w:p>
    <w:p>
      <w:pPr>
        <w:pStyle w:val="ListParagraph"/>
        <w:numPr>
          <w:ilvl w:val="0"/>
          <w:numId w:val="13"/>
        </w:numPr>
        <w:tabs>
          <w:tab w:pos="1632" w:val="left" w:leader="none"/>
        </w:tabs>
        <w:spacing w:line="278" w:lineRule="auto" w:before="0" w:after="0"/>
        <w:ind w:left="1632" w:right="971" w:hanging="253"/>
        <w:jc w:val="left"/>
        <w:rPr>
          <w:sz w:val="18"/>
        </w:rPr>
      </w:pPr>
      <w:r>
        <w:rPr>
          <w:sz w:val="18"/>
        </w:rPr>
        <w:t>Befæstningsgradsestimatinput for et </w:t>
      </w:r>
      <w:r>
        <w:rPr>
          <w:spacing w:val="-3"/>
          <w:sz w:val="18"/>
        </w:rPr>
        <w:t>Københavnsk </w:t>
      </w:r>
      <w:r>
        <w:rPr>
          <w:sz w:val="18"/>
        </w:rPr>
        <w:t>forstadskvarter med blandet bebyggelse. Farverne er fremkom- met ved rasterisering af FOTtemaerne vej (sort), bygning (rød), </w:t>
      </w:r>
      <w:r>
        <w:rPr>
          <w:spacing w:val="-4"/>
          <w:sz w:val="18"/>
        </w:rPr>
        <w:t>høj </w:t>
      </w:r>
      <w:r>
        <w:rPr>
          <w:sz w:val="18"/>
        </w:rPr>
        <w:t>bebyggelse (grøn), lav bebyggelse (mørk</w:t>
      </w:r>
      <w:r>
        <w:rPr>
          <w:spacing w:val="-30"/>
          <w:sz w:val="18"/>
        </w:rPr>
        <w:t> </w:t>
      </w:r>
      <w:r>
        <w:rPr>
          <w:spacing w:val="-3"/>
          <w:sz w:val="18"/>
        </w:rPr>
        <w:t>grøn).</w:t>
      </w:r>
    </w:p>
    <w:p>
      <w:pPr>
        <w:pStyle w:val="ListParagraph"/>
        <w:numPr>
          <w:ilvl w:val="0"/>
          <w:numId w:val="13"/>
        </w:numPr>
        <w:tabs>
          <w:tab w:pos="1632" w:val="left" w:leader="none"/>
        </w:tabs>
        <w:spacing w:line="240" w:lineRule="auto" w:before="157" w:after="0"/>
        <w:ind w:left="1631" w:right="0" w:hanging="252"/>
        <w:jc w:val="left"/>
        <w:rPr>
          <w:sz w:val="18"/>
        </w:rPr>
      </w:pPr>
      <w:r>
        <w:rPr>
          <w:sz w:val="18"/>
        </w:rPr>
        <w:t>Orthofoto over sydvestfynsk</w:t>
      </w:r>
      <w:r>
        <w:rPr>
          <w:spacing w:val="1"/>
          <w:sz w:val="18"/>
        </w:rPr>
        <w:t> </w:t>
      </w:r>
      <w:r>
        <w:rPr>
          <w:sz w:val="18"/>
        </w:rPr>
        <w:t>agerbrugsområde.</w:t>
      </w:r>
    </w:p>
    <w:p>
      <w:pPr>
        <w:pStyle w:val="ListParagraph"/>
        <w:numPr>
          <w:ilvl w:val="0"/>
          <w:numId w:val="13"/>
        </w:numPr>
        <w:tabs>
          <w:tab w:pos="1632" w:val="left" w:leader="none"/>
        </w:tabs>
        <w:spacing w:line="240" w:lineRule="auto" w:before="192" w:after="0"/>
        <w:ind w:left="1631" w:right="0" w:hanging="252"/>
        <w:jc w:val="left"/>
        <w:rPr>
          <w:sz w:val="18"/>
        </w:rPr>
      </w:pPr>
      <w:r>
        <w:rPr>
          <w:sz w:val="18"/>
        </w:rPr>
        <w:t>Hillshading af </w:t>
      </w:r>
      <w:r>
        <w:rPr>
          <w:spacing w:val="-3"/>
          <w:sz w:val="18"/>
        </w:rPr>
        <w:t>DHM/Terræn </w:t>
      </w:r>
      <w:r>
        <w:rPr>
          <w:sz w:val="18"/>
        </w:rPr>
        <w:t>for samme område (kraftig overhøjning </w:t>
      </w:r>
      <w:r>
        <w:rPr>
          <w:spacing w:val="-4"/>
          <w:sz w:val="18"/>
        </w:rPr>
        <w:t>gør </w:t>
      </w:r>
      <w:r>
        <w:rPr>
          <w:sz w:val="18"/>
        </w:rPr>
        <w:t>små detaljer</w:t>
      </w:r>
      <w:r>
        <w:rPr>
          <w:spacing w:val="25"/>
          <w:sz w:val="18"/>
        </w:rPr>
        <w:t> </w:t>
      </w:r>
      <w:r>
        <w:rPr>
          <w:sz w:val="18"/>
        </w:rPr>
        <w:t>tydelige).</w:t>
      </w:r>
    </w:p>
    <w:p>
      <w:pPr>
        <w:pStyle w:val="ListParagraph"/>
        <w:numPr>
          <w:ilvl w:val="0"/>
          <w:numId w:val="13"/>
        </w:numPr>
        <w:tabs>
          <w:tab w:pos="1632" w:val="left" w:leader="none"/>
        </w:tabs>
        <w:spacing w:line="278" w:lineRule="auto" w:before="191" w:after="0"/>
        <w:ind w:left="1632" w:right="971" w:hanging="253"/>
        <w:jc w:val="left"/>
        <w:rPr>
          <w:sz w:val="18"/>
        </w:rPr>
      </w:pPr>
      <w:r>
        <w:rPr>
          <w:sz w:val="18"/>
        </w:rPr>
        <w:t>Orthofoto overlejret på hillshading. Læg specielt mærke til hvor meget nemmere det bliver at skelne de nedlagte grusgrave som fordybninger i</w:t>
      </w:r>
      <w:r>
        <w:rPr>
          <w:spacing w:val="1"/>
          <w:sz w:val="18"/>
        </w:rPr>
        <w:t> </w:t>
      </w:r>
      <w:r>
        <w:rPr>
          <w:sz w:val="18"/>
        </w:rPr>
        <w:t>terrænnet.</w:t>
      </w:r>
    </w:p>
    <w:p>
      <w:pPr>
        <w:pStyle w:val="ListParagraph"/>
        <w:numPr>
          <w:ilvl w:val="0"/>
          <w:numId w:val="13"/>
        </w:numPr>
        <w:tabs>
          <w:tab w:pos="1632" w:val="left" w:leader="none"/>
        </w:tabs>
        <w:spacing w:line="278" w:lineRule="auto" w:before="158" w:after="0"/>
        <w:ind w:left="1632" w:right="971" w:hanging="253"/>
        <w:jc w:val="both"/>
        <w:rPr>
          <w:sz w:val="18"/>
        </w:rPr>
      </w:pPr>
      <w:r>
        <w:rPr>
          <w:spacing w:val="-3"/>
          <w:sz w:val="18"/>
        </w:rPr>
        <w:t>DHM/Terræn </w:t>
      </w:r>
      <w:r>
        <w:rPr>
          <w:sz w:val="18"/>
        </w:rPr>
        <w:t>gengivet som farvebillede, med skalaen blå/grøn/gul/rød dækkende intervallet 0 til 64 meter. Uden de overlejrede højdekurver ville det </w:t>
      </w:r>
      <w:r>
        <w:rPr>
          <w:spacing w:val="-3"/>
          <w:sz w:val="18"/>
        </w:rPr>
        <w:t>have </w:t>
      </w:r>
      <w:r>
        <w:rPr>
          <w:sz w:val="18"/>
        </w:rPr>
        <w:t>været stort set umuligt at vurdere hældningen i terrænnet. Med højdekurver går det lige an. .</w:t>
      </w:r>
      <w:r>
        <w:rPr>
          <w:spacing w:val="-40"/>
          <w:sz w:val="18"/>
        </w:rPr>
        <w:t> </w:t>
      </w:r>
      <w:r>
        <w:rPr>
          <w:sz w:val="18"/>
        </w:rPr>
        <w:t>.</w:t>
      </w:r>
    </w:p>
    <w:p>
      <w:pPr>
        <w:pStyle w:val="ListParagraph"/>
        <w:numPr>
          <w:ilvl w:val="0"/>
          <w:numId w:val="13"/>
        </w:numPr>
        <w:tabs>
          <w:tab w:pos="1632" w:val="left" w:leader="none"/>
        </w:tabs>
        <w:spacing w:line="240" w:lineRule="auto" w:before="156" w:after="0"/>
        <w:ind w:left="1631" w:right="0" w:hanging="252"/>
        <w:jc w:val="left"/>
        <w:rPr>
          <w:sz w:val="18"/>
        </w:rPr>
      </w:pPr>
      <w:r>
        <w:rPr>
          <w:sz w:val="18"/>
        </w:rPr>
        <w:t>.</w:t>
      </w:r>
      <w:r>
        <w:rPr>
          <w:spacing w:val="-20"/>
          <w:sz w:val="18"/>
        </w:rPr>
        <w:t> </w:t>
      </w:r>
      <w:r>
        <w:rPr>
          <w:sz w:val="18"/>
        </w:rPr>
        <w:t>.</w:t>
      </w:r>
      <w:r>
        <w:rPr>
          <w:spacing w:val="-20"/>
          <w:sz w:val="18"/>
        </w:rPr>
        <w:t> </w:t>
      </w:r>
      <w:r>
        <w:rPr>
          <w:sz w:val="18"/>
        </w:rPr>
        <w:t>.</w:t>
      </w:r>
      <w:r>
        <w:rPr>
          <w:spacing w:val="-20"/>
          <w:sz w:val="18"/>
        </w:rPr>
        <w:t> </w:t>
      </w:r>
      <w:r>
        <w:rPr>
          <w:sz w:val="18"/>
        </w:rPr>
        <w:t>men</w:t>
      </w:r>
      <w:r>
        <w:rPr>
          <w:spacing w:val="1"/>
          <w:sz w:val="18"/>
        </w:rPr>
        <w:t> </w:t>
      </w:r>
      <w:r>
        <w:rPr>
          <w:sz w:val="18"/>
        </w:rPr>
        <w:t>med højdekurver</w:t>
      </w:r>
      <w:r>
        <w:rPr>
          <w:spacing w:val="2"/>
          <w:sz w:val="18"/>
        </w:rPr>
        <w:t> </w:t>
      </w:r>
      <w:r>
        <w:rPr>
          <w:i/>
          <w:sz w:val="18"/>
        </w:rPr>
        <w:t>og</w:t>
      </w:r>
      <w:r>
        <w:rPr>
          <w:i/>
          <w:spacing w:val="10"/>
          <w:sz w:val="18"/>
        </w:rPr>
        <w:t> </w:t>
      </w:r>
      <w:r>
        <w:rPr>
          <w:sz w:val="18"/>
        </w:rPr>
        <w:t>hillshading</w:t>
      </w:r>
      <w:r>
        <w:rPr>
          <w:spacing w:val="1"/>
          <w:sz w:val="18"/>
        </w:rPr>
        <w:t> </w:t>
      </w:r>
      <w:r>
        <w:rPr>
          <w:sz w:val="18"/>
        </w:rPr>
        <w:t>går det</w:t>
      </w:r>
      <w:r>
        <w:rPr>
          <w:spacing w:val="1"/>
          <w:sz w:val="18"/>
        </w:rPr>
        <w:t> </w:t>
      </w:r>
      <w:r>
        <w:rPr>
          <w:sz w:val="18"/>
        </w:rPr>
        <w:t>nemt!</w:t>
      </w:r>
    </w:p>
    <w:p>
      <w:pPr>
        <w:pStyle w:val="BodyText"/>
        <w:spacing w:before="7"/>
        <w:rPr>
          <w:sz w:val="27"/>
        </w:rPr>
      </w:pPr>
    </w:p>
    <w:p>
      <w:pPr>
        <w:pStyle w:val="BodyText"/>
        <w:spacing w:line="278" w:lineRule="auto"/>
        <w:ind w:left="1133" w:right="971"/>
        <w:jc w:val="both"/>
      </w:pPr>
      <w:r>
        <w:rPr/>
        <w:t>Hillshadingproduktet er et resultat af ganske få timers udviklingsarbejde. Det vil i øvrigt kunne produceres som “gratis” biprodukt ved beregning af højdekurvetemaer – så det må formodes at være indsatsen værd.</w:t>
      </w:r>
    </w:p>
    <w:p>
      <w:pPr>
        <w:pStyle w:val="BodyText"/>
        <w:spacing w:line="278" w:lineRule="auto" w:before="84"/>
        <w:ind w:left="1133" w:right="971"/>
        <w:jc w:val="both"/>
      </w:pPr>
      <w:r>
        <w:rPr/>
        <w:t>FOTtemarasteriseringerne er fremkommet som led i arbejdet med DHM/Overflade, og er derfor i DHyMsammenhæng et “gratis” dataprodukt, som det kun vil kræve få dages udvikling og produktion at strikke om til befæstningsgradsestimater (som dog på det stade vil være af udokumenteret kvalitet).</w:t>
      </w:r>
    </w:p>
    <w:p>
      <w:pPr>
        <w:pStyle w:val="BodyText"/>
        <w:spacing w:line="278" w:lineRule="auto" w:before="82"/>
        <w:ind w:left="1133" w:right="971"/>
        <w:jc w:val="both"/>
      </w:pPr>
      <w:r>
        <w:rPr/>
        <w:t>For begge produkters vedkommende må man dog have for øje at selvom produktionen er enkel, så er det administrative og distributionsmæssige overhead af samme størrelse som for et hvert andet produkt (og kommer derfor til at udgøre en procentuelt større del af arbejdet med disse enkle produkter).</w:t>
      </w:r>
    </w:p>
    <w:p>
      <w:pPr>
        <w:pStyle w:val="BodyText"/>
        <w:rPr>
          <w:sz w:val="22"/>
        </w:rPr>
      </w:pPr>
    </w:p>
    <w:p>
      <w:pPr>
        <w:pStyle w:val="BodyText"/>
        <w:spacing w:before="3"/>
      </w:pPr>
    </w:p>
    <w:p>
      <w:pPr>
        <w:pStyle w:val="Heading1"/>
        <w:numPr>
          <w:ilvl w:val="0"/>
          <w:numId w:val="2"/>
        </w:numPr>
        <w:tabs>
          <w:tab w:pos="1545" w:val="left" w:leader="none"/>
        </w:tabs>
        <w:spacing w:line="240" w:lineRule="auto" w:before="0" w:after="0"/>
        <w:ind w:left="1544" w:right="0" w:hanging="411"/>
        <w:jc w:val="both"/>
      </w:pPr>
      <w:bookmarkStart w:name="_bookmark15" w:id="21"/>
      <w:bookmarkEnd w:id="21"/>
      <w:r>
        <w:rPr>
          <w:b w:val="0"/>
        </w:rPr>
      </w:r>
      <w:bookmarkStart w:name="_bookmark15" w:id="22"/>
      <w:bookmarkEnd w:id="22"/>
      <w:r>
        <w:rPr/>
        <w:t>Opsummering</w:t>
      </w:r>
    </w:p>
    <w:p>
      <w:pPr>
        <w:pStyle w:val="BodyText"/>
        <w:spacing w:before="11"/>
        <w:rPr>
          <w:b/>
          <w:sz w:val="27"/>
        </w:rPr>
      </w:pPr>
    </w:p>
    <w:p>
      <w:pPr>
        <w:pStyle w:val="BodyText"/>
        <w:spacing w:line="278" w:lineRule="auto"/>
        <w:ind w:left="1133" w:right="971"/>
        <w:jc w:val="both"/>
      </w:pPr>
      <w:r>
        <w:rPr/>
        <w:t>Når man gennemgår kommentarerne til potillerne er det tydeligt at de nogle steder stritter i mange forskellige retninger. Det er ikke overraskende, givet at respondenterne kommer med meget forskellige baggrunde. Men en ting har respon- denterne til fælles: de er dybt inde i stoffet, og engagerede i emnet. Det er nok en af grundene til at der er så mange tilfælde af “det der kan man let lave selv”: svarene kommer fra folk der synes at den slags er let – mens en helt gennem- snitlig bruger i stat eller kommune (eller en ekspert på et lidt andet område, som svarene også antyder) ikke ville ane hvordan .</w:t>
      </w:r>
    </w:p>
    <w:p>
      <w:pPr>
        <w:pStyle w:val="BodyText"/>
        <w:spacing w:line="278" w:lineRule="auto" w:before="80"/>
        <w:ind w:left="1133" w:right="971"/>
        <w:jc w:val="both"/>
      </w:pPr>
      <w:r>
        <w:rPr/>
        <w:t>En anden side af den sag er at ting som det er “let” at </w:t>
      </w:r>
      <w:r>
        <w:rPr>
          <w:spacing w:val="-3"/>
        </w:rPr>
        <w:t>udføre  </w:t>
      </w:r>
      <w:r>
        <w:rPr/>
        <w:t>for et lille område ikke nødvendigvis vil være lette når      det gælder større regionale eller landsdækkende områder. Derfor </w:t>
      </w:r>
      <w:r>
        <w:rPr>
          <w:i/>
        </w:rPr>
        <w:t>kan  </w:t>
      </w:r>
      <w:r>
        <w:rPr/>
        <w:t>der være gode grunde til at producere nogle       af de “lette” ting simpelthen fordi de er lette (også for os) og selvom de ikke umiddelbart er stærkt efterspurgte hos eksperterne.</w:t>
      </w:r>
    </w:p>
    <w:p>
      <w:pPr>
        <w:pStyle w:val="BodyText"/>
        <w:spacing w:line="278" w:lineRule="auto" w:before="81"/>
        <w:ind w:left="1133" w:right="971"/>
        <w:jc w:val="both"/>
      </w:pPr>
      <w:r>
        <w:rPr/>
        <w:t>Men det er tydeligvis ikke nok at kaste os over de lette ting: der er stærke </w:t>
      </w:r>
      <w:r>
        <w:rPr>
          <w:spacing w:val="-3"/>
        </w:rPr>
        <w:t>ønsker  </w:t>
      </w:r>
      <w:r>
        <w:rPr/>
        <w:t>om virkeligt vanskelige produkter. Et  af dem (det konsistente vandløbstema, potil nummer 5) kan virkelig få den faglige passion i kog, og frustrationen over tingenes tilstand er tydelig. Potil 5 kobler i </w:t>
      </w:r>
      <w:r>
        <w:rPr>
          <w:spacing w:val="-4"/>
        </w:rPr>
        <w:t>høj </w:t>
      </w:r>
      <w:r>
        <w:rPr/>
        <w:t>grad til potil 3 (overflademodel uden broer) og 6 (vandløbsprofiler) – og i nogen grad til potil 1 og 2: det hele bliver </w:t>
      </w:r>
      <w:r>
        <w:rPr>
          <w:spacing w:val="-4"/>
        </w:rPr>
        <w:t>først </w:t>
      </w:r>
      <w:r>
        <w:rPr/>
        <w:t>rigtig nyttigt når vi har et ordentligt</w:t>
      </w:r>
      <w:r>
        <w:rPr>
          <w:spacing w:val="34"/>
        </w:rPr>
        <w:t> </w:t>
      </w:r>
      <w:r>
        <w:rPr/>
        <w:t>vandløbstema.</w:t>
      </w:r>
    </w:p>
    <w:p>
      <w:pPr>
        <w:pStyle w:val="BodyText"/>
        <w:spacing w:line="278" w:lineRule="auto" w:before="82"/>
        <w:ind w:left="1133" w:right="971"/>
        <w:jc w:val="both"/>
      </w:pPr>
      <w:r>
        <w:rPr/>
        <w:t>Hvordan kan man så gribe disse store og vanskelige problemer an? Denne rapport dokumenterer (og argumenterer for) at en af de mulige veje er at etablere småskalaeksperimenter med nogle af de lette potiller, og bruge erfaringerne fra dem til gradvist at få en bedre forståelse af de svære – og måske </w:t>
      </w:r>
      <w:r>
        <w:rPr>
          <w:spacing w:val="-3"/>
        </w:rPr>
        <w:t>gøre </w:t>
      </w:r>
      <w:r>
        <w:rPr/>
        <w:t>dem om ikke lette, så dog i hvert fald </w:t>
      </w:r>
      <w:r>
        <w:rPr>
          <w:i/>
        </w:rPr>
        <w:t>lettere </w:t>
      </w:r>
      <w:r>
        <w:rPr/>
        <w:t>at </w:t>
      </w:r>
      <w:r>
        <w:rPr>
          <w:spacing w:val="-5"/>
        </w:rPr>
        <w:t>føre </w:t>
      </w:r>
      <w:r>
        <w:rPr/>
        <w:t>ud i livet. Rapporten leverer input til overvejelser om hvad der skal </w:t>
      </w:r>
      <w:r>
        <w:rPr>
          <w:spacing w:val="-3"/>
        </w:rPr>
        <w:t>udføres </w:t>
      </w:r>
      <w:r>
        <w:rPr/>
        <w:t>(om overhovedet noget) – og et opdateret vandløbstema vil være en stor mundfuld, som vil kræve </w:t>
      </w:r>
      <w:r>
        <w:rPr>
          <w:spacing w:val="-3"/>
        </w:rPr>
        <w:t>nøje </w:t>
      </w:r>
      <w:r>
        <w:rPr/>
        <w:t>overvejelse og</w:t>
      </w:r>
      <w:r>
        <w:rPr>
          <w:spacing w:val="19"/>
        </w:rPr>
        <w:t> </w:t>
      </w:r>
      <w:r>
        <w:rPr/>
        <w:t>koordination.</w:t>
      </w:r>
    </w:p>
    <w:p>
      <w:pPr>
        <w:spacing w:after="0" w:line="278" w:lineRule="auto"/>
        <w:jc w:val="both"/>
        <w:sectPr>
          <w:footerReference w:type="default" r:id="rId17"/>
          <w:pgSz w:w="11910" w:h="16840"/>
          <w:pgMar w:footer="0" w:header="0" w:top="980" w:bottom="280" w:left="0" w:right="160"/>
        </w:sectPr>
      </w:pPr>
    </w:p>
    <w:p>
      <w:pPr>
        <w:pStyle w:val="BodyText"/>
        <w:ind w:left="1123"/>
        <w:rPr>
          <w:sz w:val="20"/>
        </w:rPr>
      </w:pPr>
      <w:r>
        <w:rPr>
          <w:sz w:val="20"/>
        </w:rPr>
        <w:pict>
          <v:group style="width:483.85pt;height:724.85pt;mso-position-horizontal-relative:char;mso-position-vertical-relative:line" coordorigin="0,0" coordsize="9677,14497">
            <v:shape style="position:absolute;left:0;top:0;width:4819;height:14497" type="#_x0000_t75" stroked="false">
              <v:imagedata r:id="rId19" o:title=""/>
            </v:shape>
            <v:shape style="position:absolute;left:4857;top:0;width:4819;height:14497" type="#_x0000_t75" stroked="false">
              <v:imagedata r:id="rId20" o:title=""/>
            </v:shape>
          </v:group>
        </w:pict>
      </w:r>
      <w:r>
        <w:rPr>
          <w:sz w:val="20"/>
        </w:rPr>
      </w:r>
    </w:p>
    <w:p>
      <w:pPr>
        <w:pStyle w:val="BodyText"/>
        <w:rPr>
          <w:sz w:val="28"/>
        </w:rPr>
      </w:pPr>
    </w:p>
    <w:p>
      <w:pPr>
        <w:pStyle w:val="BodyText"/>
        <w:spacing w:before="106"/>
        <w:ind w:left="896" w:right="736"/>
        <w:jc w:val="center"/>
      </w:pPr>
      <w:r>
        <w:rPr/>
        <w:t>10</w:t>
      </w:r>
    </w:p>
    <w:p>
      <w:pPr>
        <w:spacing w:after="0"/>
        <w:jc w:val="center"/>
        <w:sectPr>
          <w:footerReference w:type="default" r:id="rId18"/>
          <w:pgSz w:w="11910" w:h="16840"/>
          <w:pgMar w:footer="0" w:header="0" w:top="1160" w:bottom="280" w:left="0" w:right="160"/>
        </w:sectPr>
      </w:pPr>
    </w:p>
    <w:p>
      <w:pPr>
        <w:pStyle w:val="BodyText"/>
        <w:spacing w:before="4"/>
        <w:rPr>
          <w:rFonts w:ascii="Times New Roman"/>
          <w:sz w:val="17"/>
        </w:rPr>
      </w:pPr>
    </w:p>
    <w:p>
      <w:pPr>
        <w:spacing w:after="0"/>
        <w:rPr>
          <w:rFonts w:ascii="Times New Roman"/>
          <w:sz w:val="17"/>
        </w:rPr>
        <w:sectPr>
          <w:footerReference w:type="default" r:id="rId21"/>
          <w:pgSz w:w="11910" w:h="16840"/>
          <w:pgMar w:footer="0" w:header="0" w:top="1580" w:bottom="280" w:left="0" w:right="160"/>
        </w:sectPr>
      </w:pPr>
    </w:p>
    <w:p>
      <w:pPr>
        <w:pStyle w:val="BodyText"/>
        <w:rPr>
          <w:rFonts w:ascii="Times New Roman"/>
          <w:sz w:val="16"/>
        </w:rPr>
      </w:pPr>
    </w:p>
    <w:p>
      <w:pPr>
        <w:pStyle w:val="BodyText"/>
        <w:rPr>
          <w:rFonts w:ascii="Times New Roman"/>
          <w:sz w:val="16"/>
        </w:rPr>
      </w:pPr>
    </w:p>
    <w:p>
      <w:pPr>
        <w:pStyle w:val="BodyText"/>
        <w:rPr>
          <w:rFonts w:ascii="Times New Roman"/>
          <w:sz w:val="23"/>
        </w:rPr>
      </w:pPr>
    </w:p>
    <w:p>
      <w:pPr>
        <w:tabs>
          <w:tab w:pos="329" w:val="left" w:leader="none"/>
        </w:tabs>
        <w:spacing w:before="0"/>
        <w:ind w:left="0" w:right="0" w:firstLine="0"/>
        <w:jc w:val="right"/>
        <w:rPr>
          <w:sz w:val="11"/>
        </w:rPr>
      </w:pPr>
      <w:r>
        <w:rPr>
          <w:rFonts w:ascii="Times New Roman"/>
          <w:color w:val="547E6E"/>
          <w:sz w:val="8"/>
        </w:rPr>
        <w:t>A.</w:t>
        <w:tab/>
      </w:r>
      <w:r>
        <w:rPr>
          <w:color w:val="547E6E"/>
          <w:spacing w:val="-1"/>
          <w:position w:val="-5"/>
          <w:sz w:val="11"/>
        </w:rPr>
        <w:t>n.</w:t>
      </w:r>
    </w:p>
    <w:p>
      <w:pPr>
        <w:pStyle w:val="BodyText"/>
        <w:spacing w:before="5"/>
        <w:rPr>
          <w:sz w:val="13"/>
        </w:rPr>
      </w:pPr>
    </w:p>
    <w:p>
      <w:pPr>
        <w:spacing w:before="0"/>
        <w:ind w:left="0" w:right="266" w:firstLine="0"/>
        <w:jc w:val="right"/>
        <w:rPr>
          <w:rFonts w:ascii="Times New Roman"/>
          <w:sz w:val="8"/>
        </w:rPr>
      </w:pPr>
      <w:r>
        <w:rPr>
          <w:rFonts w:ascii="Times New Roman"/>
          <w:color w:val="547E6E"/>
          <w:sz w:val="8"/>
        </w:rPr>
        <w:t>A.</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tabs>
          <w:tab w:pos="1046" w:val="left" w:leader="none"/>
        </w:tabs>
        <w:spacing w:before="99"/>
        <w:ind w:left="148" w:right="0" w:firstLine="0"/>
        <w:jc w:val="left"/>
        <w:rPr>
          <w:sz w:val="11"/>
        </w:rPr>
      </w:pPr>
      <w:r>
        <w:rPr>
          <w:rFonts w:ascii="Times New Roman"/>
          <w:color w:val="547E6E"/>
          <w:position w:val="-4"/>
          <w:sz w:val="8"/>
        </w:rPr>
        <w:t>A.</w:t>
        <w:tab/>
      </w:r>
      <w:r>
        <w:rPr>
          <w:color w:val="547E6E"/>
          <w:spacing w:val="-10"/>
          <w:sz w:val="11"/>
        </w:rPr>
        <w:t>n.</w:t>
      </w:r>
    </w:p>
    <w:p>
      <w:pPr>
        <w:spacing w:line="296" w:lineRule="exact" w:before="0"/>
        <w:ind w:left="0" w:right="0" w:firstLine="0"/>
        <w:jc w:val="right"/>
        <w:rPr>
          <w:sz w:val="37"/>
        </w:rPr>
      </w:pPr>
      <w:r>
        <w:rPr/>
        <w:br w:type="column"/>
      </w:r>
      <w:r>
        <w:rPr>
          <w:color w:val="3F705B"/>
          <w:w w:val="75"/>
          <w:sz w:val="37"/>
        </w:rPr>
        <w:t>- </w:t>
      </w:r>
      <w:r>
        <w:rPr>
          <w:color w:val="3F705B"/>
          <w:w w:val="90"/>
          <w:position w:val="5"/>
          <w:sz w:val="20"/>
        </w:rPr>
        <w:t>' </w:t>
      </w:r>
      <w:r>
        <w:rPr>
          <w:color w:val="3F705B"/>
          <w:w w:val="75"/>
          <w:sz w:val="37"/>
        </w:rPr>
        <w:t>-</w:t>
      </w:r>
    </w:p>
    <w:p>
      <w:pPr>
        <w:spacing w:before="28"/>
        <w:ind w:left="1314" w:right="2150" w:firstLine="0"/>
        <w:jc w:val="center"/>
        <w:rPr>
          <w:sz w:val="11"/>
        </w:rPr>
      </w:pPr>
      <w:r>
        <w:rPr/>
        <w:br w:type="column"/>
      </w:r>
      <w:r>
        <w:rPr>
          <w:color w:val="547E6E"/>
          <w:w w:val="65"/>
          <w:sz w:val="11"/>
        </w:rPr>
        <w:t>n.</w:t>
      </w:r>
    </w:p>
    <w:p>
      <w:pPr>
        <w:spacing w:before="55"/>
        <w:ind w:left="1625" w:right="1830" w:firstLine="0"/>
        <w:jc w:val="center"/>
        <w:rPr>
          <w:rFonts w:ascii="Times New Roman"/>
          <w:sz w:val="8"/>
        </w:rPr>
      </w:pPr>
      <w:r>
        <w:rPr>
          <w:rFonts w:ascii="Times New Roman"/>
          <w:color w:val="547E6E"/>
          <w:w w:val="65"/>
          <w:sz w:val="8"/>
        </w:rPr>
        <w:t>A.</w:t>
      </w:r>
    </w:p>
    <w:p>
      <w:pPr>
        <w:tabs>
          <w:tab w:pos="1660" w:val="left" w:leader="none"/>
        </w:tabs>
        <w:spacing w:before="29"/>
        <w:ind w:left="419" w:right="0" w:firstLine="0"/>
        <w:jc w:val="left"/>
        <w:rPr>
          <w:sz w:val="11"/>
        </w:rPr>
      </w:pPr>
      <w:r>
        <w:rPr>
          <w:rFonts w:ascii="Times New Roman"/>
          <w:color w:val="3F705B"/>
          <w:w w:val="65"/>
          <w:sz w:val="8"/>
        </w:rPr>
        <w:t>-          </w:t>
      </w:r>
      <w:r>
        <w:rPr>
          <w:rFonts w:ascii="Times New Roman"/>
          <w:color w:val="3F705B"/>
          <w:spacing w:val="6"/>
          <w:w w:val="65"/>
          <w:sz w:val="8"/>
        </w:rPr>
        <w:t> </w:t>
      </w:r>
      <w:r>
        <w:rPr>
          <w:rFonts w:ascii="Times New Roman"/>
          <w:color w:val="3F705B"/>
          <w:w w:val="65"/>
          <w:sz w:val="8"/>
        </w:rPr>
        <w:t>I</w:t>
      </w:r>
      <w:r>
        <w:rPr>
          <w:rFonts w:ascii="Times New Roman"/>
          <w:color w:val="3F705B"/>
          <w:spacing w:val="-5"/>
          <w:w w:val="65"/>
          <w:sz w:val="8"/>
        </w:rPr>
        <w:t> </w:t>
      </w:r>
      <w:r>
        <w:rPr>
          <w:rFonts w:ascii="Times New Roman"/>
          <w:color w:val="3F705B"/>
          <w:w w:val="65"/>
          <w:sz w:val="8"/>
        </w:rPr>
        <w:t>,</w:t>
        <w:tab/>
      </w:r>
      <w:r>
        <w:rPr>
          <w:color w:val="547E6E"/>
          <w:w w:val="65"/>
          <w:position w:val="-2"/>
          <w:sz w:val="11"/>
        </w:rPr>
        <w:t>n.</w:t>
      </w:r>
    </w:p>
    <w:p>
      <w:pPr>
        <w:tabs>
          <w:tab w:pos="673" w:val="left" w:leader="none"/>
          <w:tab w:pos="1939" w:val="left" w:leader="none"/>
        </w:tabs>
        <w:spacing w:before="25"/>
        <w:ind w:left="435" w:right="0" w:firstLine="0"/>
        <w:jc w:val="left"/>
        <w:rPr>
          <w:sz w:val="11"/>
        </w:rPr>
      </w:pPr>
      <w:r>
        <w:rPr>
          <w:rFonts w:ascii="Times New Roman"/>
          <w:color w:val="3F705B"/>
          <w:w w:val="65"/>
          <w:sz w:val="8"/>
        </w:rPr>
        <w:t>I</w:t>
        <w:tab/>
        <w:t>,</w:t>
        <w:tab/>
      </w:r>
      <w:r>
        <w:rPr>
          <w:color w:val="547E6E"/>
          <w:w w:val="65"/>
          <w:position w:val="1"/>
          <w:sz w:val="11"/>
        </w:rPr>
        <w:t>n.</w:t>
      </w:r>
    </w:p>
    <w:p>
      <w:pPr>
        <w:spacing w:after="0"/>
        <w:jc w:val="left"/>
        <w:rPr>
          <w:sz w:val="11"/>
        </w:rPr>
        <w:sectPr>
          <w:footerReference w:type="default" r:id="rId22"/>
          <w:pgSz w:w="11910" w:h="16840"/>
          <w:pgMar w:footer="0" w:header="0" w:top="0" w:bottom="280" w:left="0" w:right="160"/>
          <w:cols w:num="4" w:equalWidth="0">
            <w:col w:w="3364" w:space="40"/>
            <w:col w:w="1139" w:space="39"/>
            <w:col w:w="2942" w:space="39"/>
            <w:col w:w="4187"/>
          </w:cols>
        </w:sectPr>
      </w:pPr>
    </w:p>
    <w:p>
      <w:pPr>
        <w:spacing w:before="39"/>
        <w:ind w:left="0" w:right="171" w:firstLine="0"/>
        <w:jc w:val="right"/>
        <w:rPr>
          <w:sz w:val="14"/>
        </w:rPr>
      </w:pPr>
      <w:r>
        <w:rPr>
          <w:color w:val="3F705B"/>
          <w:sz w:val="14"/>
        </w:rPr>
        <w:t>132</w:t>
      </w:r>
    </w:p>
    <w:p>
      <w:pPr>
        <w:spacing w:line="123" w:lineRule="exact" w:before="40"/>
        <w:ind w:left="775" w:right="437" w:firstLine="0"/>
        <w:jc w:val="center"/>
        <w:rPr>
          <w:sz w:val="11"/>
        </w:rPr>
      </w:pPr>
      <w:r>
        <w:rPr>
          <w:color w:val="547E6E"/>
          <w:sz w:val="11"/>
        </w:rPr>
        <w:t>n.</w:t>
      </w:r>
    </w:p>
    <w:p>
      <w:pPr>
        <w:spacing w:line="123" w:lineRule="exact" w:before="0"/>
        <w:ind w:left="0" w:right="0" w:firstLine="0"/>
        <w:jc w:val="right"/>
        <w:rPr>
          <w:sz w:val="11"/>
        </w:rPr>
      </w:pPr>
      <w:r>
        <w:rPr>
          <w:color w:val="547E6E"/>
          <w:sz w:val="11"/>
        </w:rPr>
        <w:t>n.</w:t>
      </w:r>
    </w:p>
    <w:p>
      <w:pPr>
        <w:pStyle w:val="BodyText"/>
        <w:spacing w:before="7"/>
        <w:rPr>
          <w:sz w:val="14"/>
        </w:rPr>
      </w:pPr>
      <w:r>
        <w:rPr/>
        <w:br w:type="column"/>
      </w:r>
      <w:r>
        <w:rPr>
          <w:sz w:val="14"/>
        </w:rPr>
      </w:r>
    </w:p>
    <w:p>
      <w:pPr>
        <w:tabs>
          <w:tab w:pos="908" w:val="left" w:leader="none"/>
          <w:tab w:pos="1528" w:val="left" w:leader="none"/>
        </w:tabs>
        <w:spacing w:line="114" w:lineRule="exact" w:before="0"/>
        <w:ind w:left="387" w:right="0" w:firstLine="0"/>
        <w:jc w:val="left"/>
        <w:rPr>
          <w:rFonts w:ascii="Times New Roman"/>
          <w:sz w:val="8"/>
        </w:rPr>
      </w:pPr>
      <w:r>
        <w:rPr>
          <w:color w:val="547E6E"/>
          <w:sz w:val="11"/>
        </w:rPr>
        <w:t>n.</w:t>
        <w:tab/>
      </w:r>
      <w:r>
        <w:rPr>
          <w:rFonts w:ascii="Times New Roman"/>
          <w:color w:val="547E6E"/>
          <w:sz w:val="8"/>
        </w:rPr>
        <w:t>A.</w:t>
        <w:tab/>
      </w:r>
      <w:r>
        <w:rPr>
          <w:rFonts w:ascii="Times New Roman"/>
          <w:color w:val="547E6E"/>
          <w:spacing w:val="-10"/>
          <w:position w:val="1"/>
          <w:sz w:val="8"/>
        </w:rPr>
        <w:t>A.</w:t>
      </w:r>
    </w:p>
    <w:p>
      <w:pPr>
        <w:tabs>
          <w:tab w:pos="1224" w:val="left" w:leader="none"/>
        </w:tabs>
        <w:spacing w:line="114" w:lineRule="exact" w:before="0"/>
        <w:ind w:left="677" w:right="0" w:firstLine="0"/>
        <w:jc w:val="left"/>
        <w:rPr>
          <w:sz w:val="11"/>
        </w:rPr>
      </w:pPr>
      <w:r>
        <w:rPr>
          <w:rFonts w:ascii="Times New Roman"/>
          <w:color w:val="547E6E"/>
          <w:sz w:val="8"/>
        </w:rPr>
        <w:t>A.</w:t>
        <w:tab/>
      </w:r>
      <w:r>
        <w:rPr>
          <w:color w:val="547E6E"/>
          <w:sz w:val="11"/>
        </w:rPr>
        <w:t>n.</w:t>
      </w:r>
    </w:p>
    <w:p>
      <w:pPr>
        <w:tabs>
          <w:tab w:pos="585" w:val="left" w:leader="none"/>
        </w:tabs>
        <w:spacing w:before="16"/>
        <w:ind w:left="269" w:right="0" w:firstLine="0"/>
        <w:jc w:val="left"/>
        <w:rPr>
          <w:rFonts w:ascii="Times New Roman"/>
          <w:b/>
          <w:sz w:val="14"/>
        </w:rPr>
      </w:pPr>
      <w:r>
        <w:rPr/>
        <w:br w:type="column"/>
      </w:r>
      <w:r>
        <w:rPr>
          <w:color w:val="547E6E"/>
          <w:position w:val="-4"/>
          <w:sz w:val="11"/>
        </w:rPr>
        <w:t>n.</w:t>
        <w:tab/>
      </w:r>
      <w:r>
        <w:rPr>
          <w:rFonts w:ascii="Times New Roman"/>
          <w:b/>
          <w:color w:val="547E6E"/>
          <w:sz w:val="14"/>
        </w:rPr>
        <w:t>44</w:t>
      </w:r>
    </w:p>
    <w:p>
      <w:pPr>
        <w:spacing w:after="0"/>
        <w:jc w:val="left"/>
        <w:rPr>
          <w:rFonts w:ascii="Times New Roman"/>
          <w:sz w:val="14"/>
        </w:rPr>
        <w:sectPr>
          <w:type w:val="continuous"/>
          <w:pgSz w:w="11910" w:h="16840"/>
          <w:pgMar w:top="0" w:bottom="280" w:left="0" w:right="160"/>
          <w:cols w:num="3" w:equalWidth="0">
            <w:col w:w="1345" w:space="40"/>
            <w:col w:w="1607" w:space="39"/>
            <w:col w:w="8719"/>
          </w:cols>
        </w:sectPr>
      </w:pPr>
    </w:p>
    <w:p>
      <w:pPr>
        <w:tabs>
          <w:tab w:pos="1593" w:val="left" w:leader="none"/>
        </w:tabs>
        <w:spacing w:line="121" w:lineRule="exact" w:before="8"/>
        <w:ind w:left="576" w:right="0" w:firstLine="0"/>
        <w:jc w:val="left"/>
        <w:rPr>
          <w:sz w:val="11"/>
        </w:rPr>
      </w:pPr>
      <w:r>
        <w:rPr>
          <w:rFonts w:ascii="Times New Roman"/>
          <w:color w:val="547E6E"/>
          <w:sz w:val="8"/>
        </w:rPr>
        <w:t>A.</w:t>
        <w:tab/>
      </w:r>
      <w:r>
        <w:rPr>
          <w:color w:val="547E6E"/>
          <w:sz w:val="11"/>
        </w:rPr>
        <w:t>n.</w:t>
      </w:r>
    </w:p>
    <w:p>
      <w:pPr>
        <w:tabs>
          <w:tab w:pos="922" w:val="left" w:leader="none"/>
        </w:tabs>
        <w:spacing w:line="106" w:lineRule="exact" w:before="0"/>
        <w:ind w:left="305" w:right="0" w:firstLine="0"/>
        <w:jc w:val="left"/>
        <w:rPr>
          <w:rFonts w:ascii="Times New Roman"/>
          <w:sz w:val="8"/>
        </w:rPr>
      </w:pPr>
      <w:r>
        <w:rPr>
          <w:color w:val="547E6E"/>
          <w:sz w:val="11"/>
        </w:rPr>
        <w:t>n.</w:t>
        <w:tab/>
      </w:r>
      <w:r>
        <w:rPr>
          <w:rFonts w:ascii="Times New Roman"/>
          <w:color w:val="547E6E"/>
          <w:sz w:val="8"/>
        </w:rPr>
        <w:t>A.</w:t>
      </w:r>
    </w:p>
    <w:p>
      <w:pPr>
        <w:spacing w:line="65" w:lineRule="exact" w:before="0"/>
        <w:ind w:left="0" w:right="449" w:firstLine="0"/>
        <w:jc w:val="right"/>
        <w:rPr>
          <w:sz w:val="11"/>
        </w:rPr>
      </w:pPr>
      <w:r>
        <w:rPr>
          <w:color w:val="547E6E"/>
          <w:w w:val="55"/>
          <w:sz w:val="11"/>
        </w:rPr>
        <w:t>n.</w:t>
      </w:r>
    </w:p>
    <w:p>
      <w:pPr>
        <w:tabs>
          <w:tab w:pos="949" w:val="left" w:leader="none"/>
        </w:tabs>
        <w:spacing w:line="124" w:lineRule="exact" w:before="0"/>
        <w:ind w:left="316" w:right="0" w:firstLine="0"/>
        <w:jc w:val="left"/>
        <w:rPr>
          <w:sz w:val="11"/>
        </w:rPr>
      </w:pPr>
      <w:r>
        <w:rPr/>
        <w:br w:type="column"/>
      </w:r>
      <w:r>
        <w:rPr>
          <w:rFonts w:ascii="Times New Roman"/>
          <w:color w:val="547E6E"/>
          <w:sz w:val="8"/>
        </w:rPr>
        <w:t>A.</w:t>
        <w:tab/>
      </w:r>
      <w:r>
        <w:rPr>
          <w:color w:val="547E6E"/>
          <w:sz w:val="11"/>
        </w:rPr>
        <w:t>n.</w:t>
      </w:r>
    </w:p>
    <w:p>
      <w:pPr>
        <w:spacing w:line="91" w:lineRule="exact" w:before="0"/>
        <w:ind w:left="585" w:right="379" w:firstLine="0"/>
        <w:jc w:val="center"/>
        <w:rPr>
          <w:rFonts w:ascii="Times New Roman"/>
          <w:sz w:val="8"/>
        </w:rPr>
      </w:pPr>
      <w:r>
        <w:rPr>
          <w:rFonts w:ascii="Times New Roman"/>
          <w:color w:val="547E6E"/>
          <w:sz w:val="8"/>
        </w:rPr>
        <w:t>A.</w:t>
      </w:r>
    </w:p>
    <w:p>
      <w:pPr>
        <w:spacing w:line="13" w:lineRule="exact" w:before="71"/>
        <w:ind w:left="305" w:right="0" w:firstLine="0"/>
        <w:jc w:val="left"/>
        <w:rPr>
          <w:sz w:val="11"/>
        </w:rPr>
      </w:pPr>
      <w:r>
        <w:rPr>
          <w:color w:val="547E6E"/>
          <w:w w:val="65"/>
          <w:sz w:val="11"/>
        </w:rPr>
        <w:t>n.</w:t>
      </w:r>
    </w:p>
    <w:p>
      <w:pPr>
        <w:spacing w:before="47"/>
        <w:ind w:left="305" w:right="0" w:firstLine="0"/>
        <w:jc w:val="left"/>
        <w:rPr>
          <w:sz w:val="13"/>
        </w:rPr>
      </w:pPr>
      <w:r>
        <w:rPr/>
        <w:br w:type="column"/>
      </w:r>
      <w:r>
        <w:rPr>
          <w:color w:val="547E6E"/>
          <w:w w:val="130"/>
          <w:sz w:val="13"/>
        </w:rPr>
        <w:t>Karls</w:t>
      </w:r>
    </w:p>
    <w:p>
      <w:pPr>
        <w:spacing w:after="0"/>
        <w:jc w:val="left"/>
        <w:rPr>
          <w:sz w:val="13"/>
        </w:rPr>
        <w:sectPr>
          <w:type w:val="continuous"/>
          <w:pgSz w:w="11910" w:h="16840"/>
          <w:pgMar w:top="0" w:bottom="280" w:left="0" w:right="160"/>
          <w:cols w:num="3" w:equalWidth="0">
            <w:col w:w="1726" w:space="279"/>
            <w:col w:w="1082" w:space="7763"/>
            <w:col w:w="900"/>
          </w:cols>
        </w:sectPr>
      </w:pPr>
    </w:p>
    <w:p>
      <w:pPr>
        <w:tabs>
          <w:tab w:pos="581" w:val="left" w:leader="none"/>
          <w:tab w:pos="899" w:val="left" w:leader="none"/>
        </w:tabs>
        <w:spacing w:line="172" w:lineRule="auto" w:before="100"/>
        <w:ind w:left="0" w:right="55" w:firstLine="0"/>
        <w:jc w:val="right"/>
        <w:rPr>
          <w:rFonts w:ascii="Times New Roman"/>
          <w:sz w:val="8"/>
        </w:rPr>
      </w:pPr>
      <w:r>
        <w:rPr>
          <w:rFonts w:ascii="Times New Roman"/>
          <w:color w:val="547E6E"/>
          <w:w w:val="65"/>
          <w:sz w:val="8"/>
        </w:rPr>
        <w:t>A.</w:t>
        <w:tab/>
      </w:r>
      <w:r>
        <w:rPr>
          <w:rFonts w:ascii="Times New Roman"/>
          <w:color w:val="547E6E"/>
          <w:w w:val="65"/>
          <w:position w:val="1"/>
          <w:sz w:val="8"/>
        </w:rPr>
        <w:t>A.</w:t>
        <w:tab/>
      </w:r>
      <w:r>
        <w:rPr>
          <w:rFonts w:ascii="Times New Roman"/>
          <w:color w:val="547E6E"/>
          <w:w w:val="55"/>
          <w:position w:val="-2"/>
          <w:sz w:val="8"/>
        </w:rPr>
        <w:t>A.</w:t>
      </w:r>
    </w:p>
    <w:p>
      <w:pPr>
        <w:spacing w:line="79" w:lineRule="exact" w:before="0"/>
        <w:ind w:left="292" w:right="0" w:firstLine="0"/>
        <w:jc w:val="left"/>
        <w:rPr>
          <w:rFonts w:ascii="Times New Roman"/>
          <w:sz w:val="8"/>
        </w:rPr>
      </w:pPr>
      <w:r>
        <w:rPr>
          <w:rFonts w:ascii="Times New Roman"/>
          <w:color w:val="547E6E"/>
          <w:w w:val="65"/>
          <w:sz w:val="8"/>
        </w:rPr>
        <w:t>A.</w:t>
      </w:r>
    </w:p>
    <w:p>
      <w:pPr>
        <w:tabs>
          <w:tab w:pos="646" w:val="left" w:leader="none"/>
        </w:tabs>
        <w:spacing w:before="14"/>
        <w:ind w:left="26" w:right="0" w:firstLine="0"/>
        <w:jc w:val="left"/>
        <w:rPr>
          <w:sz w:val="11"/>
        </w:rPr>
      </w:pPr>
      <w:r>
        <w:rPr>
          <w:color w:val="3F705B"/>
          <w:w w:val="65"/>
          <w:position w:val="-5"/>
          <w:sz w:val="11"/>
        </w:rPr>
        <w:t>n.</w:t>
        <w:tab/>
      </w:r>
      <w:r>
        <w:rPr>
          <w:color w:val="547E6E"/>
          <w:w w:val="65"/>
          <w:sz w:val="11"/>
        </w:rPr>
        <w:t>n.</w:t>
      </w:r>
    </w:p>
    <w:p>
      <w:pPr>
        <w:spacing w:before="10"/>
        <w:ind w:left="0" w:right="0" w:firstLine="0"/>
        <w:jc w:val="right"/>
        <w:rPr>
          <w:rFonts w:ascii="Times New Roman"/>
          <w:sz w:val="8"/>
        </w:rPr>
      </w:pPr>
      <w:r>
        <w:rPr>
          <w:rFonts w:ascii="Times New Roman"/>
          <w:color w:val="547E6E"/>
          <w:w w:val="55"/>
          <w:sz w:val="8"/>
        </w:rPr>
        <w:t>A.</w:t>
      </w:r>
    </w:p>
    <w:p>
      <w:pPr>
        <w:spacing w:before="14"/>
        <w:ind w:left="340" w:right="0" w:firstLine="0"/>
        <w:jc w:val="left"/>
        <w:rPr>
          <w:rFonts w:ascii="Times New Roman"/>
          <w:sz w:val="8"/>
        </w:rPr>
      </w:pPr>
      <w:r>
        <w:rPr>
          <w:rFonts w:ascii="Times New Roman"/>
          <w:color w:val="547E6E"/>
          <w:w w:val="65"/>
          <w:sz w:val="8"/>
        </w:rPr>
        <w:t>A.</w:t>
      </w:r>
    </w:p>
    <w:p>
      <w:pPr>
        <w:tabs>
          <w:tab w:pos="10365" w:val="right" w:leader="none"/>
        </w:tabs>
        <w:spacing w:line="159" w:lineRule="exact" w:before="0"/>
        <w:ind w:left="283" w:right="0" w:firstLine="0"/>
        <w:jc w:val="left"/>
        <w:rPr>
          <w:rFonts w:ascii="Times New Roman"/>
          <w:sz w:val="15"/>
        </w:rPr>
      </w:pPr>
      <w:r>
        <w:rPr/>
        <w:br w:type="column"/>
      </w:r>
      <w:r>
        <w:rPr>
          <w:rFonts w:ascii="Times New Roman"/>
          <w:color w:val="547E6E"/>
          <w:w w:val="85"/>
          <w:position w:val="1"/>
          <w:sz w:val="8"/>
        </w:rPr>
        <w:t>A.</w:t>
        <w:tab/>
      </w:r>
      <w:r>
        <w:rPr>
          <w:rFonts w:ascii="Times New Roman"/>
          <w:color w:val="3F705B"/>
          <w:w w:val="110"/>
          <w:sz w:val="15"/>
        </w:rPr>
        <w:t>53</w:t>
      </w:r>
    </w:p>
    <w:p>
      <w:pPr>
        <w:spacing w:line="118" w:lineRule="exact" w:before="0"/>
        <w:ind w:left="0" w:right="1208" w:firstLine="0"/>
        <w:jc w:val="right"/>
        <w:rPr>
          <w:sz w:val="11"/>
        </w:rPr>
      </w:pPr>
      <w:r>
        <w:rPr/>
        <w:pict>
          <v:shape style="position:absolute;margin-left:124.504501pt;margin-top:3.846175pt;width:2.15pt;height:4.45pt;mso-position-horizontal-relative:page;mso-position-vertical-relative:paragraph;z-index:1528" type="#_x0000_t202" filled="false" stroked="false">
            <v:textbox inset="0,0,0,0">
              <w:txbxContent>
                <w:p>
                  <w:pPr>
                    <w:spacing w:line="89" w:lineRule="exact" w:before="0"/>
                    <w:ind w:left="0" w:right="0" w:firstLine="0"/>
                    <w:jc w:val="left"/>
                    <w:rPr>
                      <w:rFonts w:ascii="Times New Roman"/>
                      <w:sz w:val="8"/>
                    </w:rPr>
                  </w:pPr>
                  <w:r>
                    <w:rPr>
                      <w:rFonts w:ascii="Times New Roman"/>
                      <w:color w:val="547E6E"/>
                      <w:w w:val="55"/>
                      <w:sz w:val="8"/>
                    </w:rPr>
                    <w:t>A.</w:t>
                  </w:r>
                </w:p>
              </w:txbxContent>
            </v:textbox>
            <w10:wrap type="none"/>
          </v:shape>
        </w:pict>
      </w:r>
      <w:r>
        <w:rPr>
          <w:color w:val="547E6E"/>
          <w:w w:val="55"/>
          <w:sz w:val="11"/>
        </w:rPr>
        <w:t>n.</w:t>
      </w:r>
    </w:p>
    <w:p>
      <w:pPr>
        <w:tabs>
          <w:tab w:pos="420" w:val="left" w:leader="none"/>
        </w:tabs>
        <w:spacing w:line="170" w:lineRule="auto" w:before="14"/>
        <w:ind w:left="23" w:right="0" w:firstLine="0"/>
        <w:jc w:val="left"/>
        <w:rPr>
          <w:sz w:val="11"/>
        </w:rPr>
      </w:pPr>
      <w:r>
        <w:rPr>
          <w:rFonts w:ascii="Times New Roman"/>
          <w:color w:val="547E6E"/>
          <w:w w:val="65"/>
          <w:sz w:val="8"/>
        </w:rPr>
        <w:t>A.</w:t>
        <w:tab/>
      </w:r>
      <w:r>
        <w:rPr>
          <w:color w:val="547E6E"/>
          <w:w w:val="65"/>
          <w:position w:val="-4"/>
          <w:sz w:val="11"/>
        </w:rPr>
        <w:t>n.</w:t>
      </w:r>
    </w:p>
    <w:p>
      <w:pPr>
        <w:spacing w:line="87" w:lineRule="exact" w:before="66"/>
        <w:ind w:left="643" w:right="0" w:firstLine="0"/>
        <w:jc w:val="left"/>
        <w:rPr>
          <w:rFonts w:ascii="Times New Roman"/>
          <w:sz w:val="8"/>
        </w:rPr>
      </w:pPr>
      <w:r>
        <w:rPr>
          <w:rFonts w:ascii="Times New Roman"/>
          <w:color w:val="547E6E"/>
          <w:w w:val="125"/>
          <w:sz w:val="8"/>
        </w:rPr>
        <w:t>A.</w:t>
      </w:r>
    </w:p>
    <w:p>
      <w:pPr>
        <w:spacing w:line="122" w:lineRule="exact" w:before="0"/>
        <w:ind w:left="50" w:right="0" w:firstLine="0"/>
        <w:jc w:val="left"/>
        <w:rPr>
          <w:sz w:val="11"/>
        </w:rPr>
      </w:pPr>
      <w:r>
        <w:rPr>
          <w:color w:val="547E6E"/>
          <w:w w:val="125"/>
          <w:sz w:val="11"/>
        </w:rPr>
        <w:t>n.</w:t>
      </w:r>
    </w:p>
    <w:p>
      <w:pPr>
        <w:spacing w:after="0" w:line="122" w:lineRule="exact"/>
        <w:jc w:val="left"/>
        <w:rPr>
          <w:sz w:val="11"/>
        </w:rPr>
        <w:sectPr>
          <w:type w:val="continuous"/>
          <w:pgSz w:w="11910" w:h="16840"/>
          <w:pgMar w:top="0" w:bottom="280" w:left="0" w:right="160"/>
          <w:cols w:num="2" w:equalWidth="0">
            <w:col w:w="1024" w:space="246"/>
            <w:col w:w="10480"/>
          </w:cols>
        </w:sectPr>
      </w:pPr>
    </w:p>
    <w:p>
      <w:pPr>
        <w:tabs>
          <w:tab w:pos="738" w:val="left" w:leader="none"/>
          <w:tab w:pos="1988" w:val="left" w:leader="none"/>
        </w:tabs>
        <w:spacing w:line="164" w:lineRule="exact" w:before="34"/>
        <w:ind w:left="0" w:right="9600" w:firstLine="0"/>
        <w:jc w:val="center"/>
        <w:rPr>
          <w:sz w:val="11"/>
        </w:rPr>
      </w:pPr>
      <w:r>
        <w:rPr/>
        <w:pict>
          <v:shape style="position:absolute;margin-left:56.693001pt;margin-top:674.079834pt;width:129.85pt;height:68.5pt;mso-position-horizontal-relative:page;mso-position-vertical-relative:page;z-index:-15016" type="#_x0000_t202" filled="false" stroked="false">
            <v:textbox inset="0,0,0,0">
              <w:txbxContent>
                <w:p>
                  <w:pPr>
                    <w:spacing w:line="278" w:lineRule="auto" w:before="5"/>
                    <w:ind w:left="0" w:right="6" w:firstLine="0"/>
                    <w:jc w:val="left"/>
                    <w:rPr>
                      <w:b/>
                      <w:sz w:val="18"/>
                    </w:rPr>
                  </w:pPr>
                  <w:r>
                    <w:rPr>
                      <w:b/>
                      <w:color w:val="FFFFFF"/>
                      <w:sz w:val="18"/>
                    </w:rPr>
                    <w:t>National Survey and Cadastre Rentemestervej 8</w:t>
                  </w:r>
                </w:p>
                <w:p>
                  <w:pPr>
                    <w:spacing w:line="278" w:lineRule="auto" w:before="0"/>
                    <w:ind w:left="0" w:right="6" w:firstLine="0"/>
                    <w:jc w:val="left"/>
                    <w:rPr>
                      <w:b/>
                      <w:sz w:val="18"/>
                    </w:rPr>
                  </w:pPr>
                  <w:r>
                    <w:rPr>
                      <w:b/>
                      <w:color w:val="FFFFFF"/>
                      <w:sz w:val="18"/>
                    </w:rPr>
                    <w:t>2400 Copenhagen NV Denmark</w:t>
                  </w:r>
                </w:p>
                <w:p>
                  <w:pPr>
                    <w:spacing w:before="179"/>
                    <w:ind w:left="0" w:right="0" w:firstLine="0"/>
                    <w:jc w:val="left"/>
                    <w:rPr>
                      <w:b/>
                      <w:sz w:val="18"/>
                    </w:rPr>
                  </w:pPr>
                  <w:hyperlink r:id="rId14">
                    <w:r>
                      <w:rPr>
                        <w:b/>
                        <w:color w:val="FFFFFF"/>
                        <w:sz w:val="18"/>
                      </w:rPr>
                      <w:t>http://www.kms.dk</w:t>
                    </w:r>
                  </w:hyperlink>
                </w:p>
              </w:txbxContent>
            </v:textbox>
            <w10:wrap type="none"/>
          </v:shape>
        </w:pict>
      </w:r>
      <w:r>
        <w:rPr/>
        <w:pict>
          <v:group style="position:absolute;margin-left:0pt;margin-top:.000015pt;width:595.3pt;height:756.85pt;mso-position-horizontal-relative:page;mso-position-vertical-relative:page;z-index:-14992" coordorigin="0,0" coordsize="11906,15137">
            <v:shape style="position:absolute;left:566;top:566;width:10772;height:14571" coordorigin="567,567" coordsize="10772,14571" path="m11339,4819l567,4819,567,15137,11339,15137,11339,4819m11339,567l567,567,567,4252,11339,4252,11339,567e" filled="true" fillcolor="#71a7a1" stroked="false">
              <v:path arrowok="t"/>
              <v:fill type="solid"/>
            </v:shape>
            <v:rect style="position:absolute;left:566;top:4251;width:10772;height:567" filled="true" fillcolor="#578580" stroked="false">
              <v:fill type="solid"/>
            </v:rect>
            <v:shape style="position:absolute;left:0;top:0;width:2770;height:1077" type="#_x0000_t75" stroked="false">
              <v:imagedata r:id="rId23" o:title=""/>
            </v:shape>
            <v:shape style="position:absolute;left:1019;top:0;width:10887;height:4287" type="#_x0000_t75" stroked="false">
              <v:imagedata r:id="rId24" o:title=""/>
            </v:shape>
            <v:shape style="position:absolute;left:0;top:3402;width:789;height:865" type="#_x0000_t75" stroked="false">
              <v:imagedata r:id="rId25" o:title=""/>
            </v:shape>
            <v:line style="position:absolute" from="8477,673" to="8477,0" stroked="true" strokeweight=".961671pt" strokecolor="#000000">
              <v:stroke dashstyle="solid"/>
            </v:line>
            <v:line style="position:absolute" from="8775,673" to="8775,0" stroked="true" strokeweight=".240418pt" strokecolor="#000000">
              <v:stroke dashstyle="solid"/>
            </v:line>
            <v:line style="position:absolute" from="10877,2595" to="10877,1634" stroked="true" strokeweight=".961671pt" strokecolor="#000000">
              <v:stroke dashstyle="solid"/>
            </v:line>
            <w10:wrap type="none"/>
          </v:group>
        </w:pict>
      </w:r>
      <w:r>
        <w:rPr>
          <w:rFonts w:ascii="Times New Roman" w:hAnsi="Times New Roman"/>
          <w:color w:val="547E6E"/>
          <w:w w:val="95"/>
          <w:position w:val="4"/>
          <w:sz w:val="8"/>
        </w:rPr>
        <w:t>A.</w:t>
        <w:tab/>
      </w:r>
      <w:r>
        <w:rPr>
          <w:color w:val="3F705B"/>
          <w:w w:val="115"/>
          <w:sz w:val="13"/>
        </w:rPr>
        <w:t>Trehøje</w:t>
        <w:tab/>
      </w:r>
      <w:r>
        <w:rPr>
          <w:color w:val="547E6E"/>
          <w:w w:val="115"/>
          <w:position w:val="-1"/>
          <w:sz w:val="11"/>
        </w:rPr>
        <w:t>n.</w:t>
      </w:r>
    </w:p>
    <w:p>
      <w:pPr>
        <w:tabs>
          <w:tab w:pos="1720" w:val="left" w:leader="none"/>
        </w:tabs>
        <w:spacing w:line="136" w:lineRule="exact" w:before="0"/>
        <w:ind w:left="645" w:right="0" w:firstLine="0"/>
        <w:jc w:val="left"/>
        <w:rPr>
          <w:rFonts w:ascii="Times New Roman" w:hAnsi="Times New Roman"/>
          <w:sz w:val="13"/>
        </w:rPr>
      </w:pPr>
      <w:r>
        <w:rPr>
          <w:color w:val="547E6E"/>
          <w:w w:val="130"/>
          <w:sz w:val="13"/>
        </w:rPr>
        <w:t>(Dyrehøje)</w:t>
        <w:tab/>
      </w:r>
      <w:r>
        <w:rPr>
          <w:rFonts w:ascii="Times New Roman" w:hAnsi="Times New Roman"/>
          <w:color w:val="547E6E"/>
          <w:w w:val="130"/>
          <w:sz w:val="13"/>
          <w:vertAlign w:val="subscript"/>
        </w:rPr>
        <w:t>A.</w:t>
      </w:r>
    </w:p>
    <w:p>
      <w:pPr>
        <w:spacing w:line="114" w:lineRule="exact" w:before="0"/>
        <w:ind w:left="218" w:right="0" w:firstLine="0"/>
        <w:jc w:val="left"/>
        <w:rPr>
          <w:sz w:val="11"/>
        </w:rPr>
      </w:pPr>
      <w:r>
        <w:rPr>
          <w:color w:val="547E6E"/>
          <w:w w:val="65"/>
          <w:sz w:val="11"/>
        </w:rPr>
        <w:t>n.</w:t>
      </w:r>
    </w:p>
    <w:p>
      <w:pPr>
        <w:spacing w:before="8"/>
        <w:ind w:left="896" w:right="10522" w:firstLine="0"/>
        <w:jc w:val="center"/>
        <w:rPr>
          <w:b/>
          <w:sz w:val="14"/>
        </w:rPr>
      </w:pPr>
      <w:r>
        <w:rPr>
          <w:b/>
          <w:color w:val="3F705B"/>
          <w:w w:val="125"/>
          <w:sz w:val="14"/>
        </w:rPr>
        <w:t>127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r>
        <w:rPr/>
        <w:drawing>
          <wp:anchor distT="0" distB="0" distL="0" distR="0" allowOverlap="1" layoutInCell="1" locked="0" behindDoc="0" simplePos="0" relativeHeight="18">
            <wp:simplePos x="0" y="0"/>
            <wp:positionH relativeFrom="page">
              <wp:posOffset>6781392</wp:posOffset>
            </wp:positionH>
            <wp:positionV relativeFrom="paragraph">
              <wp:posOffset>144605</wp:posOffset>
            </wp:positionV>
            <wp:extent cx="426991" cy="521208"/>
            <wp:effectExtent l="0" t="0" r="0" b="0"/>
            <wp:wrapTopAndBottom/>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26" cstate="print"/>
                    <a:stretch>
                      <a:fillRect/>
                    </a:stretch>
                  </pic:blipFill>
                  <pic:spPr>
                    <a:xfrm>
                      <a:off x="0" y="0"/>
                      <a:ext cx="426991" cy="521208"/>
                    </a:xfrm>
                    <a:prstGeom prst="rect">
                      <a:avLst/>
                    </a:prstGeom>
                  </pic:spPr>
                </pic:pic>
              </a:graphicData>
            </a:graphic>
          </wp:anchor>
        </w:drawing>
      </w:r>
    </w:p>
    <w:sectPr>
      <w:type w:val="continuous"/>
      <w:pgSz w:w="11910" w:h="16840"/>
      <w:pgMar w:top="0" w:bottom="280" w:left="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89996pt;margin-top:805.35022pt;width:9.1pt;height:13.35pt;mso-position-horizontal-relative:page;mso-position-vertical-relative:page;z-index:-15472" type="#_x0000_t202" filled="false" stroked="false">
          <v:textbox inset="0,0,0,0">
            <w:txbxContent>
              <w:p>
                <w:pPr>
                  <w:pStyle w:val="BodyText"/>
                  <w:spacing w:before="26"/>
                  <w:ind w:left="40"/>
                </w:pPr>
                <w:r>
                  <w:rPr/>
                  <w:fldChar w:fldCharType="begin"/>
                </w:r>
                <w:r>
                  <w:rPr>
                    <w:w w:val="101"/>
                  </w:rPr>
                  <w:instrText> PAGE </w:instrText>
                </w:r>
                <w:r>
                  <w:rPr/>
                  <w:fldChar w:fldCharType="separate"/>
                </w:r>
                <w:r>
                  <w:rPr/>
                  <w:t>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448" from="56.693001pt,784.997986pt" to="538.583001pt,784.997986pt" stroked="true" strokeweight=".398pt" strokecolor="#000000">
          <v:stroke dashstyle="solid"/>
          <w10:wrap type="none"/>
        </v:line>
      </w:pict>
    </w:r>
    <w:r>
      <w:rPr/>
      <w:pict>
        <v:shape style="position:absolute;margin-left:293.089996pt;margin-top:805.35022pt;width:9.1pt;height:13.35pt;mso-position-horizontal-relative:page;mso-position-vertical-relative:page;z-index:-15424" type="#_x0000_t202" filled="false" stroked="false">
          <v:textbox inset="0,0,0,0">
            <w:txbxContent>
              <w:p>
                <w:pPr>
                  <w:pStyle w:val="BodyText"/>
                  <w:spacing w:before="26"/>
                  <w:ind w:left="40"/>
                </w:pPr>
                <w:r>
                  <w:rPr/>
                  <w:fldChar w:fldCharType="begin"/>
                </w:r>
                <w:r>
                  <w:rPr>
                    <w:w w:val="101"/>
                  </w:rPr>
                  <w:instrText> PAGE </w:instrText>
                </w:r>
                <w:r>
                  <w:rPr/>
                  <w:fldChar w:fldCharType="separate"/>
                </w:r>
                <w:r>
                  <w:rPr/>
                  <w:t>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12">
    <w:multiLevelType w:val="hybridMultilevel"/>
    <w:lvl w:ilvl="0">
      <w:start w:val="1"/>
      <w:numFmt w:val="decimal"/>
      <w:lvlText w:val="%1."/>
      <w:lvlJc w:val="left"/>
      <w:pPr>
        <w:ind w:left="1632" w:hanging="253"/>
        <w:jc w:val="left"/>
      </w:pPr>
      <w:rPr>
        <w:rFonts w:hint="default" w:ascii="Arial" w:hAnsi="Arial" w:eastAsia="Arial" w:cs="Arial"/>
        <w:w w:val="101"/>
        <w:sz w:val="18"/>
        <w:szCs w:val="18"/>
      </w:rPr>
    </w:lvl>
    <w:lvl w:ilvl="1">
      <w:start w:val="0"/>
      <w:numFmt w:val="bullet"/>
      <w:lvlText w:val="•"/>
      <w:lvlJc w:val="left"/>
      <w:pPr>
        <w:ind w:left="2650" w:hanging="253"/>
      </w:pPr>
      <w:rPr>
        <w:rFonts w:hint="default"/>
      </w:rPr>
    </w:lvl>
    <w:lvl w:ilvl="2">
      <w:start w:val="0"/>
      <w:numFmt w:val="bullet"/>
      <w:lvlText w:val="•"/>
      <w:lvlJc w:val="left"/>
      <w:pPr>
        <w:ind w:left="3661" w:hanging="253"/>
      </w:pPr>
      <w:rPr>
        <w:rFonts w:hint="default"/>
      </w:rPr>
    </w:lvl>
    <w:lvl w:ilvl="3">
      <w:start w:val="0"/>
      <w:numFmt w:val="bullet"/>
      <w:lvlText w:val="•"/>
      <w:lvlJc w:val="left"/>
      <w:pPr>
        <w:ind w:left="4671" w:hanging="253"/>
      </w:pPr>
      <w:rPr>
        <w:rFonts w:hint="default"/>
      </w:rPr>
    </w:lvl>
    <w:lvl w:ilvl="4">
      <w:start w:val="0"/>
      <w:numFmt w:val="bullet"/>
      <w:lvlText w:val="•"/>
      <w:lvlJc w:val="left"/>
      <w:pPr>
        <w:ind w:left="5682" w:hanging="253"/>
      </w:pPr>
      <w:rPr>
        <w:rFonts w:hint="default"/>
      </w:rPr>
    </w:lvl>
    <w:lvl w:ilvl="5">
      <w:start w:val="0"/>
      <w:numFmt w:val="bullet"/>
      <w:lvlText w:val="•"/>
      <w:lvlJc w:val="left"/>
      <w:pPr>
        <w:ind w:left="6692" w:hanging="253"/>
      </w:pPr>
      <w:rPr>
        <w:rFonts w:hint="default"/>
      </w:rPr>
    </w:lvl>
    <w:lvl w:ilvl="6">
      <w:start w:val="0"/>
      <w:numFmt w:val="bullet"/>
      <w:lvlText w:val="•"/>
      <w:lvlJc w:val="left"/>
      <w:pPr>
        <w:ind w:left="7703" w:hanging="253"/>
      </w:pPr>
      <w:rPr>
        <w:rFonts w:hint="default"/>
      </w:rPr>
    </w:lvl>
    <w:lvl w:ilvl="7">
      <w:start w:val="0"/>
      <w:numFmt w:val="bullet"/>
      <w:lvlText w:val="•"/>
      <w:lvlJc w:val="left"/>
      <w:pPr>
        <w:ind w:left="8713" w:hanging="253"/>
      </w:pPr>
      <w:rPr>
        <w:rFonts w:hint="default"/>
      </w:rPr>
    </w:lvl>
    <w:lvl w:ilvl="8">
      <w:start w:val="0"/>
      <w:numFmt w:val="bullet"/>
      <w:lvlText w:val="•"/>
      <w:lvlJc w:val="left"/>
      <w:pPr>
        <w:ind w:left="9724" w:hanging="253"/>
      </w:pPr>
      <w:rPr>
        <w:rFonts w:hint="default"/>
      </w:rPr>
    </w:lvl>
  </w:abstractNum>
  <w:abstractNum w:abstractNumId="11">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10">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9">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7">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6">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5">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4">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3">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2">
    <w:multiLevelType w:val="hybridMultilevel"/>
    <w:lvl w:ilvl="0">
      <w:start w:val="1"/>
      <w:numFmt w:val="decimal"/>
      <w:lvlText w:val="%1."/>
      <w:lvlJc w:val="left"/>
      <w:pPr>
        <w:ind w:left="2070" w:hanging="253"/>
        <w:jc w:val="left"/>
      </w:pPr>
      <w:rPr>
        <w:rFonts w:hint="default" w:ascii="Arial" w:hAnsi="Arial" w:eastAsia="Arial" w:cs="Arial"/>
        <w:w w:val="101"/>
        <w:sz w:val="18"/>
        <w:szCs w:val="18"/>
      </w:rPr>
    </w:lvl>
    <w:lvl w:ilvl="1">
      <w:start w:val="0"/>
      <w:numFmt w:val="bullet"/>
      <w:lvlText w:val="•"/>
      <w:lvlJc w:val="left"/>
      <w:pPr>
        <w:ind w:left="3046" w:hanging="253"/>
      </w:pPr>
      <w:rPr>
        <w:rFonts w:hint="default"/>
      </w:rPr>
    </w:lvl>
    <w:lvl w:ilvl="2">
      <w:start w:val="0"/>
      <w:numFmt w:val="bullet"/>
      <w:lvlText w:val="•"/>
      <w:lvlJc w:val="left"/>
      <w:pPr>
        <w:ind w:left="4013" w:hanging="253"/>
      </w:pPr>
      <w:rPr>
        <w:rFonts w:hint="default"/>
      </w:rPr>
    </w:lvl>
    <w:lvl w:ilvl="3">
      <w:start w:val="0"/>
      <w:numFmt w:val="bullet"/>
      <w:lvlText w:val="•"/>
      <w:lvlJc w:val="left"/>
      <w:pPr>
        <w:ind w:left="4979" w:hanging="253"/>
      </w:pPr>
      <w:rPr>
        <w:rFonts w:hint="default"/>
      </w:rPr>
    </w:lvl>
    <w:lvl w:ilvl="4">
      <w:start w:val="0"/>
      <w:numFmt w:val="bullet"/>
      <w:lvlText w:val="•"/>
      <w:lvlJc w:val="left"/>
      <w:pPr>
        <w:ind w:left="5946" w:hanging="253"/>
      </w:pPr>
      <w:rPr>
        <w:rFonts w:hint="default"/>
      </w:rPr>
    </w:lvl>
    <w:lvl w:ilvl="5">
      <w:start w:val="0"/>
      <w:numFmt w:val="bullet"/>
      <w:lvlText w:val="•"/>
      <w:lvlJc w:val="left"/>
      <w:pPr>
        <w:ind w:left="6912" w:hanging="253"/>
      </w:pPr>
      <w:rPr>
        <w:rFonts w:hint="default"/>
      </w:rPr>
    </w:lvl>
    <w:lvl w:ilvl="6">
      <w:start w:val="0"/>
      <w:numFmt w:val="bullet"/>
      <w:lvlText w:val="•"/>
      <w:lvlJc w:val="left"/>
      <w:pPr>
        <w:ind w:left="7879" w:hanging="253"/>
      </w:pPr>
      <w:rPr>
        <w:rFonts w:hint="default"/>
      </w:rPr>
    </w:lvl>
    <w:lvl w:ilvl="7">
      <w:start w:val="0"/>
      <w:numFmt w:val="bullet"/>
      <w:lvlText w:val="•"/>
      <w:lvlJc w:val="left"/>
      <w:pPr>
        <w:ind w:left="8845" w:hanging="253"/>
      </w:pPr>
      <w:rPr>
        <w:rFonts w:hint="default"/>
      </w:rPr>
    </w:lvl>
    <w:lvl w:ilvl="8">
      <w:start w:val="0"/>
      <w:numFmt w:val="bullet"/>
      <w:lvlText w:val="•"/>
      <w:lvlJc w:val="left"/>
      <w:pPr>
        <w:ind w:left="9812" w:hanging="253"/>
      </w:pPr>
      <w:rPr>
        <w:rFonts w:hint="default"/>
      </w:rPr>
    </w:lvl>
  </w:abstractNum>
  <w:abstractNum w:abstractNumId="1">
    <w:multiLevelType w:val="hybridMultilevel"/>
    <w:lvl w:ilvl="0">
      <w:start w:val="1"/>
      <w:numFmt w:val="decimal"/>
      <w:lvlText w:val="%1"/>
      <w:lvlJc w:val="left"/>
      <w:pPr>
        <w:ind w:left="1544" w:hanging="411"/>
        <w:jc w:val="left"/>
      </w:pPr>
      <w:rPr>
        <w:rFonts w:hint="default" w:ascii="Arial" w:hAnsi="Arial" w:eastAsia="Arial" w:cs="Arial"/>
        <w:b/>
        <w:bCs/>
        <w:w w:val="101"/>
        <w:sz w:val="26"/>
        <w:szCs w:val="26"/>
      </w:rPr>
    </w:lvl>
    <w:lvl w:ilvl="1">
      <w:start w:val="1"/>
      <w:numFmt w:val="decimal"/>
      <w:lvlText w:val="%1.%2"/>
      <w:lvlJc w:val="left"/>
      <w:pPr>
        <w:ind w:left="1659" w:hanging="526"/>
        <w:jc w:val="left"/>
      </w:pPr>
      <w:rPr>
        <w:rFonts w:hint="default" w:ascii="Arial" w:hAnsi="Arial" w:eastAsia="Arial" w:cs="Arial"/>
        <w:b/>
        <w:bCs/>
        <w:w w:val="99"/>
        <w:sz w:val="22"/>
        <w:szCs w:val="22"/>
      </w:rPr>
    </w:lvl>
    <w:lvl w:ilvl="2">
      <w:start w:val="0"/>
      <w:numFmt w:val="bullet"/>
      <w:lvlText w:val="•"/>
      <w:lvlJc w:val="left"/>
      <w:pPr>
        <w:ind w:left="2780" w:hanging="526"/>
      </w:pPr>
      <w:rPr>
        <w:rFonts w:hint="default"/>
      </w:rPr>
    </w:lvl>
    <w:lvl w:ilvl="3">
      <w:start w:val="0"/>
      <w:numFmt w:val="bullet"/>
      <w:lvlText w:val="•"/>
      <w:lvlJc w:val="left"/>
      <w:pPr>
        <w:ind w:left="3901" w:hanging="526"/>
      </w:pPr>
      <w:rPr>
        <w:rFonts w:hint="default"/>
      </w:rPr>
    </w:lvl>
    <w:lvl w:ilvl="4">
      <w:start w:val="0"/>
      <w:numFmt w:val="bullet"/>
      <w:lvlText w:val="•"/>
      <w:lvlJc w:val="left"/>
      <w:pPr>
        <w:ind w:left="5021" w:hanging="526"/>
      </w:pPr>
      <w:rPr>
        <w:rFonts w:hint="default"/>
      </w:rPr>
    </w:lvl>
    <w:lvl w:ilvl="5">
      <w:start w:val="0"/>
      <w:numFmt w:val="bullet"/>
      <w:lvlText w:val="•"/>
      <w:lvlJc w:val="left"/>
      <w:pPr>
        <w:ind w:left="6142" w:hanging="526"/>
      </w:pPr>
      <w:rPr>
        <w:rFonts w:hint="default"/>
      </w:rPr>
    </w:lvl>
    <w:lvl w:ilvl="6">
      <w:start w:val="0"/>
      <w:numFmt w:val="bullet"/>
      <w:lvlText w:val="•"/>
      <w:lvlJc w:val="left"/>
      <w:pPr>
        <w:ind w:left="7263" w:hanging="526"/>
      </w:pPr>
      <w:rPr>
        <w:rFonts w:hint="default"/>
      </w:rPr>
    </w:lvl>
    <w:lvl w:ilvl="7">
      <w:start w:val="0"/>
      <w:numFmt w:val="bullet"/>
      <w:lvlText w:val="•"/>
      <w:lvlJc w:val="left"/>
      <w:pPr>
        <w:ind w:left="8383" w:hanging="526"/>
      </w:pPr>
      <w:rPr>
        <w:rFonts w:hint="default"/>
      </w:rPr>
    </w:lvl>
    <w:lvl w:ilvl="8">
      <w:start w:val="0"/>
      <w:numFmt w:val="bullet"/>
      <w:lvlText w:val="•"/>
      <w:lvlJc w:val="left"/>
      <w:pPr>
        <w:ind w:left="9504" w:hanging="526"/>
      </w:pPr>
      <w:rPr>
        <w:rFonts w:hint="default"/>
      </w:rPr>
    </w:lvl>
  </w:abstractNum>
  <w:abstractNum w:abstractNumId="0">
    <w:multiLevelType w:val="hybridMultilevel"/>
    <w:lvl w:ilvl="0">
      <w:start w:val="1"/>
      <w:numFmt w:val="decimal"/>
      <w:lvlText w:val="%1"/>
      <w:lvlJc w:val="left"/>
      <w:pPr>
        <w:ind w:left="1408" w:hanging="275"/>
        <w:jc w:val="left"/>
      </w:pPr>
      <w:rPr>
        <w:rFonts w:hint="default" w:ascii="Arial" w:hAnsi="Arial" w:eastAsia="Arial" w:cs="Arial"/>
        <w:b/>
        <w:bCs/>
        <w:color w:val="FF0000"/>
        <w:w w:val="101"/>
        <w:sz w:val="18"/>
        <w:szCs w:val="18"/>
      </w:rPr>
    </w:lvl>
    <w:lvl w:ilvl="1">
      <w:start w:val="1"/>
      <w:numFmt w:val="decimal"/>
      <w:lvlText w:val="%1.%2"/>
      <w:lvlJc w:val="left"/>
      <w:pPr>
        <w:ind w:left="1830" w:hanging="422"/>
        <w:jc w:val="left"/>
      </w:pPr>
      <w:rPr>
        <w:rFonts w:hint="default" w:ascii="Arial" w:hAnsi="Arial" w:eastAsia="Arial" w:cs="Arial"/>
        <w:color w:val="FF0000"/>
        <w:w w:val="101"/>
        <w:sz w:val="18"/>
        <w:szCs w:val="18"/>
      </w:rPr>
    </w:lvl>
    <w:lvl w:ilvl="2">
      <w:start w:val="0"/>
      <w:numFmt w:val="bullet"/>
      <w:lvlText w:val="•"/>
      <w:lvlJc w:val="left"/>
      <w:pPr>
        <w:ind w:left="2940" w:hanging="422"/>
      </w:pPr>
      <w:rPr>
        <w:rFonts w:hint="default"/>
      </w:rPr>
    </w:lvl>
    <w:lvl w:ilvl="3">
      <w:start w:val="0"/>
      <w:numFmt w:val="bullet"/>
      <w:lvlText w:val="•"/>
      <w:lvlJc w:val="left"/>
      <w:pPr>
        <w:ind w:left="4041" w:hanging="422"/>
      </w:pPr>
      <w:rPr>
        <w:rFonts w:hint="default"/>
      </w:rPr>
    </w:lvl>
    <w:lvl w:ilvl="4">
      <w:start w:val="0"/>
      <w:numFmt w:val="bullet"/>
      <w:lvlText w:val="•"/>
      <w:lvlJc w:val="left"/>
      <w:pPr>
        <w:ind w:left="5141" w:hanging="422"/>
      </w:pPr>
      <w:rPr>
        <w:rFonts w:hint="default"/>
      </w:rPr>
    </w:lvl>
    <w:lvl w:ilvl="5">
      <w:start w:val="0"/>
      <w:numFmt w:val="bullet"/>
      <w:lvlText w:val="•"/>
      <w:lvlJc w:val="left"/>
      <w:pPr>
        <w:ind w:left="6242" w:hanging="422"/>
      </w:pPr>
      <w:rPr>
        <w:rFonts w:hint="default"/>
      </w:rPr>
    </w:lvl>
    <w:lvl w:ilvl="6">
      <w:start w:val="0"/>
      <w:numFmt w:val="bullet"/>
      <w:lvlText w:val="•"/>
      <w:lvlJc w:val="left"/>
      <w:pPr>
        <w:ind w:left="7343" w:hanging="422"/>
      </w:pPr>
      <w:rPr>
        <w:rFonts w:hint="default"/>
      </w:rPr>
    </w:lvl>
    <w:lvl w:ilvl="7">
      <w:start w:val="0"/>
      <w:numFmt w:val="bullet"/>
      <w:lvlText w:val="•"/>
      <w:lvlJc w:val="left"/>
      <w:pPr>
        <w:ind w:left="8443" w:hanging="422"/>
      </w:pPr>
      <w:rPr>
        <w:rFonts w:hint="default"/>
      </w:rPr>
    </w:lvl>
    <w:lvl w:ilvl="8">
      <w:start w:val="0"/>
      <w:numFmt w:val="bullet"/>
      <w:lvlText w:val="•"/>
      <w:lvlJc w:val="left"/>
      <w:pPr>
        <w:ind w:left="9544" w:hanging="422"/>
      </w:pPr>
      <w:rPr>
        <w:rFonts w:hint="default"/>
      </w:rPr>
    </w:lvl>
  </w:abstractNum>
  <w:num w:numId="9">
    <w:abstractNumId w:val="8"/>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01"/>
      <w:ind w:left="1408" w:hanging="275"/>
    </w:pPr>
    <w:rPr>
      <w:rFonts w:ascii="Arial" w:hAnsi="Arial" w:eastAsia="Arial" w:cs="Arial"/>
      <w:b/>
      <w:bCs/>
      <w:sz w:val="18"/>
      <w:szCs w:val="18"/>
    </w:rPr>
  </w:style>
  <w:style w:styleId="TOC2" w:type="paragraph">
    <w:name w:val="TOC 2"/>
    <w:basedOn w:val="Normal"/>
    <w:uiPriority w:val="1"/>
    <w:qFormat/>
    <w:pPr>
      <w:spacing w:before="118"/>
      <w:ind w:left="1408"/>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1"/>
      <w:ind w:left="1544" w:hanging="411"/>
      <w:jc w:val="both"/>
      <w:outlineLvl w:val="1"/>
    </w:pPr>
    <w:rPr>
      <w:rFonts w:ascii="Arial" w:hAnsi="Arial" w:eastAsia="Arial" w:cs="Arial"/>
      <w:b/>
      <w:bCs/>
      <w:sz w:val="26"/>
      <w:szCs w:val="26"/>
    </w:rPr>
  </w:style>
  <w:style w:styleId="Heading2" w:type="paragraph">
    <w:name w:val="Heading 2"/>
    <w:basedOn w:val="Normal"/>
    <w:uiPriority w:val="1"/>
    <w:qFormat/>
    <w:pPr>
      <w:spacing w:before="102"/>
      <w:ind w:left="1133"/>
      <w:outlineLvl w:val="2"/>
    </w:pPr>
    <w:rPr>
      <w:rFonts w:ascii="Arial" w:hAnsi="Arial" w:eastAsia="Arial" w:cs="Arial"/>
      <w:b/>
      <w:bCs/>
      <w:sz w:val="22"/>
      <w:szCs w:val="22"/>
    </w:rPr>
  </w:style>
  <w:style w:styleId="Heading3" w:type="paragraph">
    <w:name w:val="Heading 3"/>
    <w:basedOn w:val="Normal"/>
    <w:uiPriority w:val="1"/>
    <w:qFormat/>
    <w:pPr>
      <w:outlineLvl w:val="3"/>
    </w:pPr>
    <w:rPr>
      <w:rFonts w:ascii="Arial" w:hAnsi="Arial" w:eastAsia="Arial" w:cs="Arial"/>
      <w:b/>
      <w:bCs/>
      <w:sz w:val="18"/>
      <w:szCs w:val="18"/>
    </w:rPr>
  </w:style>
  <w:style w:styleId="ListParagraph" w:type="paragraph">
    <w:name w:val="List Paragraph"/>
    <w:basedOn w:val="Normal"/>
    <w:uiPriority w:val="1"/>
    <w:qFormat/>
    <w:pPr>
      <w:ind w:left="2070" w:hanging="253"/>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kms.dk/"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2019-09-17T09:26:35Z</dcterms:created>
  <dcterms:modified xsi:type="dcterms:W3CDTF">2019-09-17T09:26:35Z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2010-01-20T00:00:00Z</vt:filetime>
  </property>
  <property fmtid="{D5CDD505-2E9C-101B-9397-08002B2CF9AE}" pid="3" name="Creator">
    <vt:lpwstr>LaTeX with hyperref package</vt:lpwstr>
  </property>
  <property fmtid="{D5CDD505-2E9C-101B-9397-08002B2CF9AE}" pid="4" name="LastSaved">
    <vt:filetime>2019-09-17T00:00:00Z</vt:filetime>
  </property>
</Properties>
</file>