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118" w:right="0" w:firstLine="0"/>
        <w:jc w:val="left"/>
        <w:rPr>
          <w:sz w:val="20"/>
        </w:rPr>
      </w:pPr>
      <w:r>
        <w:rPr>
          <w:sz w:val="20"/>
        </w:rPr>
        <w:t>FM, EVM, EFKM, KL og Danske Regioner</w:t>
      </w:r>
    </w:p>
    <w:p>
      <w:pPr>
        <w:pStyle w:val="BodyText"/>
        <w:rPr>
          <w:sz w:val="20"/>
        </w:rPr>
      </w:pPr>
    </w:p>
    <w:p>
      <w:pPr>
        <w:pStyle w:val="BodyText"/>
        <w:rPr>
          <w:sz w:val="20"/>
        </w:rPr>
      </w:pPr>
    </w:p>
    <w:p>
      <w:pPr>
        <w:pStyle w:val="BodyText"/>
        <w:spacing w:before="8"/>
        <w:rPr>
          <w:sz w:val="21"/>
        </w:rPr>
      </w:pPr>
    </w:p>
    <w:p>
      <w:pPr>
        <w:spacing w:after="0"/>
        <w:rPr>
          <w:sz w:val="21"/>
        </w:rPr>
        <w:sectPr>
          <w:type w:val="continuous"/>
          <w:pgSz w:w="11910" w:h="16850"/>
          <w:pgMar w:top="480" w:bottom="280" w:left="1300" w:right="1300"/>
        </w:sectPr>
      </w:pPr>
    </w:p>
    <w:p>
      <w:pPr>
        <w:spacing w:before="88"/>
        <w:ind w:left="118" w:right="26" w:firstLine="0"/>
        <w:jc w:val="left"/>
        <w:rPr>
          <w:rFonts w:ascii="Arial"/>
          <w:sz w:val="40"/>
        </w:rPr>
      </w:pPr>
      <w:bookmarkStart w:name="6.3 Udveksling af data om nedgravet infr" w:id="1"/>
      <w:bookmarkEnd w:id="1"/>
      <w:r>
        <w:rPr/>
      </w:r>
      <w:r>
        <w:rPr>
          <w:rFonts w:ascii="Arial"/>
          <w:sz w:val="40"/>
        </w:rPr>
        <w:t>6.3 Udveksling af data om nedgravet infrastruktur</w:t>
      </w:r>
    </w:p>
    <w:p>
      <w:pPr>
        <w:pStyle w:val="BodyText"/>
        <w:spacing w:before="103"/>
        <w:ind w:left="118"/>
      </w:pPr>
      <w:r>
        <w:rPr/>
        <w:br w:type="column"/>
      </w:r>
      <w:r>
        <w:rPr/>
        <w:t>4. maj 2016</w:t>
      </w:r>
    </w:p>
    <w:p>
      <w:pPr>
        <w:spacing w:after="0"/>
        <w:sectPr>
          <w:type w:val="continuous"/>
          <w:pgSz w:w="11910" w:h="16850"/>
          <w:pgMar w:top="480" w:bottom="280" w:left="1300" w:right="1300"/>
          <w:cols w:num="2" w:equalWidth="0">
            <w:col w:w="6680" w:space="1097"/>
            <w:col w:w="1533"/>
          </w:cols>
        </w:sectPr>
      </w:pPr>
    </w:p>
    <w:p>
      <w:pPr>
        <w:pStyle w:val="BodyText"/>
        <w:spacing w:before="6"/>
        <w:rPr>
          <w:sz w:val="5"/>
        </w:rPr>
      </w:pPr>
    </w:p>
    <w:p>
      <w:pPr>
        <w:pStyle w:val="BodyText"/>
        <w:spacing w:line="20" w:lineRule="exact"/>
        <w:ind w:left="99"/>
        <w:rPr>
          <w:sz w:val="2"/>
        </w:rPr>
      </w:pPr>
      <w:r>
        <w:rPr>
          <w:sz w:val="2"/>
        </w:rPr>
        <w:pict>
          <v:group style="width:369.35pt;height:.5pt;mso-position-horizontal-relative:char;mso-position-vertical-relative:line" coordorigin="0,0" coordsize="7387,10">
            <v:line style="position:absolute" from="0,5" to="7386,5" stroked="true" strokeweight=".480066pt" strokecolor="#000000">
              <v:stroke dashstyle="solid"/>
            </v:line>
          </v:group>
        </w:pict>
      </w:r>
      <w:r>
        <w:rPr>
          <w:sz w:val="2"/>
        </w:rPr>
      </w:r>
    </w:p>
    <w:p>
      <w:pPr>
        <w:pStyle w:val="BodyText"/>
        <w:spacing w:before="9"/>
        <w:rPr>
          <w:sz w:val="19"/>
        </w:rPr>
      </w:pPr>
    </w:p>
    <w:p>
      <w:pPr>
        <w:spacing w:before="93"/>
        <w:ind w:left="118" w:right="0" w:firstLine="0"/>
        <w:jc w:val="left"/>
        <w:rPr>
          <w:rFonts w:ascii="Arial"/>
          <w:b/>
          <w:sz w:val="20"/>
        </w:rPr>
      </w:pPr>
      <w:bookmarkStart w:name="Aftalens indhold " w:id="2"/>
      <w:bookmarkEnd w:id="2"/>
      <w:r>
        <w:rPr/>
      </w:r>
      <w:r>
        <w:rPr>
          <w:rFonts w:ascii="Arial"/>
          <w:b/>
          <w:sz w:val="20"/>
        </w:rPr>
        <w:t>Aftalens indhold</w:t>
      </w:r>
    </w:p>
    <w:p>
      <w:pPr>
        <w:pStyle w:val="BodyText"/>
        <w:spacing w:line="249" w:lineRule="auto" w:before="15"/>
        <w:ind w:left="118" w:right="109"/>
        <w:jc w:val="both"/>
      </w:pPr>
      <w:r>
        <w:rPr/>
        <w:t>Initiativet skal gøre det nemmere og billigere for virksomheder at grave og vedligeholde nedgravet infrastruktur i Danmark samt reducere byrderne ved gravearbejde for det omkringliggende samfund. Oplysninger om nedgravet infrastruktur skal automatisk kunne deles og hentes på tværs af digitale systemer i forbindelse med planlægning af nye gravearbejder. Som en del af regeringens vækstpakke fra november 2015 er der gennemført en analyse af det samfunds- og erhvervsøkonomiske udbytte ved etablering af en digital udvekslingsplatform for ledningsoplysninger samt de tekniske og juridiske forudsætninger for dette. På baggrund af analysens anbefalinger etableres en distributionsplatform, der samler data fra ledningsejere og sender dem til graveaktøren, der får mindre bøvl med sammenstilling af ledningsplaner. Den konkrete udmøntning af initiativet fastlægges som en del af udviklingsprojektet og forventes at omfatte:</w:t>
      </w:r>
    </w:p>
    <w:p>
      <w:pPr>
        <w:pStyle w:val="BodyText"/>
        <w:spacing w:before="2"/>
        <w:rPr>
          <w:sz w:val="23"/>
        </w:rPr>
      </w:pPr>
    </w:p>
    <w:p>
      <w:pPr>
        <w:pStyle w:val="ListParagraph"/>
        <w:numPr>
          <w:ilvl w:val="0"/>
          <w:numId w:val="1"/>
        </w:numPr>
        <w:tabs>
          <w:tab w:pos="290" w:val="left" w:leader="none"/>
        </w:tabs>
        <w:spacing w:line="240" w:lineRule="auto" w:before="0" w:after="0"/>
        <w:ind w:left="289" w:right="0" w:hanging="171"/>
        <w:jc w:val="left"/>
        <w:rPr>
          <w:sz w:val="24"/>
        </w:rPr>
      </w:pPr>
      <w:r>
        <w:rPr>
          <w:sz w:val="24"/>
        </w:rPr>
        <w:t>Udarbejdelse og implementering af fælles standarder for udveksling og udstilling af</w:t>
      </w:r>
      <w:r>
        <w:rPr>
          <w:spacing w:val="-20"/>
          <w:sz w:val="24"/>
        </w:rPr>
        <w:t> </w:t>
      </w:r>
      <w:r>
        <w:rPr>
          <w:sz w:val="24"/>
        </w:rPr>
        <w:t>data.</w:t>
      </w:r>
    </w:p>
    <w:p>
      <w:pPr>
        <w:pStyle w:val="ListParagraph"/>
        <w:numPr>
          <w:ilvl w:val="0"/>
          <w:numId w:val="1"/>
        </w:numPr>
        <w:tabs>
          <w:tab w:pos="290" w:val="left" w:leader="none"/>
        </w:tabs>
        <w:spacing w:line="247" w:lineRule="auto" w:before="1" w:after="0"/>
        <w:ind w:left="289" w:right="390" w:hanging="171"/>
        <w:jc w:val="left"/>
        <w:rPr>
          <w:sz w:val="24"/>
        </w:rPr>
      </w:pPr>
      <w:r>
        <w:rPr>
          <w:sz w:val="24"/>
        </w:rPr>
        <w:t>Test af udvekslingsplatform og etablering af proof-of-concept som grundlag for etablering af retningslinjer for datadeling</w:t>
      </w:r>
      <w:r>
        <w:rPr>
          <w:spacing w:val="-3"/>
          <w:sz w:val="24"/>
        </w:rPr>
        <w:t> </w:t>
      </w:r>
      <w:r>
        <w:rPr>
          <w:sz w:val="24"/>
        </w:rPr>
        <w:t>mv.</w:t>
      </w:r>
    </w:p>
    <w:p>
      <w:pPr>
        <w:pStyle w:val="ListParagraph"/>
        <w:numPr>
          <w:ilvl w:val="0"/>
          <w:numId w:val="1"/>
        </w:numPr>
        <w:tabs>
          <w:tab w:pos="290" w:val="left" w:leader="none"/>
        </w:tabs>
        <w:spacing w:line="296" w:lineRule="exact" w:before="0" w:after="0"/>
        <w:ind w:left="289" w:right="0" w:hanging="171"/>
        <w:jc w:val="left"/>
        <w:rPr>
          <w:sz w:val="24"/>
        </w:rPr>
      </w:pPr>
      <w:r>
        <w:rPr>
          <w:sz w:val="24"/>
        </w:rPr>
        <w:t>Etablering af samgravningsmodul, der understøtter effektiv koordinering af</w:t>
      </w:r>
      <w:r>
        <w:rPr>
          <w:spacing w:val="-19"/>
          <w:sz w:val="24"/>
        </w:rPr>
        <w:t> </w:t>
      </w:r>
      <w:r>
        <w:rPr>
          <w:sz w:val="24"/>
        </w:rPr>
        <w:t>gravearbejder.</w:t>
      </w:r>
    </w:p>
    <w:p>
      <w:pPr>
        <w:pStyle w:val="ListParagraph"/>
        <w:numPr>
          <w:ilvl w:val="0"/>
          <w:numId w:val="1"/>
        </w:numPr>
        <w:tabs>
          <w:tab w:pos="290" w:val="left" w:leader="none"/>
        </w:tabs>
        <w:spacing w:line="247" w:lineRule="auto" w:before="0" w:after="0"/>
        <w:ind w:left="289" w:right="612" w:hanging="171"/>
        <w:jc w:val="left"/>
        <w:rPr>
          <w:sz w:val="24"/>
        </w:rPr>
      </w:pPr>
      <w:r>
        <w:rPr>
          <w:sz w:val="24"/>
        </w:rPr>
        <w:t>Etablering af en infrastruktur, som sikrer snitflader for udveksling af data og samler ledningsejeres data i overensstemmelse med præsentationsstandard, samt visning af data til graveaktøren/øvrige</w:t>
      </w:r>
      <w:r>
        <w:rPr>
          <w:spacing w:val="-1"/>
          <w:sz w:val="24"/>
        </w:rPr>
        <w:t> </w:t>
      </w:r>
      <w:r>
        <w:rPr>
          <w:sz w:val="24"/>
        </w:rPr>
        <w:t>ledningsinformationsbrugere.</w:t>
      </w:r>
    </w:p>
    <w:p>
      <w:pPr>
        <w:pStyle w:val="ListParagraph"/>
        <w:numPr>
          <w:ilvl w:val="0"/>
          <w:numId w:val="1"/>
        </w:numPr>
        <w:tabs>
          <w:tab w:pos="290" w:val="left" w:leader="none"/>
        </w:tabs>
        <w:spacing w:line="299" w:lineRule="exact" w:before="0" w:after="0"/>
        <w:ind w:left="289" w:right="0" w:hanging="171"/>
        <w:jc w:val="left"/>
        <w:rPr>
          <w:sz w:val="24"/>
        </w:rPr>
      </w:pPr>
      <w:r>
        <w:rPr>
          <w:sz w:val="24"/>
        </w:rPr>
        <w:t>Revidering af lovgivning på</w:t>
      </w:r>
      <w:r>
        <w:rPr>
          <w:spacing w:val="-4"/>
          <w:sz w:val="24"/>
        </w:rPr>
        <w:t> </w:t>
      </w:r>
      <w:r>
        <w:rPr>
          <w:sz w:val="24"/>
        </w:rPr>
        <w:t>området.</w:t>
      </w:r>
    </w:p>
    <w:p>
      <w:pPr>
        <w:pStyle w:val="BodyText"/>
        <w:spacing w:before="10"/>
        <w:rPr>
          <w:sz w:val="25"/>
        </w:rPr>
      </w:pPr>
    </w:p>
    <w:p>
      <w:pPr>
        <w:pStyle w:val="BodyText"/>
        <w:spacing w:line="249" w:lineRule="auto" w:before="1"/>
        <w:ind w:left="118" w:right="110"/>
        <w:jc w:val="both"/>
      </w:pPr>
      <w:r>
        <w:rPr/>
        <w:t>Initiativet forventes at resultere i automatisering og effektivisering af sagsgange, færre graveskader, understøttelse af øget samgravning og bedre udnyttelse af eksisterende infrastruktur. Initiativet baseres på Grunddataprogrammets principper og vil bidrage dels til digitaliseringsstrategiens mål om offentlige data som vækstdriver, og dels til målet om automatiseret informationsudveksling mellem virksomheders og offentlige myndigheders it- systemer.</w:t>
      </w:r>
    </w:p>
    <w:p>
      <w:pPr>
        <w:pStyle w:val="BodyText"/>
        <w:spacing w:before="5"/>
        <w:rPr>
          <w:sz w:val="27"/>
        </w:rPr>
      </w:pPr>
    </w:p>
    <w:p>
      <w:pPr>
        <w:spacing w:before="1"/>
        <w:ind w:left="118" w:right="0" w:firstLine="0"/>
        <w:jc w:val="left"/>
        <w:rPr>
          <w:rFonts w:ascii="Arial"/>
          <w:b/>
          <w:sz w:val="20"/>
        </w:rPr>
      </w:pPr>
      <w:bookmarkStart w:name="Organisering " w:id="3"/>
      <w:bookmarkEnd w:id="3"/>
      <w:r>
        <w:rPr/>
      </w:r>
      <w:r>
        <w:rPr>
          <w:rFonts w:ascii="Arial"/>
          <w:b/>
          <w:sz w:val="20"/>
        </w:rPr>
        <w:t>Organisering</w:t>
      </w:r>
    </w:p>
    <w:p>
      <w:pPr>
        <w:pStyle w:val="BodyText"/>
        <w:spacing w:line="249" w:lineRule="auto" w:before="15"/>
        <w:ind w:left="118" w:right="109"/>
        <w:jc w:val="both"/>
      </w:pPr>
      <w:r>
        <w:rPr/>
        <w:t>Der etableres en styregruppe med deltagelse af SDFE (formand), KL og Danske Regioner. Styregruppen vil have fokus på at forberede implementeringen af initiativet, herunder sikre forankring hos og inddragelse af berørte aktørgrupper. Der etableres samtidig en følgegruppe med deltagelse af en bred interessentkreds, herunder Vejdirektoratet, brancheorganisationer, graveaktører og LER brugergruppen, ledningsejere inden for forsynings- og telesektoren mv. Det er således vigtigt, at berørte aktørgrupper inddrages i den konkrete udmøntning af initiativet, så indfasning af nye krav og løsninger sker under hensyntagen til omkostninger, digital modenhed, kommercielle behov mv. Initiativet vurderes at kunne udvikles og etableres med henblik på idriftsættelse 1. halvår 2019. Der afrapporteres til porteføljestyregruppen for den fællesoffentlige digitaliseringsstrategi.</w:t>
      </w:r>
    </w:p>
    <w:sectPr>
      <w:type w:val="continuous"/>
      <w:pgSz w:w="11910" w:h="16850"/>
      <w:pgMar w:top="4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9" w:hanging="171"/>
      </w:pPr>
      <w:rPr>
        <w:rFonts w:hint="default" w:ascii="Symbol" w:hAnsi="Symbol" w:eastAsia="Symbol" w:cs="Symbol"/>
        <w:w w:val="100"/>
        <w:sz w:val="24"/>
        <w:szCs w:val="24"/>
        <w:lang w:val="da-DY" w:eastAsia="da-DY" w:bidi="da-DY"/>
      </w:rPr>
    </w:lvl>
    <w:lvl w:ilvl="1">
      <w:start w:val="0"/>
      <w:numFmt w:val="bullet"/>
      <w:lvlText w:val="•"/>
      <w:lvlJc w:val="left"/>
      <w:pPr>
        <w:ind w:left="1182" w:hanging="171"/>
      </w:pPr>
      <w:rPr>
        <w:rFonts w:hint="default"/>
        <w:lang w:val="da-DY" w:eastAsia="da-DY" w:bidi="da-DY"/>
      </w:rPr>
    </w:lvl>
    <w:lvl w:ilvl="2">
      <w:start w:val="0"/>
      <w:numFmt w:val="bullet"/>
      <w:lvlText w:val="•"/>
      <w:lvlJc w:val="left"/>
      <w:pPr>
        <w:ind w:left="2085" w:hanging="171"/>
      </w:pPr>
      <w:rPr>
        <w:rFonts w:hint="default"/>
        <w:lang w:val="da-DY" w:eastAsia="da-DY" w:bidi="da-DY"/>
      </w:rPr>
    </w:lvl>
    <w:lvl w:ilvl="3">
      <w:start w:val="0"/>
      <w:numFmt w:val="bullet"/>
      <w:lvlText w:val="•"/>
      <w:lvlJc w:val="left"/>
      <w:pPr>
        <w:ind w:left="2987" w:hanging="171"/>
      </w:pPr>
      <w:rPr>
        <w:rFonts w:hint="default"/>
        <w:lang w:val="da-DY" w:eastAsia="da-DY" w:bidi="da-DY"/>
      </w:rPr>
    </w:lvl>
    <w:lvl w:ilvl="4">
      <w:start w:val="0"/>
      <w:numFmt w:val="bullet"/>
      <w:lvlText w:val="•"/>
      <w:lvlJc w:val="left"/>
      <w:pPr>
        <w:ind w:left="3890" w:hanging="171"/>
      </w:pPr>
      <w:rPr>
        <w:rFonts w:hint="default"/>
        <w:lang w:val="da-DY" w:eastAsia="da-DY" w:bidi="da-DY"/>
      </w:rPr>
    </w:lvl>
    <w:lvl w:ilvl="5">
      <w:start w:val="0"/>
      <w:numFmt w:val="bullet"/>
      <w:lvlText w:val="•"/>
      <w:lvlJc w:val="left"/>
      <w:pPr>
        <w:ind w:left="4793" w:hanging="171"/>
      </w:pPr>
      <w:rPr>
        <w:rFonts w:hint="default"/>
        <w:lang w:val="da-DY" w:eastAsia="da-DY" w:bidi="da-DY"/>
      </w:rPr>
    </w:lvl>
    <w:lvl w:ilvl="6">
      <w:start w:val="0"/>
      <w:numFmt w:val="bullet"/>
      <w:lvlText w:val="•"/>
      <w:lvlJc w:val="left"/>
      <w:pPr>
        <w:ind w:left="5695" w:hanging="171"/>
      </w:pPr>
      <w:rPr>
        <w:rFonts w:hint="default"/>
        <w:lang w:val="da-DY" w:eastAsia="da-DY" w:bidi="da-DY"/>
      </w:rPr>
    </w:lvl>
    <w:lvl w:ilvl="7">
      <w:start w:val="0"/>
      <w:numFmt w:val="bullet"/>
      <w:lvlText w:val="•"/>
      <w:lvlJc w:val="left"/>
      <w:pPr>
        <w:ind w:left="6598" w:hanging="171"/>
      </w:pPr>
      <w:rPr>
        <w:rFonts w:hint="default"/>
        <w:lang w:val="da-DY" w:eastAsia="da-DY" w:bidi="da-DY"/>
      </w:rPr>
    </w:lvl>
    <w:lvl w:ilvl="8">
      <w:start w:val="0"/>
      <w:numFmt w:val="bullet"/>
      <w:lvlText w:val="•"/>
      <w:lvlJc w:val="left"/>
      <w:pPr>
        <w:ind w:left="7501" w:hanging="171"/>
      </w:pPr>
      <w:rPr>
        <w:rFonts w:hint="default"/>
        <w:lang w:val="da-DY" w:eastAsia="da-DY" w:bidi="da-DY"/>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da-DY" w:eastAsia="da-DY" w:bidi="da-DY"/>
    </w:rPr>
  </w:style>
  <w:style w:styleId="BodyText" w:type="paragraph">
    <w:name w:val="Body Text"/>
    <w:basedOn w:val="Normal"/>
    <w:uiPriority w:val="1"/>
    <w:qFormat/>
    <w:pPr/>
    <w:rPr>
      <w:rFonts w:ascii="Garamond" w:hAnsi="Garamond" w:eastAsia="Garamond" w:cs="Garamond"/>
      <w:sz w:val="24"/>
      <w:szCs w:val="24"/>
      <w:lang w:val="da-DY" w:eastAsia="da-DY" w:bidi="da-DY"/>
    </w:rPr>
  </w:style>
  <w:style w:styleId="ListParagraph" w:type="paragraph">
    <w:name w:val="List Paragraph"/>
    <w:basedOn w:val="Normal"/>
    <w:uiPriority w:val="1"/>
    <w:qFormat/>
    <w:pPr>
      <w:ind w:left="289" w:hanging="171"/>
    </w:pPr>
    <w:rPr>
      <w:rFonts w:ascii="Garamond" w:hAnsi="Garamond" w:eastAsia="Garamond" w:cs="Garamond"/>
      <w:lang w:val="da-DY" w:eastAsia="da-DY" w:bidi="da-DY"/>
    </w:rPr>
  </w:style>
  <w:style w:styleId="TableParagraph" w:type="paragraph">
    <w:name w:val="Table Paragraph"/>
    <w:basedOn w:val="Normal"/>
    <w:uiPriority w:val="1"/>
    <w:qFormat/>
    <w:pPr/>
    <w:rPr>
      <w:lang w:val="da-DY" w:eastAsia="da-DY" w:bidi="da-DY"/>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Dreisler</dc:creator>
  <dcterms:created xsi:type="dcterms:W3CDTF">2019-09-17T06:38:10Z</dcterms:created>
  <dcterms:modified xsi:type="dcterms:W3CDTF">2019-09-17T06:38:10Z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LastSaved">
    <vt:filetime>2019-09-17T00:00:00Z</vt:filetime>
  </property>
</Properties>
</file>