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1"/>
        <w:ind w:left="118" w:right="0" w:firstLine="0"/>
        <w:jc w:val="left"/>
        <w:rPr>
          <w:sz w:val="20"/>
        </w:rPr>
      </w:pPr>
      <w:r>
        <w:rPr>
          <w:sz w:val="20"/>
        </w:rPr>
        <w:t>FM, EVM, EFKM, MFVM, KL og Danske Regioner</w:t>
      </w:r>
    </w:p>
    <w:p>
      <w:pPr>
        <w:pStyle w:val="BodyText"/>
        <w:rPr>
          <w:sz w:val="20"/>
        </w:rPr>
      </w:pPr>
    </w:p>
    <w:p>
      <w:pPr>
        <w:pStyle w:val="BodyText"/>
        <w:rPr>
          <w:sz w:val="20"/>
        </w:rPr>
      </w:pPr>
    </w:p>
    <w:p>
      <w:pPr>
        <w:spacing w:after="0"/>
        <w:rPr>
          <w:sz w:val="20"/>
        </w:rPr>
        <w:sectPr>
          <w:type w:val="continuous"/>
          <w:pgSz w:w="11910" w:h="16850"/>
          <w:pgMar w:top="480" w:bottom="280" w:left="1300" w:right="1300"/>
        </w:sectPr>
      </w:pPr>
    </w:p>
    <w:p>
      <w:pPr>
        <w:spacing w:before="253"/>
        <w:ind w:left="118" w:right="24" w:firstLine="0"/>
        <w:jc w:val="left"/>
        <w:rPr>
          <w:rFonts w:ascii="Arial"/>
          <w:sz w:val="40"/>
        </w:rPr>
      </w:pPr>
      <w:bookmarkStart w:name="5.3 Infrastruktur for positionerings og " w:id="1"/>
      <w:bookmarkEnd w:id="1"/>
      <w:r>
        <w:rPr/>
      </w:r>
      <w:r>
        <w:rPr>
          <w:rFonts w:ascii="Arial"/>
          <w:sz w:val="40"/>
        </w:rPr>
        <w:t>5.3 Infrastruktur for positionerings- og navigationsdata</w:t>
      </w:r>
    </w:p>
    <w:p>
      <w:pPr>
        <w:pStyle w:val="BodyText"/>
        <w:spacing w:before="3"/>
        <w:rPr>
          <w:rFonts w:ascii="Arial"/>
          <w:sz w:val="23"/>
        </w:rPr>
      </w:pPr>
      <w:r>
        <w:rPr/>
        <w:br w:type="column"/>
      </w:r>
      <w:r>
        <w:rPr>
          <w:rFonts w:ascii="Arial"/>
          <w:sz w:val="23"/>
        </w:rPr>
      </w:r>
    </w:p>
    <w:p>
      <w:pPr>
        <w:pStyle w:val="BodyText"/>
        <w:ind w:left="118"/>
      </w:pPr>
      <w:r>
        <w:rPr/>
        <w:t>4. maj 2016</w:t>
      </w:r>
    </w:p>
    <w:p>
      <w:pPr>
        <w:spacing w:after="0"/>
        <w:sectPr>
          <w:type w:val="continuous"/>
          <w:pgSz w:w="11910" w:h="16850"/>
          <w:pgMar w:top="480" w:bottom="280" w:left="1300" w:right="1300"/>
          <w:cols w:num="2" w:equalWidth="0">
            <w:col w:w="6810" w:space="967"/>
            <w:col w:w="1533"/>
          </w:cols>
        </w:sectPr>
      </w:pPr>
    </w:p>
    <w:p>
      <w:pPr>
        <w:pStyle w:val="BodyText"/>
        <w:spacing w:before="6"/>
        <w:rPr>
          <w:sz w:val="5"/>
        </w:rPr>
      </w:pPr>
    </w:p>
    <w:p>
      <w:pPr>
        <w:pStyle w:val="BodyText"/>
        <w:spacing w:line="20" w:lineRule="exact"/>
        <w:ind w:left="99"/>
        <w:rPr>
          <w:sz w:val="2"/>
        </w:rPr>
      </w:pPr>
      <w:r>
        <w:rPr>
          <w:sz w:val="2"/>
        </w:rPr>
        <w:pict>
          <v:group style="width:369.35pt;height:.5pt;mso-position-horizontal-relative:char;mso-position-vertical-relative:line" coordorigin="0,0" coordsize="7387,10">
            <v:line style="position:absolute" from="0,5" to="7386,5" stroked="true" strokeweight=".480066pt" strokecolor="#000000">
              <v:stroke dashstyle="solid"/>
            </v:line>
          </v:group>
        </w:pict>
      </w:r>
      <w:r>
        <w:rPr>
          <w:sz w:val="2"/>
        </w:rPr>
      </w:r>
    </w:p>
    <w:p>
      <w:pPr>
        <w:pStyle w:val="BodyText"/>
        <w:spacing w:before="9"/>
        <w:rPr>
          <w:sz w:val="19"/>
        </w:rPr>
      </w:pPr>
    </w:p>
    <w:p>
      <w:pPr>
        <w:spacing w:before="93"/>
        <w:ind w:left="118" w:right="0" w:firstLine="0"/>
        <w:jc w:val="both"/>
        <w:rPr>
          <w:rFonts w:ascii="Arial"/>
          <w:b/>
          <w:sz w:val="20"/>
        </w:rPr>
      </w:pPr>
      <w:bookmarkStart w:name="Aftalens indhold " w:id="2"/>
      <w:bookmarkEnd w:id="2"/>
      <w:r>
        <w:rPr/>
      </w:r>
      <w:r>
        <w:rPr>
          <w:rFonts w:ascii="Arial"/>
          <w:b/>
          <w:sz w:val="20"/>
        </w:rPr>
        <w:t>Aftalens indhold</w:t>
      </w:r>
    </w:p>
    <w:p>
      <w:pPr>
        <w:pStyle w:val="BodyText"/>
        <w:spacing w:line="249" w:lineRule="auto" w:before="12"/>
        <w:ind w:left="118" w:right="110"/>
        <w:jc w:val="both"/>
      </w:pPr>
      <w:r>
        <w:rPr/>
        <w:t>På europæisk niveau er man i gang med at etablere et nyt præcisions-GPS system (Galileo), som vil give os adgang til langt mere præcise data om, hvor ting er (positionsdata med høj nøjagtighed). Fordi disse GPS-data samtidig bliver langt mere frekvente og pålidelige, og fordi ”forsyningssikkerheden” af dem bliver høj, er det også muligt at bruge dem til at følge ting, der flytter sig (dynamiske positionsdata). De nye data forventes at kunne nyttiggøres i relation til mange forskellige forvaltningsopgaver i stat, regioner og kommuner. Det gælder fx i forhold til de initiativer, der allerede nu arbejdes med rundt omkring i kommunerne under begrebet Smart Cities.</w:t>
      </w:r>
    </w:p>
    <w:p>
      <w:pPr>
        <w:pStyle w:val="BodyText"/>
        <w:rPr>
          <w:sz w:val="21"/>
        </w:rPr>
      </w:pPr>
    </w:p>
    <w:p>
      <w:pPr>
        <w:pStyle w:val="BodyText"/>
        <w:spacing w:line="249" w:lineRule="auto"/>
        <w:ind w:left="118" w:right="110"/>
        <w:jc w:val="both"/>
      </w:pPr>
      <w:r>
        <w:rPr/>
        <w:t>De nye GPS-data vil muliggøre, at selvkørende maskiner varetager drift og vedligehold af fx parkområder (græsslåning, tømning af affaldsspande osv.), mens kun en enkelt medarbejder følger med. Det kunne også være til bedre afvikling af trafikken i byerne, hvor de nye data sammen med sensordata kan sørge for, at trafikanter – eller ambulancen – bliver ledt af den mest hensigtsmæssige rute eller bedre kan finde en ledig parkeringsplads. Inden for en overskuelig fremtid vil også førerløse biler blive almindelige i Danmark. De vil blive styret af en kombination af nøjagtige GPS-positioner og sensorer. Et andet eksempel er landbrugssektoren, hvor målrettet regulering (fx øget mulighed for udledning af kvælstof på robuste jorde) eller præcisions- landbrug, hvor man sprøjter præcist omkring de enkelte planter – og dermed mindre – i stedet  for på hele marken, vil blive</w:t>
      </w:r>
      <w:r>
        <w:rPr>
          <w:spacing w:val="-2"/>
        </w:rPr>
        <w:t> </w:t>
      </w:r>
      <w:r>
        <w:rPr/>
        <w:t>muligt.</w:t>
      </w:r>
    </w:p>
    <w:p>
      <w:pPr>
        <w:pStyle w:val="BodyText"/>
        <w:spacing w:line="249" w:lineRule="auto" w:before="231"/>
        <w:ind w:left="118" w:right="109"/>
        <w:jc w:val="both"/>
      </w:pPr>
      <w:r>
        <w:rPr/>
        <w:t>På den baggrund igangsættes en analyse for at få afdækket behovet for etablering af en fællesoffentlig datainfrastruktur, der stiller disse nye GPS-data frit til rådighed og samtidig sikrer, at de er lettilgængelige og kan deles på tværs. En sådan datainfrastruktur skal sikre et omkostningseffektivt, fællesoffentlig fundament. Oven på det kan man så i kommuner, regioner og stat udvikle særskilte systemer og løsninger, som kan tale sammen og kombineres på tværs af administrative enheder og forvaltningsområder. Idriftsættelse af Galileo vil accelerere udviklingen af teknologiske løsninger med præcise og dynamiske data, og også derfor er det rettidig omhu, at få analyseret behovet for en fællesoffentlig datainfrastruktur, der kan understøtte udviklingen bedst muligt. Indsatsen omfatter:</w:t>
      </w:r>
    </w:p>
    <w:p>
      <w:pPr>
        <w:pStyle w:val="ListParagraph"/>
        <w:numPr>
          <w:ilvl w:val="0"/>
          <w:numId w:val="1"/>
        </w:numPr>
        <w:tabs>
          <w:tab w:pos="479" w:val="left" w:leader="none"/>
        </w:tabs>
        <w:spacing w:line="249" w:lineRule="auto" w:before="222" w:after="0"/>
        <w:ind w:left="478" w:right="113" w:hanging="360"/>
        <w:jc w:val="both"/>
        <w:rPr>
          <w:sz w:val="24"/>
        </w:rPr>
      </w:pPr>
      <w:r>
        <w:rPr>
          <w:sz w:val="24"/>
        </w:rPr>
        <w:t>En analyse af kommercielle og offentlige behov for etablering af fælles datainfrastruktur, standarder, retningslinjer og governance for deling af præcise og dynamiske data om steder mv. med udgangspunkt i igangværende initiativer i kommuner, regioner og</w:t>
      </w:r>
      <w:r>
        <w:rPr>
          <w:spacing w:val="-15"/>
          <w:sz w:val="24"/>
        </w:rPr>
        <w:t> </w:t>
      </w:r>
      <w:r>
        <w:rPr>
          <w:sz w:val="24"/>
        </w:rPr>
        <w:t>stat.</w:t>
      </w:r>
    </w:p>
    <w:p>
      <w:pPr>
        <w:pStyle w:val="ListParagraph"/>
        <w:numPr>
          <w:ilvl w:val="0"/>
          <w:numId w:val="1"/>
        </w:numPr>
        <w:tabs>
          <w:tab w:pos="479" w:val="left" w:leader="none"/>
        </w:tabs>
        <w:spacing w:line="247" w:lineRule="auto" w:before="0" w:after="0"/>
        <w:ind w:left="478" w:right="112" w:hanging="360"/>
        <w:jc w:val="both"/>
        <w:rPr>
          <w:sz w:val="24"/>
        </w:rPr>
      </w:pPr>
      <w:r>
        <w:rPr>
          <w:sz w:val="24"/>
        </w:rPr>
        <w:t>I forlængelse af analysen udarbejdes beslutningsgrundlag for udvikling og igangsætning af 1-2 konceptuelle pilotprojekter. Pilotprojekterne udvikles i samarbejde med relevante kommunale og regionale aktører og det tværoffentlige Smart City Partnerskab (jf.</w:t>
      </w:r>
      <w:r>
        <w:rPr>
          <w:spacing w:val="-14"/>
          <w:sz w:val="24"/>
        </w:rPr>
        <w:t> </w:t>
      </w:r>
      <w:r>
        <w:rPr>
          <w:sz w:val="24"/>
        </w:rPr>
        <w:t>5.2).</w:t>
      </w:r>
    </w:p>
    <w:p>
      <w:pPr>
        <w:pStyle w:val="BodyText"/>
        <w:spacing w:before="7"/>
        <w:rPr>
          <w:sz w:val="27"/>
        </w:rPr>
      </w:pPr>
    </w:p>
    <w:p>
      <w:pPr>
        <w:spacing w:before="0"/>
        <w:ind w:left="118" w:right="0" w:firstLine="0"/>
        <w:jc w:val="both"/>
        <w:rPr>
          <w:rFonts w:ascii="Arial"/>
          <w:b/>
          <w:sz w:val="20"/>
        </w:rPr>
      </w:pPr>
      <w:bookmarkStart w:name="Organisering " w:id="3"/>
      <w:bookmarkEnd w:id="3"/>
      <w:r>
        <w:rPr/>
      </w:r>
      <w:r>
        <w:rPr>
          <w:rFonts w:ascii="Arial"/>
          <w:b/>
          <w:sz w:val="20"/>
        </w:rPr>
        <w:t>Organisering</w:t>
      </w:r>
    </w:p>
    <w:p>
      <w:pPr>
        <w:pStyle w:val="BodyText"/>
        <w:spacing w:line="249" w:lineRule="auto" w:before="13"/>
        <w:ind w:left="118" w:right="113"/>
        <w:jc w:val="both"/>
      </w:pPr>
      <w:r>
        <w:rPr/>
        <w:t>Initiativet forankres hos SDFE med inddragelse af kommunale, regionale og statslige aktører med henblik på at sikre tværgående koordination og vidensdeling. Der afrapporteres til porteføljestyregruppen for den fællesoffentlige digitaliseringsstrategi.</w:t>
      </w:r>
    </w:p>
    <w:sectPr>
      <w:type w:val="continuous"/>
      <w:pgSz w:w="11910" w:h="16850"/>
      <w:pgMar w:top="48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78" w:hanging="361"/>
      </w:pPr>
      <w:rPr>
        <w:rFonts w:hint="default" w:ascii="Symbol" w:hAnsi="Symbol" w:eastAsia="Symbol" w:cs="Symbol"/>
        <w:w w:val="100"/>
        <w:sz w:val="24"/>
        <w:szCs w:val="24"/>
        <w:lang w:val="da-DY" w:eastAsia="da-DY" w:bidi="da-DY"/>
      </w:rPr>
    </w:lvl>
    <w:lvl w:ilvl="1">
      <w:start w:val="0"/>
      <w:numFmt w:val="bullet"/>
      <w:lvlText w:val="•"/>
      <w:lvlJc w:val="left"/>
      <w:pPr>
        <w:ind w:left="1362" w:hanging="361"/>
      </w:pPr>
      <w:rPr>
        <w:rFonts w:hint="default"/>
        <w:lang w:val="da-DY" w:eastAsia="da-DY" w:bidi="da-DY"/>
      </w:rPr>
    </w:lvl>
    <w:lvl w:ilvl="2">
      <w:start w:val="0"/>
      <w:numFmt w:val="bullet"/>
      <w:lvlText w:val="•"/>
      <w:lvlJc w:val="left"/>
      <w:pPr>
        <w:ind w:left="2245" w:hanging="361"/>
      </w:pPr>
      <w:rPr>
        <w:rFonts w:hint="default"/>
        <w:lang w:val="da-DY" w:eastAsia="da-DY" w:bidi="da-DY"/>
      </w:rPr>
    </w:lvl>
    <w:lvl w:ilvl="3">
      <w:start w:val="0"/>
      <w:numFmt w:val="bullet"/>
      <w:lvlText w:val="•"/>
      <w:lvlJc w:val="left"/>
      <w:pPr>
        <w:ind w:left="3127" w:hanging="361"/>
      </w:pPr>
      <w:rPr>
        <w:rFonts w:hint="default"/>
        <w:lang w:val="da-DY" w:eastAsia="da-DY" w:bidi="da-DY"/>
      </w:rPr>
    </w:lvl>
    <w:lvl w:ilvl="4">
      <w:start w:val="0"/>
      <w:numFmt w:val="bullet"/>
      <w:lvlText w:val="•"/>
      <w:lvlJc w:val="left"/>
      <w:pPr>
        <w:ind w:left="4010" w:hanging="361"/>
      </w:pPr>
      <w:rPr>
        <w:rFonts w:hint="default"/>
        <w:lang w:val="da-DY" w:eastAsia="da-DY" w:bidi="da-DY"/>
      </w:rPr>
    </w:lvl>
    <w:lvl w:ilvl="5">
      <w:start w:val="0"/>
      <w:numFmt w:val="bullet"/>
      <w:lvlText w:val="•"/>
      <w:lvlJc w:val="left"/>
      <w:pPr>
        <w:ind w:left="4893" w:hanging="361"/>
      </w:pPr>
      <w:rPr>
        <w:rFonts w:hint="default"/>
        <w:lang w:val="da-DY" w:eastAsia="da-DY" w:bidi="da-DY"/>
      </w:rPr>
    </w:lvl>
    <w:lvl w:ilvl="6">
      <w:start w:val="0"/>
      <w:numFmt w:val="bullet"/>
      <w:lvlText w:val="•"/>
      <w:lvlJc w:val="left"/>
      <w:pPr>
        <w:ind w:left="5775" w:hanging="361"/>
      </w:pPr>
      <w:rPr>
        <w:rFonts w:hint="default"/>
        <w:lang w:val="da-DY" w:eastAsia="da-DY" w:bidi="da-DY"/>
      </w:rPr>
    </w:lvl>
    <w:lvl w:ilvl="7">
      <w:start w:val="0"/>
      <w:numFmt w:val="bullet"/>
      <w:lvlText w:val="•"/>
      <w:lvlJc w:val="left"/>
      <w:pPr>
        <w:ind w:left="6658" w:hanging="361"/>
      </w:pPr>
      <w:rPr>
        <w:rFonts w:hint="default"/>
        <w:lang w:val="da-DY" w:eastAsia="da-DY" w:bidi="da-DY"/>
      </w:rPr>
    </w:lvl>
    <w:lvl w:ilvl="8">
      <w:start w:val="0"/>
      <w:numFmt w:val="bullet"/>
      <w:lvlText w:val="•"/>
      <w:lvlJc w:val="left"/>
      <w:pPr>
        <w:ind w:left="7541" w:hanging="361"/>
      </w:pPr>
      <w:rPr>
        <w:rFonts w:hint="default"/>
        <w:lang w:val="da-DY" w:eastAsia="da-DY" w:bidi="da-DY"/>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lang w:val="da-DY" w:eastAsia="da-DY" w:bidi="da-DY"/>
    </w:rPr>
  </w:style>
  <w:style w:styleId="BodyText" w:type="paragraph">
    <w:name w:val="Body Text"/>
    <w:basedOn w:val="Normal"/>
    <w:uiPriority w:val="1"/>
    <w:qFormat/>
    <w:pPr/>
    <w:rPr>
      <w:rFonts w:ascii="Garamond" w:hAnsi="Garamond" w:eastAsia="Garamond" w:cs="Garamond"/>
      <w:sz w:val="24"/>
      <w:szCs w:val="24"/>
      <w:lang w:val="da-DY" w:eastAsia="da-DY" w:bidi="da-DY"/>
    </w:rPr>
  </w:style>
  <w:style w:styleId="ListParagraph" w:type="paragraph">
    <w:name w:val="List Paragraph"/>
    <w:basedOn w:val="Normal"/>
    <w:uiPriority w:val="1"/>
    <w:qFormat/>
    <w:pPr>
      <w:ind w:left="478" w:right="112" w:hanging="360"/>
      <w:jc w:val="both"/>
    </w:pPr>
    <w:rPr>
      <w:rFonts w:ascii="Garamond" w:hAnsi="Garamond" w:eastAsia="Garamond" w:cs="Garamond"/>
      <w:lang w:val="da-DY" w:eastAsia="da-DY" w:bidi="da-DY"/>
    </w:rPr>
  </w:style>
  <w:style w:styleId="TableParagraph" w:type="paragraph">
    <w:name w:val="Table Paragraph"/>
    <w:basedOn w:val="Normal"/>
    <w:uiPriority w:val="1"/>
    <w:qFormat/>
    <w:pPr/>
    <w:rPr>
      <w:lang w:val="da-DY" w:eastAsia="da-DY" w:bidi="da-DY"/>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2019-09-17T06:38:36Z</dcterms:created>
  <dcterms:modified xsi:type="dcterms:W3CDTF">2019-09-17T06:38:36Z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2016-05-10T00:00:00Z</vt:filetime>
  </property>
  <property fmtid="{D5CDD505-2E9C-101B-9397-08002B2CF9AE}" pid="3" name="LastSaved">
    <vt:filetime>2019-09-17T00:00:00Z</vt:filetime>
  </property>
</Properties>
</file>