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17"/>
        </w:rPr>
      </w:pPr>
    </w:p>
    <w:p>
      <w:pPr>
        <w:spacing w:line="278" w:lineRule="auto" w:before="101"/>
        <w:ind w:left="112" w:right="239" w:hanging="1"/>
        <w:jc w:val="left"/>
        <w:rPr>
          <w:sz w:val="40"/>
        </w:rPr>
      </w:pPr>
      <w:r>
        <w:rPr>
          <w:sz w:val="40"/>
        </w:rPr>
        <w:t>Vilkår for brug af frie geografiske data (GeoDanmark- data)</w:t>
      </w:r>
    </w:p>
    <w:p>
      <w:pPr>
        <w:pStyle w:val="BodyText"/>
        <w:rPr>
          <w:sz w:val="46"/>
        </w:rPr>
      </w:pPr>
    </w:p>
    <w:p>
      <w:pPr>
        <w:pStyle w:val="BodyText"/>
        <w:spacing w:before="8"/>
        <w:rPr>
          <w:sz w:val="37"/>
        </w:rPr>
      </w:pPr>
    </w:p>
    <w:p>
      <w:pPr>
        <w:pStyle w:val="Heading1"/>
      </w:pPr>
      <w:r>
        <w:rPr/>
        <w:t>Generel information</w:t>
      </w:r>
    </w:p>
    <w:p>
      <w:pPr>
        <w:pStyle w:val="BodyText"/>
        <w:spacing w:before="1"/>
        <w:ind w:left="112" w:right="113"/>
        <w:jc w:val="both"/>
      </w:pPr>
      <w:r>
        <w:rPr/>
        <w:t>Styrelsen for Dataforsyning og Effektivisering og Danske kommuner (herefter myndighederne) har de immaterielle rettigheder til GeoDanmark-data, som nu er en del af frie geografiske data, og giver på nedenstående vilkår brugsret til disse data.</w:t>
      </w:r>
    </w:p>
    <w:p>
      <w:pPr>
        <w:pStyle w:val="BodyText"/>
      </w:pPr>
    </w:p>
    <w:p>
      <w:pPr>
        <w:pStyle w:val="BodyText"/>
        <w:spacing w:before="1"/>
        <w:ind w:left="112"/>
      </w:pPr>
      <w:r>
        <w:rPr/>
        <w:t>Vilkårene accepteres ved enhver brug af data. Vilkårene reguleres af dansk ret.</w:t>
      </w:r>
    </w:p>
    <w:p>
      <w:pPr>
        <w:pStyle w:val="BodyText"/>
        <w:rPr>
          <w:sz w:val="26"/>
        </w:rPr>
      </w:pPr>
    </w:p>
    <w:p>
      <w:pPr>
        <w:pStyle w:val="Heading1"/>
        <w:spacing w:before="224"/>
      </w:pPr>
      <w:r>
        <w:rPr/>
        <w:t>Brugsret</w:t>
      </w:r>
    </w:p>
    <w:p>
      <w:pPr>
        <w:pStyle w:val="BodyText"/>
        <w:spacing w:before="1"/>
        <w:ind w:left="112" w:right="275"/>
      </w:pPr>
      <w:r>
        <w:rPr/>
        <w:t>Myndighederne giver en verdensomspændende, gratis, ikke-eksklusiv, og i øvrigt ubegrænset brugsret til data, som frit bl.a. kan:</w:t>
      </w:r>
    </w:p>
    <w:p>
      <w:pPr>
        <w:pStyle w:val="BodyText"/>
        <w:spacing w:before="2"/>
      </w:pPr>
    </w:p>
    <w:p>
      <w:pPr>
        <w:pStyle w:val="ListParagraph"/>
        <w:numPr>
          <w:ilvl w:val="0"/>
          <w:numId w:val="1"/>
        </w:numPr>
        <w:tabs>
          <w:tab w:pos="832" w:val="left" w:leader="none"/>
          <w:tab w:pos="833" w:val="left" w:leader="none"/>
        </w:tabs>
        <w:spacing w:line="240" w:lineRule="auto" w:before="0" w:after="0"/>
        <w:ind w:left="832" w:right="0" w:hanging="360"/>
        <w:jc w:val="left"/>
        <w:rPr>
          <w:sz w:val="23"/>
        </w:rPr>
      </w:pPr>
      <w:r>
        <w:rPr>
          <w:sz w:val="23"/>
        </w:rPr>
        <w:t>kopieres, distribueres og</w:t>
      </w:r>
      <w:r>
        <w:rPr>
          <w:spacing w:val="-3"/>
          <w:sz w:val="23"/>
        </w:rPr>
        <w:t> </w:t>
      </w:r>
      <w:r>
        <w:rPr>
          <w:sz w:val="23"/>
        </w:rPr>
        <w:t>offentliggøres</w:t>
      </w:r>
    </w:p>
    <w:p>
      <w:pPr>
        <w:pStyle w:val="ListParagraph"/>
        <w:numPr>
          <w:ilvl w:val="0"/>
          <w:numId w:val="1"/>
        </w:numPr>
        <w:tabs>
          <w:tab w:pos="832" w:val="left" w:leader="none"/>
          <w:tab w:pos="833" w:val="left" w:leader="none"/>
        </w:tabs>
        <w:spacing w:line="240" w:lineRule="auto" w:before="45" w:after="0"/>
        <w:ind w:left="832" w:right="0" w:hanging="360"/>
        <w:jc w:val="left"/>
        <w:rPr>
          <w:sz w:val="23"/>
        </w:rPr>
      </w:pPr>
      <w:r>
        <w:rPr>
          <w:sz w:val="23"/>
        </w:rPr>
        <w:t>ændres og sammensættes med andet</w:t>
      </w:r>
      <w:r>
        <w:rPr>
          <w:spacing w:val="-7"/>
          <w:sz w:val="23"/>
        </w:rPr>
        <w:t> </w:t>
      </w:r>
      <w:r>
        <w:rPr>
          <w:sz w:val="23"/>
        </w:rPr>
        <w:t>materiale</w:t>
      </w:r>
    </w:p>
    <w:p>
      <w:pPr>
        <w:pStyle w:val="ListParagraph"/>
        <w:numPr>
          <w:ilvl w:val="0"/>
          <w:numId w:val="1"/>
        </w:numPr>
        <w:tabs>
          <w:tab w:pos="832" w:val="left" w:leader="none"/>
          <w:tab w:pos="833" w:val="left" w:leader="none"/>
        </w:tabs>
        <w:spacing w:line="240" w:lineRule="auto" w:before="44" w:after="0"/>
        <w:ind w:left="832" w:right="0" w:hanging="360"/>
        <w:jc w:val="left"/>
        <w:rPr>
          <w:sz w:val="23"/>
        </w:rPr>
      </w:pPr>
      <w:r>
        <w:rPr>
          <w:sz w:val="23"/>
        </w:rPr>
        <w:t>bruges kommercielt og</w:t>
      </w:r>
      <w:r>
        <w:rPr>
          <w:spacing w:val="-4"/>
          <w:sz w:val="23"/>
        </w:rPr>
        <w:t> </w:t>
      </w:r>
      <w:r>
        <w:rPr>
          <w:sz w:val="23"/>
        </w:rPr>
        <w:t>ikke-kommercielt</w:t>
      </w:r>
    </w:p>
    <w:p>
      <w:pPr>
        <w:pStyle w:val="BodyText"/>
        <w:rPr>
          <w:sz w:val="28"/>
        </w:rPr>
      </w:pPr>
    </w:p>
    <w:p>
      <w:pPr>
        <w:pStyle w:val="Heading1"/>
        <w:spacing w:before="202"/>
      </w:pPr>
      <w:r>
        <w:rPr/>
        <w:t>Vilkår</w:t>
      </w:r>
    </w:p>
    <w:p>
      <w:pPr>
        <w:pStyle w:val="BodyText"/>
        <w:spacing w:line="237" w:lineRule="auto" w:before="6"/>
        <w:ind w:left="112" w:right="317"/>
      </w:pPr>
      <w:r>
        <w:rPr/>
        <w:t>Data må ikke bruges på en måde, så det kan fremstå som myndighederne godkender, støtter, anbefaler eller markedsfører brugeren, brugerens produkter eller tjenester.</w:t>
      </w:r>
    </w:p>
    <w:p>
      <w:pPr>
        <w:pStyle w:val="BodyText"/>
        <w:spacing w:before="1"/>
        <w:ind w:left="112"/>
      </w:pPr>
      <w:r>
        <w:rPr/>
        <w:t>Det skal sikres, at brug af data er i overensstemmelse med dansk ret.</w:t>
      </w:r>
    </w:p>
    <w:p>
      <w:pPr>
        <w:pStyle w:val="BodyText"/>
        <w:rPr>
          <w:sz w:val="26"/>
        </w:rPr>
      </w:pPr>
    </w:p>
    <w:p>
      <w:pPr>
        <w:pStyle w:val="Heading1"/>
        <w:spacing w:before="227"/>
      </w:pPr>
      <w:r>
        <w:rPr/>
        <w:t>Kildeangivelse</w:t>
      </w:r>
    </w:p>
    <w:p>
      <w:pPr>
        <w:pStyle w:val="BodyText"/>
        <w:spacing w:before="1"/>
        <w:ind w:left="112"/>
      </w:pPr>
      <w:r>
        <w:rPr/>
        <w:t>Myndighederne håndhæver deres ophavsret. Når data anvendes skal brugeren:</w:t>
      </w:r>
    </w:p>
    <w:p>
      <w:pPr>
        <w:pStyle w:val="BodyText"/>
        <w:spacing w:before="1"/>
      </w:pPr>
    </w:p>
    <w:p>
      <w:pPr>
        <w:pStyle w:val="ListParagraph"/>
        <w:numPr>
          <w:ilvl w:val="0"/>
          <w:numId w:val="1"/>
        </w:numPr>
        <w:tabs>
          <w:tab w:pos="832" w:val="left" w:leader="none"/>
          <w:tab w:pos="833" w:val="left" w:leader="none"/>
        </w:tabs>
        <w:spacing w:line="240" w:lineRule="auto" w:before="0" w:after="0"/>
        <w:ind w:left="832" w:right="0" w:hanging="360"/>
        <w:jc w:val="left"/>
        <w:rPr>
          <w:sz w:val="23"/>
        </w:rPr>
      </w:pPr>
      <w:r>
        <w:rPr>
          <w:sz w:val="23"/>
        </w:rPr>
        <w:t>på et rimeligt sted egnet til distributionsmediet indsætte</w:t>
      </w:r>
      <w:r>
        <w:rPr>
          <w:spacing w:val="-10"/>
          <w:sz w:val="23"/>
        </w:rPr>
        <w:t> </w:t>
      </w:r>
      <w:r>
        <w:rPr>
          <w:sz w:val="23"/>
        </w:rPr>
        <w:t>følgende:</w:t>
      </w:r>
    </w:p>
    <w:p>
      <w:pPr>
        <w:pStyle w:val="BodyText"/>
        <w:spacing w:before="10"/>
        <w:rPr>
          <w:sz w:val="22"/>
        </w:rPr>
      </w:pPr>
    </w:p>
    <w:p>
      <w:pPr>
        <w:pStyle w:val="ListParagraph"/>
        <w:numPr>
          <w:ilvl w:val="0"/>
          <w:numId w:val="2"/>
        </w:numPr>
        <w:tabs>
          <w:tab w:pos="329" w:val="left" w:leader="none"/>
        </w:tabs>
        <w:spacing w:line="240" w:lineRule="auto" w:before="0" w:after="0"/>
        <w:ind w:left="328" w:right="0" w:hanging="216"/>
        <w:jc w:val="left"/>
        <w:rPr>
          <w:sz w:val="23"/>
        </w:rPr>
      </w:pPr>
      <w:r>
        <w:rPr>
          <w:sz w:val="23"/>
        </w:rPr>
        <w:t>”Indeholder data fra Styrelsen for Dataforsyning og Effektivisering og Danske</w:t>
      </w:r>
      <w:r>
        <w:rPr>
          <w:spacing w:val="-24"/>
          <w:sz w:val="23"/>
        </w:rPr>
        <w:t> </w:t>
      </w:r>
      <w:r>
        <w:rPr>
          <w:sz w:val="23"/>
        </w:rPr>
        <w:t>kommuner”</w:t>
      </w:r>
    </w:p>
    <w:p>
      <w:pPr>
        <w:pStyle w:val="ListParagraph"/>
        <w:numPr>
          <w:ilvl w:val="0"/>
          <w:numId w:val="2"/>
        </w:numPr>
        <w:tabs>
          <w:tab w:pos="360" w:val="left" w:leader="none"/>
        </w:tabs>
        <w:spacing w:line="240" w:lineRule="auto" w:before="0" w:after="0"/>
        <w:ind w:left="360" w:right="0" w:hanging="248"/>
        <w:jc w:val="left"/>
        <w:rPr>
          <w:sz w:val="23"/>
        </w:rPr>
      </w:pPr>
      <w:r>
        <w:rPr>
          <w:sz w:val="23"/>
        </w:rPr>
        <w:t>Navnet</w:t>
      </w:r>
      <w:r>
        <w:rPr>
          <w:spacing w:val="-2"/>
          <w:sz w:val="23"/>
        </w:rPr>
        <w:t> </w:t>
      </w:r>
      <w:r>
        <w:rPr>
          <w:sz w:val="23"/>
        </w:rPr>
        <w:t>”GeoDanmark-data”</w:t>
      </w:r>
    </w:p>
    <w:p>
      <w:pPr>
        <w:pStyle w:val="ListParagraph"/>
        <w:numPr>
          <w:ilvl w:val="0"/>
          <w:numId w:val="2"/>
        </w:numPr>
        <w:tabs>
          <w:tab w:pos="358" w:val="left" w:leader="none"/>
        </w:tabs>
        <w:spacing w:line="240" w:lineRule="auto" w:before="0" w:after="0"/>
        <w:ind w:left="112" w:right="665" w:firstLine="0"/>
        <w:jc w:val="left"/>
        <w:rPr>
          <w:sz w:val="23"/>
        </w:rPr>
      </w:pPr>
      <w:r>
        <w:rPr>
          <w:sz w:val="23"/>
        </w:rPr>
        <w:t>Tidspunkt, hvor datasættet(ene) er hentet hos myndigheden, eller om der er tale om</w:t>
      </w:r>
      <w:r>
        <w:rPr>
          <w:spacing w:val="-38"/>
          <w:sz w:val="23"/>
        </w:rPr>
        <w:t> </w:t>
      </w:r>
      <w:r>
        <w:rPr>
          <w:sz w:val="23"/>
        </w:rPr>
        <w:t>en datatjeneste.</w:t>
      </w:r>
    </w:p>
    <w:p>
      <w:pPr>
        <w:pStyle w:val="BodyText"/>
        <w:spacing w:before="1"/>
        <w:ind w:left="112" w:right="811"/>
      </w:pPr>
      <w:r>
        <w:rPr/>
        <w:t>(fx: ”Indeholder GeoDanmark-data fra Styrelsen for Dataforsyning og Effektivisering og Danske kommuner, januar 2013”. Side 2 af 2</w:t>
      </w:r>
    </w:p>
    <w:p>
      <w:pPr>
        <w:spacing w:after="0"/>
        <w:sectPr>
          <w:headerReference w:type="default" r:id="rId5"/>
          <w:type w:val="continuous"/>
          <w:pgSz w:w="11900" w:h="16840"/>
          <w:pgMar w:header="708" w:top="1660" w:bottom="280" w:left="1020" w:right="1040"/>
        </w:sectPr>
      </w:pPr>
    </w:p>
    <w:p>
      <w:pPr>
        <w:pStyle w:val="BodyText"/>
        <w:spacing w:before="4"/>
        <w:rPr>
          <w:sz w:val="17"/>
        </w:rPr>
      </w:pPr>
    </w:p>
    <w:p>
      <w:pPr>
        <w:pStyle w:val="ListParagraph"/>
        <w:numPr>
          <w:ilvl w:val="1"/>
          <w:numId w:val="2"/>
        </w:numPr>
        <w:tabs>
          <w:tab w:pos="832" w:val="left" w:leader="none"/>
          <w:tab w:pos="833" w:val="left" w:leader="none"/>
        </w:tabs>
        <w:spacing w:line="240" w:lineRule="auto" w:before="101" w:after="0"/>
        <w:ind w:left="832" w:right="786" w:hanging="360"/>
        <w:jc w:val="left"/>
        <w:rPr>
          <w:sz w:val="23"/>
        </w:rPr>
      </w:pPr>
      <w:r>
        <w:rPr>
          <w:sz w:val="23"/>
        </w:rPr>
        <w:t>sikre, at ” Styrelsen for Dataforsyning og Effektivisering” og ”Danske kommuner” fremgår på forsiden af en service, såfremt andre kilder også nævnes på</w:t>
      </w:r>
      <w:r>
        <w:rPr>
          <w:spacing w:val="-29"/>
          <w:sz w:val="23"/>
        </w:rPr>
        <w:t> </w:t>
      </w:r>
      <w:r>
        <w:rPr>
          <w:sz w:val="23"/>
        </w:rPr>
        <w:t>forsiden</w:t>
      </w:r>
    </w:p>
    <w:p>
      <w:pPr>
        <w:pStyle w:val="ListParagraph"/>
        <w:numPr>
          <w:ilvl w:val="1"/>
          <w:numId w:val="2"/>
        </w:numPr>
        <w:tabs>
          <w:tab w:pos="832" w:val="left" w:leader="none"/>
          <w:tab w:pos="833" w:val="left" w:leader="none"/>
        </w:tabs>
        <w:spacing w:line="240" w:lineRule="auto" w:before="20" w:after="0"/>
        <w:ind w:left="832" w:right="0" w:hanging="360"/>
        <w:jc w:val="left"/>
        <w:rPr>
          <w:sz w:val="23"/>
        </w:rPr>
      </w:pPr>
      <w:r>
        <w:rPr>
          <w:sz w:val="23"/>
        </w:rPr>
        <w:t>stille en kopi af disse vilkår, evt. ved hjælp af et link, til rådighed for</w:t>
      </w:r>
      <w:r>
        <w:rPr>
          <w:spacing w:val="-22"/>
          <w:sz w:val="23"/>
        </w:rPr>
        <w:t> </w:t>
      </w:r>
      <w:r>
        <w:rPr>
          <w:sz w:val="23"/>
        </w:rPr>
        <w:t>tredjepart</w:t>
      </w:r>
    </w:p>
    <w:p>
      <w:pPr>
        <w:pStyle w:val="BodyText"/>
        <w:spacing w:before="1"/>
      </w:pPr>
    </w:p>
    <w:p>
      <w:pPr>
        <w:pStyle w:val="BodyText"/>
        <w:ind w:left="112"/>
      </w:pPr>
      <w:r>
        <w:rPr/>
        <w:t>Ovennævnte vilkår gælder også, såfremt brugeren videregiver GeoDanmark-data til tredjepart.</w:t>
      </w:r>
    </w:p>
    <w:p>
      <w:pPr>
        <w:pStyle w:val="BodyText"/>
        <w:spacing w:before="9"/>
        <w:rPr>
          <w:sz w:val="22"/>
        </w:rPr>
      </w:pPr>
    </w:p>
    <w:p>
      <w:pPr>
        <w:pStyle w:val="BodyText"/>
        <w:ind w:left="112" w:right="442"/>
      </w:pPr>
      <w:r>
        <w:rPr/>
        <w:t>Data stilles til rådighed, som de er, og myndighederne har intet ansvar for hverken indhold, oprindelse, fejl og mangler eller nogen form for skade, der måtte følge af brug af data.</w:t>
      </w:r>
    </w:p>
    <w:p>
      <w:pPr>
        <w:pStyle w:val="BodyText"/>
        <w:spacing w:line="242" w:lineRule="auto" w:before="1"/>
        <w:ind w:left="112" w:right="1566"/>
      </w:pPr>
      <w:r>
        <w:rPr/>
        <w:t>Myndighederne garanterer ikke den fortsatte tilrådighedsstillelse af data. Myndighederne kan til enhver tid ændre brugsretten til data og vilkårene herfor.</w:t>
      </w:r>
    </w:p>
    <w:sectPr>
      <w:pgSz w:w="11900" w:h="16840"/>
      <w:pgMar w:header="708" w:footer="0" w:top="1660" w:bottom="280" w:left="102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 w:name="Cambria">
    <w:altName w:val="Cambria"/>
    <w:charset w:val="0"/>
    <w:family w:val="roman"/>
    <w:pitch w:val="variable"/>
  </w:font>
  <w:font w:name="Georgia">
    <w:altName w:val="Georg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56.079407pt;margin-top:34.397980pt;width:83.45pt;height:16.1pt;mso-position-horizontal-relative:page;mso-position-vertical-relative:page;z-index:-2872" type="#_x0000_t202" filled="false" stroked="false">
          <v:textbox inset="0,0,0,0">
            <w:txbxContent>
              <w:p>
                <w:pPr>
                  <w:spacing w:before="20"/>
                  <w:ind w:left="20" w:right="0" w:firstLine="0"/>
                  <w:jc w:val="left"/>
                  <w:rPr>
                    <w:rFonts w:ascii="Cambria"/>
                    <w:sz w:val="24"/>
                  </w:rPr>
                </w:pPr>
                <w:r>
                  <w:rPr>
                    <w:rFonts w:ascii="Cambria"/>
                    <w:color w:val="4E81BD"/>
                    <w:sz w:val="24"/>
                  </w:rPr>
                  <w:t>5. oktober 2016</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28" w:hanging="216"/>
        <w:jc w:val="left"/>
      </w:pPr>
      <w:rPr>
        <w:rFonts w:hint="default" w:ascii="Georgia" w:hAnsi="Georgia" w:eastAsia="Georgia" w:cs="Georgia"/>
        <w:spacing w:val="-1"/>
        <w:w w:val="100"/>
        <w:sz w:val="23"/>
        <w:szCs w:val="23"/>
      </w:rPr>
    </w:lvl>
    <w:lvl w:ilvl="1">
      <w:start w:val="0"/>
      <w:numFmt w:val="bullet"/>
      <w:lvlText w:val=""/>
      <w:lvlJc w:val="left"/>
      <w:pPr>
        <w:ind w:left="832" w:hanging="360"/>
      </w:pPr>
      <w:rPr>
        <w:rFonts w:hint="default" w:ascii="Symbol" w:hAnsi="Symbol" w:eastAsia="Symbol" w:cs="Symbol"/>
        <w:w w:val="100"/>
        <w:sz w:val="23"/>
        <w:szCs w:val="23"/>
      </w:rPr>
    </w:lvl>
    <w:lvl w:ilvl="2">
      <w:start w:val="0"/>
      <w:numFmt w:val="bullet"/>
      <w:lvlText w:val="•"/>
      <w:lvlJc w:val="left"/>
      <w:pPr>
        <w:ind w:left="1840" w:hanging="360"/>
      </w:pPr>
      <w:rPr>
        <w:rFonts w:hint="default"/>
      </w:rPr>
    </w:lvl>
    <w:lvl w:ilvl="3">
      <w:start w:val="0"/>
      <w:numFmt w:val="bullet"/>
      <w:lvlText w:val="•"/>
      <w:lvlJc w:val="left"/>
      <w:pPr>
        <w:ind w:left="2840" w:hanging="360"/>
      </w:pPr>
      <w:rPr>
        <w:rFonts w:hint="default"/>
      </w:rPr>
    </w:lvl>
    <w:lvl w:ilvl="4">
      <w:start w:val="0"/>
      <w:numFmt w:val="bullet"/>
      <w:lvlText w:val="•"/>
      <w:lvlJc w:val="left"/>
      <w:pPr>
        <w:ind w:left="3840" w:hanging="360"/>
      </w:pPr>
      <w:rPr>
        <w:rFonts w:hint="default"/>
      </w:rPr>
    </w:lvl>
    <w:lvl w:ilvl="5">
      <w:start w:val="0"/>
      <w:numFmt w:val="bullet"/>
      <w:lvlText w:val="•"/>
      <w:lvlJc w:val="left"/>
      <w:pPr>
        <w:ind w:left="4840" w:hanging="360"/>
      </w:pPr>
      <w:rPr>
        <w:rFonts w:hint="default"/>
      </w:rPr>
    </w:lvl>
    <w:lvl w:ilvl="6">
      <w:start w:val="0"/>
      <w:numFmt w:val="bullet"/>
      <w:lvlText w:val="•"/>
      <w:lvlJc w:val="left"/>
      <w:pPr>
        <w:ind w:left="5840" w:hanging="360"/>
      </w:pPr>
      <w:rPr>
        <w:rFonts w:hint="default"/>
      </w:rPr>
    </w:lvl>
    <w:lvl w:ilvl="7">
      <w:start w:val="0"/>
      <w:numFmt w:val="bullet"/>
      <w:lvlText w:val="•"/>
      <w:lvlJc w:val="left"/>
      <w:pPr>
        <w:ind w:left="6840" w:hanging="360"/>
      </w:pPr>
      <w:rPr>
        <w:rFonts w:hint="default"/>
      </w:rPr>
    </w:lvl>
    <w:lvl w:ilvl="8">
      <w:start w:val="0"/>
      <w:numFmt w:val="bullet"/>
      <w:lvlText w:val="•"/>
      <w:lvlJc w:val="left"/>
      <w:pPr>
        <w:ind w:left="7840" w:hanging="360"/>
      </w:pPr>
      <w:rPr>
        <w:rFonts w:hint="default"/>
      </w:rPr>
    </w:lvl>
  </w:abstractNum>
  <w:abstractNum w:abstractNumId="0">
    <w:multiLevelType w:val="hybridMultilevel"/>
    <w:lvl w:ilvl="0">
      <w:start w:val="0"/>
      <w:numFmt w:val="bullet"/>
      <w:lvlText w:val=""/>
      <w:lvlJc w:val="left"/>
      <w:pPr>
        <w:ind w:left="832" w:hanging="360"/>
      </w:pPr>
      <w:rPr>
        <w:rFonts w:hint="default" w:ascii="Symbol" w:hAnsi="Symbol" w:eastAsia="Symbol" w:cs="Symbol"/>
        <w:w w:val="100"/>
        <w:sz w:val="23"/>
        <w:szCs w:val="23"/>
      </w:rPr>
    </w:lvl>
    <w:lvl w:ilvl="1">
      <w:start w:val="0"/>
      <w:numFmt w:val="bullet"/>
      <w:lvlText w:val="•"/>
      <w:lvlJc w:val="left"/>
      <w:pPr>
        <w:ind w:left="1740" w:hanging="360"/>
      </w:pPr>
      <w:rPr>
        <w:rFonts w:hint="default"/>
      </w:rPr>
    </w:lvl>
    <w:lvl w:ilvl="2">
      <w:start w:val="0"/>
      <w:numFmt w:val="bullet"/>
      <w:lvlText w:val="•"/>
      <w:lvlJc w:val="left"/>
      <w:pPr>
        <w:ind w:left="2640" w:hanging="360"/>
      </w:pPr>
      <w:rPr>
        <w:rFonts w:hint="default"/>
      </w:rPr>
    </w:lvl>
    <w:lvl w:ilvl="3">
      <w:start w:val="0"/>
      <w:numFmt w:val="bullet"/>
      <w:lvlText w:val="•"/>
      <w:lvlJc w:val="left"/>
      <w:pPr>
        <w:ind w:left="3540" w:hanging="360"/>
      </w:pPr>
      <w:rPr>
        <w:rFonts w:hint="default"/>
      </w:rPr>
    </w:lvl>
    <w:lvl w:ilvl="4">
      <w:start w:val="0"/>
      <w:numFmt w:val="bullet"/>
      <w:lvlText w:val="•"/>
      <w:lvlJc w:val="left"/>
      <w:pPr>
        <w:ind w:left="4440" w:hanging="360"/>
      </w:pPr>
      <w:rPr>
        <w:rFonts w:hint="default"/>
      </w:rPr>
    </w:lvl>
    <w:lvl w:ilvl="5">
      <w:start w:val="0"/>
      <w:numFmt w:val="bullet"/>
      <w:lvlText w:val="•"/>
      <w:lvlJc w:val="left"/>
      <w:pPr>
        <w:ind w:left="5340" w:hanging="360"/>
      </w:pPr>
      <w:rPr>
        <w:rFonts w:hint="default"/>
      </w:rPr>
    </w:lvl>
    <w:lvl w:ilvl="6">
      <w:start w:val="0"/>
      <w:numFmt w:val="bullet"/>
      <w:lvlText w:val="•"/>
      <w:lvlJc w:val="left"/>
      <w:pPr>
        <w:ind w:left="6240" w:hanging="360"/>
      </w:pPr>
      <w:rPr>
        <w:rFonts w:hint="default"/>
      </w:rPr>
    </w:lvl>
    <w:lvl w:ilvl="7">
      <w:start w:val="0"/>
      <w:numFmt w:val="bullet"/>
      <w:lvlText w:val="•"/>
      <w:lvlJc w:val="left"/>
      <w:pPr>
        <w:ind w:left="7140" w:hanging="360"/>
      </w:pPr>
      <w:rPr>
        <w:rFonts w:hint="default"/>
      </w:rPr>
    </w:lvl>
    <w:lvl w:ilvl="8">
      <w:start w:val="0"/>
      <w:numFmt w:val="bullet"/>
      <w:lvlText w:val="•"/>
      <w:lvlJc w:val="left"/>
      <w:pPr>
        <w:ind w:left="8040"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rPr>
  </w:style>
  <w:style w:styleId="BodyText" w:type="paragraph">
    <w:name w:val="Body Text"/>
    <w:basedOn w:val="Normal"/>
    <w:uiPriority w:val="1"/>
    <w:qFormat/>
    <w:pPr/>
    <w:rPr>
      <w:rFonts w:ascii="Georgia" w:hAnsi="Georgia" w:eastAsia="Georgia" w:cs="Georgia"/>
      <w:sz w:val="23"/>
      <w:szCs w:val="23"/>
    </w:rPr>
  </w:style>
  <w:style w:styleId="Heading1" w:type="paragraph">
    <w:name w:val="Heading 1"/>
    <w:basedOn w:val="Normal"/>
    <w:uiPriority w:val="1"/>
    <w:qFormat/>
    <w:pPr>
      <w:ind w:left="112"/>
      <w:outlineLvl w:val="1"/>
    </w:pPr>
    <w:rPr>
      <w:rFonts w:ascii="Georgia" w:hAnsi="Georgia" w:eastAsia="Georgia" w:cs="Georgia"/>
      <w:b/>
      <w:bCs/>
      <w:sz w:val="26"/>
      <w:szCs w:val="26"/>
    </w:rPr>
  </w:style>
  <w:style w:styleId="ListParagraph" w:type="paragraph">
    <w:name w:val="List Paragraph"/>
    <w:basedOn w:val="Normal"/>
    <w:uiPriority w:val="1"/>
    <w:qFormat/>
    <w:pPr>
      <w:ind w:left="832" w:hanging="360"/>
    </w:pPr>
    <w:rPr>
      <w:rFonts w:ascii="Georgia" w:hAnsi="Georgia" w:eastAsia="Georgia" w:cs="Georgi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B004172</dc:creator>
  <dc:title>Microsoft Word - Vilkår for brug af frie geografiske data.docx</dc:title>
  <dcterms:created xsi:type="dcterms:W3CDTF">2019-09-16T11:08:12Z</dcterms:created>
  <dcterms:modified xsi:type="dcterms:W3CDTF">2019-09-16T11:08:12Z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2016-10-05T00:00:00Z</vt:filetime>
  </property>
  <property fmtid="{D5CDD505-2E9C-101B-9397-08002B2CF9AE}" pid="3" name="Creator">
    <vt:lpwstr>PDFCreator 2.2.1.0</vt:lpwstr>
  </property>
  <property fmtid="{D5CDD505-2E9C-101B-9397-08002B2CF9AE}" pid="4" name="LastSaved">
    <vt:filetime>2019-09-16T00:00:00Z</vt:filetime>
  </property>
</Properties>
</file>