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76"/>
        <w:ind w:left="261" w:right="0" w:firstLine="0"/>
        <w:jc w:val="left"/>
        <w:rPr>
          <w:sz w:val="18"/>
        </w:rPr>
      </w:pPr>
      <w:r>
        <w:rPr/>
        <w:drawing>
          <wp:anchor distT="0" distB="0" distL="0" distR="0" allowOverlap="1" layoutInCell="1" locked="0" behindDoc="1" simplePos="0" relativeHeight="268143455">
            <wp:simplePos x="0" y="0"/>
            <wp:positionH relativeFrom="page">
              <wp:posOffset>0</wp:posOffset>
            </wp:positionH>
            <wp:positionV relativeFrom="page">
              <wp:posOffset>0</wp:posOffset>
            </wp:positionV>
            <wp:extent cx="7560564" cy="10693907"/>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7560564" cy="10693907"/>
                    </a:xfrm>
                    <a:prstGeom prst="rect">
                      <a:avLst/>
                    </a:prstGeom>
                  </pic:spPr>
                </pic:pic>
              </a:graphicData>
            </a:graphic>
          </wp:anchor>
        </w:drawing>
      </w:r>
      <w:r>
        <w:rPr>
          <w:sz w:val="18"/>
        </w:rPr>
        <w:t>D A N M A R K S O G G R Ø N L A N D S G E O L O G I S K E U N D E R S Ø G E L S E R A P P O R T 2 0 1 8 / 3 6</w:t>
      </w:r>
    </w:p>
    <w:p>
      <w:pPr>
        <w:pStyle w:val="BodyText"/>
        <w:spacing w:before="8"/>
        <w:rPr>
          <w:sz w:val="19"/>
        </w:rPr>
      </w:pPr>
    </w:p>
    <w:p>
      <w:pPr>
        <w:spacing w:before="0"/>
        <w:ind w:left="1583" w:right="102" w:hanging="96"/>
        <w:jc w:val="left"/>
        <w:rPr>
          <w:b/>
          <w:sz w:val="34"/>
        </w:rPr>
      </w:pPr>
      <w:r>
        <w:rPr>
          <w:b/>
          <w:sz w:val="34"/>
        </w:rPr>
        <w:t>Modellering af terrænnært grundvand, vandstand i vandløb og vand på terræn for Storå og Odense</w:t>
      </w:r>
      <w:r>
        <w:rPr>
          <w:b/>
          <w:spacing w:val="-9"/>
          <w:sz w:val="34"/>
        </w:rPr>
        <w:t> </w:t>
      </w:r>
      <w:r>
        <w:rPr>
          <w:b/>
          <w:sz w:val="34"/>
        </w:rPr>
        <w:t>Å</w:t>
      </w:r>
    </w:p>
    <w:p>
      <w:pPr>
        <w:spacing w:before="233"/>
        <w:ind w:left="2995" w:right="0" w:firstLine="0"/>
        <w:jc w:val="left"/>
        <w:rPr>
          <w:sz w:val="30"/>
        </w:rPr>
      </w:pPr>
      <w:r>
        <w:rPr>
          <w:sz w:val="30"/>
        </w:rPr>
        <w:t>Slutrapport (FODS 6.1 Fasttrack</w:t>
      </w:r>
      <w:r>
        <w:rPr>
          <w:spacing w:val="-17"/>
          <w:sz w:val="30"/>
        </w:rPr>
        <w:t> </w:t>
      </w:r>
      <w:r>
        <w:rPr>
          <w:sz w:val="30"/>
        </w:rPr>
        <w:t>metodeudvikling)</w:t>
      </w:r>
    </w:p>
    <w:p>
      <w:pPr>
        <w:pStyle w:val="Heading3"/>
        <w:spacing w:before="229"/>
        <w:ind w:left="5506" w:right="100" w:firstLine="316"/>
        <w:rPr>
          <w:rFonts w:ascii="Arial" w:hAnsi="Arial"/>
        </w:rPr>
      </w:pPr>
      <w:r>
        <w:rPr>
          <w:rFonts w:ascii="Arial" w:hAnsi="Arial"/>
        </w:rPr>
        <w:t>Simon Stisen, Raphael J.M. Schneider, Maria Ondracek &amp; Hans Jørgen</w:t>
      </w:r>
      <w:r>
        <w:rPr>
          <w:rFonts w:ascii="Arial" w:hAnsi="Arial"/>
          <w:spacing w:val="-10"/>
        </w:rPr>
        <w:t> </w:t>
      </w:r>
      <w:r>
        <w:rPr>
          <w:rFonts w:ascii="Arial" w:hAnsi="Arial"/>
        </w:rPr>
        <w:t>Henriksen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0"/>
        </w:rPr>
      </w:pPr>
    </w:p>
    <w:p>
      <w:pPr>
        <w:spacing w:line="360" w:lineRule="auto" w:before="0"/>
        <w:ind w:left="100" w:right="4429" w:firstLine="0"/>
        <w:jc w:val="left"/>
        <w:rPr>
          <w:sz w:val="18"/>
        </w:rPr>
      </w:pPr>
      <w:r>
        <w:rPr>
          <w:spacing w:val="14"/>
          <w:sz w:val="18"/>
        </w:rPr>
        <w:t>DE</w:t>
      </w:r>
      <w:r>
        <w:rPr>
          <w:spacing w:val="57"/>
          <w:sz w:val="18"/>
        </w:rPr>
        <w:t> </w:t>
      </w:r>
      <w:r>
        <w:rPr>
          <w:sz w:val="18"/>
        </w:rPr>
        <w:t>N</w:t>
      </w:r>
      <w:r>
        <w:rPr>
          <w:spacing w:val="-22"/>
          <w:sz w:val="18"/>
        </w:rPr>
        <w:t> </w:t>
      </w:r>
      <w:r>
        <w:rPr>
          <w:sz w:val="18"/>
        </w:rPr>
        <w:t>A</w:t>
      </w:r>
      <w:r>
        <w:rPr>
          <w:spacing w:val="-22"/>
          <w:sz w:val="18"/>
        </w:rPr>
        <w:t> </w:t>
      </w:r>
      <w:r>
        <w:rPr>
          <w:sz w:val="18"/>
        </w:rPr>
        <w:t>T</w:t>
      </w:r>
      <w:r>
        <w:rPr>
          <w:spacing w:val="-24"/>
          <w:sz w:val="18"/>
        </w:rPr>
        <w:t> </w:t>
      </w:r>
      <w:r>
        <w:rPr>
          <w:sz w:val="18"/>
        </w:rPr>
        <w:t>I</w:t>
      </w:r>
      <w:r>
        <w:rPr>
          <w:spacing w:val="-22"/>
          <w:sz w:val="18"/>
        </w:rPr>
        <w:t> </w:t>
      </w:r>
      <w:r>
        <w:rPr>
          <w:sz w:val="18"/>
        </w:rPr>
        <w:t>O</w:t>
      </w:r>
      <w:r>
        <w:rPr>
          <w:spacing w:val="-25"/>
          <w:sz w:val="18"/>
        </w:rPr>
        <w:t> </w:t>
      </w:r>
      <w:r>
        <w:rPr>
          <w:sz w:val="18"/>
        </w:rPr>
        <w:t>N</w:t>
      </w:r>
      <w:r>
        <w:rPr>
          <w:spacing w:val="-22"/>
          <w:sz w:val="18"/>
        </w:rPr>
        <w:t> </w:t>
      </w:r>
      <w:r>
        <w:rPr>
          <w:sz w:val="18"/>
        </w:rPr>
        <w:t>A</w:t>
      </w:r>
      <w:r>
        <w:rPr>
          <w:spacing w:val="-24"/>
          <w:sz w:val="18"/>
        </w:rPr>
        <w:t> </w:t>
      </w:r>
      <w:r>
        <w:rPr>
          <w:sz w:val="18"/>
        </w:rPr>
        <w:t>L</w:t>
      </w:r>
      <w:r>
        <w:rPr>
          <w:spacing w:val="-21"/>
          <w:sz w:val="18"/>
        </w:rPr>
        <w:t> </w:t>
      </w:r>
      <w:r>
        <w:rPr>
          <w:sz w:val="18"/>
        </w:rPr>
        <w:t>E</w:t>
      </w:r>
      <w:r>
        <w:rPr>
          <w:spacing w:val="7"/>
          <w:sz w:val="18"/>
        </w:rPr>
        <w:t> </w:t>
      </w:r>
      <w:r>
        <w:rPr>
          <w:sz w:val="18"/>
        </w:rPr>
        <w:t>G</w:t>
      </w:r>
      <w:r>
        <w:rPr>
          <w:spacing w:val="-25"/>
          <w:sz w:val="18"/>
        </w:rPr>
        <w:t> </w:t>
      </w:r>
      <w:r>
        <w:rPr>
          <w:sz w:val="18"/>
        </w:rPr>
        <w:t>E</w:t>
      </w:r>
      <w:r>
        <w:rPr>
          <w:spacing w:val="-22"/>
          <w:sz w:val="18"/>
        </w:rPr>
        <w:t> </w:t>
      </w:r>
      <w:r>
        <w:rPr>
          <w:sz w:val="18"/>
        </w:rPr>
        <w:t>O</w:t>
      </w:r>
      <w:r>
        <w:rPr>
          <w:spacing w:val="-23"/>
          <w:sz w:val="18"/>
        </w:rPr>
        <w:t> </w:t>
      </w:r>
      <w:r>
        <w:rPr>
          <w:sz w:val="18"/>
        </w:rPr>
        <w:t>L</w:t>
      </w:r>
      <w:r>
        <w:rPr>
          <w:spacing w:val="-23"/>
          <w:sz w:val="18"/>
        </w:rPr>
        <w:t> </w:t>
      </w:r>
      <w:r>
        <w:rPr>
          <w:sz w:val="18"/>
        </w:rPr>
        <w:t>O</w:t>
      </w:r>
      <w:r>
        <w:rPr>
          <w:spacing w:val="-23"/>
          <w:sz w:val="18"/>
        </w:rPr>
        <w:t> </w:t>
      </w:r>
      <w:r>
        <w:rPr>
          <w:sz w:val="18"/>
        </w:rPr>
        <w:t>G</w:t>
      </w:r>
      <w:r>
        <w:rPr>
          <w:spacing w:val="-23"/>
          <w:sz w:val="18"/>
        </w:rPr>
        <w:t> </w:t>
      </w:r>
      <w:r>
        <w:rPr>
          <w:sz w:val="18"/>
        </w:rPr>
        <w:t>I</w:t>
      </w:r>
      <w:r>
        <w:rPr>
          <w:spacing w:val="-22"/>
          <w:sz w:val="18"/>
        </w:rPr>
        <w:t> </w:t>
      </w:r>
      <w:r>
        <w:rPr>
          <w:sz w:val="18"/>
        </w:rPr>
        <w:t>S</w:t>
      </w:r>
      <w:r>
        <w:rPr>
          <w:spacing w:val="-22"/>
          <w:sz w:val="18"/>
        </w:rPr>
        <w:t> </w:t>
      </w:r>
      <w:r>
        <w:rPr>
          <w:sz w:val="18"/>
        </w:rPr>
        <w:t>K</w:t>
      </w:r>
      <w:r>
        <w:rPr>
          <w:spacing w:val="-22"/>
          <w:sz w:val="18"/>
        </w:rPr>
        <w:t> </w:t>
      </w:r>
      <w:r>
        <w:rPr>
          <w:sz w:val="18"/>
        </w:rPr>
        <w:t>E</w:t>
      </w:r>
      <w:r>
        <w:rPr>
          <w:spacing w:val="5"/>
          <w:sz w:val="18"/>
        </w:rPr>
        <w:t> </w:t>
      </w:r>
      <w:r>
        <w:rPr>
          <w:sz w:val="18"/>
        </w:rPr>
        <w:t>U</w:t>
      </w:r>
      <w:r>
        <w:rPr>
          <w:spacing w:val="-22"/>
          <w:sz w:val="18"/>
        </w:rPr>
        <w:t> </w:t>
      </w:r>
      <w:r>
        <w:rPr>
          <w:sz w:val="18"/>
        </w:rPr>
        <w:t>N</w:t>
      </w:r>
      <w:r>
        <w:rPr>
          <w:spacing w:val="-22"/>
          <w:sz w:val="18"/>
        </w:rPr>
        <w:t> </w:t>
      </w:r>
      <w:r>
        <w:rPr>
          <w:sz w:val="18"/>
        </w:rPr>
        <w:t>D</w:t>
      </w:r>
      <w:r>
        <w:rPr>
          <w:spacing w:val="-25"/>
          <w:sz w:val="18"/>
        </w:rPr>
        <w:t> </w:t>
      </w:r>
      <w:r>
        <w:rPr>
          <w:sz w:val="18"/>
        </w:rPr>
        <w:t>E</w:t>
      </w:r>
      <w:r>
        <w:rPr>
          <w:spacing w:val="-22"/>
          <w:sz w:val="18"/>
        </w:rPr>
        <w:t> </w:t>
      </w:r>
      <w:r>
        <w:rPr>
          <w:sz w:val="18"/>
        </w:rPr>
        <w:t>R</w:t>
      </w:r>
      <w:r>
        <w:rPr>
          <w:spacing w:val="-22"/>
          <w:sz w:val="18"/>
        </w:rPr>
        <w:t> </w:t>
      </w:r>
      <w:r>
        <w:rPr>
          <w:sz w:val="18"/>
        </w:rPr>
        <w:t>S</w:t>
      </w:r>
      <w:r>
        <w:rPr>
          <w:spacing w:val="-22"/>
          <w:sz w:val="18"/>
        </w:rPr>
        <w:t> </w:t>
      </w:r>
      <w:r>
        <w:rPr>
          <w:sz w:val="18"/>
        </w:rPr>
        <w:t>Ø</w:t>
      </w:r>
      <w:r>
        <w:rPr>
          <w:spacing w:val="-23"/>
          <w:sz w:val="18"/>
        </w:rPr>
        <w:t> </w:t>
      </w:r>
      <w:r>
        <w:rPr>
          <w:sz w:val="18"/>
        </w:rPr>
        <w:t>G</w:t>
      </w:r>
      <w:r>
        <w:rPr>
          <w:spacing w:val="-23"/>
          <w:sz w:val="18"/>
        </w:rPr>
        <w:t> </w:t>
      </w:r>
      <w:r>
        <w:rPr>
          <w:sz w:val="18"/>
        </w:rPr>
        <w:t>E</w:t>
      </w:r>
      <w:r>
        <w:rPr>
          <w:spacing w:val="-24"/>
          <w:sz w:val="18"/>
        </w:rPr>
        <w:t> </w:t>
      </w:r>
      <w:r>
        <w:rPr>
          <w:sz w:val="18"/>
        </w:rPr>
        <w:t>L</w:t>
      </w:r>
      <w:r>
        <w:rPr>
          <w:spacing w:val="-21"/>
          <w:sz w:val="18"/>
        </w:rPr>
        <w:t> </w:t>
      </w:r>
      <w:r>
        <w:rPr>
          <w:sz w:val="18"/>
        </w:rPr>
        <w:t>S</w:t>
      </w:r>
      <w:r>
        <w:rPr>
          <w:spacing w:val="-22"/>
          <w:sz w:val="18"/>
        </w:rPr>
        <w:t> </w:t>
      </w:r>
      <w:r>
        <w:rPr>
          <w:sz w:val="18"/>
        </w:rPr>
        <w:t>E</w:t>
      </w:r>
      <w:r>
        <w:rPr>
          <w:spacing w:val="-15"/>
          <w:sz w:val="18"/>
        </w:rPr>
        <w:t> </w:t>
      </w:r>
      <w:r>
        <w:rPr>
          <w:sz w:val="18"/>
        </w:rPr>
        <w:t>R F</w:t>
      </w:r>
      <w:r>
        <w:rPr>
          <w:spacing w:val="-22"/>
          <w:sz w:val="18"/>
        </w:rPr>
        <w:t> </w:t>
      </w:r>
      <w:r>
        <w:rPr>
          <w:sz w:val="18"/>
        </w:rPr>
        <w:t>O</w:t>
      </w:r>
      <w:r>
        <w:rPr>
          <w:spacing w:val="-23"/>
          <w:sz w:val="18"/>
        </w:rPr>
        <w:t> </w:t>
      </w:r>
      <w:r>
        <w:rPr>
          <w:sz w:val="18"/>
        </w:rPr>
        <w:t>R</w:t>
      </w:r>
      <w:r>
        <w:rPr>
          <w:spacing w:val="29"/>
          <w:sz w:val="18"/>
        </w:rPr>
        <w:t> </w:t>
      </w:r>
      <w:r>
        <w:rPr>
          <w:sz w:val="18"/>
        </w:rPr>
        <w:t>D</w:t>
      </w:r>
      <w:r>
        <w:rPr>
          <w:spacing w:val="-22"/>
          <w:sz w:val="18"/>
        </w:rPr>
        <w:t> </w:t>
      </w:r>
      <w:r>
        <w:rPr>
          <w:sz w:val="18"/>
        </w:rPr>
        <w:t>A</w:t>
      </w:r>
      <w:r>
        <w:rPr>
          <w:spacing w:val="-22"/>
          <w:sz w:val="18"/>
        </w:rPr>
        <w:t> </w:t>
      </w:r>
      <w:r>
        <w:rPr>
          <w:sz w:val="18"/>
        </w:rPr>
        <w:t>N</w:t>
      </w:r>
      <w:r>
        <w:rPr>
          <w:spacing w:val="-22"/>
          <w:sz w:val="18"/>
        </w:rPr>
        <w:t> </w:t>
      </w:r>
      <w:r>
        <w:rPr>
          <w:sz w:val="18"/>
        </w:rPr>
        <w:t>M</w:t>
      </w:r>
      <w:r>
        <w:rPr>
          <w:spacing w:val="-25"/>
          <w:sz w:val="18"/>
        </w:rPr>
        <w:t> </w:t>
      </w:r>
      <w:r>
        <w:rPr>
          <w:sz w:val="18"/>
        </w:rPr>
        <w:t>A</w:t>
      </w:r>
      <w:r>
        <w:rPr>
          <w:spacing w:val="-22"/>
          <w:sz w:val="18"/>
        </w:rPr>
        <w:t> </w:t>
      </w:r>
      <w:r>
        <w:rPr>
          <w:sz w:val="18"/>
        </w:rPr>
        <w:t>R</w:t>
      </w:r>
      <w:r>
        <w:rPr>
          <w:spacing w:val="-22"/>
          <w:sz w:val="18"/>
        </w:rPr>
        <w:t> </w:t>
      </w:r>
      <w:r>
        <w:rPr>
          <w:sz w:val="18"/>
        </w:rPr>
        <w:t>K</w:t>
      </w:r>
      <w:r>
        <w:rPr>
          <w:spacing w:val="5"/>
          <w:sz w:val="18"/>
        </w:rPr>
        <w:t> </w:t>
      </w:r>
      <w:r>
        <w:rPr>
          <w:sz w:val="18"/>
        </w:rPr>
        <w:t>O</w:t>
      </w:r>
      <w:r>
        <w:rPr>
          <w:spacing w:val="-23"/>
          <w:sz w:val="18"/>
        </w:rPr>
        <w:t> </w:t>
      </w:r>
      <w:r>
        <w:rPr>
          <w:sz w:val="18"/>
        </w:rPr>
        <w:t>G</w:t>
      </w:r>
      <w:r>
        <w:rPr>
          <w:spacing w:val="6"/>
          <w:sz w:val="18"/>
        </w:rPr>
        <w:t> </w:t>
      </w:r>
      <w:r>
        <w:rPr>
          <w:sz w:val="18"/>
        </w:rPr>
        <w:t>G</w:t>
      </w:r>
      <w:r>
        <w:rPr>
          <w:spacing w:val="-23"/>
          <w:sz w:val="18"/>
        </w:rPr>
        <w:t> </w:t>
      </w:r>
      <w:r>
        <w:rPr>
          <w:sz w:val="18"/>
        </w:rPr>
        <w:t>R</w:t>
      </w:r>
      <w:r>
        <w:rPr>
          <w:spacing w:val="-25"/>
          <w:sz w:val="18"/>
        </w:rPr>
        <w:t> </w:t>
      </w:r>
      <w:r>
        <w:rPr>
          <w:sz w:val="18"/>
        </w:rPr>
        <w:t>Ø</w:t>
      </w:r>
      <w:r>
        <w:rPr>
          <w:spacing w:val="-23"/>
          <w:sz w:val="18"/>
        </w:rPr>
        <w:t> </w:t>
      </w:r>
      <w:r>
        <w:rPr>
          <w:sz w:val="18"/>
        </w:rPr>
        <w:t>N</w:t>
      </w:r>
      <w:r>
        <w:rPr>
          <w:spacing w:val="-22"/>
          <w:sz w:val="18"/>
        </w:rPr>
        <w:t> </w:t>
      </w:r>
      <w:r>
        <w:rPr>
          <w:sz w:val="18"/>
        </w:rPr>
        <w:t>L</w:t>
      </w:r>
      <w:r>
        <w:rPr>
          <w:spacing w:val="-21"/>
          <w:sz w:val="18"/>
        </w:rPr>
        <w:t> </w:t>
      </w:r>
      <w:r>
        <w:rPr>
          <w:sz w:val="18"/>
        </w:rPr>
        <w:t>A</w:t>
      </w:r>
      <w:r>
        <w:rPr>
          <w:spacing w:val="-22"/>
          <w:sz w:val="18"/>
        </w:rPr>
        <w:t> </w:t>
      </w:r>
      <w:r>
        <w:rPr>
          <w:sz w:val="18"/>
        </w:rPr>
        <w:t>N</w:t>
      </w:r>
      <w:r>
        <w:rPr>
          <w:spacing w:val="-22"/>
          <w:sz w:val="18"/>
        </w:rPr>
        <w:t> </w:t>
      </w:r>
      <w:r>
        <w:rPr>
          <w:sz w:val="18"/>
        </w:rPr>
        <w:t>D</w:t>
      </w:r>
      <w:r>
        <w:rPr>
          <w:spacing w:val="-25"/>
          <w:sz w:val="18"/>
        </w:rPr>
        <w:t> </w:t>
      </w:r>
      <w:r>
        <w:rPr>
          <w:sz w:val="18"/>
        </w:rPr>
        <w:t>,</w:t>
      </w:r>
    </w:p>
    <w:p>
      <w:pPr>
        <w:spacing w:line="205" w:lineRule="exact" w:before="0"/>
        <w:ind w:left="100" w:right="0" w:firstLine="0"/>
        <w:jc w:val="left"/>
        <w:rPr>
          <w:sz w:val="18"/>
        </w:rPr>
      </w:pPr>
      <w:r>
        <w:rPr>
          <w:sz w:val="18"/>
        </w:rPr>
        <w:t>E N E R G I - , F O R S Y N I N G S - O G K L I M A M I N I S T E R I ET </w:t>
      </w:r>
    </w:p>
    <w:p>
      <w:pPr>
        <w:spacing w:after="0" w:line="205" w:lineRule="exact"/>
        <w:jc w:val="left"/>
        <w:rPr>
          <w:sz w:val="18"/>
        </w:rPr>
        <w:sectPr>
          <w:type w:val="continuous"/>
          <w:pgSz w:w="11910" w:h="16850"/>
          <w:pgMar w:top="860" w:bottom="280" w:left="1460" w:right="680"/>
        </w:sectPr>
      </w:pPr>
    </w:p>
    <w:p>
      <w:pPr>
        <w:pStyle w:val="BodyText"/>
        <w:spacing w:before="4"/>
        <w:rPr>
          <w:rFonts w:ascii="Times New Roman"/>
          <w:sz w:val="17"/>
        </w:rPr>
      </w:pPr>
    </w:p>
    <w:p>
      <w:pPr>
        <w:spacing w:after="0"/>
        <w:rPr>
          <w:rFonts w:ascii="Times New Roman"/>
          <w:sz w:val="17"/>
        </w:rPr>
        <w:sectPr>
          <w:pgSz w:w="11910" w:h="16840"/>
          <w:pgMar w:top="1580" w:bottom="280" w:left="1460" w:right="680"/>
        </w:sectPr>
      </w:pPr>
    </w:p>
    <w:p>
      <w:pPr>
        <w:spacing w:before="67"/>
        <w:ind w:left="261" w:right="0" w:firstLine="0"/>
        <w:jc w:val="left"/>
        <w:rPr>
          <w:sz w:val="18"/>
        </w:rPr>
      </w:pPr>
      <w:r>
        <w:rPr>
          <w:sz w:val="18"/>
        </w:rPr>
        <w:t>D A N M A R K S O G G R Ø N L A N D S G E O L O G I S K E U N D E R S Ø G E L S E R A P P O R T 2 0 1 8 / 3 6</w:t>
      </w:r>
    </w:p>
    <w:p>
      <w:pPr>
        <w:pStyle w:val="BodyText"/>
        <w:spacing w:before="7"/>
        <w:rPr>
          <w:sz w:val="19"/>
        </w:rPr>
      </w:pPr>
    </w:p>
    <w:p>
      <w:pPr>
        <w:spacing w:line="283" w:lineRule="auto" w:before="1"/>
        <w:ind w:left="1583" w:right="102" w:hanging="96"/>
        <w:jc w:val="left"/>
        <w:rPr>
          <w:b/>
          <w:sz w:val="34"/>
        </w:rPr>
      </w:pPr>
      <w:r>
        <w:rPr>
          <w:b/>
          <w:sz w:val="34"/>
        </w:rPr>
        <w:t>Modellering af terrænnært grundvand, vandstand i vandløb og vand på terræn for Storå og Odense</w:t>
      </w:r>
      <w:r>
        <w:rPr>
          <w:b/>
          <w:spacing w:val="-9"/>
          <w:sz w:val="34"/>
        </w:rPr>
        <w:t> </w:t>
      </w:r>
      <w:r>
        <w:rPr>
          <w:b/>
          <w:sz w:val="34"/>
        </w:rPr>
        <w:t>Å</w:t>
      </w:r>
    </w:p>
    <w:p>
      <w:pPr>
        <w:spacing w:before="272"/>
        <w:ind w:left="2997" w:right="0" w:firstLine="0"/>
        <w:jc w:val="left"/>
        <w:rPr>
          <w:sz w:val="30"/>
        </w:rPr>
      </w:pPr>
      <w:r>
        <w:rPr>
          <w:sz w:val="30"/>
        </w:rPr>
        <w:t>Slutrapport (FODS 6.1 Fasttrack</w:t>
      </w:r>
      <w:r>
        <w:rPr>
          <w:spacing w:val="-17"/>
          <w:sz w:val="30"/>
        </w:rPr>
        <w:t> </w:t>
      </w:r>
      <w:r>
        <w:rPr>
          <w:sz w:val="30"/>
        </w:rPr>
        <w:t>metodeudvikling)</w:t>
      </w:r>
    </w:p>
    <w:p>
      <w:pPr>
        <w:pStyle w:val="BodyText"/>
        <w:spacing w:before="10"/>
        <w:rPr>
          <w:sz w:val="28"/>
        </w:rPr>
      </w:pPr>
    </w:p>
    <w:p>
      <w:pPr>
        <w:pStyle w:val="Heading3"/>
        <w:ind w:left="3036" w:right="0"/>
        <w:rPr>
          <w:rFonts w:ascii="Arial"/>
        </w:rPr>
      </w:pPr>
      <w:r>
        <w:rPr>
          <w:rFonts w:ascii="Arial"/>
        </w:rPr>
        <w:t>Udarbejdet af GEUS for SDFE i regi af FODS 6.1 - September</w:t>
      </w:r>
      <w:r>
        <w:rPr>
          <w:rFonts w:ascii="Arial"/>
          <w:spacing w:val="-13"/>
        </w:rPr>
        <w:t> </w:t>
      </w:r>
      <w:r>
        <w:rPr>
          <w:rFonts w:ascii="Arial"/>
        </w:rPr>
        <w:t>2018</w:t>
      </w:r>
    </w:p>
    <w:p>
      <w:pPr>
        <w:pStyle w:val="BodyText"/>
        <w:spacing w:before="8"/>
        <w:rPr>
          <w:sz w:val="27"/>
        </w:rPr>
      </w:pPr>
    </w:p>
    <w:p>
      <w:pPr>
        <w:pStyle w:val="Heading3"/>
        <w:spacing w:line="283" w:lineRule="auto"/>
        <w:ind w:left="5508" w:right="98" w:firstLine="316"/>
        <w:rPr>
          <w:rFonts w:ascii="Arial" w:hAnsi="Arial"/>
        </w:rPr>
      </w:pPr>
      <w:r>
        <w:rPr>
          <w:rFonts w:ascii="Arial" w:hAnsi="Arial"/>
        </w:rPr>
        <w:t>Simon Stisen, Raphael J.M. Schneider, Maria Ondracek &amp; Hans Jørgen</w:t>
      </w:r>
      <w:r>
        <w:rPr>
          <w:rFonts w:ascii="Arial" w:hAnsi="Arial"/>
          <w:spacing w:val="-8"/>
        </w:rPr>
        <w:t> </w:t>
      </w:r>
      <w:r>
        <w:rPr>
          <w:rFonts w:ascii="Arial" w:hAnsi="Arial"/>
        </w:rPr>
        <w:t>Henriksen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3"/>
        </w:rPr>
      </w:pPr>
    </w:p>
    <w:p>
      <w:pPr>
        <w:spacing w:line="362" w:lineRule="auto" w:before="0"/>
        <w:ind w:left="100" w:right="4429" w:firstLine="0"/>
        <w:jc w:val="left"/>
        <w:rPr>
          <w:sz w:val="18"/>
        </w:rPr>
      </w:pPr>
      <w:r>
        <w:rPr/>
        <w:drawing>
          <wp:anchor distT="0" distB="0" distL="0" distR="0" allowOverlap="1" layoutInCell="1" locked="0" behindDoc="0" simplePos="0" relativeHeight="1144">
            <wp:simplePos x="0" y="0"/>
            <wp:positionH relativeFrom="page">
              <wp:posOffset>6327031</wp:posOffset>
            </wp:positionH>
            <wp:positionV relativeFrom="paragraph">
              <wp:posOffset>-382579</wp:posOffset>
            </wp:positionV>
            <wp:extent cx="630763" cy="634194"/>
            <wp:effectExtent l="0" t="0" r="0" b="0"/>
            <wp:wrapNone/>
            <wp:docPr id="3" name="image2.png" descr=""/>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630763" cy="634194"/>
                    </a:xfrm>
                    <a:prstGeom prst="rect">
                      <a:avLst/>
                    </a:prstGeom>
                  </pic:spPr>
                </pic:pic>
              </a:graphicData>
            </a:graphic>
          </wp:anchor>
        </w:drawing>
      </w:r>
      <w:r>
        <w:rPr>
          <w:sz w:val="18"/>
        </w:rPr>
        <w:t>D</w:t>
      </w:r>
      <w:r>
        <w:rPr>
          <w:spacing w:val="-22"/>
          <w:sz w:val="18"/>
        </w:rPr>
        <w:t> </w:t>
      </w:r>
      <w:r>
        <w:rPr>
          <w:sz w:val="18"/>
        </w:rPr>
        <w:t>E</w:t>
      </w:r>
      <w:r>
        <w:rPr>
          <w:spacing w:val="7"/>
          <w:sz w:val="18"/>
        </w:rPr>
        <w:t> </w:t>
      </w:r>
      <w:r>
        <w:rPr>
          <w:sz w:val="18"/>
        </w:rPr>
        <w:t>N</w:t>
      </w:r>
      <w:r>
        <w:rPr>
          <w:spacing w:val="-22"/>
          <w:sz w:val="18"/>
        </w:rPr>
        <w:t> </w:t>
      </w:r>
      <w:r>
        <w:rPr>
          <w:sz w:val="18"/>
        </w:rPr>
        <w:t>A</w:t>
      </w:r>
      <w:r>
        <w:rPr>
          <w:spacing w:val="-22"/>
          <w:sz w:val="18"/>
        </w:rPr>
        <w:t> </w:t>
      </w:r>
      <w:r>
        <w:rPr>
          <w:sz w:val="18"/>
        </w:rPr>
        <w:t>T</w:t>
      </w:r>
      <w:r>
        <w:rPr>
          <w:spacing w:val="-24"/>
          <w:sz w:val="18"/>
        </w:rPr>
        <w:t> </w:t>
      </w:r>
      <w:r>
        <w:rPr>
          <w:sz w:val="18"/>
        </w:rPr>
        <w:t>I</w:t>
      </w:r>
      <w:r>
        <w:rPr>
          <w:spacing w:val="-22"/>
          <w:sz w:val="18"/>
        </w:rPr>
        <w:t> </w:t>
      </w:r>
      <w:r>
        <w:rPr>
          <w:sz w:val="18"/>
        </w:rPr>
        <w:t>O</w:t>
      </w:r>
      <w:r>
        <w:rPr>
          <w:spacing w:val="-25"/>
          <w:sz w:val="18"/>
        </w:rPr>
        <w:t> </w:t>
      </w:r>
      <w:r>
        <w:rPr>
          <w:sz w:val="18"/>
        </w:rPr>
        <w:t>N</w:t>
      </w:r>
      <w:r>
        <w:rPr>
          <w:spacing w:val="-22"/>
          <w:sz w:val="18"/>
        </w:rPr>
        <w:t> </w:t>
      </w:r>
      <w:r>
        <w:rPr>
          <w:sz w:val="18"/>
        </w:rPr>
        <w:t>A</w:t>
      </w:r>
      <w:r>
        <w:rPr>
          <w:spacing w:val="-24"/>
          <w:sz w:val="18"/>
        </w:rPr>
        <w:t> </w:t>
      </w:r>
      <w:r>
        <w:rPr>
          <w:sz w:val="18"/>
        </w:rPr>
        <w:t>L</w:t>
      </w:r>
      <w:r>
        <w:rPr>
          <w:spacing w:val="-21"/>
          <w:sz w:val="18"/>
        </w:rPr>
        <w:t> </w:t>
      </w:r>
      <w:r>
        <w:rPr>
          <w:sz w:val="18"/>
        </w:rPr>
        <w:t>E</w:t>
      </w:r>
      <w:r>
        <w:rPr>
          <w:spacing w:val="7"/>
          <w:sz w:val="18"/>
        </w:rPr>
        <w:t> </w:t>
      </w:r>
      <w:r>
        <w:rPr>
          <w:sz w:val="18"/>
        </w:rPr>
        <w:t>G</w:t>
      </w:r>
      <w:r>
        <w:rPr>
          <w:spacing w:val="-25"/>
          <w:sz w:val="18"/>
        </w:rPr>
        <w:t> </w:t>
      </w:r>
      <w:r>
        <w:rPr>
          <w:sz w:val="18"/>
        </w:rPr>
        <w:t>E</w:t>
      </w:r>
      <w:r>
        <w:rPr>
          <w:spacing w:val="-22"/>
          <w:sz w:val="18"/>
        </w:rPr>
        <w:t> </w:t>
      </w:r>
      <w:r>
        <w:rPr>
          <w:sz w:val="18"/>
        </w:rPr>
        <w:t>O</w:t>
      </w:r>
      <w:r>
        <w:rPr>
          <w:spacing w:val="-23"/>
          <w:sz w:val="18"/>
        </w:rPr>
        <w:t> </w:t>
      </w:r>
      <w:r>
        <w:rPr>
          <w:sz w:val="18"/>
        </w:rPr>
        <w:t>L</w:t>
      </w:r>
      <w:r>
        <w:rPr>
          <w:spacing w:val="-23"/>
          <w:sz w:val="18"/>
        </w:rPr>
        <w:t> </w:t>
      </w:r>
      <w:r>
        <w:rPr>
          <w:sz w:val="18"/>
        </w:rPr>
        <w:t>O</w:t>
      </w:r>
      <w:r>
        <w:rPr>
          <w:spacing w:val="-23"/>
          <w:sz w:val="18"/>
        </w:rPr>
        <w:t> </w:t>
      </w:r>
      <w:r>
        <w:rPr>
          <w:sz w:val="18"/>
        </w:rPr>
        <w:t>G</w:t>
      </w:r>
      <w:r>
        <w:rPr>
          <w:spacing w:val="-23"/>
          <w:sz w:val="18"/>
        </w:rPr>
        <w:t> </w:t>
      </w:r>
      <w:r>
        <w:rPr>
          <w:sz w:val="18"/>
        </w:rPr>
        <w:t>I</w:t>
      </w:r>
      <w:r>
        <w:rPr>
          <w:spacing w:val="-22"/>
          <w:sz w:val="18"/>
        </w:rPr>
        <w:t> </w:t>
      </w:r>
      <w:r>
        <w:rPr>
          <w:sz w:val="18"/>
        </w:rPr>
        <w:t>S</w:t>
      </w:r>
      <w:r>
        <w:rPr>
          <w:spacing w:val="-22"/>
          <w:sz w:val="18"/>
        </w:rPr>
        <w:t> </w:t>
      </w:r>
      <w:r>
        <w:rPr>
          <w:sz w:val="18"/>
        </w:rPr>
        <w:t>K</w:t>
      </w:r>
      <w:r>
        <w:rPr>
          <w:spacing w:val="-22"/>
          <w:sz w:val="18"/>
        </w:rPr>
        <w:t> </w:t>
      </w:r>
      <w:r>
        <w:rPr>
          <w:sz w:val="18"/>
        </w:rPr>
        <w:t>E </w:t>
      </w:r>
      <w:r>
        <w:rPr>
          <w:spacing w:val="4"/>
          <w:sz w:val="18"/>
        </w:rPr>
        <w:t> </w:t>
      </w:r>
      <w:r>
        <w:rPr>
          <w:sz w:val="18"/>
        </w:rPr>
        <w:t>U</w:t>
      </w:r>
      <w:r>
        <w:rPr>
          <w:spacing w:val="-22"/>
          <w:sz w:val="18"/>
        </w:rPr>
        <w:t> </w:t>
      </w:r>
      <w:r>
        <w:rPr>
          <w:sz w:val="18"/>
        </w:rPr>
        <w:t>N</w:t>
      </w:r>
      <w:r>
        <w:rPr>
          <w:spacing w:val="-22"/>
          <w:sz w:val="18"/>
        </w:rPr>
        <w:t> </w:t>
      </w:r>
      <w:r>
        <w:rPr>
          <w:sz w:val="18"/>
        </w:rPr>
        <w:t>D</w:t>
      </w:r>
      <w:r>
        <w:rPr>
          <w:spacing w:val="-25"/>
          <w:sz w:val="18"/>
        </w:rPr>
        <w:t> </w:t>
      </w:r>
      <w:r>
        <w:rPr>
          <w:sz w:val="18"/>
        </w:rPr>
        <w:t>E</w:t>
      </w:r>
      <w:r>
        <w:rPr>
          <w:spacing w:val="-22"/>
          <w:sz w:val="18"/>
        </w:rPr>
        <w:t> </w:t>
      </w:r>
      <w:r>
        <w:rPr>
          <w:sz w:val="18"/>
        </w:rPr>
        <w:t>R</w:t>
      </w:r>
      <w:r>
        <w:rPr>
          <w:spacing w:val="-22"/>
          <w:sz w:val="18"/>
        </w:rPr>
        <w:t> </w:t>
      </w:r>
      <w:r>
        <w:rPr>
          <w:sz w:val="18"/>
        </w:rPr>
        <w:t>S</w:t>
      </w:r>
      <w:r>
        <w:rPr>
          <w:spacing w:val="-22"/>
          <w:sz w:val="18"/>
        </w:rPr>
        <w:t> </w:t>
      </w:r>
      <w:r>
        <w:rPr>
          <w:sz w:val="18"/>
        </w:rPr>
        <w:t>Ø</w:t>
      </w:r>
      <w:r>
        <w:rPr>
          <w:spacing w:val="-23"/>
          <w:sz w:val="18"/>
        </w:rPr>
        <w:t> </w:t>
      </w:r>
      <w:r>
        <w:rPr>
          <w:sz w:val="18"/>
        </w:rPr>
        <w:t>G</w:t>
      </w:r>
      <w:r>
        <w:rPr>
          <w:spacing w:val="-23"/>
          <w:sz w:val="18"/>
        </w:rPr>
        <w:t> </w:t>
      </w:r>
      <w:r>
        <w:rPr>
          <w:sz w:val="18"/>
        </w:rPr>
        <w:t>E</w:t>
      </w:r>
      <w:r>
        <w:rPr>
          <w:spacing w:val="-24"/>
          <w:sz w:val="18"/>
        </w:rPr>
        <w:t> </w:t>
      </w:r>
      <w:r>
        <w:rPr>
          <w:sz w:val="18"/>
        </w:rPr>
        <w:t>L</w:t>
      </w:r>
      <w:r>
        <w:rPr>
          <w:spacing w:val="-21"/>
          <w:sz w:val="18"/>
        </w:rPr>
        <w:t> </w:t>
      </w:r>
      <w:r>
        <w:rPr>
          <w:sz w:val="18"/>
        </w:rPr>
        <w:t>S</w:t>
      </w:r>
      <w:r>
        <w:rPr>
          <w:spacing w:val="-22"/>
          <w:sz w:val="18"/>
        </w:rPr>
        <w:t> </w:t>
      </w:r>
      <w:r>
        <w:rPr>
          <w:sz w:val="18"/>
        </w:rPr>
        <w:t>E</w:t>
      </w:r>
      <w:r>
        <w:rPr>
          <w:spacing w:val="-22"/>
          <w:sz w:val="18"/>
        </w:rPr>
        <w:t> </w:t>
      </w:r>
      <w:r>
        <w:rPr>
          <w:sz w:val="18"/>
        </w:rPr>
        <w:t>R F</w:t>
      </w:r>
      <w:r>
        <w:rPr>
          <w:spacing w:val="-22"/>
          <w:sz w:val="18"/>
        </w:rPr>
        <w:t> </w:t>
      </w:r>
      <w:r>
        <w:rPr>
          <w:sz w:val="18"/>
        </w:rPr>
        <w:t>O</w:t>
      </w:r>
      <w:r>
        <w:rPr>
          <w:spacing w:val="-23"/>
          <w:sz w:val="18"/>
        </w:rPr>
        <w:t> </w:t>
      </w:r>
      <w:r>
        <w:rPr>
          <w:sz w:val="18"/>
        </w:rPr>
        <w:t>R</w:t>
      </w:r>
      <w:r>
        <w:rPr>
          <w:spacing w:val="8"/>
          <w:sz w:val="18"/>
        </w:rPr>
        <w:t> </w:t>
      </w:r>
      <w:r>
        <w:rPr>
          <w:sz w:val="18"/>
        </w:rPr>
        <w:t>D</w:t>
      </w:r>
      <w:r>
        <w:rPr>
          <w:spacing w:val="-25"/>
          <w:sz w:val="18"/>
        </w:rPr>
        <w:t> </w:t>
      </w:r>
      <w:r>
        <w:rPr>
          <w:sz w:val="18"/>
        </w:rPr>
        <w:t>A</w:t>
      </w:r>
      <w:r>
        <w:rPr>
          <w:spacing w:val="-22"/>
          <w:sz w:val="18"/>
        </w:rPr>
        <w:t> </w:t>
      </w:r>
      <w:r>
        <w:rPr>
          <w:sz w:val="18"/>
        </w:rPr>
        <w:t>N</w:t>
      </w:r>
      <w:r>
        <w:rPr>
          <w:spacing w:val="-22"/>
          <w:sz w:val="18"/>
        </w:rPr>
        <w:t> </w:t>
      </w:r>
      <w:r>
        <w:rPr>
          <w:sz w:val="18"/>
        </w:rPr>
        <w:t>M</w:t>
      </w:r>
      <w:r>
        <w:rPr>
          <w:spacing w:val="-25"/>
          <w:sz w:val="18"/>
        </w:rPr>
        <w:t> </w:t>
      </w:r>
      <w:r>
        <w:rPr>
          <w:sz w:val="18"/>
        </w:rPr>
        <w:t>A</w:t>
      </w:r>
      <w:r>
        <w:rPr>
          <w:spacing w:val="-22"/>
          <w:sz w:val="18"/>
        </w:rPr>
        <w:t> </w:t>
      </w:r>
      <w:r>
        <w:rPr>
          <w:sz w:val="18"/>
        </w:rPr>
        <w:t>R</w:t>
      </w:r>
      <w:r>
        <w:rPr>
          <w:spacing w:val="-22"/>
          <w:sz w:val="18"/>
        </w:rPr>
        <w:t> </w:t>
      </w:r>
      <w:r>
        <w:rPr>
          <w:sz w:val="18"/>
        </w:rPr>
        <w:t>K</w:t>
      </w:r>
      <w:r>
        <w:rPr>
          <w:spacing w:val="7"/>
          <w:sz w:val="18"/>
        </w:rPr>
        <w:t> </w:t>
      </w:r>
      <w:r>
        <w:rPr>
          <w:sz w:val="18"/>
        </w:rPr>
        <w:t>O</w:t>
      </w:r>
      <w:r>
        <w:rPr>
          <w:spacing w:val="-23"/>
          <w:sz w:val="18"/>
        </w:rPr>
        <w:t> </w:t>
      </w:r>
      <w:r>
        <w:rPr>
          <w:sz w:val="18"/>
        </w:rPr>
        <w:t>G</w:t>
      </w:r>
      <w:r>
        <w:rPr>
          <w:spacing w:val="5"/>
          <w:sz w:val="18"/>
        </w:rPr>
        <w:t> </w:t>
      </w:r>
      <w:r>
        <w:rPr>
          <w:sz w:val="18"/>
        </w:rPr>
        <w:t>G</w:t>
      </w:r>
      <w:r>
        <w:rPr>
          <w:spacing w:val="-25"/>
          <w:sz w:val="18"/>
        </w:rPr>
        <w:t> </w:t>
      </w:r>
      <w:r>
        <w:rPr>
          <w:sz w:val="18"/>
        </w:rPr>
        <w:t>R</w:t>
      </w:r>
      <w:r>
        <w:rPr>
          <w:spacing w:val="-25"/>
          <w:sz w:val="18"/>
        </w:rPr>
        <w:t> </w:t>
      </w:r>
      <w:r>
        <w:rPr>
          <w:sz w:val="18"/>
        </w:rPr>
        <w:t>Ø</w:t>
      </w:r>
      <w:r>
        <w:rPr>
          <w:spacing w:val="-23"/>
          <w:sz w:val="18"/>
        </w:rPr>
        <w:t> </w:t>
      </w:r>
      <w:r>
        <w:rPr>
          <w:sz w:val="18"/>
        </w:rPr>
        <w:t>N</w:t>
      </w:r>
      <w:r>
        <w:rPr>
          <w:spacing w:val="-22"/>
          <w:sz w:val="18"/>
        </w:rPr>
        <w:t> </w:t>
      </w:r>
      <w:r>
        <w:rPr>
          <w:sz w:val="18"/>
        </w:rPr>
        <w:t>L</w:t>
      </w:r>
      <w:r>
        <w:rPr>
          <w:spacing w:val="-21"/>
          <w:sz w:val="18"/>
        </w:rPr>
        <w:t> </w:t>
      </w:r>
      <w:r>
        <w:rPr>
          <w:sz w:val="18"/>
        </w:rPr>
        <w:t>A</w:t>
      </w:r>
      <w:r>
        <w:rPr>
          <w:spacing w:val="-22"/>
          <w:sz w:val="18"/>
        </w:rPr>
        <w:t> </w:t>
      </w:r>
      <w:r>
        <w:rPr>
          <w:sz w:val="18"/>
        </w:rPr>
        <w:t>N</w:t>
      </w:r>
      <w:r>
        <w:rPr>
          <w:spacing w:val="-22"/>
          <w:sz w:val="18"/>
        </w:rPr>
        <w:t> </w:t>
      </w:r>
      <w:r>
        <w:rPr>
          <w:sz w:val="18"/>
        </w:rPr>
        <w:t>D</w:t>
      </w:r>
      <w:r>
        <w:rPr>
          <w:spacing w:val="-25"/>
          <w:sz w:val="18"/>
        </w:rPr>
        <w:t> </w:t>
      </w:r>
      <w:r>
        <w:rPr>
          <w:sz w:val="18"/>
        </w:rPr>
        <w:t>,</w:t>
      </w:r>
    </w:p>
    <w:p>
      <w:pPr>
        <w:tabs>
          <w:tab w:pos="8889" w:val="left" w:leader="none"/>
        </w:tabs>
        <w:spacing w:line="203" w:lineRule="exact" w:before="0"/>
        <w:ind w:left="100" w:right="0" w:firstLine="0"/>
        <w:jc w:val="left"/>
        <w:rPr>
          <w:sz w:val="18"/>
        </w:rPr>
      </w:pPr>
      <w:r>
        <w:rPr/>
        <w:drawing>
          <wp:anchor distT="0" distB="0" distL="0" distR="0" allowOverlap="1" layoutInCell="1" locked="0" behindDoc="0" simplePos="0" relativeHeight="1">
            <wp:simplePos x="0" y="0"/>
            <wp:positionH relativeFrom="page">
              <wp:posOffset>6223372</wp:posOffset>
            </wp:positionH>
            <wp:positionV relativeFrom="paragraph">
              <wp:posOffset>177256</wp:posOffset>
            </wp:positionV>
            <wp:extent cx="119237" cy="116586"/>
            <wp:effectExtent l="0" t="0" r="0" b="0"/>
            <wp:wrapTopAndBottom/>
            <wp:docPr id="5" name="image3.png" descr=""/>
            <wp:cNvGraphicFramePr>
              <a:graphicFrameLocks noChangeAspect="1"/>
            </wp:cNvGraphicFramePr>
            <a:graphic>
              <a:graphicData uri="http://schemas.openxmlformats.org/drawingml/2006/picture">
                <pic:pic>
                  <pic:nvPicPr>
                    <pic:cNvPr id="6" name="image3.png"/>
                    <pic:cNvPicPr/>
                  </pic:nvPicPr>
                  <pic:blipFill>
                    <a:blip r:embed="rId7" cstate="print"/>
                    <a:stretch>
                      <a:fillRect/>
                    </a:stretch>
                  </pic:blipFill>
                  <pic:spPr>
                    <a:xfrm>
                      <a:off x="0" y="0"/>
                      <a:ext cx="119237" cy="116586"/>
                    </a:xfrm>
                    <a:prstGeom prst="rect">
                      <a:avLst/>
                    </a:prstGeom>
                  </pic:spPr>
                </pic:pic>
              </a:graphicData>
            </a:graphic>
          </wp:anchor>
        </w:drawing>
      </w:r>
      <w:r>
        <w:rPr/>
        <w:drawing>
          <wp:anchor distT="0" distB="0" distL="0" distR="0" allowOverlap="1" layoutInCell="1" locked="0" behindDoc="0" simplePos="0" relativeHeight="2">
            <wp:simplePos x="0" y="0"/>
            <wp:positionH relativeFrom="page">
              <wp:posOffset>6488586</wp:posOffset>
            </wp:positionH>
            <wp:positionV relativeFrom="paragraph">
              <wp:posOffset>178776</wp:posOffset>
            </wp:positionV>
            <wp:extent cx="84468" cy="116681"/>
            <wp:effectExtent l="0" t="0" r="0" b="0"/>
            <wp:wrapTopAndBottom/>
            <wp:docPr id="7" name="image4.png" descr=""/>
            <wp:cNvGraphicFramePr>
              <a:graphicFrameLocks noChangeAspect="1"/>
            </wp:cNvGraphicFramePr>
            <a:graphic>
              <a:graphicData uri="http://schemas.openxmlformats.org/drawingml/2006/picture">
                <pic:pic>
                  <pic:nvPicPr>
                    <pic:cNvPr id="8" name="image4.png"/>
                    <pic:cNvPicPr/>
                  </pic:nvPicPr>
                  <pic:blipFill>
                    <a:blip r:embed="rId8" cstate="print"/>
                    <a:stretch>
                      <a:fillRect/>
                    </a:stretch>
                  </pic:blipFill>
                  <pic:spPr>
                    <a:xfrm>
                      <a:off x="0" y="0"/>
                      <a:ext cx="84468" cy="116681"/>
                    </a:xfrm>
                    <a:prstGeom prst="rect">
                      <a:avLst/>
                    </a:prstGeom>
                  </pic:spPr>
                </pic:pic>
              </a:graphicData>
            </a:graphic>
          </wp:anchor>
        </w:drawing>
      </w:r>
      <w:r>
        <w:rPr/>
        <w:drawing>
          <wp:anchor distT="0" distB="0" distL="0" distR="0" allowOverlap="1" layoutInCell="1" locked="0" behindDoc="0" simplePos="0" relativeHeight="3">
            <wp:simplePos x="0" y="0"/>
            <wp:positionH relativeFrom="page">
              <wp:posOffset>6715616</wp:posOffset>
            </wp:positionH>
            <wp:positionV relativeFrom="paragraph">
              <wp:posOffset>178776</wp:posOffset>
            </wp:positionV>
            <wp:extent cx="117751" cy="116586"/>
            <wp:effectExtent l="0" t="0" r="0" b="0"/>
            <wp:wrapTopAndBottom/>
            <wp:docPr id="9" name="image5.png" descr=""/>
            <wp:cNvGraphicFramePr>
              <a:graphicFrameLocks noChangeAspect="1"/>
            </wp:cNvGraphicFramePr>
            <a:graphic>
              <a:graphicData uri="http://schemas.openxmlformats.org/drawingml/2006/picture">
                <pic:pic>
                  <pic:nvPicPr>
                    <pic:cNvPr id="10" name="image5.png"/>
                    <pic:cNvPicPr/>
                  </pic:nvPicPr>
                  <pic:blipFill>
                    <a:blip r:embed="rId9" cstate="print"/>
                    <a:stretch>
                      <a:fillRect/>
                    </a:stretch>
                  </pic:blipFill>
                  <pic:spPr>
                    <a:xfrm>
                      <a:off x="0" y="0"/>
                      <a:ext cx="117751" cy="116586"/>
                    </a:xfrm>
                    <a:prstGeom prst="rect">
                      <a:avLst/>
                    </a:prstGeom>
                  </pic:spPr>
                </pic:pic>
              </a:graphicData>
            </a:graphic>
          </wp:anchor>
        </w:drawing>
      </w:r>
      <w:r>
        <w:rPr/>
        <w:drawing>
          <wp:anchor distT="0" distB="0" distL="0" distR="0" allowOverlap="1" layoutInCell="1" locked="0" behindDoc="0" simplePos="0" relativeHeight="4">
            <wp:simplePos x="0" y="0"/>
            <wp:positionH relativeFrom="page">
              <wp:posOffset>6971430</wp:posOffset>
            </wp:positionH>
            <wp:positionV relativeFrom="paragraph">
              <wp:posOffset>177256</wp:posOffset>
            </wp:positionV>
            <wp:extent cx="85899" cy="116586"/>
            <wp:effectExtent l="0" t="0" r="0" b="0"/>
            <wp:wrapTopAndBottom/>
            <wp:docPr id="11" name="image6.png" descr=""/>
            <wp:cNvGraphicFramePr>
              <a:graphicFrameLocks noChangeAspect="1"/>
            </wp:cNvGraphicFramePr>
            <a:graphic>
              <a:graphicData uri="http://schemas.openxmlformats.org/drawingml/2006/picture">
                <pic:pic>
                  <pic:nvPicPr>
                    <pic:cNvPr id="12" name="image6.png"/>
                    <pic:cNvPicPr/>
                  </pic:nvPicPr>
                  <pic:blipFill>
                    <a:blip r:embed="rId10" cstate="print"/>
                    <a:stretch>
                      <a:fillRect/>
                    </a:stretch>
                  </pic:blipFill>
                  <pic:spPr>
                    <a:xfrm>
                      <a:off x="0" y="0"/>
                      <a:ext cx="85899" cy="116586"/>
                    </a:xfrm>
                    <a:prstGeom prst="rect">
                      <a:avLst/>
                    </a:prstGeom>
                  </pic:spPr>
                </pic:pic>
              </a:graphicData>
            </a:graphic>
          </wp:anchor>
        </w:drawing>
      </w:r>
      <w:r>
        <w:rPr>
          <w:sz w:val="18"/>
        </w:rPr>
        <w:t>E</w:t>
      </w:r>
      <w:r>
        <w:rPr>
          <w:spacing w:val="-22"/>
          <w:sz w:val="18"/>
        </w:rPr>
        <w:t> </w:t>
      </w:r>
      <w:r>
        <w:rPr>
          <w:sz w:val="18"/>
        </w:rPr>
        <w:t>N</w:t>
      </w:r>
      <w:r>
        <w:rPr>
          <w:spacing w:val="-22"/>
          <w:sz w:val="18"/>
        </w:rPr>
        <w:t> </w:t>
      </w:r>
      <w:r>
        <w:rPr>
          <w:sz w:val="18"/>
        </w:rPr>
        <w:t>E</w:t>
      </w:r>
      <w:r>
        <w:rPr>
          <w:spacing w:val="-22"/>
          <w:sz w:val="18"/>
        </w:rPr>
        <w:t> </w:t>
      </w:r>
      <w:r>
        <w:rPr>
          <w:sz w:val="18"/>
        </w:rPr>
        <w:t>R</w:t>
      </w:r>
      <w:r>
        <w:rPr>
          <w:spacing w:val="-22"/>
          <w:sz w:val="18"/>
        </w:rPr>
        <w:t> </w:t>
      </w:r>
      <w:r>
        <w:rPr>
          <w:sz w:val="18"/>
        </w:rPr>
        <w:t>G</w:t>
      </w:r>
      <w:r>
        <w:rPr>
          <w:spacing w:val="-23"/>
          <w:sz w:val="18"/>
        </w:rPr>
        <w:t> </w:t>
      </w:r>
      <w:r>
        <w:rPr>
          <w:sz w:val="18"/>
        </w:rPr>
        <w:t>I</w:t>
      </w:r>
      <w:r>
        <w:rPr>
          <w:spacing w:val="-23"/>
          <w:sz w:val="18"/>
        </w:rPr>
        <w:t> </w:t>
      </w:r>
      <w:r>
        <w:rPr>
          <w:sz w:val="18"/>
        </w:rPr>
        <w:t>-</w:t>
      </w:r>
      <w:r>
        <w:rPr>
          <w:spacing w:val="-22"/>
          <w:sz w:val="18"/>
        </w:rPr>
        <w:t> </w:t>
      </w:r>
      <w:r>
        <w:rPr>
          <w:sz w:val="18"/>
        </w:rPr>
        <w:t>, </w:t>
      </w:r>
      <w:r>
        <w:rPr>
          <w:spacing w:val="5"/>
          <w:sz w:val="18"/>
        </w:rPr>
        <w:t> </w:t>
      </w:r>
      <w:r>
        <w:rPr>
          <w:sz w:val="18"/>
        </w:rPr>
        <w:t>F</w:t>
      </w:r>
      <w:r>
        <w:rPr>
          <w:spacing w:val="-22"/>
          <w:sz w:val="18"/>
        </w:rPr>
        <w:t> </w:t>
      </w:r>
      <w:r>
        <w:rPr>
          <w:sz w:val="18"/>
        </w:rPr>
        <w:t>O</w:t>
      </w:r>
      <w:r>
        <w:rPr>
          <w:spacing w:val="-23"/>
          <w:sz w:val="18"/>
        </w:rPr>
        <w:t> </w:t>
      </w:r>
      <w:r>
        <w:rPr>
          <w:sz w:val="18"/>
        </w:rPr>
        <w:t>R</w:t>
      </w:r>
      <w:r>
        <w:rPr>
          <w:spacing w:val="-25"/>
          <w:sz w:val="18"/>
        </w:rPr>
        <w:t> </w:t>
      </w:r>
      <w:r>
        <w:rPr>
          <w:sz w:val="18"/>
        </w:rPr>
        <w:t>S</w:t>
      </w:r>
      <w:r>
        <w:rPr>
          <w:spacing w:val="-22"/>
          <w:sz w:val="18"/>
        </w:rPr>
        <w:t> </w:t>
      </w:r>
      <w:r>
        <w:rPr>
          <w:sz w:val="18"/>
        </w:rPr>
        <w:t>Y</w:t>
      </w:r>
      <w:r>
        <w:rPr>
          <w:spacing w:val="-24"/>
          <w:sz w:val="18"/>
        </w:rPr>
        <w:t> </w:t>
      </w:r>
      <w:r>
        <w:rPr>
          <w:sz w:val="18"/>
        </w:rPr>
        <w:t>N</w:t>
      </w:r>
      <w:r>
        <w:rPr>
          <w:spacing w:val="-22"/>
          <w:sz w:val="18"/>
        </w:rPr>
        <w:t> </w:t>
      </w:r>
      <w:r>
        <w:rPr>
          <w:sz w:val="18"/>
        </w:rPr>
        <w:t>I</w:t>
      </w:r>
      <w:r>
        <w:rPr>
          <w:spacing w:val="-22"/>
          <w:sz w:val="18"/>
        </w:rPr>
        <w:t> </w:t>
      </w:r>
      <w:r>
        <w:rPr>
          <w:sz w:val="18"/>
        </w:rPr>
        <w:t>N</w:t>
      </w:r>
      <w:r>
        <w:rPr>
          <w:spacing w:val="-22"/>
          <w:sz w:val="18"/>
        </w:rPr>
        <w:t> </w:t>
      </w:r>
      <w:r>
        <w:rPr>
          <w:sz w:val="18"/>
        </w:rPr>
        <w:t>G</w:t>
      </w:r>
      <w:r>
        <w:rPr>
          <w:spacing w:val="-25"/>
          <w:sz w:val="18"/>
        </w:rPr>
        <w:t> </w:t>
      </w:r>
      <w:r>
        <w:rPr>
          <w:sz w:val="18"/>
        </w:rPr>
        <w:t>S</w:t>
      </w:r>
      <w:r>
        <w:rPr>
          <w:spacing w:val="-19"/>
          <w:sz w:val="18"/>
        </w:rPr>
        <w:t> </w:t>
      </w:r>
      <w:r>
        <w:rPr>
          <w:sz w:val="18"/>
        </w:rPr>
        <w:t>- </w:t>
      </w:r>
      <w:r>
        <w:rPr>
          <w:spacing w:val="8"/>
          <w:sz w:val="18"/>
        </w:rPr>
        <w:t> </w:t>
      </w:r>
      <w:r>
        <w:rPr>
          <w:sz w:val="18"/>
        </w:rPr>
        <w:t>O</w:t>
      </w:r>
      <w:r>
        <w:rPr>
          <w:spacing w:val="-23"/>
          <w:sz w:val="18"/>
        </w:rPr>
        <w:t> </w:t>
      </w:r>
      <w:r>
        <w:rPr>
          <w:sz w:val="18"/>
        </w:rPr>
        <w:t>G </w:t>
      </w:r>
      <w:r>
        <w:rPr>
          <w:spacing w:val="4"/>
          <w:sz w:val="18"/>
        </w:rPr>
        <w:t> </w:t>
      </w:r>
      <w:r>
        <w:rPr>
          <w:sz w:val="18"/>
        </w:rPr>
        <w:t>K</w:t>
      </w:r>
      <w:r>
        <w:rPr>
          <w:spacing w:val="-24"/>
          <w:sz w:val="18"/>
        </w:rPr>
        <w:t> </w:t>
      </w:r>
      <w:r>
        <w:rPr>
          <w:sz w:val="18"/>
        </w:rPr>
        <w:t>L</w:t>
      </w:r>
      <w:r>
        <w:rPr>
          <w:spacing w:val="-21"/>
          <w:sz w:val="18"/>
        </w:rPr>
        <w:t> </w:t>
      </w:r>
      <w:r>
        <w:rPr>
          <w:sz w:val="18"/>
        </w:rPr>
        <w:t>I</w:t>
      </w:r>
      <w:r>
        <w:rPr>
          <w:spacing w:val="-22"/>
          <w:sz w:val="18"/>
        </w:rPr>
        <w:t> </w:t>
      </w:r>
      <w:r>
        <w:rPr>
          <w:sz w:val="18"/>
        </w:rPr>
        <w:t>M</w:t>
      </w:r>
      <w:r>
        <w:rPr>
          <w:spacing w:val="-25"/>
          <w:sz w:val="18"/>
        </w:rPr>
        <w:t> </w:t>
      </w:r>
      <w:r>
        <w:rPr>
          <w:sz w:val="18"/>
        </w:rPr>
        <w:t>A</w:t>
      </w:r>
      <w:r>
        <w:rPr>
          <w:spacing w:val="-22"/>
          <w:sz w:val="18"/>
        </w:rPr>
        <w:t> </w:t>
      </w:r>
      <w:r>
        <w:rPr>
          <w:sz w:val="18"/>
        </w:rPr>
        <w:t>M</w:t>
      </w:r>
      <w:r>
        <w:rPr>
          <w:spacing w:val="-25"/>
          <w:sz w:val="18"/>
        </w:rPr>
        <w:t> </w:t>
      </w:r>
      <w:r>
        <w:rPr>
          <w:sz w:val="18"/>
        </w:rPr>
        <w:t>I</w:t>
      </w:r>
      <w:r>
        <w:rPr>
          <w:spacing w:val="-22"/>
          <w:sz w:val="18"/>
        </w:rPr>
        <w:t> </w:t>
      </w:r>
      <w:r>
        <w:rPr>
          <w:sz w:val="18"/>
        </w:rPr>
        <w:t>N</w:t>
      </w:r>
      <w:r>
        <w:rPr>
          <w:spacing w:val="-22"/>
          <w:sz w:val="18"/>
        </w:rPr>
        <w:t> </w:t>
      </w:r>
      <w:r>
        <w:rPr>
          <w:sz w:val="18"/>
        </w:rPr>
        <w:t>I</w:t>
      </w:r>
      <w:r>
        <w:rPr>
          <w:spacing w:val="-22"/>
          <w:sz w:val="18"/>
        </w:rPr>
        <w:t> </w:t>
      </w:r>
      <w:r>
        <w:rPr>
          <w:sz w:val="18"/>
        </w:rPr>
        <w:t>S</w:t>
      </w:r>
      <w:r>
        <w:rPr>
          <w:spacing w:val="-22"/>
          <w:sz w:val="18"/>
        </w:rPr>
        <w:t> </w:t>
      </w:r>
      <w:r>
        <w:rPr>
          <w:sz w:val="18"/>
        </w:rPr>
        <w:t>T</w:t>
      </w:r>
      <w:r>
        <w:rPr>
          <w:spacing w:val="-24"/>
          <w:sz w:val="18"/>
        </w:rPr>
        <w:t> </w:t>
      </w:r>
      <w:r>
        <w:rPr>
          <w:sz w:val="18"/>
        </w:rPr>
        <w:t>E</w:t>
      </w:r>
      <w:r>
        <w:rPr>
          <w:spacing w:val="-22"/>
          <w:sz w:val="18"/>
        </w:rPr>
        <w:t> </w:t>
      </w:r>
      <w:r>
        <w:rPr>
          <w:sz w:val="18"/>
        </w:rPr>
        <w:t>R</w:t>
      </w:r>
      <w:r>
        <w:rPr>
          <w:spacing w:val="-22"/>
          <w:sz w:val="18"/>
        </w:rPr>
        <w:t> </w:t>
      </w:r>
      <w:r>
        <w:rPr>
          <w:sz w:val="18"/>
        </w:rPr>
        <w:t>I</w:t>
      </w:r>
      <w:r>
        <w:rPr>
          <w:spacing w:val="-22"/>
          <w:sz w:val="18"/>
        </w:rPr>
        <w:t> </w:t>
      </w:r>
      <w:r>
        <w:rPr>
          <w:sz w:val="18"/>
        </w:rPr>
        <w:t>E</w:t>
      </w:r>
      <w:r>
        <w:rPr>
          <w:spacing w:val="-22"/>
          <w:sz w:val="18"/>
        </w:rPr>
        <w:t> </w:t>
      </w:r>
      <w:r>
        <w:rPr>
          <w:sz w:val="18"/>
        </w:rPr>
        <w:t>T</w:t>
        <w:tab/>
      </w:r>
      <w:r>
        <w:rPr>
          <w:position w:val="-1"/>
          <w:sz w:val="18"/>
        </w:rPr>
        <w:drawing>
          <wp:inline distT="0" distB="0" distL="0" distR="0">
            <wp:extent cx="141854" cy="136200"/>
            <wp:effectExtent l="0" t="0" r="0" b="0"/>
            <wp:docPr id="13" name="image7.png" descr=""/>
            <wp:cNvGraphicFramePr>
              <a:graphicFrameLocks noChangeAspect="1"/>
            </wp:cNvGraphicFramePr>
            <a:graphic>
              <a:graphicData uri="http://schemas.openxmlformats.org/drawingml/2006/picture">
                <pic:pic>
                  <pic:nvPicPr>
                    <pic:cNvPr id="14" name="image7.png"/>
                    <pic:cNvPicPr/>
                  </pic:nvPicPr>
                  <pic:blipFill>
                    <a:blip r:embed="rId11" cstate="print"/>
                    <a:stretch>
                      <a:fillRect/>
                    </a:stretch>
                  </pic:blipFill>
                  <pic:spPr>
                    <a:xfrm>
                      <a:off x="0" y="0"/>
                      <a:ext cx="141854" cy="136200"/>
                    </a:xfrm>
                    <a:prstGeom prst="rect">
                      <a:avLst/>
                    </a:prstGeom>
                  </pic:spPr>
                </pic:pic>
              </a:graphicData>
            </a:graphic>
          </wp:inline>
        </w:drawing>
      </w:r>
      <w:r>
        <w:rPr>
          <w:position w:val="-1"/>
          <w:sz w:val="18"/>
        </w:rPr>
      </w:r>
    </w:p>
    <w:p>
      <w:pPr>
        <w:spacing w:after="0" w:line="203" w:lineRule="exact"/>
        <w:jc w:val="left"/>
        <w:rPr>
          <w:sz w:val="18"/>
        </w:rPr>
        <w:sectPr>
          <w:pgSz w:w="11910" w:h="16850"/>
          <w:pgMar w:top="500" w:bottom="280" w:left="1460" w:right="680"/>
        </w:sectPr>
      </w:pPr>
    </w:p>
    <w:p>
      <w:pPr>
        <w:pStyle w:val="BodyText"/>
        <w:spacing w:before="4"/>
        <w:rPr>
          <w:rFonts w:ascii="Times New Roman"/>
          <w:sz w:val="17"/>
        </w:rPr>
      </w:pPr>
    </w:p>
    <w:p>
      <w:pPr>
        <w:spacing w:after="0"/>
        <w:rPr>
          <w:rFonts w:ascii="Times New Roman"/>
          <w:sz w:val="17"/>
        </w:rPr>
        <w:sectPr>
          <w:pgSz w:w="11910" w:h="16840"/>
          <w:pgMar w:top="1580" w:bottom="280" w:left="1460" w:right="680"/>
        </w:sectPr>
      </w:pPr>
    </w:p>
    <w:p>
      <w:pPr>
        <w:spacing w:before="17"/>
        <w:ind w:left="525" w:right="0" w:firstLine="0"/>
        <w:jc w:val="left"/>
        <w:rPr>
          <w:rFonts w:ascii="Calibri Light"/>
          <w:b w:val="0"/>
          <w:sz w:val="32"/>
        </w:rPr>
      </w:pPr>
      <w:r>
        <w:rPr>
          <w:rFonts w:ascii="Calibri Light"/>
          <w:b w:val="0"/>
          <w:color w:val="2D74B5"/>
          <w:sz w:val="32"/>
        </w:rPr>
        <w:t>Indhold</w:t>
      </w:r>
    </w:p>
    <w:p>
      <w:pPr>
        <w:spacing w:after="0"/>
        <w:jc w:val="left"/>
        <w:rPr>
          <w:rFonts w:ascii="Calibri Light"/>
          <w:sz w:val="32"/>
        </w:rPr>
        <w:sectPr>
          <w:footerReference w:type="default" r:id="rId12"/>
          <w:pgSz w:w="11910" w:h="16850"/>
          <w:pgMar w:footer="857" w:header="0" w:top="1400" w:bottom="2079" w:left="1460" w:right="680"/>
          <w:pgNumType w:start="3"/>
        </w:sectPr>
      </w:pPr>
    </w:p>
    <w:sdt>
      <w:sdtPr>
        <w:docPartObj>
          <w:docPartGallery w:val="Table of Contents"/>
          <w:docPartUnique/>
        </w:docPartObj>
      </w:sdtPr>
      <w:sdtEndPr/>
      <w:sdtContent>
        <w:p>
          <w:pPr>
            <w:pStyle w:val="TOC1"/>
            <w:numPr>
              <w:ilvl w:val="0"/>
              <w:numId w:val="1"/>
            </w:numPr>
            <w:tabs>
              <w:tab w:pos="1405" w:val="left" w:leader="none"/>
              <w:tab w:pos="1406" w:val="left" w:leader="none"/>
              <w:tab w:pos="8912" w:val="left" w:leader="none"/>
            </w:tabs>
            <w:spacing w:line="240" w:lineRule="auto" w:before="267" w:after="0"/>
            <w:ind w:left="1406" w:right="0" w:hanging="881"/>
            <w:jc w:val="left"/>
          </w:pPr>
          <w:hyperlink w:history="true" w:anchor="_bookmark0">
            <w:r>
              <w:rPr/>
              <w:t>Forord</w:t>
              <w:tab/>
              <w:t>5</w:t>
            </w:r>
          </w:hyperlink>
        </w:p>
        <w:p>
          <w:pPr>
            <w:pStyle w:val="TOC1"/>
            <w:numPr>
              <w:ilvl w:val="0"/>
              <w:numId w:val="1"/>
            </w:numPr>
            <w:tabs>
              <w:tab w:pos="1405" w:val="left" w:leader="none"/>
              <w:tab w:pos="1406" w:val="left" w:leader="none"/>
              <w:tab w:pos="8912" w:val="left" w:leader="none"/>
            </w:tabs>
            <w:spacing w:line="240" w:lineRule="auto" w:before="409" w:after="0"/>
            <w:ind w:left="1406" w:right="0" w:hanging="881"/>
            <w:jc w:val="left"/>
          </w:pPr>
          <w:hyperlink w:history="true" w:anchor="_bookmark1">
            <w:r>
              <w:rPr/>
              <w:t>Sammenfatning</w:t>
              <w:tab/>
              <w:t>9</w:t>
            </w:r>
          </w:hyperlink>
        </w:p>
        <w:p>
          <w:pPr>
            <w:pStyle w:val="TOC2"/>
            <w:numPr>
              <w:ilvl w:val="1"/>
              <w:numId w:val="1"/>
            </w:numPr>
            <w:tabs>
              <w:tab w:pos="1405" w:val="left" w:leader="none"/>
              <w:tab w:pos="1406" w:val="left" w:leader="none"/>
              <w:tab w:pos="8797" w:val="left" w:leader="dot"/>
            </w:tabs>
            <w:spacing w:line="240" w:lineRule="auto" w:before="169" w:after="0"/>
            <w:ind w:left="1406" w:right="0" w:hanging="598"/>
            <w:jc w:val="left"/>
          </w:pPr>
          <w:hyperlink w:history="true" w:anchor="_bookmark2">
            <w:r>
              <w:rPr/>
              <w:t>Konklusion</w:t>
              <w:tab/>
              <w:t>10</w:t>
            </w:r>
          </w:hyperlink>
        </w:p>
        <w:p>
          <w:pPr>
            <w:pStyle w:val="TOC2"/>
            <w:numPr>
              <w:ilvl w:val="1"/>
              <w:numId w:val="1"/>
            </w:numPr>
            <w:tabs>
              <w:tab w:pos="1405" w:val="left" w:leader="none"/>
              <w:tab w:pos="1406" w:val="left" w:leader="none"/>
              <w:tab w:pos="8797" w:val="left" w:leader="dot"/>
            </w:tabs>
            <w:spacing w:line="240" w:lineRule="auto" w:before="49" w:after="0"/>
            <w:ind w:left="1406" w:right="0" w:hanging="598"/>
            <w:jc w:val="left"/>
          </w:pPr>
          <w:hyperlink w:history="true" w:anchor="_bookmark4">
            <w:r>
              <w:rPr/>
              <w:t>Rapportens</w:t>
            </w:r>
            <w:r>
              <w:rPr>
                <w:spacing w:val="-3"/>
              </w:rPr>
              <w:t> </w:t>
            </w:r>
            <w:r>
              <w:rPr/>
              <w:t>anbefalinger</w:t>
              <w:tab/>
              <w:t>12</w:t>
            </w:r>
          </w:hyperlink>
        </w:p>
        <w:p>
          <w:pPr>
            <w:pStyle w:val="TOC2"/>
            <w:numPr>
              <w:ilvl w:val="1"/>
              <w:numId w:val="1"/>
            </w:numPr>
            <w:tabs>
              <w:tab w:pos="1405" w:val="left" w:leader="none"/>
              <w:tab w:pos="1406" w:val="left" w:leader="none"/>
              <w:tab w:pos="8797" w:val="left" w:leader="dot"/>
            </w:tabs>
            <w:spacing w:line="288" w:lineRule="auto" w:before="47" w:after="0"/>
            <w:ind w:left="808" w:right="732" w:firstLine="0"/>
            <w:jc w:val="left"/>
          </w:pPr>
          <w:hyperlink w:history="true" w:anchor="_bookmark5">
            <w:r>
              <w:rPr/>
              <w:t>Sammenfatning</w:t>
            </w:r>
            <w:r>
              <w:rPr>
                <w:spacing w:val="-3"/>
              </w:rPr>
              <w:t> </w:t>
            </w:r>
            <w:r>
              <w:rPr/>
              <w:t>af</w:t>
            </w:r>
            <w:r>
              <w:rPr>
                <w:spacing w:val="-5"/>
              </w:rPr>
              <w:t> </w:t>
            </w:r>
            <w:r>
              <w:rPr/>
              <w:t>målopfyldelse</w:t>
            </w:r>
            <w:r>
              <w:rPr>
                <w:spacing w:val="-2"/>
              </w:rPr>
              <w:t> </w:t>
            </w:r>
            <w:r>
              <w:rPr/>
              <w:t>for</w:t>
            </w:r>
            <w:r>
              <w:rPr>
                <w:spacing w:val="-4"/>
              </w:rPr>
              <w:t> </w:t>
            </w:r>
            <w:r>
              <w:rPr/>
              <w:t>projektets</w:t>
            </w:r>
            <w:r>
              <w:rPr>
                <w:spacing w:val="-2"/>
              </w:rPr>
              <w:t> </w:t>
            </w:r>
            <w:r>
              <w:rPr/>
              <w:t>tre</w:t>
            </w:r>
            <w:r>
              <w:rPr>
                <w:spacing w:val="-3"/>
              </w:rPr>
              <w:t> </w:t>
            </w:r>
            <w:r>
              <w:rPr/>
              <w:t>hypoteser</w:t>
            </w:r>
            <w:r>
              <w:rPr>
                <w:spacing w:val="-3"/>
              </w:rPr>
              <w:t> </w:t>
            </w:r>
            <w:r>
              <w:rPr/>
              <w:t>og</w:t>
            </w:r>
            <w:r>
              <w:rPr>
                <w:spacing w:val="-3"/>
              </w:rPr>
              <w:t> </w:t>
            </w:r>
            <w:r>
              <w:rPr/>
              <w:t>succeskriterier</w:t>
            </w:r>
            <w:r>
              <w:rPr>
                <w:spacing w:val="-32"/>
              </w:rPr>
              <w:t> </w:t>
            </w:r>
            <w:r>
              <w:rPr/>
              <w:t>.15</w:t>
            </w:r>
          </w:hyperlink>
          <w:hyperlink w:history="true" w:anchor="_bookmark6">
            <w:r>
              <w:rPr/>
              <w:t> 2.4</w:t>
              <w:tab/>
              <w:t>Erfaringer</w:t>
            </w:r>
            <w:r>
              <w:rPr>
                <w:spacing w:val="-3"/>
              </w:rPr>
              <w:t> </w:t>
            </w:r>
            <w:r>
              <w:rPr/>
              <w:t>fra</w:t>
            </w:r>
            <w:r>
              <w:rPr>
                <w:spacing w:val="-2"/>
              </w:rPr>
              <w:t> </w:t>
            </w:r>
            <w:r>
              <w:rPr/>
              <w:t>projektarbejdet</w:t>
              <w:tab/>
            </w:r>
            <w:r>
              <w:rPr>
                <w:spacing w:val="-9"/>
              </w:rPr>
              <w:t>17</w:t>
            </w:r>
          </w:hyperlink>
        </w:p>
        <w:p>
          <w:pPr>
            <w:pStyle w:val="TOC2"/>
            <w:tabs>
              <w:tab w:pos="1405" w:val="left" w:leader="none"/>
              <w:tab w:pos="8797" w:val="left" w:leader="dot"/>
            </w:tabs>
            <w:spacing w:before="1"/>
            <w:ind w:left="808" w:firstLine="0"/>
          </w:pPr>
          <w:hyperlink w:history="true" w:anchor="_bookmark7">
            <w:r>
              <w:rPr/>
              <w:t>2.5</w:t>
              <w:tab/>
              <w:t>Anvendelsespotentiale samt fordele</w:t>
            </w:r>
            <w:r>
              <w:rPr>
                <w:spacing w:val="-8"/>
              </w:rPr>
              <w:t> </w:t>
            </w:r>
            <w:r>
              <w:rPr/>
              <w:t>og</w:t>
            </w:r>
            <w:r>
              <w:rPr>
                <w:spacing w:val="-2"/>
              </w:rPr>
              <w:t> </w:t>
            </w:r>
            <w:r>
              <w:rPr/>
              <w:t>ulemper</w:t>
              <w:tab/>
              <w:t>21</w:t>
            </w:r>
          </w:hyperlink>
        </w:p>
        <w:p>
          <w:pPr>
            <w:pStyle w:val="TOC1"/>
            <w:numPr>
              <w:ilvl w:val="0"/>
              <w:numId w:val="1"/>
            </w:numPr>
            <w:tabs>
              <w:tab w:pos="1405" w:val="left" w:leader="none"/>
              <w:tab w:pos="1406" w:val="left" w:leader="none"/>
              <w:tab w:pos="8797" w:val="left" w:leader="none"/>
            </w:tabs>
            <w:spacing w:line="240" w:lineRule="auto" w:before="289" w:after="0"/>
            <w:ind w:left="1406" w:right="0" w:hanging="881"/>
            <w:jc w:val="left"/>
          </w:pPr>
          <w:hyperlink w:history="true" w:anchor="_bookmark14">
            <w:r>
              <w:rPr/>
              <w:t>Problemstilling</w:t>
              <w:tab/>
              <w:t>31</w:t>
            </w:r>
          </w:hyperlink>
        </w:p>
        <w:p>
          <w:pPr>
            <w:pStyle w:val="TOC2"/>
            <w:numPr>
              <w:ilvl w:val="1"/>
              <w:numId w:val="1"/>
            </w:numPr>
            <w:tabs>
              <w:tab w:pos="1405" w:val="left" w:leader="none"/>
              <w:tab w:pos="1406" w:val="left" w:leader="none"/>
              <w:tab w:pos="8797" w:val="left" w:leader="dot"/>
            </w:tabs>
            <w:spacing w:line="240" w:lineRule="auto" w:before="167" w:after="0"/>
            <w:ind w:left="1406" w:right="0" w:hanging="598"/>
            <w:jc w:val="left"/>
          </w:pPr>
          <w:hyperlink w:history="true" w:anchor="_bookmark15">
            <w:r>
              <w:rPr/>
              <w:t>Delmål</w:t>
            </w:r>
            <w:r>
              <w:rPr>
                <w:spacing w:val="-1"/>
              </w:rPr>
              <w:t> </w:t>
            </w:r>
            <w:r>
              <w:rPr/>
              <w:t>og</w:t>
            </w:r>
            <w:r>
              <w:rPr>
                <w:spacing w:val="-2"/>
              </w:rPr>
              <w:t> </w:t>
            </w:r>
            <w:r>
              <w:rPr/>
              <w:t>hypoteser</w:t>
              <w:tab/>
              <w:t>31</w:t>
            </w:r>
          </w:hyperlink>
        </w:p>
        <w:p>
          <w:pPr>
            <w:pStyle w:val="TOC2"/>
            <w:numPr>
              <w:ilvl w:val="1"/>
              <w:numId w:val="1"/>
            </w:numPr>
            <w:tabs>
              <w:tab w:pos="1405" w:val="left" w:leader="none"/>
              <w:tab w:pos="1406" w:val="left" w:leader="none"/>
              <w:tab w:pos="8797" w:val="left" w:leader="dot"/>
            </w:tabs>
            <w:spacing w:line="240" w:lineRule="auto" w:before="49" w:after="0"/>
            <w:ind w:left="1406" w:right="0" w:hanging="598"/>
            <w:jc w:val="left"/>
          </w:pPr>
          <w:hyperlink w:history="true" w:anchor="_bookmark17">
            <w:r>
              <w:rPr/>
              <w:t>Formål</w:t>
              <w:tab/>
              <w:t>33</w:t>
            </w:r>
          </w:hyperlink>
        </w:p>
        <w:p>
          <w:pPr>
            <w:pStyle w:val="TOC2"/>
            <w:numPr>
              <w:ilvl w:val="1"/>
              <w:numId w:val="1"/>
            </w:numPr>
            <w:tabs>
              <w:tab w:pos="1405" w:val="left" w:leader="none"/>
              <w:tab w:pos="1406" w:val="left" w:leader="none"/>
              <w:tab w:pos="8797" w:val="left" w:leader="dot"/>
            </w:tabs>
            <w:spacing w:line="240" w:lineRule="auto" w:before="49" w:after="0"/>
            <w:ind w:left="1406" w:right="0" w:hanging="598"/>
            <w:jc w:val="left"/>
          </w:pPr>
          <w:hyperlink w:history="true" w:anchor="_bookmark18">
            <w:r>
              <w:rPr/>
              <w:t>Den</w:t>
            </w:r>
            <w:r>
              <w:rPr>
                <w:spacing w:val="-5"/>
              </w:rPr>
              <w:t> </w:t>
            </w:r>
            <w:r>
              <w:rPr/>
              <w:t>fremtidige</w:t>
            </w:r>
            <w:r>
              <w:rPr>
                <w:spacing w:val="-2"/>
              </w:rPr>
              <w:t> </w:t>
            </w:r>
            <w:r>
              <w:rPr/>
              <w:t>situation</w:t>
              <w:tab/>
              <w:t>33</w:t>
            </w:r>
          </w:hyperlink>
        </w:p>
        <w:p>
          <w:pPr>
            <w:pStyle w:val="TOC2"/>
            <w:numPr>
              <w:ilvl w:val="1"/>
              <w:numId w:val="1"/>
            </w:numPr>
            <w:tabs>
              <w:tab w:pos="1405" w:val="left" w:leader="none"/>
              <w:tab w:pos="1406" w:val="left" w:leader="none"/>
              <w:tab w:pos="8797" w:val="left" w:leader="dot"/>
            </w:tabs>
            <w:spacing w:line="240" w:lineRule="auto" w:before="49" w:after="0"/>
            <w:ind w:left="1406" w:right="0" w:hanging="598"/>
            <w:jc w:val="left"/>
          </w:pPr>
          <w:hyperlink w:history="true" w:anchor="_bookmark19">
            <w:r>
              <w:rPr/>
              <w:t>Anvendelsespotentialer</w:t>
            </w:r>
            <w:r>
              <w:rPr>
                <w:spacing w:val="-5"/>
              </w:rPr>
              <w:t> </w:t>
            </w:r>
            <w:r>
              <w:rPr/>
              <w:t>og</w:t>
            </w:r>
            <w:r>
              <w:rPr>
                <w:spacing w:val="-3"/>
              </w:rPr>
              <w:t> </w:t>
            </w:r>
            <w:r>
              <w:rPr/>
              <w:t>success-/nøjagtighedskriterier</w:t>
              <w:tab/>
              <w:t>34</w:t>
            </w:r>
          </w:hyperlink>
        </w:p>
        <w:p>
          <w:pPr>
            <w:pStyle w:val="TOC2"/>
            <w:numPr>
              <w:ilvl w:val="1"/>
              <w:numId w:val="1"/>
            </w:numPr>
            <w:tabs>
              <w:tab w:pos="1405" w:val="left" w:leader="none"/>
              <w:tab w:pos="1406" w:val="left" w:leader="none"/>
              <w:tab w:pos="8797" w:val="left" w:leader="dot"/>
            </w:tabs>
            <w:spacing w:line="240" w:lineRule="auto" w:before="46" w:after="0"/>
            <w:ind w:left="1406" w:right="0" w:hanging="598"/>
            <w:jc w:val="left"/>
          </w:pPr>
          <w:hyperlink w:history="true" w:anchor="_bookmark21">
            <w:r>
              <w:rPr/>
              <w:t>Faktorer og elementer der kvantificeres</w:t>
            </w:r>
            <w:r>
              <w:rPr>
                <w:spacing w:val="-10"/>
              </w:rPr>
              <w:t> </w:t>
            </w:r>
            <w:r>
              <w:rPr/>
              <w:t>i</w:t>
            </w:r>
            <w:r>
              <w:rPr>
                <w:spacing w:val="1"/>
              </w:rPr>
              <w:t> </w:t>
            </w:r>
            <w:r>
              <w:rPr/>
              <w:t>studiet</w:t>
              <w:tab/>
              <w:t>36</w:t>
            </w:r>
          </w:hyperlink>
        </w:p>
        <w:p>
          <w:pPr>
            <w:pStyle w:val="TOC1"/>
            <w:numPr>
              <w:ilvl w:val="0"/>
              <w:numId w:val="1"/>
            </w:numPr>
            <w:tabs>
              <w:tab w:pos="1405" w:val="left" w:leader="none"/>
              <w:tab w:pos="1406" w:val="left" w:leader="none"/>
              <w:tab w:pos="8797" w:val="left" w:leader="none"/>
            </w:tabs>
            <w:spacing w:line="240" w:lineRule="auto" w:before="289" w:after="0"/>
            <w:ind w:left="1406" w:right="0" w:hanging="881"/>
            <w:jc w:val="left"/>
          </w:pPr>
          <w:hyperlink w:history="true" w:anchor="_bookmark22">
            <w:r>
              <w:rPr/>
              <w:t>Udvidelse af datagrundlag og udvikling af model og</w:t>
            </w:r>
            <w:r>
              <w:rPr>
                <w:spacing w:val="-12"/>
              </w:rPr>
              <w:t> </w:t>
            </w:r>
            <w:r>
              <w:rPr/>
              <w:t>eksterne</w:t>
            </w:r>
            <w:r>
              <w:rPr>
                <w:spacing w:val="-2"/>
              </w:rPr>
              <w:t> </w:t>
            </w:r>
            <w:r>
              <w:rPr/>
              <w:t>moduler</w:t>
              <w:tab/>
              <w:t>37</w:t>
            </w:r>
          </w:hyperlink>
        </w:p>
        <w:p>
          <w:pPr>
            <w:pStyle w:val="TOC2"/>
            <w:numPr>
              <w:ilvl w:val="1"/>
              <w:numId w:val="1"/>
            </w:numPr>
            <w:tabs>
              <w:tab w:pos="1405" w:val="left" w:leader="none"/>
              <w:tab w:pos="1406" w:val="left" w:leader="none"/>
              <w:tab w:pos="8797" w:val="left" w:leader="dot"/>
            </w:tabs>
            <w:spacing w:line="240" w:lineRule="auto" w:before="169" w:after="0"/>
            <w:ind w:left="1406" w:right="0" w:hanging="598"/>
            <w:jc w:val="left"/>
          </w:pPr>
          <w:hyperlink w:history="true" w:anchor="_bookmark23">
            <w:r>
              <w:rPr/>
              <w:t>Tilpasning af</w:t>
            </w:r>
            <w:r>
              <w:rPr>
                <w:spacing w:val="-6"/>
              </w:rPr>
              <w:t> </w:t>
            </w:r>
            <w:r>
              <w:rPr/>
              <w:t>konceptuel</w:t>
            </w:r>
            <w:r>
              <w:rPr>
                <w:spacing w:val="-4"/>
              </w:rPr>
              <w:t> </w:t>
            </w:r>
            <w:r>
              <w:rPr/>
              <w:t>model</w:t>
              <w:tab/>
              <w:t>37</w:t>
            </w:r>
          </w:hyperlink>
        </w:p>
        <w:p>
          <w:pPr>
            <w:pStyle w:val="TOC2"/>
            <w:numPr>
              <w:ilvl w:val="1"/>
              <w:numId w:val="1"/>
            </w:numPr>
            <w:tabs>
              <w:tab w:pos="1405" w:val="left" w:leader="none"/>
              <w:tab w:pos="1406" w:val="left" w:leader="none"/>
              <w:tab w:pos="8797" w:val="left" w:leader="dot"/>
            </w:tabs>
            <w:spacing w:line="240" w:lineRule="auto" w:before="49" w:after="0"/>
            <w:ind w:left="1406" w:right="0" w:hanging="598"/>
            <w:jc w:val="left"/>
          </w:pPr>
          <w:hyperlink w:history="true" w:anchor="_bookmark28">
            <w:r>
              <w:rPr/>
              <w:t>Udvidelse</w:t>
            </w:r>
            <w:r>
              <w:rPr>
                <w:spacing w:val="-3"/>
              </w:rPr>
              <w:t> </w:t>
            </w:r>
            <w:r>
              <w:rPr/>
              <w:t>af</w:t>
            </w:r>
            <w:r>
              <w:rPr>
                <w:spacing w:val="-2"/>
              </w:rPr>
              <w:t> </w:t>
            </w:r>
            <w:r>
              <w:rPr/>
              <w:t>datagrundlaget</w:t>
              <w:tab/>
              <w:t>42</w:t>
            </w:r>
          </w:hyperlink>
        </w:p>
        <w:p>
          <w:pPr>
            <w:pStyle w:val="TOC2"/>
            <w:numPr>
              <w:ilvl w:val="1"/>
              <w:numId w:val="1"/>
            </w:numPr>
            <w:tabs>
              <w:tab w:pos="1405" w:val="left" w:leader="none"/>
              <w:tab w:pos="1406" w:val="left" w:leader="none"/>
              <w:tab w:pos="8797" w:val="left" w:leader="dot"/>
            </w:tabs>
            <w:spacing w:line="240" w:lineRule="auto" w:before="47" w:after="0"/>
            <w:ind w:left="1406" w:right="0" w:hanging="598"/>
            <w:jc w:val="left"/>
          </w:pPr>
          <w:hyperlink w:history="true" w:anchor="_bookmark35">
            <w:r>
              <w:rPr/>
              <w:t>Modul til kortlægning af oversvømmelser fra</w:t>
            </w:r>
            <w:r>
              <w:rPr>
                <w:spacing w:val="-11"/>
              </w:rPr>
              <w:t> </w:t>
            </w:r>
            <w:r>
              <w:rPr/>
              <w:t>vandløb</w:t>
            </w:r>
            <w:r>
              <w:rPr>
                <w:spacing w:val="-5"/>
              </w:rPr>
              <w:t> </w:t>
            </w:r>
            <w:r>
              <w:rPr/>
              <w:t>(COWI)</w:t>
              <w:tab/>
              <w:t>54</w:t>
            </w:r>
          </w:hyperlink>
        </w:p>
        <w:p>
          <w:pPr>
            <w:pStyle w:val="TOC2"/>
            <w:numPr>
              <w:ilvl w:val="1"/>
              <w:numId w:val="1"/>
            </w:numPr>
            <w:tabs>
              <w:tab w:pos="1405" w:val="left" w:leader="none"/>
              <w:tab w:pos="1406" w:val="left" w:leader="none"/>
              <w:tab w:pos="8797" w:val="left" w:leader="dot"/>
            </w:tabs>
            <w:spacing w:line="240" w:lineRule="auto" w:before="49" w:after="0"/>
            <w:ind w:left="1406" w:right="0" w:hanging="598"/>
            <w:jc w:val="left"/>
          </w:pPr>
          <w:hyperlink w:history="true" w:anchor="_bookmark39">
            <w:r>
              <w:rPr/>
              <w:t>Eksternt vandstandsmodul for vandløb -</w:t>
            </w:r>
            <w:r>
              <w:rPr>
                <w:spacing w:val="-9"/>
              </w:rPr>
              <w:t> </w:t>
            </w:r>
            <w:r>
              <w:rPr/>
              <w:t>HYMOD (Hydroinform)</w:t>
              <w:tab/>
              <w:t>58</w:t>
            </w:r>
          </w:hyperlink>
        </w:p>
        <w:p>
          <w:pPr>
            <w:pStyle w:val="TOC1"/>
            <w:numPr>
              <w:ilvl w:val="0"/>
              <w:numId w:val="1"/>
            </w:numPr>
            <w:tabs>
              <w:tab w:pos="1405" w:val="left" w:leader="none"/>
              <w:tab w:pos="1406" w:val="left" w:leader="none"/>
              <w:tab w:pos="8797" w:val="left" w:leader="none"/>
            </w:tabs>
            <w:spacing w:line="240" w:lineRule="auto" w:before="289" w:after="0"/>
            <w:ind w:left="1406" w:right="0" w:hanging="881"/>
            <w:jc w:val="left"/>
          </w:pPr>
          <w:hyperlink w:history="true" w:anchor="_bookmark43">
            <w:r>
              <w:rPr/>
              <w:t>Kalibrerings- og valideringsstrategi</w:t>
            </w:r>
            <w:r>
              <w:rPr>
                <w:spacing w:val="-7"/>
              </w:rPr>
              <w:t> </w:t>
            </w:r>
            <w:r>
              <w:rPr/>
              <w:t>og metodik</w:t>
              <w:tab/>
              <w:t>61</w:t>
            </w:r>
          </w:hyperlink>
        </w:p>
        <w:p>
          <w:pPr>
            <w:pStyle w:val="TOC2"/>
            <w:numPr>
              <w:ilvl w:val="1"/>
              <w:numId w:val="1"/>
            </w:numPr>
            <w:tabs>
              <w:tab w:pos="1405" w:val="left" w:leader="none"/>
              <w:tab w:pos="1406" w:val="left" w:leader="none"/>
              <w:tab w:pos="8797" w:val="left" w:leader="dot"/>
            </w:tabs>
            <w:spacing w:line="240" w:lineRule="auto" w:before="169" w:after="0"/>
            <w:ind w:left="1406" w:right="0" w:hanging="598"/>
            <w:jc w:val="left"/>
          </w:pPr>
          <w:hyperlink w:history="true" w:anchor="_bookmark44">
            <w:r>
              <w:rPr/>
              <w:t>Metode til kalibrering af</w:t>
            </w:r>
            <w:r>
              <w:rPr>
                <w:spacing w:val="-5"/>
              </w:rPr>
              <w:t> </w:t>
            </w:r>
            <w:r>
              <w:rPr/>
              <w:t>terrænnært</w:t>
            </w:r>
            <w:r>
              <w:rPr>
                <w:spacing w:val="-2"/>
              </w:rPr>
              <w:t> </w:t>
            </w:r>
            <w:r>
              <w:rPr/>
              <w:t>grundvand</w:t>
              <w:tab/>
              <w:t>61</w:t>
            </w:r>
          </w:hyperlink>
        </w:p>
        <w:p>
          <w:pPr>
            <w:pStyle w:val="TOC2"/>
            <w:numPr>
              <w:ilvl w:val="1"/>
              <w:numId w:val="1"/>
            </w:numPr>
            <w:tabs>
              <w:tab w:pos="1405" w:val="left" w:leader="none"/>
              <w:tab w:pos="1406" w:val="left" w:leader="none"/>
              <w:tab w:pos="8797" w:val="left" w:leader="dot"/>
            </w:tabs>
            <w:spacing w:line="240" w:lineRule="auto" w:before="46" w:after="0"/>
            <w:ind w:left="1406" w:right="0" w:hanging="598"/>
            <w:jc w:val="left"/>
          </w:pPr>
          <w:hyperlink w:history="true" w:anchor="_bookmark53">
            <w:r>
              <w:rPr/>
              <w:t>Metode til kalibrering af vandstand</w:t>
            </w:r>
            <w:r>
              <w:rPr>
                <w:spacing w:val="-8"/>
              </w:rPr>
              <w:t> </w:t>
            </w:r>
            <w:r>
              <w:rPr/>
              <w:t>i</w:t>
            </w:r>
            <w:r>
              <w:rPr>
                <w:spacing w:val="-1"/>
              </w:rPr>
              <w:t> </w:t>
            </w:r>
            <w:r>
              <w:rPr/>
              <w:t>vandløb</w:t>
              <w:tab/>
              <w:t>67</w:t>
            </w:r>
          </w:hyperlink>
        </w:p>
        <w:p>
          <w:pPr>
            <w:pStyle w:val="TOC2"/>
            <w:numPr>
              <w:ilvl w:val="1"/>
              <w:numId w:val="1"/>
            </w:numPr>
            <w:tabs>
              <w:tab w:pos="1405" w:val="left" w:leader="none"/>
              <w:tab w:pos="1406" w:val="left" w:leader="none"/>
              <w:tab w:pos="8797" w:val="left" w:leader="dot"/>
            </w:tabs>
            <w:spacing w:line="240" w:lineRule="auto" w:before="49" w:after="0"/>
            <w:ind w:left="1406" w:right="0" w:hanging="598"/>
            <w:jc w:val="left"/>
          </w:pPr>
          <w:hyperlink w:history="true" w:anchor="_bookmark55">
            <w:r>
              <w:rPr/>
              <w:t>Metode til nedskalering af dybde</w:t>
            </w:r>
            <w:r>
              <w:rPr>
                <w:spacing w:val="-10"/>
              </w:rPr>
              <w:t> </w:t>
            </w:r>
            <w:r>
              <w:rPr/>
              <w:t>til</w:t>
            </w:r>
            <w:r>
              <w:rPr>
                <w:spacing w:val="-1"/>
              </w:rPr>
              <w:t> </w:t>
            </w:r>
            <w:r>
              <w:rPr/>
              <w:t>grundvandspejl</w:t>
              <w:tab/>
              <w:t>69</w:t>
            </w:r>
          </w:hyperlink>
        </w:p>
        <w:p>
          <w:pPr>
            <w:pStyle w:val="TOC2"/>
            <w:numPr>
              <w:ilvl w:val="1"/>
              <w:numId w:val="1"/>
            </w:numPr>
            <w:tabs>
              <w:tab w:pos="1405" w:val="left" w:leader="none"/>
              <w:tab w:pos="1406" w:val="left" w:leader="none"/>
              <w:tab w:pos="8797" w:val="left" w:leader="dot"/>
            </w:tabs>
            <w:spacing w:line="240" w:lineRule="auto" w:before="49" w:after="0"/>
            <w:ind w:left="1406" w:right="0" w:hanging="598"/>
            <w:jc w:val="left"/>
          </w:pPr>
          <w:hyperlink w:history="true" w:anchor="_bookmark62">
            <w:r>
              <w:rPr/>
              <w:t>Eksternt midtvejsreview i</w:t>
            </w:r>
            <w:r>
              <w:rPr>
                <w:spacing w:val="-10"/>
              </w:rPr>
              <w:t> </w:t>
            </w:r>
            <w:r>
              <w:rPr/>
              <w:t>maj</w:t>
            </w:r>
            <w:r>
              <w:rPr>
                <w:spacing w:val="1"/>
              </w:rPr>
              <w:t> </w:t>
            </w:r>
            <w:r>
              <w:rPr/>
              <w:t>2018</w:t>
              <w:tab/>
              <w:t>73</w:t>
            </w:r>
          </w:hyperlink>
        </w:p>
        <w:p>
          <w:pPr>
            <w:pStyle w:val="TOC1"/>
            <w:numPr>
              <w:ilvl w:val="0"/>
              <w:numId w:val="1"/>
            </w:numPr>
            <w:tabs>
              <w:tab w:pos="1405" w:val="left" w:leader="none"/>
              <w:tab w:pos="1406" w:val="left" w:leader="none"/>
              <w:tab w:pos="8797" w:val="left" w:leader="none"/>
            </w:tabs>
            <w:spacing w:line="240" w:lineRule="auto" w:before="287" w:after="0"/>
            <w:ind w:left="1406" w:right="0" w:hanging="881"/>
            <w:jc w:val="left"/>
          </w:pPr>
          <w:hyperlink w:history="true" w:anchor="_bookmark63">
            <w:r>
              <w:rPr/>
              <w:t>Resultater af kalibrering-</w:t>
            </w:r>
            <w:r>
              <w:rPr>
                <w:spacing w:val="-7"/>
              </w:rPr>
              <w:t> </w:t>
            </w:r>
            <w:r>
              <w:rPr/>
              <w:t>og validering</w:t>
              <w:tab/>
              <w:t>77</w:t>
            </w:r>
          </w:hyperlink>
        </w:p>
        <w:p>
          <w:pPr>
            <w:pStyle w:val="TOC2"/>
            <w:numPr>
              <w:ilvl w:val="1"/>
              <w:numId w:val="1"/>
            </w:numPr>
            <w:tabs>
              <w:tab w:pos="1405" w:val="left" w:leader="none"/>
              <w:tab w:pos="1406" w:val="left" w:leader="none"/>
              <w:tab w:pos="8797" w:val="left" w:leader="dot"/>
            </w:tabs>
            <w:spacing w:line="240" w:lineRule="auto" w:before="169" w:after="0"/>
            <w:ind w:left="1406" w:right="0" w:hanging="598"/>
            <w:jc w:val="left"/>
          </w:pPr>
          <w:hyperlink w:history="true" w:anchor="_bookmark65">
            <w:r>
              <w:rPr/>
              <w:t>Resultater af MIKE SHE kalibrering og</w:t>
            </w:r>
            <w:r>
              <w:rPr>
                <w:spacing w:val="-13"/>
              </w:rPr>
              <w:t> </w:t>
            </w:r>
            <w:r>
              <w:rPr/>
              <w:t>validering,</w:t>
            </w:r>
            <w:r>
              <w:rPr>
                <w:spacing w:val="-3"/>
              </w:rPr>
              <w:t> </w:t>
            </w:r>
            <w:r>
              <w:rPr/>
              <w:t>Storå</w:t>
              <w:tab/>
              <w:t>77</w:t>
            </w:r>
          </w:hyperlink>
        </w:p>
        <w:p>
          <w:pPr>
            <w:pStyle w:val="TOC2"/>
            <w:numPr>
              <w:ilvl w:val="1"/>
              <w:numId w:val="1"/>
            </w:numPr>
            <w:tabs>
              <w:tab w:pos="1405" w:val="left" w:leader="none"/>
              <w:tab w:pos="1406" w:val="left" w:leader="none"/>
              <w:tab w:pos="8797" w:val="left" w:leader="dot"/>
            </w:tabs>
            <w:spacing w:line="240" w:lineRule="auto" w:before="49" w:after="0"/>
            <w:ind w:left="1406" w:right="0" w:hanging="598"/>
            <w:jc w:val="left"/>
          </w:pPr>
          <w:hyperlink w:history="true" w:anchor="_bookmark73">
            <w:r>
              <w:rPr/>
              <w:t>Resultater af MIKE SHE kalibrering og validering,</w:t>
            </w:r>
            <w:r>
              <w:rPr>
                <w:spacing w:val="-15"/>
              </w:rPr>
              <w:t> </w:t>
            </w:r>
            <w:r>
              <w:rPr/>
              <w:t>Odense</w:t>
            </w:r>
            <w:r>
              <w:rPr>
                <w:spacing w:val="-2"/>
              </w:rPr>
              <w:t> </w:t>
            </w:r>
            <w:r>
              <w:rPr/>
              <w:t>Å</w:t>
              <w:tab/>
              <w:t>83</w:t>
            </w:r>
          </w:hyperlink>
        </w:p>
        <w:p>
          <w:pPr>
            <w:pStyle w:val="TOC2"/>
            <w:numPr>
              <w:ilvl w:val="1"/>
              <w:numId w:val="1"/>
            </w:numPr>
            <w:tabs>
              <w:tab w:pos="1405" w:val="left" w:leader="none"/>
              <w:tab w:pos="1406" w:val="left" w:leader="none"/>
              <w:tab w:pos="8797" w:val="left" w:leader="dot"/>
            </w:tabs>
            <w:spacing w:line="240" w:lineRule="auto" w:before="48" w:after="0"/>
            <w:ind w:left="1406" w:right="0" w:hanging="598"/>
            <w:jc w:val="left"/>
          </w:pPr>
          <w:hyperlink w:history="true" w:anchor="_bookmark80">
            <w:r>
              <w:rPr/>
              <w:t>Kalibrering af vandstand</w:t>
            </w:r>
            <w:r>
              <w:rPr>
                <w:spacing w:val="-6"/>
              </w:rPr>
              <w:t> </w:t>
            </w:r>
            <w:r>
              <w:rPr/>
              <w:t>i vandløb</w:t>
              <w:tab/>
              <w:t>88</w:t>
            </w:r>
          </w:hyperlink>
        </w:p>
        <w:p>
          <w:pPr>
            <w:pStyle w:val="TOC2"/>
            <w:numPr>
              <w:ilvl w:val="1"/>
              <w:numId w:val="1"/>
            </w:numPr>
            <w:tabs>
              <w:tab w:pos="1405" w:val="left" w:leader="none"/>
              <w:tab w:pos="1406" w:val="left" w:leader="none"/>
              <w:tab w:pos="8797" w:val="left" w:leader="dot"/>
            </w:tabs>
            <w:spacing w:line="240" w:lineRule="auto" w:before="47" w:after="0"/>
            <w:ind w:left="1406" w:right="0" w:hanging="598"/>
            <w:jc w:val="left"/>
          </w:pPr>
          <w:hyperlink w:history="true" w:anchor="_bookmark82">
            <w:r>
              <w:rPr/>
              <w:t>Resultater af MIKE HYDRO River kalibrering</w:t>
            </w:r>
            <w:r>
              <w:rPr>
                <w:spacing w:val="-16"/>
              </w:rPr>
              <w:t> </w:t>
            </w:r>
            <w:r>
              <w:rPr/>
              <w:t>og</w:t>
            </w:r>
            <w:r>
              <w:rPr>
                <w:spacing w:val="-2"/>
              </w:rPr>
              <w:t> </w:t>
            </w:r>
            <w:r>
              <w:rPr/>
              <w:t>validering</w:t>
              <w:tab/>
              <w:t>89</w:t>
            </w:r>
          </w:hyperlink>
        </w:p>
        <w:p>
          <w:pPr>
            <w:pStyle w:val="TOC1"/>
            <w:numPr>
              <w:ilvl w:val="0"/>
              <w:numId w:val="1"/>
            </w:numPr>
            <w:tabs>
              <w:tab w:pos="1405" w:val="left" w:leader="none"/>
              <w:tab w:pos="1406" w:val="left" w:leader="none"/>
              <w:tab w:pos="8797" w:val="left" w:leader="none"/>
            </w:tabs>
            <w:spacing w:line="240" w:lineRule="auto" w:before="289" w:after="0"/>
            <w:ind w:left="1406" w:right="0" w:hanging="881"/>
            <w:jc w:val="left"/>
          </w:pPr>
          <w:hyperlink w:history="true" w:anchor="_bookmark88">
            <w:r>
              <w:rPr/>
              <w:t>Simuleringsresultater</w:t>
              <w:tab/>
              <w:t>93</w:t>
            </w:r>
          </w:hyperlink>
        </w:p>
        <w:p>
          <w:pPr>
            <w:pStyle w:val="TOC2"/>
            <w:numPr>
              <w:ilvl w:val="1"/>
              <w:numId w:val="1"/>
            </w:numPr>
            <w:tabs>
              <w:tab w:pos="1405" w:val="left" w:leader="none"/>
              <w:tab w:pos="1406" w:val="left" w:leader="none"/>
              <w:tab w:pos="8797" w:val="left" w:leader="dot"/>
            </w:tabs>
            <w:spacing w:line="240" w:lineRule="auto" w:before="169" w:after="0"/>
            <w:ind w:left="1406" w:right="0" w:hanging="598"/>
            <w:jc w:val="left"/>
          </w:pPr>
          <w:hyperlink w:history="true" w:anchor="_bookmark89">
            <w:r>
              <w:rPr/>
              <w:t>Dybde til terrænnært</w:t>
            </w:r>
            <w:r>
              <w:rPr>
                <w:spacing w:val="-4"/>
              </w:rPr>
              <w:t> </w:t>
            </w:r>
            <w:r>
              <w:rPr/>
              <w:t>grundvand,</w:t>
            </w:r>
            <w:r>
              <w:rPr>
                <w:spacing w:val="-2"/>
              </w:rPr>
              <w:t> </w:t>
            </w:r>
            <w:r>
              <w:rPr/>
              <w:t>Storå</w:t>
              <w:tab/>
              <w:t>93</w:t>
            </w:r>
          </w:hyperlink>
        </w:p>
        <w:p>
          <w:pPr>
            <w:pStyle w:val="TOC2"/>
            <w:numPr>
              <w:ilvl w:val="1"/>
              <w:numId w:val="1"/>
            </w:numPr>
            <w:tabs>
              <w:tab w:pos="1405" w:val="left" w:leader="none"/>
              <w:tab w:pos="1406" w:val="left" w:leader="none"/>
              <w:tab w:pos="8679" w:val="left" w:leader="dot"/>
            </w:tabs>
            <w:spacing w:line="240" w:lineRule="auto" w:before="49" w:after="0"/>
            <w:ind w:left="1406" w:right="0" w:hanging="598"/>
            <w:jc w:val="left"/>
          </w:pPr>
          <w:hyperlink w:history="true" w:anchor="_bookmark104">
            <w:r>
              <w:rPr/>
              <w:t>Simuleret vandstand i vandløb udbredt på</w:t>
            </w:r>
            <w:r>
              <w:rPr>
                <w:spacing w:val="-9"/>
              </w:rPr>
              <w:t> </w:t>
            </w:r>
            <w:r>
              <w:rPr/>
              <w:t>terræn,</w:t>
            </w:r>
            <w:r>
              <w:rPr>
                <w:spacing w:val="-3"/>
              </w:rPr>
              <w:t> </w:t>
            </w:r>
            <w:r>
              <w:rPr/>
              <w:t>Storå</w:t>
              <w:tab/>
              <w:t>103</w:t>
            </w:r>
          </w:hyperlink>
        </w:p>
        <w:p>
          <w:pPr>
            <w:pStyle w:val="TOC2"/>
            <w:numPr>
              <w:ilvl w:val="1"/>
              <w:numId w:val="1"/>
            </w:numPr>
            <w:tabs>
              <w:tab w:pos="1405" w:val="left" w:leader="none"/>
              <w:tab w:pos="1406" w:val="left" w:leader="none"/>
              <w:tab w:pos="8679" w:val="left" w:leader="dot"/>
            </w:tabs>
            <w:spacing w:line="240" w:lineRule="auto" w:before="47" w:after="0"/>
            <w:ind w:left="1406" w:right="0" w:hanging="598"/>
            <w:jc w:val="left"/>
          </w:pPr>
          <w:hyperlink w:history="true" w:anchor="_bookmark113">
            <w:r>
              <w:rPr/>
              <w:t>Dybde til terrænnært grundvand,</w:t>
            </w:r>
            <w:r>
              <w:rPr>
                <w:spacing w:val="-5"/>
              </w:rPr>
              <w:t> </w:t>
            </w:r>
            <w:r>
              <w:rPr/>
              <w:t>Odense</w:t>
            </w:r>
            <w:r>
              <w:rPr>
                <w:spacing w:val="-3"/>
              </w:rPr>
              <w:t> </w:t>
            </w:r>
            <w:r>
              <w:rPr/>
              <w:t>Å</w:t>
              <w:tab/>
              <w:t>110</w:t>
            </w:r>
          </w:hyperlink>
        </w:p>
        <w:p>
          <w:pPr>
            <w:pStyle w:val="TOC2"/>
            <w:numPr>
              <w:ilvl w:val="1"/>
              <w:numId w:val="1"/>
            </w:numPr>
            <w:tabs>
              <w:tab w:pos="1405" w:val="left" w:leader="none"/>
              <w:tab w:pos="1406" w:val="left" w:leader="none"/>
              <w:tab w:pos="8679" w:val="left" w:leader="dot"/>
            </w:tabs>
            <w:spacing w:line="240" w:lineRule="auto" w:before="49" w:after="0"/>
            <w:ind w:left="1406" w:right="0" w:hanging="598"/>
            <w:jc w:val="left"/>
          </w:pPr>
          <w:hyperlink w:history="true" w:anchor="_bookmark127">
            <w:r>
              <w:rPr/>
              <w:t>Simuleret vandstand i vandløb udbredt på terræn,</w:t>
            </w:r>
            <w:r>
              <w:rPr>
                <w:spacing w:val="-11"/>
              </w:rPr>
              <w:t> </w:t>
            </w:r>
            <w:r>
              <w:rPr/>
              <w:t>Odense Å</w:t>
              <w:tab/>
              <w:t>118</w:t>
            </w:r>
          </w:hyperlink>
        </w:p>
        <w:p>
          <w:pPr>
            <w:pStyle w:val="TOC2"/>
            <w:numPr>
              <w:ilvl w:val="1"/>
              <w:numId w:val="1"/>
            </w:numPr>
            <w:tabs>
              <w:tab w:pos="1405" w:val="left" w:leader="none"/>
              <w:tab w:pos="1406" w:val="left" w:leader="none"/>
              <w:tab w:pos="8679" w:val="left" w:leader="dot"/>
            </w:tabs>
            <w:spacing w:line="240" w:lineRule="auto" w:before="49" w:after="0"/>
            <w:ind w:left="1406" w:right="0" w:hanging="598"/>
            <w:jc w:val="left"/>
          </w:pPr>
          <w:hyperlink w:history="true" w:anchor="_bookmark136">
            <w:r>
              <w:rPr/>
              <w:t>Udbredelse af vand på terræn med forskellige</w:t>
            </w:r>
            <w:r>
              <w:rPr>
                <w:spacing w:val="-10"/>
              </w:rPr>
              <w:t> </w:t>
            </w:r>
            <w:r>
              <w:rPr/>
              <w:t>opløsninger</w:t>
            </w:r>
            <w:r>
              <w:rPr>
                <w:spacing w:val="-3"/>
              </w:rPr>
              <w:t> </w:t>
            </w:r>
            <w:r>
              <w:rPr/>
              <w:t>DHM</w:t>
              <w:tab/>
              <w:t>124</w:t>
            </w:r>
          </w:hyperlink>
        </w:p>
        <w:p>
          <w:pPr>
            <w:pStyle w:val="TOC2"/>
            <w:numPr>
              <w:ilvl w:val="1"/>
              <w:numId w:val="1"/>
            </w:numPr>
            <w:tabs>
              <w:tab w:pos="1405" w:val="left" w:leader="none"/>
              <w:tab w:pos="1406" w:val="left" w:leader="none"/>
              <w:tab w:pos="8679" w:val="left" w:leader="dot"/>
            </w:tabs>
            <w:spacing w:line="240" w:lineRule="auto" w:before="49" w:after="0"/>
            <w:ind w:left="1406" w:right="0" w:hanging="598"/>
            <w:jc w:val="left"/>
          </w:pPr>
          <w:hyperlink w:history="true" w:anchor="_bookmark139">
            <w:r>
              <w:rPr/>
              <w:t>Simpel sensitivitetsanalyse af simuleret vandstand udbredt</w:t>
            </w:r>
            <w:r>
              <w:rPr>
                <w:spacing w:val="-15"/>
              </w:rPr>
              <w:t> </w:t>
            </w:r>
            <w:r>
              <w:rPr/>
              <w:t>på</w:t>
            </w:r>
            <w:r>
              <w:rPr>
                <w:spacing w:val="-2"/>
              </w:rPr>
              <w:t> </w:t>
            </w:r>
            <w:r>
              <w:rPr/>
              <w:t>terræn</w:t>
              <w:tab/>
              <w:t>126</w:t>
            </w:r>
          </w:hyperlink>
        </w:p>
        <w:p>
          <w:pPr>
            <w:pStyle w:val="TOC2"/>
            <w:numPr>
              <w:ilvl w:val="1"/>
              <w:numId w:val="1"/>
            </w:numPr>
            <w:tabs>
              <w:tab w:pos="1405" w:val="left" w:leader="none"/>
              <w:tab w:pos="1406" w:val="left" w:leader="none"/>
              <w:tab w:pos="8679" w:val="left" w:leader="dot"/>
            </w:tabs>
            <w:spacing w:line="240" w:lineRule="auto" w:before="46" w:after="20"/>
            <w:ind w:left="1406" w:right="0" w:hanging="598"/>
            <w:jc w:val="left"/>
          </w:pPr>
          <w:hyperlink w:history="true" w:anchor="_bookmark143">
            <w:r>
              <w:rPr/>
              <w:t>Nedbør med timeværdier eller</w:t>
            </w:r>
            <w:r>
              <w:rPr>
                <w:spacing w:val="-8"/>
              </w:rPr>
              <w:t> </w:t>
            </w:r>
            <w:r>
              <w:rPr/>
              <w:t>døgnværdier,</w:t>
            </w:r>
            <w:r>
              <w:rPr>
                <w:spacing w:val="-3"/>
              </w:rPr>
              <w:t> </w:t>
            </w:r>
            <w:r>
              <w:rPr/>
              <w:t>Storå</w:t>
              <w:tab/>
              <w:t>128</w:t>
            </w:r>
          </w:hyperlink>
        </w:p>
        <w:p>
          <w:pPr>
            <w:pStyle w:val="TOC2"/>
            <w:numPr>
              <w:ilvl w:val="1"/>
              <w:numId w:val="1"/>
            </w:numPr>
            <w:tabs>
              <w:tab w:pos="1405" w:val="left" w:leader="none"/>
              <w:tab w:pos="1406" w:val="left" w:leader="none"/>
              <w:tab w:pos="8679" w:val="left" w:leader="dot"/>
            </w:tabs>
            <w:spacing w:line="288" w:lineRule="auto" w:before="75" w:after="0"/>
            <w:ind w:left="808" w:right="732" w:firstLine="0"/>
            <w:jc w:val="left"/>
          </w:pPr>
          <w:hyperlink w:history="true" w:anchor="_bookmark145">
            <w:r>
              <w:rPr/>
              <w:t>Resultat af følsomhedsanalyse med distribueret drænopsætning for Storå og</w:t>
            </w:r>
          </w:hyperlink>
          <w:hyperlink w:history="true" w:anchor="_bookmark145">
            <w:r>
              <w:rPr/>
              <w:t> Odense</w:t>
            </w:r>
            <w:r>
              <w:rPr>
                <w:spacing w:val="-1"/>
              </w:rPr>
              <w:t> </w:t>
            </w:r>
            <w:r>
              <w:rPr/>
              <w:t>Å</w:t>
              <w:tab/>
            </w:r>
            <w:r>
              <w:rPr>
                <w:spacing w:val="-6"/>
              </w:rPr>
              <w:t>129</w:t>
            </w:r>
          </w:hyperlink>
        </w:p>
        <w:p>
          <w:pPr>
            <w:pStyle w:val="TOC2"/>
            <w:numPr>
              <w:ilvl w:val="1"/>
              <w:numId w:val="1"/>
            </w:numPr>
            <w:tabs>
              <w:tab w:pos="1405" w:val="left" w:leader="none"/>
              <w:tab w:pos="1406" w:val="left" w:leader="none"/>
              <w:tab w:pos="8679" w:val="left" w:leader="dot"/>
            </w:tabs>
            <w:spacing w:line="288" w:lineRule="auto" w:before="0" w:after="0"/>
            <w:ind w:left="808" w:right="732" w:firstLine="0"/>
            <w:jc w:val="left"/>
          </w:pPr>
          <w:hyperlink w:history="true" w:anchor="_bookmark149">
            <w:r>
              <w:rPr/>
              <w:t>Evaluering af mulighed for anvendelse af 500 m kalibrering til parametrisering af</w:t>
            </w:r>
          </w:hyperlink>
          <w:hyperlink w:history="true" w:anchor="_bookmark149">
            <w:r>
              <w:rPr/>
              <w:t> 100</w:t>
            </w:r>
            <w:r>
              <w:rPr>
                <w:spacing w:val="-3"/>
              </w:rPr>
              <w:t> </w:t>
            </w:r>
            <w:r>
              <w:rPr/>
              <w:t>m</w:t>
            </w:r>
            <w:r>
              <w:rPr>
                <w:spacing w:val="-1"/>
              </w:rPr>
              <w:t> </w:t>
            </w:r>
            <w:r>
              <w:rPr/>
              <w:t>modeller.</w:t>
              <w:tab/>
            </w:r>
            <w:r>
              <w:rPr>
                <w:spacing w:val="-6"/>
              </w:rPr>
              <w:t>131</w:t>
            </w:r>
          </w:hyperlink>
        </w:p>
        <w:p>
          <w:pPr>
            <w:pStyle w:val="TOC2"/>
            <w:numPr>
              <w:ilvl w:val="1"/>
              <w:numId w:val="1"/>
            </w:numPr>
            <w:tabs>
              <w:tab w:pos="1624" w:val="left" w:leader="none"/>
              <w:tab w:pos="1625" w:val="left" w:leader="none"/>
              <w:tab w:pos="8679" w:val="left" w:leader="dot"/>
            </w:tabs>
            <w:spacing w:line="288" w:lineRule="auto" w:before="0" w:after="0"/>
            <w:ind w:left="808" w:right="732" w:firstLine="0"/>
            <w:jc w:val="left"/>
          </w:pPr>
          <w:hyperlink w:history="true" w:anchor="_bookmark154">
            <w:r>
              <w:rPr/>
              <w:t>Model validering med anvendelse af GEO’s pejledata for det terrænnære</w:t>
            </w:r>
          </w:hyperlink>
          <w:hyperlink w:history="true" w:anchor="_bookmark154">
            <w:r>
              <w:rPr/>
              <w:t> grundvand.</w:t>
              <w:tab/>
            </w:r>
            <w:r>
              <w:rPr>
                <w:spacing w:val="-6"/>
              </w:rPr>
              <w:t>134</w:t>
            </w:r>
          </w:hyperlink>
        </w:p>
        <w:p>
          <w:pPr>
            <w:pStyle w:val="TOC2"/>
            <w:numPr>
              <w:ilvl w:val="1"/>
              <w:numId w:val="1"/>
            </w:numPr>
            <w:tabs>
              <w:tab w:pos="1624" w:val="left" w:leader="none"/>
              <w:tab w:pos="1625" w:val="left" w:leader="none"/>
              <w:tab w:pos="8679" w:val="left" w:leader="dot"/>
            </w:tabs>
            <w:spacing w:line="240" w:lineRule="exact" w:before="0" w:after="0"/>
            <w:ind w:left="1624" w:right="0" w:hanging="816"/>
            <w:jc w:val="left"/>
          </w:pPr>
          <w:hyperlink w:history="true" w:anchor="_bookmark159">
            <w:r>
              <w:rPr/>
              <w:t>Vurdering af opnået nøjagtighed i forhold</w:t>
            </w:r>
            <w:r>
              <w:rPr>
                <w:spacing w:val="-10"/>
              </w:rPr>
              <w:t> </w:t>
            </w:r>
            <w:r>
              <w:rPr/>
              <w:t>til</w:t>
            </w:r>
            <w:r>
              <w:rPr>
                <w:spacing w:val="-4"/>
              </w:rPr>
              <w:t> </w:t>
            </w:r>
            <w:r>
              <w:rPr/>
              <w:t>DK-modellen</w:t>
              <w:tab/>
              <w:t>138</w:t>
            </w:r>
          </w:hyperlink>
        </w:p>
        <w:p>
          <w:pPr>
            <w:pStyle w:val="TOC1"/>
            <w:numPr>
              <w:ilvl w:val="0"/>
              <w:numId w:val="1"/>
            </w:numPr>
            <w:tabs>
              <w:tab w:pos="1405" w:val="left" w:leader="none"/>
              <w:tab w:pos="1406" w:val="left" w:leader="none"/>
              <w:tab w:pos="8679" w:val="left" w:leader="none"/>
            </w:tabs>
            <w:spacing w:line="240" w:lineRule="auto" w:before="289" w:after="0"/>
            <w:ind w:left="1406" w:right="0" w:hanging="881"/>
            <w:jc w:val="left"/>
          </w:pPr>
          <w:hyperlink w:history="true" w:anchor="_bookmark162">
            <w:r>
              <w:rPr/>
              <w:t>Diskussion af anvendelsesmuligheder, delmål</w:t>
            </w:r>
            <w:r>
              <w:rPr>
                <w:spacing w:val="-10"/>
              </w:rPr>
              <w:t> </w:t>
            </w:r>
            <w:r>
              <w:rPr/>
              <w:t>og</w:t>
            </w:r>
            <w:r>
              <w:rPr>
                <w:spacing w:val="-1"/>
              </w:rPr>
              <w:t> </w:t>
            </w:r>
            <w:r>
              <w:rPr/>
              <w:t>løsninger</w:t>
              <w:tab/>
              <w:t>141</w:t>
            </w:r>
          </w:hyperlink>
        </w:p>
        <w:p>
          <w:pPr>
            <w:pStyle w:val="TOC2"/>
            <w:numPr>
              <w:ilvl w:val="1"/>
              <w:numId w:val="1"/>
            </w:numPr>
            <w:tabs>
              <w:tab w:pos="1405" w:val="left" w:leader="none"/>
              <w:tab w:pos="1406" w:val="left" w:leader="none"/>
              <w:tab w:pos="8679" w:val="left" w:leader="dot"/>
            </w:tabs>
            <w:spacing w:line="240" w:lineRule="auto" w:before="169" w:after="0"/>
            <w:ind w:left="1406" w:right="0" w:hanging="598"/>
            <w:jc w:val="left"/>
          </w:pPr>
          <w:hyperlink w:history="true" w:anchor="_bookmark163">
            <w:r>
              <w:rPr/>
              <w:t>Diskussion af resultater af workshop 15. juni med projekt-</w:t>
            </w:r>
            <w:r>
              <w:rPr>
                <w:spacing w:val="-13"/>
              </w:rPr>
              <w:t> </w:t>
            </w:r>
            <w:r>
              <w:rPr/>
              <w:t>og</w:t>
            </w:r>
            <w:r>
              <w:rPr>
                <w:spacing w:val="-3"/>
              </w:rPr>
              <w:t> </w:t>
            </w:r>
            <w:r>
              <w:rPr/>
              <w:t>følgegruppe</w:t>
              <w:tab/>
              <w:t>141</w:t>
            </w:r>
          </w:hyperlink>
        </w:p>
        <w:p>
          <w:pPr>
            <w:pStyle w:val="TOC2"/>
            <w:numPr>
              <w:ilvl w:val="1"/>
              <w:numId w:val="1"/>
            </w:numPr>
            <w:tabs>
              <w:tab w:pos="1405" w:val="left" w:leader="none"/>
              <w:tab w:pos="1406" w:val="left" w:leader="none"/>
              <w:tab w:pos="8679" w:val="left" w:leader="dot"/>
            </w:tabs>
            <w:spacing w:line="240" w:lineRule="auto" w:before="47" w:after="0"/>
            <w:ind w:left="1406" w:right="0" w:hanging="598"/>
            <w:jc w:val="left"/>
          </w:pPr>
          <w:hyperlink w:history="true" w:anchor="_bookmark164">
            <w:r>
              <w:rPr/>
              <w:t>Diskussion af opfyldelse af</w:t>
            </w:r>
            <w:r>
              <w:rPr>
                <w:spacing w:val="-9"/>
              </w:rPr>
              <w:t> </w:t>
            </w:r>
            <w:r>
              <w:rPr/>
              <w:t>Hypotese</w:t>
            </w:r>
            <w:r>
              <w:rPr>
                <w:spacing w:val="-3"/>
              </w:rPr>
              <w:t> </w:t>
            </w:r>
            <w:r>
              <w:rPr/>
              <w:t>H0</w:t>
              <w:tab/>
              <w:t>143</w:t>
            </w:r>
          </w:hyperlink>
        </w:p>
        <w:p>
          <w:pPr>
            <w:pStyle w:val="TOC2"/>
            <w:numPr>
              <w:ilvl w:val="1"/>
              <w:numId w:val="1"/>
            </w:numPr>
            <w:tabs>
              <w:tab w:pos="1405" w:val="left" w:leader="none"/>
              <w:tab w:pos="1406" w:val="left" w:leader="none"/>
              <w:tab w:pos="8679" w:val="left" w:leader="dot"/>
            </w:tabs>
            <w:spacing w:line="240" w:lineRule="auto" w:before="49" w:after="0"/>
            <w:ind w:left="1406" w:right="0" w:hanging="598"/>
            <w:jc w:val="left"/>
          </w:pPr>
          <w:hyperlink w:history="true" w:anchor="_bookmark165">
            <w:r>
              <w:rPr/>
              <w:t>Diskussion af opfyldelse af</w:t>
            </w:r>
            <w:r>
              <w:rPr>
                <w:spacing w:val="-9"/>
              </w:rPr>
              <w:t> </w:t>
            </w:r>
            <w:r>
              <w:rPr/>
              <w:t>Hypotese</w:t>
            </w:r>
            <w:r>
              <w:rPr>
                <w:spacing w:val="-3"/>
              </w:rPr>
              <w:t> </w:t>
            </w:r>
            <w:r>
              <w:rPr/>
              <w:t>H1</w:t>
              <w:tab/>
              <w:t>144</w:t>
            </w:r>
          </w:hyperlink>
        </w:p>
        <w:p>
          <w:pPr>
            <w:pStyle w:val="TOC2"/>
            <w:numPr>
              <w:ilvl w:val="1"/>
              <w:numId w:val="1"/>
            </w:numPr>
            <w:tabs>
              <w:tab w:pos="1405" w:val="left" w:leader="none"/>
              <w:tab w:pos="1406" w:val="left" w:leader="none"/>
              <w:tab w:pos="8679" w:val="left" w:leader="dot"/>
            </w:tabs>
            <w:spacing w:line="240" w:lineRule="auto" w:before="48" w:after="0"/>
            <w:ind w:left="1406" w:right="0" w:hanging="598"/>
            <w:jc w:val="left"/>
          </w:pPr>
          <w:hyperlink w:history="true" w:anchor="_bookmark166">
            <w:r>
              <w:rPr/>
              <w:t>Diskussion af opfyldelse af</w:t>
            </w:r>
            <w:r>
              <w:rPr>
                <w:spacing w:val="-9"/>
              </w:rPr>
              <w:t> </w:t>
            </w:r>
            <w:r>
              <w:rPr/>
              <w:t>Hypotese</w:t>
            </w:r>
            <w:r>
              <w:rPr>
                <w:spacing w:val="-3"/>
              </w:rPr>
              <w:t> </w:t>
            </w:r>
            <w:r>
              <w:rPr/>
              <w:t>H2</w:t>
              <w:tab/>
              <w:t>146</w:t>
            </w:r>
          </w:hyperlink>
        </w:p>
        <w:p>
          <w:pPr>
            <w:pStyle w:val="TOC2"/>
            <w:numPr>
              <w:ilvl w:val="1"/>
              <w:numId w:val="1"/>
            </w:numPr>
            <w:tabs>
              <w:tab w:pos="1405" w:val="left" w:leader="none"/>
              <w:tab w:pos="1406" w:val="left" w:leader="none"/>
              <w:tab w:pos="8679" w:val="left" w:leader="dot"/>
            </w:tabs>
            <w:spacing w:line="240" w:lineRule="auto" w:before="50" w:after="0"/>
            <w:ind w:left="1406" w:right="0" w:hanging="598"/>
            <w:jc w:val="left"/>
          </w:pPr>
          <w:hyperlink w:history="true" w:anchor="_bookmark167">
            <w:r>
              <w:rPr/>
              <w:t>Delmål</w:t>
            </w:r>
            <w:r>
              <w:rPr>
                <w:spacing w:val="-2"/>
              </w:rPr>
              <w:t> </w:t>
            </w:r>
            <w:r>
              <w:rPr/>
              <w:t>og</w:t>
            </w:r>
            <w:r>
              <w:rPr>
                <w:spacing w:val="-3"/>
              </w:rPr>
              <w:t> </w:t>
            </w:r>
            <w:r>
              <w:rPr/>
              <w:t>succeskriterier</w:t>
              <w:tab/>
              <w:t>148</w:t>
            </w:r>
          </w:hyperlink>
        </w:p>
        <w:p>
          <w:pPr>
            <w:pStyle w:val="TOC2"/>
            <w:numPr>
              <w:ilvl w:val="1"/>
              <w:numId w:val="1"/>
            </w:numPr>
            <w:tabs>
              <w:tab w:pos="1405" w:val="left" w:leader="none"/>
              <w:tab w:pos="1406" w:val="left" w:leader="none"/>
              <w:tab w:pos="8679" w:val="left" w:leader="dot"/>
            </w:tabs>
            <w:spacing w:line="240" w:lineRule="auto" w:before="46" w:after="0"/>
            <w:ind w:left="1406" w:right="0" w:hanging="598"/>
            <w:jc w:val="left"/>
          </w:pPr>
          <w:hyperlink w:history="true" w:anchor="_bookmark169">
            <w:r>
              <w:rPr/>
              <w:t>Løsningsscenarier</w:t>
              <w:tab/>
              <w:t>150</w:t>
            </w:r>
          </w:hyperlink>
        </w:p>
        <w:p>
          <w:pPr>
            <w:pStyle w:val="TOC2"/>
            <w:numPr>
              <w:ilvl w:val="1"/>
              <w:numId w:val="1"/>
            </w:numPr>
            <w:tabs>
              <w:tab w:pos="1405" w:val="left" w:leader="none"/>
              <w:tab w:pos="1406" w:val="left" w:leader="none"/>
              <w:tab w:pos="8679" w:val="left" w:leader="dot"/>
            </w:tabs>
            <w:spacing w:line="288" w:lineRule="auto" w:before="49" w:after="0"/>
            <w:ind w:left="808" w:right="732" w:firstLine="0"/>
            <w:jc w:val="left"/>
          </w:pPr>
          <w:hyperlink w:history="true" w:anchor="_bookmark172">
            <w:r>
              <w:rPr/>
              <w:t>Konklusioner baseret på modelsimuleringer i forhold til terrænnært grundvand,</w:t>
            </w:r>
          </w:hyperlink>
          <w:hyperlink w:history="true" w:anchor="_bookmark172">
            <w:r>
              <w:rPr/>
              <w:t> vandstand</w:t>
            </w:r>
            <w:r>
              <w:rPr>
                <w:spacing w:val="-1"/>
              </w:rPr>
              <w:t> </w:t>
            </w:r>
            <w:r>
              <w:rPr/>
              <w:t>og oversvømmelser</w:t>
              <w:tab/>
            </w:r>
            <w:r>
              <w:rPr>
                <w:spacing w:val="-6"/>
              </w:rPr>
              <w:t>154</w:t>
            </w:r>
          </w:hyperlink>
        </w:p>
        <w:p>
          <w:pPr>
            <w:pStyle w:val="TOC1"/>
            <w:numPr>
              <w:ilvl w:val="0"/>
              <w:numId w:val="1"/>
            </w:numPr>
            <w:tabs>
              <w:tab w:pos="1405" w:val="left" w:leader="none"/>
              <w:tab w:pos="1406" w:val="left" w:leader="none"/>
              <w:tab w:pos="8679" w:val="left" w:leader="none"/>
            </w:tabs>
            <w:spacing w:line="240" w:lineRule="auto" w:before="242" w:after="0"/>
            <w:ind w:left="1406" w:right="0" w:hanging="881"/>
            <w:jc w:val="left"/>
          </w:pPr>
          <w:hyperlink w:history="true" w:anchor="_bookmark173">
            <w:r>
              <w:rPr/>
              <w:t>Referencer</w:t>
              <w:tab/>
              <w:t>157</w:t>
            </w:r>
          </w:hyperlink>
        </w:p>
        <w:p>
          <w:pPr>
            <w:pStyle w:val="TOC1"/>
            <w:tabs>
              <w:tab w:pos="8679" w:val="left" w:leader="none"/>
            </w:tabs>
            <w:spacing w:before="406"/>
            <w:ind w:left="525" w:firstLine="0"/>
          </w:pPr>
          <w:hyperlink w:history="true" w:anchor="_bookmark174">
            <w:r>
              <w:rPr/>
              <w:t>Appendix 1. Python scripts til kortlægning af vand</w:t>
            </w:r>
            <w:r>
              <w:rPr>
                <w:spacing w:val="-10"/>
              </w:rPr>
              <w:t> </w:t>
            </w:r>
            <w:r>
              <w:rPr/>
              <w:t>på</w:t>
            </w:r>
            <w:r>
              <w:rPr>
                <w:spacing w:val="-2"/>
              </w:rPr>
              <w:t> </w:t>
            </w:r>
            <w:r>
              <w:rPr/>
              <w:t>terræn</w:t>
              <w:tab/>
              <w:t>159</w:t>
            </w:r>
          </w:hyperlink>
        </w:p>
        <w:p>
          <w:pPr>
            <w:pStyle w:val="TOC1"/>
            <w:tabs>
              <w:tab w:pos="8679" w:val="left" w:leader="none"/>
            </w:tabs>
            <w:spacing w:before="409"/>
            <w:ind w:left="525" w:firstLine="0"/>
          </w:pPr>
          <w:hyperlink w:history="true" w:anchor="_bookmark175">
            <w:r>
              <w:rPr/>
              <w:t>Appendix 2 Tids- og dybdemæssige performance</w:t>
            </w:r>
            <w:r>
              <w:rPr>
                <w:spacing w:val="-11"/>
              </w:rPr>
              <w:t> </w:t>
            </w:r>
            <w:r>
              <w:rPr/>
              <w:t>af</w:t>
            </w:r>
            <w:r>
              <w:rPr>
                <w:spacing w:val="-2"/>
              </w:rPr>
              <w:t> </w:t>
            </w:r>
            <w:r>
              <w:rPr/>
              <w:t>model</w:t>
              <w:tab/>
              <w:t>165</w:t>
            </w:r>
          </w:hyperlink>
        </w:p>
      </w:sdtContent>
    </w:sdt>
    <w:p>
      <w:pPr>
        <w:spacing w:after="0"/>
        <w:sectPr>
          <w:type w:val="continuous"/>
          <w:pgSz w:w="11910" w:h="16850"/>
          <w:pgMar w:top="1350" w:bottom="2079" w:left="1460" w:right="680"/>
        </w:sectPr>
      </w:pPr>
    </w:p>
    <w:p>
      <w:pPr>
        <w:pStyle w:val="Heading1"/>
        <w:numPr>
          <w:ilvl w:val="0"/>
          <w:numId w:val="2"/>
        </w:numPr>
        <w:tabs>
          <w:tab w:pos="1092" w:val="left" w:leader="none"/>
        </w:tabs>
        <w:spacing w:line="240" w:lineRule="auto" w:before="73" w:after="0"/>
        <w:ind w:left="1091" w:right="0" w:hanging="566"/>
        <w:jc w:val="both"/>
      </w:pPr>
      <w:bookmarkStart w:name="_bookmark0" w:id="1"/>
      <w:bookmarkEnd w:id="1"/>
      <w:r>
        <w:rPr>
          <w:b w:val="0"/>
        </w:rPr>
      </w:r>
      <w:bookmarkStart w:name="_bookmark0" w:id="2"/>
      <w:bookmarkEnd w:id="2"/>
      <w:r>
        <w:rPr/>
        <w:t>Fo</w:t>
      </w:r>
      <w:r>
        <w:rPr/>
        <w:t>rord</w:t>
      </w:r>
    </w:p>
    <w:p>
      <w:pPr>
        <w:pStyle w:val="BodyText"/>
        <w:spacing w:line="288" w:lineRule="auto" w:before="242"/>
        <w:ind w:left="525" w:right="731"/>
        <w:jc w:val="both"/>
      </w:pPr>
      <w:r>
        <w:rPr/>
        <w:t>Nærværende</w:t>
      </w:r>
      <w:r>
        <w:rPr>
          <w:spacing w:val="-16"/>
        </w:rPr>
        <w:t> </w:t>
      </w:r>
      <w:r>
        <w:rPr/>
        <w:t>projekt</w:t>
      </w:r>
      <w:r>
        <w:rPr>
          <w:spacing w:val="-15"/>
        </w:rPr>
        <w:t> </w:t>
      </w:r>
      <w:r>
        <w:rPr/>
        <w:t>er</w:t>
      </w:r>
      <w:r>
        <w:rPr>
          <w:spacing w:val="-15"/>
        </w:rPr>
        <w:t> </w:t>
      </w:r>
      <w:r>
        <w:rPr/>
        <w:t>besluttet</w:t>
      </w:r>
      <w:r>
        <w:rPr>
          <w:spacing w:val="-15"/>
        </w:rPr>
        <w:t> </w:t>
      </w:r>
      <w:r>
        <w:rPr/>
        <w:t>af</w:t>
      </w:r>
      <w:r>
        <w:rPr>
          <w:spacing w:val="-15"/>
        </w:rPr>
        <w:t> </w:t>
      </w:r>
      <w:r>
        <w:rPr/>
        <w:t>Styregruppen</w:t>
      </w:r>
      <w:r>
        <w:rPr>
          <w:spacing w:val="-14"/>
        </w:rPr>
        <w:t> </w:t>
      </w:r>
      <w:r>
        <w:rPr/>
        <w:t>for</w:t>
      </w:r>
      <w:r>
        <w:rPr>
          <w:spacing w:val="-15"/>
        </w:rPr>
        <w:t> </w:t>
      </w:r>
      <w:r>
        <w:rPr/>
        <w:t>den</w:t>
      </w:r>
      <w:r>
        <w:rPr>
          <w:spacing w:val="-14"/>
        </w:rPr>
        <w:t> </w:t>
      </w:r>
      <w:r>
        <w:rPr/>
        <w:t>Fællesoffentlige</w:t>
      </w:r>
      <w:r>
        <w:rPr>
          <w:spacing w:val="-16"/>
        </w:rPr>
        <w:t> </w:t>
      </w:r>
      <w:r>
        <w:rPr/>
        <w:t>Digitaliseringsstra- tegis (FODS) Initiativ 6.1 ”Fælles data om terræn, klima og vand”. Projektet udgør et forud- sætningsprojekt</w:t>
      </w:r>
      <w:r>
        <w:rPr>
          <w:spacing w:val="-9"/>
        </w:rPr>
        <w:t> </w:t>
      </w:r>
      <w:r>
        <w:rPr/>
        <w:t>for,</w:t>
      </w:r>
      <w:r>
        <w:rPr>
          <w:spacing w:val="-8"/>
        </w:rPr>
        <w:t> </w:t>
      </w:r>
      <w:r>
        <w:rPr/>
        <w:t>at</w:t>
      </w:r>
      <w:r>
        <w:rPr>
          <w:spacing w:val="-9"/>
        </w:rPr>
        <w:t> </w:t>
      </w:r>
      <w:r>
        <w:rPr/>
        <w:t>der</w:t>
      </w:r>
      <w:r>
        <w:rPr>
          <w:spacing w:val="-9"/>
        </w:rPr>
        <w:t> </w:t>
      </w:r>
      <w:r>
        <w:rPr/>
        <w:t>senere</w:t>
      </w:r>
      <w:r>
        <w:rPr>
          <w:spacing w:val="-8"/>
        </w:rPr>
        <w:t> </w:t>
      </w:r>
      <w:r>
        <w:rPr/>
        <w:t>kan</w:t>
      </w:r>
      <w:r>
        <w:rPr>
          <w:spacing w:val="-6"/>
        </w:rPr>
        <w:t> </w:t>
      </w:r>
      <w:r>
        <w:rPr/>
        <w:t>tages</w:t>
      </w:r>
      <w:r>
        <w:rPr>
          <w:spacing w:val="-6"/>
        </w:rPr>
        <w:t> </w:t>
      </w:r>
      <w:r>
        <w:rPr/>
        <w:t>beslutning</w:t>
      </w:r>
      <w:r>
        <w:rPr>
          <w:spacing w:val="-6"/>
        </w:rPr>
        <w:t> </w:t>
      </w:r>
      <w:r>
        <w:rPr/>
        <w:t>om</w:t>
      </w:r>
      <w:r>
        <w:rPr>
          <w:spacing w:val="-7"/>
        </w:rPr>
        <w:t> </w:t>
      </w:r>
      <w:r>
        <w:rPr/>
        <w:t>at</w:t>
      </w:r>
      <w:r>
        <w:rPr>
          <w:spacing w:val="-7"/>
        </w:rPr>
        <w:t> </w:t>
      </w:r>
      <w:r>
        <w:rPr/>
        <w:t>anvende</w:t>
      </w:r>
      <w:r>
        <w:rPr>
          <w:spacing w:val="-6"/>
        </w:rPr>
        <w:t> </w:t>
      </w:r>
      <w:r>
        <w:rPr/>
        <w:t>Den</w:t>
      </w:r>
      <w:r>
        <w:rPr>
          <w:spacing w:val="-8"/>
        </w:rPr>
        <w:t> </w:t>
      </w:r>
      <w:r>
        <w:rPr/>
        <w:t>Nationale</w:t>
      </w:r>
      <w:r>
        <w:rPr>
          <w:spacing w:val="-8"/>
        </w:rPr>
        <w:t> </w:t>
      </w:r>
      <w:r>
        <w:rPr/>
        <w:t>Vand- ressource</w:t>
      </w:r>
      <w:r>
        <w:rPr>
          <w:spacing w:val="-14"/>
        </w:rPr>
        <w:t> </w:t>
      </w:r>
      <w:r>
        <w:rPr/>
        <w:t>Model,</w:t>
      </w:r>
      <w:r>
        <w:rPr>
          <w:spacing w:val="-15"/>
        </w:rPr>
        <w:t> </w:t>
      </w:r>
      <w:r>
        <w:rPr/>
        <w:t>DK-modellen,</w:t>
      </w:r>
      <w:r>
        <w:rPr>
          <w:spacing w:val="-14"/>
        </w:rPr>
        <w:t> </w:t>
      </w:r>
      <w:r>
        <w:rPr/>
        <w:t>til</w:t>
      </w:r>
      <w:r>
        <w:rPr>
          <w:spacing w:val="-12"/>
        </w:rPr>
        <w:t> </w:t>
      </w:r>
      <w:r>
        <w:rPr/>
        <w:t>landsdækkende</w:t>
      </w:r>
      <w:r>
        <w:rPr>
          <w:spacing w:val="-14"/>
        </w:rPr>
        <w:t> </w:t>
      </w:r>
      <w:r>
        <w:rPr/>
        <w:t>modelberegninger</w:t>
      </w:r>
      <w:r>
        <w:rPr>
          <w:spacing w:val="-15"/>
        </w:rPr>
        <w:t> </w:t>
      </w:r>
      <w:r>
        <w:rPr/>
        <w:t>af</w:t>
      </w:r>
      <w:r>
        <w:rPr>
          <w:spacing w:val="-12"/>
        </w:rPr>
        <w:t> </w:t>
      </w:r>
      <w:r>
        <w:rPr/>
        <w:t>oversvømmelser</w:t>
      </w:r>
      <w:r>
        <w:rPr>
          <w:spacing w:val="-15"/>
        </w:rPr>
        <w:t> </w:t>
      </w:r>
      <w:r>
        <w:rPr/>
        <w:t>fra grundvand og vandløb. Projektet løber delvist parallelt med en analysefase, der initieres i 2018</w:t>
      </w:r>
      <w:r>
        <w:rPr>
          <w:spacing w:val="-7"/>
        </w:rPr>
        <w:t> </w:t>
      </w:r>
      <w:r>
        <w:rPr/>
        <w:t>og</w:t>
      </w:r>
      <w:r>
        <w:rPr>
          <w:spacing w:val="-3"/>
        </w:rPr>
        <w:t> </w:t>
      </w:r>
      <w:r>
        <w:rPr/>
        <w:t>som</w:t>
      </w:r>
      <w:r>
        <w:rPr>
          <w:spacing w:val="-3"/>
        </w:rPr>
        <w:t> </w:t>
      </w:r>
      <w:r>
        <w:rPr/>
        <w:t>vil</w:t>
      </w:r>
      <w:r>
        <w:rPr>
          <w:spacing w:val="-3"/>
        </w:rPr>
        <w:t> </w:t>
      </w:r>
      <w:r>
        <w:rPr/>
        <w:t>belyse</w:t>
      </w:r>
      <w:r>
        <w:rPr>
          <w:spacing w:val="-6"/>
        </w:rPr>
        <w:t> </w:t>
      </w:r>
      <w:r>
        <w:rPr/>
        <w:t>muligheden</w:t>
      </w:r>
      <w:r>
        <w:rPr>
          <w:spacing w:val="-7"/>
        </w:rPr>
        <w:t> </w:t>
      </w:r>
      <w:r>
        <w:rPr/>
        <w:t>for</w:t>
      </w:r>
      <w:r>
        <w:rPr>
          <w:spacing w:val="-7"/>
        </w:rPr>
        <w:t> </w:t>
      </w:r>
      <w:r>
        <w:rPr/>
        <w:t>udvikling</w:t>
      </w:r>
      <w:r>
        <w:rPr>
          <w:spacing w:val="-4"/>
        </w:rPr>
        <w:t> </w:t>
      </w:r>
      <w:r>
        <w:rPr/>
        <w:t>af</w:t>
      </w:r>
      <w:r>
        <w:rPr>
          <w:spacing w:val="-6"/>
        </w:rPr>
        <w:t> </w:t>
      </w:r>
      <w:r>
        <w:rPr/>
        <w:t>grundlag</w:t>
      </w:r>
      <w:r>
        <w:rPr>
          <w:spacing w:val="-6"/>
        </w:rPr>
        <w:t> </w:t>
      </w:r>
      <w:r>
        <w:rPr/>
        <w:t>for</w:t>
      </w:r>
      <w:r>
        <w:rPr>
          <w:spacing w:val="-8"/>
        </w:rPr>
        <w:t> </w:t>
      </w:r>
      <w:r>
        <w:rPr/>
        <w:t>et </w:t>
      </w:r>
      <w:r>
        <w:rPr>
          <w:i/>
        </w:rPr>
        <w:t>Hydrologisk</w:t>
      </w:r>
      <w:r>
        <w:rPr>
          <w:i/>
          <w:spacing w:val="-4"/>
        </w:rPr>
        <w:t> </w:t>
      </w:r>
      <w:r>
        <w:rPr>
          <w:i/>
        </w:rPr>
        <w:t>Informations- </w:t>
      </w:r>
      <w:r>
        <w:rPr>
          <w:i/>
        </w:rPr>
        <w:t>og Prognose </w:t>
      </w:r>
      <w:r>
        <w:rPr/>
        <w:t>system</w:t>
      </w:r>
      <w:r>
        <w:rPr>
          <w:spacing w:val="-2"/>
        </w:rPr>
        <w:t> </w:t>
      </w:r>
      <w:r>
        <w:rPr/>
        <w:t>(HIP).</w:t>
      </w:r>
    </w:p>
    <w:p>
      <w:pPr>
        <w:pStyle w:val="BodyText"/>
        <w:spacing w:before="3"/>
        <w:rPr>
          <w:sz w:val="25"/>
        </w:rPr>
      </w:pPr>
    </w:p>
    <w:p>
      <w:pPr>
        <w:pStyle w:val="BodyText"/>
        <w:spacing w:line="288" w:lineRule="auto"/>
        <w:ind w:left="525" w:right="730"/>
        <w:jc w:val="both"/>
      </w:pPr>
      <w:r>
        <w:rPr/>
        <w:t>DK-modellen anvendes i dag primært til at beregne vandkredsløb og grundvandsdynamik, samt til vurdering af hvorledes ændringer i klima og grundvandsindvinding påvirker vandfø- ringen i vandløb. Modellen bruger data om hele det hydrologiske kredsløb til beregning af vandindhold</w:t>
      </w:r>
      <w:r>
        <w:rPr>
          <w:spacing w:val="-7"/>
        </w:rPr>
        <w:t> </w:t>
      </w:r>
      <w:r>
        <w:rPr/>
        <w:t>i</w:t>
      </w:r>
      <w:r>
        <w:rPr>
          <w:spacing w:val="-6"/>
        </w:rPr>
        <w:t> </w:t>
      </w:r>
      <w:r>
        <w:rPr/>
        <w:t>rodzonen,</w:t>
      </w:r>
      <w:r>
        <w:rPr>
          <w:spacing w:val="-10"/>
        </w:rPr>
        <w:t> </w:t>
      </w:r>
      <w:r>
        <w:rPr/>
        <w:t>infiltration,</w:t>
      </w:r>
      <w:r>
        <w:rPr>
          <w:spacing w:val="-8"/>
        </w:rPr>
        <w:t> </w:t>
      </w:r>
      <w:r>
        <w:rPr/>
        <w:t>strømning</w:t>
      </w:r>
      <w:r>
        <w:rPr>
          <w:spacing w:val="-9"/>
        </w:rPr>
        <w:t> </w:t>
      </w:r>
      <w:r>
        <w:rPr/>
        <w:t>i</w:t>
      </w:r>
      <w:r>
        <w:rPr>
          <w:spacing w:val="-6"/>
        </w:rPr>
        <w:t> </w:t>
      </w:r>
      <w:r>
        <w:rPr/>
        <w:t>grundvand</w:t>
      </w:r>
      <w:r>
        <w:rPr>
          <w:spacing w:val="-7"/>
        </w:rPr>
        <w:t> </w:t>
      </w:r>
      <w:r>
        <w:rPr/>
        <w:t>og</w:t>
      </w:r>
      <w:r>
        <w:rPr>
          <w:spacing w:val="-7"/>
        </w:rPr>
        <w:t> </w:t>
      </w:r>
      <w:r>
        <w:rPr/>
        <w:t>afstrømning</w:t>
      </w:r>
      <w:r>
        <w:rPr>
          <w:spacing w:val="-5"/>
        </w:rPr>
        <w:t> </w:t>
      </w:r>
      <w:r>
        <w:rPr/>
        <w:t>i</w:t>
      </w:r>
      <w:r>
        <w:rPr>
          <w:spacing w:val="-6"/>
        </w:rPr>
        <w:t> </w:t>
      </w:r>
      <w:r>
        <w:rPr/>
        <w:t>vandløb.</w:t>
      </w:r>
      <w:r>
        <w:rPr>
          <w:spacing w:val="-8"/>
        </w:rPr>
        <w:t> </w:t>
      </w:r>
      <w:r>
        <w:rPr/>
        <w:t>Jo</w:t>
      </w:r>
      <w:r>
        <w:rPr>
          <w:spacing w:val="-9"/>
        </w:rPr>
        <w:t> </w:t>
      </w:r>
      <w:r>
        <w:rPr/>
        <w:t>flere data om klima, grundvand, geologi m.m. der benyttes i modellen, desto bedre bliver bereg- ningerne. DK-modellen er en landsdækkende vandressourcemodel, som fra 1996 - 2003 blev</w:t>
      </w:r>
      <w:r>
        <w:rPr>
          <w:spacing w:val="-9"/>
        </w:rPr>
        <w:t> </w:t>
      </w:r>
      <w:r>
        <w:rPr/>
        <w:t>udviklet</w:t>
      </w:r>
      <w:r>
        <w:rPr>
          <w:spacing w:val="-9"/>
        </w:rPr>
        <w:t> </w:t>
      </w:r>
      <w:r>
        <w:rPr/>
        <w:t>i</w:t>
      </w:r>
      <w:r>
        <w:rPr>
          <w:spacing w:val="-6"/>
        </w:rPr>
        <w:t> </w:t>
      </w:r>
      <w:r>
        <w:rPr/>
        <w:t>en</w:t>
      </w:r>
      <w:r>
        <w:rPr>
          <w:spacing w:val="-8"/>
        </w:rPr>
        <w:t> </w:t>
      </w:r>
      <w:r>
        <w:rPr/>
        <w:t>projektkontrakt</w:t>
      </w:r>
      <w:r>
        <w:rPr>
          <w:spacing w:val="-10"/>
        </w:rPr>
        <w:t> </w:t>
      </w:r>
      <w:r>
        <w:rPr/>
        <w:t>for</w:t>
      </w:r>
      <w:r>
        <w:rPr>
          <w:spacing w:val="-9"/>
        </w:rPr>
        <w:t> </w:t>
      </w:r>
      <w:r>
        <w:rPr/>
        <w:t>det</w:t>
      </w:r>
      <w:r>
        <w:rPr>
          <w:spacing w:val="-8"/>
        </w:rPr>
        <w:t> </w:t>
      </w:r>
      <w:r>
        <w:rPr/>
        <w:t>daværende</w:t>
      </w:r>
      <w:r>
        <w:rPr>
          <w:spacing w:val="-8"/>
        </w:rPr>
        <w:t> </w:t>
      </w:r>
      <w:r>
        <w:rPr/>
        <w:t>Miljøministerium</w:t>
      </w:r>
      <w:r>
        <w:rPr>
          <w:position w:val="7"/>
          <w:sz w:val="14"/>
        </w:rPr>
        <w:t>1</w:t>
      </w:r>
      <w:r>
        <w:rPr/>
        <w:t>.</w:t>
      </w:r>
      <w:r>
        <w:rPr>
          <w:spacing w:val="-8"/>
        </w:rPr>
        <w:t> </w:t>
      </w:r>
      <w:r>
        <w:rPr/>
        <w:t>Modellen</w:t>
      </w:r>
      <w:r>
        <w:rPr>
          <w:spacing w:val="-6"/>
        </w:rPr>
        <w:t> </w:t>
      </w:r>
      <w:r>
        <w:rPr/>
        <w:t>blev</w:t>
      </w:r>
      <w:r>
        <w:rPr>
          <w:spacing w:val="-8"/>
        </w:rPr>
        <w:t> </w:t>
      </w:r>
      <w:r>
        <w:rPr/>
        <w:t>brugt</w:t>
      </w:r>
      <w:r>
        <w:rPr>
          <w:spacing w:val="-7"/>
        </w:rPr>
        <w:t> </w:t>
      </w:r>
      <w:r>
        <w:rPr/>
        <w:t>til at vurdere den udnyttelige grundvandsressource til vandforvaltningsformål og indgik desu- den som storskala hydrologisk model i forskningssammenhæng. Siden blev modellen ind- draget i den nationale overvågning af grundvandsressourcens kvantitet (2004 - 2009) hvor brugerinvolvering, værktøjer til integration af lokale og regionale modeller, yderligere detal- jering</w:t>
      </w:r>
      <w:r>
        <w:rPr>
          <w:spacing w:val="-13"/>
        </w:rPr>
        <w:t> </w:t>
      </w:r>
      <w:r>
        <w:rPr/>
        <w:t>fra</w:t>
      </w:r>
      <w:r>
        <w:rPr>
          <w:spacing w:val="-13"/>
        </w:rPr>
        <w:t> </w:t>
      </w:r>
      <w:r>
        <w:rPr/>
        <w:t>1000</w:t>
      </w:r>
      <w:r>
        <w:rPr>
          <w:spacing w:val="-14"/>
        </w:rPr>
        <w:t> </w:t>
      </w:r>
      <w:r>
        <w:rPr/>
        <w:t>m</w:t>
      </w:r>
      <w:r>
        <w:rPr>
          <w:spacing w:val="-12"/>
        </w:rPr>
        <w:t> </w:t>
      </w:r>
      <w:r>
        <w:rPr/>
        <w:t>til</w:t>
      </w:r>
      <w:r>
        <w:rPr>
          <w:spacing w:val="-12"/>
        </w:rPr>
        <w:t> </w:t>
      </w:r>
      <w:r>
        <w:rPr/>
        <w:t>500</w:t>
      </w:r>
      <w:r>
        <w:rPr>
          <w:spacing w:val="-14"/>
        </w:rPr>
        <w:t> </w:t>
      </w:r>
      <w:r>
        <w:rPr/>
        <w:t>m</w:t>
      </w:r>
      <w:r>
        <w:rPr>
          <w:spacing w:val="-12"/>
        </w:rPr>
        <w:t> </w:t>
      </w:r>
      <w:r>
        <w:rPr/>
        <w:t>opløsning</w:t>
      </w:r>
      <w:r>
        <w:rPr>
          <w:spacing w:val="-10"/>
        </w:rPr>
        <w:t> </w:t>
      </w:r>
      <w:r>
        <w:rPr/>
        <w:t>og</w:t>
      </w:r>
      <w:r>
        <w:rPr>
          <w:spacing w:val="-13"/>
        </w:rPr>
        <w:t> </w:t>
      </w:r>
      <w:r>
        <w:rPr/>
        <w:t>forbedret</w:t>
      </w:r>
      <w:r>
        <w:rPr>
          <w:spacing w:val="-14"/>
        </w:rPr>
        <w:t> </w:t>
      </w:r>
      <w:r>
        <w:rPr/>
        <w:t>beskrivelse</w:t>
      </w:r>
      <w:r>
        <w:rPr>
          <w:spacing w:val="-12"/>
        </w:rPr>
        <w:t> </w:t>
      </w:r>
      <w:r>
        <w:rPr/>
        <w:t>af</w:t>
      </w:r>
      <w:r>
        <w:rPr>
          <w:spacing w:val="-12"/>
        </w:rPr>
        <w:t> </w:t>
      </w:r>
      <w:r>
        <w:rPr/>
        <w:t>rodzonen</w:t>
      </w:r>
      <w:r>
        <w:rPr>
          <w:spacing w:val="-13"/>
        </w:rPr>
        <w:t> </w:t>
      </w:r>
      <w:r>
        <w:rPr/>
        <w:t>var</w:t>
      </w:r>
      <w:r>
        <w:rPr>
          <w:spacing w:val="-13"/>
        </w:rPr>
        <w:t> </w:t>
      </w:r>
      <w:r>
        <w:rPr/>
        <w:t>i</w:t>
      </w:r>
      <w:r>
        <w:rPr>
          <w:spacing w:val="-10"/>
        </w:rPr>
        <w:t> </w:t>
      </w:r>
      <w:r>
        <w:rPr/>
        <w:t>fokus.</w:t>
      </w:r>
      <w:r>
        <w:rPr>
          <w:spacing w:val="-13"/>
        </w:rPr>
        <w:t> </w:t>
      </w:r>
      <w:r>
        <w:rPr/>
        <w:t>I</w:t>
      </w:r>
      <w:r>
        <w:rPr>
          <w:spacing w:val="-14"/>
        </w:rPr>
        <w:t> </w:t>
      </w:r>
      <w:r>
        <w:rPr/>
        <w:t>denne periode indgik modellen i vandforvaltningsopgaver, grundvandsbeskyttelse, kortlægnings- modeller (GKO), husdyrbekendtgørelser (VVM), bæredygtig indvinding i Vandplan 1 og vur- dering af klimaeffekter på grundvand og hydrologi. DK-modellen blev samtidig fortsat an- vendt i en række</w:t>
      </w:r>
      <w:r>
        <w:rPr>
          <w:spacing w:val="-5"/>
        </w:rPr>
        <w:t> </w:t>
      </w:r>
      <w:r>
        <w:rPr/>
        <w:t>forskningsopgaver</w:t>
      </w:r>
      <w:r>
        <w:rPr>
          <w:position w:val="7"/>
          <w:sz w:val="14"/>
        </w:rPr>
        <w:t>2</w:t>
      </w:r>
      <w:r>
        <w:rPr/>
        <w:t>.</w:t>
      </w:r>
    </w:p>
    <w:p>
      <w:pPr>
        <w:pStyle w:val="BodyText"/>
        <w:spacing w:before="2"/>
        <w:rPr>
          <w:sz w:val="24"/>
        </w:rPr>
      </w:pPr>
    </w:p>
    <w:p>
      <w:pPr>
        <w:pStyle w:val="BodyText"/>
        <w:spacing w:line="276" w:lineRule="auto"/>
        <w:ind w:left="525" w:right="728"/>
        <w:jc w:val="both"/>
      </w:pPr>
      <w:r>
        <w:rPr/>
        <w:t>DK-modellen har ikke tidligere været anvendt til beregning af vandstande i vandløb eller oversvømmelser fra vandløb. I sin nuværende form er modellens opløsning på 500x500 m. Den</w:t>
      </w:r>
      <w:r>
        <w:rPr>
          <w:spacing w:val="-16"/>
        </w:rPr>
        <w:t> </w:t>
      </w:r>
      <w:r>
        <w:rPr/>
        <w:t>eksisterende</w:t>
      </w:r>
      <w:r>
        <w:rPr>
          <w:spacing w:val="-16"/>
        </w:rPr>
        <w:t> </w:t>
      </w:r>
      <w:r>
        <w:rPr/>
        <w:t>beskrivelse</w:t>
      </w:r>
      <w:r>
        <w:rPr>
          <w:spacing w:val="-17"/>
        </w:rPr>
        <w:t> </w:t>
      </w:r>
      <w:r>
        <w:rPr/>
        <w:t>af</w:t>
      </w:r>
      <w:r>
        <w:rPr>
          <w:spacing w:val="-13"/>
        </w:rPr>
        <w:t> </w:t>
      </w:r>
      <w:r>
        <w:rPr/>
        <w:t>vandløbene</w:t>
      </w:r>
      <w:r>
        <w:rPr>
          <w:spacing w:val="-14"/>
        </w:rPr>
        <w:t> </w:t>
      </w:r>
      <w:r>
        <w:rPr/>
        <w:t>er</w:t>
      </w:r>
      <w:r>
        <w:rPr>
          <w:spacing w:val="-15"/>
        </w:rPr>
        <w:t> </w:t>
      </w:r>
      <w:r>
        <w:rPr/>
        <w:t>en</w:t>
      </w:r>
      <w:r>
        <w:rPr>
          <w:spacing w:val="-16"/>
        </w:rPr>
        <w:t> </w:t>
      </w:r>
      <w:r>
        <w:rPr/>
        <w:t>begrænsende</w:t>
      </w:r>
      <w:r>
        <w:rPr>
          <w:spacing w:val="-16"/>
        </w:rPr>
        <w:t> </w:t>
      </w:r>
      <w:r>
        <w:rPr/>
        <w:t>faktor</w:t>
      </w:r>
      <w:r>
        <w:rPr>
          <w:spacing w:val="-14"/>
        </w:rPr>
        <w:t> </w:t>
      </w:r>
      <w:r>
        <w:rPr/>
        <w:t>for</w:t>
      </w:r>
      <w:r>
        <w:rPr>
          <w:spacing w:val="-15"/>
        </w:rPr>
        <w:t> </w:t>
      </w:r>
      <w:r>
        <w:rPr/>
        <w:t>at</w:t>
      </w:r>
      <w:r>
        <w:rPr>
          <w:spacing w:val="-15"/>
        </w:rPr>
        <w:t> </w:t>
      </w:r>
      <w:r>
        <w:rPr/>
        <w:t>det</w:t>
      </w:r>
      <w:r>
        <w:rPr>
          <w:spacing w:val="-14"/>
        </w:rPr>
        <w:t> </w:t>
      </w:r>
      <w:r>
        <w:rPr/>
        <w:t>terrænnære grundvand og vandstanden i vandløbene beregnes nøjagtigt til kortlægning og vurdering af oversvømmelser.</w:t>
      </w:r>
      <w:r>
        <w:rPr>
          <w:spacing w:val="-7"/>
        </w:rPr>
        <w:t> </w:t>
      </w:r>
      <w:r>
        <w:rPr/>
        <w:t>DK-modellen</w:t>
      </w:r>
      <w:r>
        <w:rPr>
          <w:spacing w:val="-3"/>
        </w:rPr>
        <w:t> </w:t>
      </w:r>
      <w:r>
        <w:rPr/>
        <w:t>har</w:t>
      </w:r>
      <w:r>
        <w:rPr>
          <w:spacing w:val="-6"/>
        </w:rPr>
        <w:t> </w:t>
      </w:r>
      <w:r>
        <w:rPr/>
        <w:t>indtil</w:t>
      </w:r>
      <w:r>
        <w:rPr>
          <w:spacing w:val="-3"/>
        </w:rPr>
        <w:t> </w:t>
      </w:r>
      <w:r>
        <w:rPr/>
        <w:t>videre</w:t>
      </w:r>
      <w:r>
        <w:rPr>
          <w:spacing w:val="-5"/>
        </w:rPr>
        <w:t> </w:t>
      </w:r>
      <w:r>
        <w:rPr/>
        <w:t>ikke</w:t>
      </w:r>
      <w:r>
        <w:rPr>
          <w:spacing w:val="-5"/>
        </w:rPr>
        <w:t> </w:t>
      </w:r>
      <w:r>
        <w:rPr/>
        <w:t>været</w:t>
      </w:r>
      <w:r>
        <w:rPr>
          <w:spacing w:val="-5"/>
        </w:rPr>
        <w:t> </w:t>
      </w:r>
      <w:r>
        <w:rPr/>
        <w:t>udviklet</w:t>
      </w:r>
      <w:r>
        <w:rPr>
          <w:spacing w:val="-5"/>
        </w:rPr>
        <w:t> </w:t>
      </w:r>
      <w:r>
        <w:rPr/>
        <w:t>og</w:t>
      </w:r>
      <w:r>
        <w:rPr>
          <w:spacing w:val="-3"/>
        </w:rPr>
        <w:t> </w:t>
      </w:r>
      <w:r>
        <w:rPr/>
        <w:t>benyttet</w:t>
      </w:r>
      <w:r>
        <w:rPr>
          <w:spacing w:val="-5"/>
        </w:rPr>
        <w:t> </w:t>
      </w:r>
      <w:r>
        <w:rPr/>
        <w:t>til</w:t>
      </w:r>
      <w:r>
        <w:rPr>
          <w:spacing w:val="-2"/>
        </w:rPr>
        <w:t> </w:t>
      </w:r>
      <w:r>
        <w:rPr/>
        <w:t>at</w:t>
      </w:r>
      <w:r>
        <w:rPr>
          <w:spacing w:val="-5"/>
        </w:rPr>
        <w:t> </w:t>
      </w:r>
      <w:r>
        <w:rPr/>
        <w:t>beregne oversvømmelser på terrænet. For at muliggøre beregninger af oversvømmelser skal </w:t>
      </w:r>
      <w:r>
        <w:rPr>
          <w:spacing w:val="2"/>
        </w:rPr>
        <w:t>DK- </w:t>
      </w:r>
      <w:r>
        <w:rPr/>
        <w:t>modellen</w:t>
      </w:r>
      <w:r>
        <w:rPr>
          <w:spacing w:val="-4"/>
        </w:rPr>
        <w:t> </w:t>
      </w:r>
      <w:r>
        <w:rPr/>
        <w:t>udvikles</w:t>
      </w:r>
      <w:r>
        <w:rPr>
          <w:spacing w:val="-5"/>
        </w:rPr>
        <w:t> </w:t>
      </w:r>
      <w:r>
        <w:rPr/>
        <w:t>(tilpasses,</w:t>
      </w:r>
      <w:r>
        <w:rPr>
          <w:spacing w:val="-6"/>
        </w:rPr>
        <w:t> </w:t>
      </w:r>
      <w:r>
        <w:rPr/>
        <w:t>kalibreres</w:t>
      </w:r>
      <w:r>
        <w:rPr>
          <w:spacing w:val="-5"/>
        </w:rPr>
        <w:t> </w:t>
      </w:r>
      <w:r>
        <w:rPr/>
        <w:t>og</w:t>
      </w:r>
      <w:r>
        <w:rPr>
          <w:spacing w:val="-3"/>
        </w:rPr>
        <w:t> </w:t>
      </w:r>
      <w:r>
        <w:rPr/>
        <w:t>valideres).</w:t>
      </w:r>
      <w:r>
        <w:rPr>
          <w:spacing w:val="-6"/>
        </w:rPr>
        <w:t> </w:t>
      </w:r>
      <w:r>
        <w:rPr/>
        <w:t>Denne</w:t>
      </w:r>
      <w:r>
        <w:rPr>
          <w:spacing w:val="-4"/>
        </w:rPr>
        <w:t> </w:t>
      </w:r>
      <w:r>
        <w:rPr/>
        <w:t>udvikling</w:t>
      </w:r>
      <w:r>
        <w:rPr>
          <w:spacing w:val="-4"/>
        </w:rPr>
        <w:t> </w:t>
      </w:r>
      <w:r>
        <w:rPr/>
        <w:t>må</w:t>
      </w:r>
      <w:r>
        <w:rPr>
          <w:spacing w:val="-4"/>
        </w:rPr>
        <w:t> </w:t>
      </w:r>
      <w:r>
        <w:rPr/>
        <w:t>nødvendigvis</w:t>
      </w:r>
      <w:r>
        <w:rPr>
          <w:spacing w:val="-5"/>
        </w:rPr>
        <w:t> </w:t>
      </w:r>
      <w:r>
        <w:rPr/>
        <w:t>ba- seres</w:t>
      </w:r>
      <w:r>
        <w:rPr>
          <w:spacing w:val="-7"/>
        </w:rPr>
        <w:t> </w:t>
      </w:r>
      <w:r>
        <w:rPr/>
        <w:t>på</w:t>
      </w:r>
      <w:r>
        <w:rPr>
          <w:spacing w:val="-7"/>
        </w:rPr>
        <w:t> </w:t>
      </w:r>
      <w:r>
        <w:rPr/>
        <w:t>adgang</w:t>
      </w:r>
      <w:r>
        <w:rPr>
          <w:spacing w:val="-7"/>
        </w:rPr>
        <w:t> </w:t>
      </w:r>
      <w:r>
        <w:rPr/>
        <w:t>til</w:t>
      </w:r>
      <w:r>
        <w:rPr>
          <w:spacing w:val="-6"/>
        </w:rPr>
        <w:t> </w:t>
      </w:r>
      <w:r>
        <w:rPr/>
        <w:t>data</w:t>
      </w:r>
      <w:r>
        <w:rPr>
          <w:spacing w:val="-7"/>
        </w:rPr>
        <w:t> </w:t>
      </w:r>
      <w:r>
        <w:rPr/>
        <w:t>om</w:t>
      </w:r>
      <w:r>
        <w:rPr>
          <w:spacing w:val="-8"/>
        </w:rPr>
        <w:t> </w:t>
      </w:r>
      <w:r>
        <w:rPr/>
        <w:t>det</w:t>
      </w:r>
      <w:r>
        <w:rPr>
          <w:spacing w:val="-7"/>
        </w:rPr>
        <w:t> </w:t>
      </w:r>
      <w:r>
        <w:rPr/>
        <w:t>terrænnære</w:t>
      </w:r>
      <w:r>
        <w:rPr>
          <w:spacing w:val="-7"/>
        </w:rPr>
        <w:t> </w:t>
      </w:r>
      <w:r>
        <w:rPr/>
        <w:t>grundvand</w:t>
      </w:r>
      <w:r>
        <w:rPr>
          <w:spacing w:val="-7"/>
        </w:rPr>
        <w:t> </w:t>
      </w:r>
      <w:r>
        <w:rPr/>
        <w:t>og</w:t>
      </w:r>
      <w:r>
        <w:rPr>
          <w:spacing w:val="-7"/>
        </w:rPr>
        <w:t> </w:t>
      </w:r>
      <w:r>
        <w:rPr/>
        <w:t>vandstand</w:t>
      </w:r>
      <w:r>
        <w:rPr>
          <w:spacing w:val="-9"/>
        </w:rPr>
        <w:t> </w:t>
      </w:r>
      <w:r>
        <w:rPr/>
        <w:t>i</w:t>
      </w:r>
      <w:r>
        <w:rPr>
          <w:spacing w:val="-6"/>
        </w:rPr>
        <w:t> </w:t>
      </w:r>
      <w:r>
        <w:rPr/>
        <w:t>vandløb.</w:t>
      </w:r>
      <w:r>
        <w:rPr>
          <w:spacing w:val="-8"/>
        </w:rPr>
        <w:t> </w:t>
      </w:r>
      <w:r>
        <w:rPr/>
        <w:t>I</w:t>
      </w:r>
      <w:r>
        <w:rPr>
          <w:spacing w:val="-7"/>
        </w:rPr>
        <w:t> </w:t>
      </w:r>
      <w:r>
        <w:rPr/>
        <w:t>dag</w:t>
      </w:r>
      <w:r>
        <w:rPr>
          <w:spacing w:val="-9"/>
        </w:rPr>
        <w:t> </w:t>
      </w:r>
      <w:r>
        <w:rPr/>
        <w:t>findes der</w:t>
      </w:r>
      <w:r>
        <w:rPr>
          <w:spacing w:val="-9"/>
        </w:rPr>
        <w:t> </w:t>
      </w:r>
      <w:r>
        <w:rPr/>
        <w:t>kun</w:t>
      </w:r>
      <w:r>
        <w:rPr>
          <w:spacing w:val="-7"/>
        </w:rPr>
        <w:t> </w:t>
      </w:r>
      <w:r>
        <w:rPr/>
        <w:t>få</w:t>
      </w:r>
      <w:r>
        <w:rPr>
          <w:spacing w:val="-8"/>
        </w:rPr>
        <w:t> </w:t>
      </w:r>
      <w:r>
        <w:rPr/>
        <w:t>data</w:t>
      </w:r>
      <w:r>
        <w:rPr>
          <w:spacing w:val="-7"/>
        </w:rPr>
        <w:t> </w:t>
      </w:r>
      <w:r>
        <w:rPr/>
        <w:t>om</w:t>
      </w:r>
      <w:r>
        <w:rPr>
          <w:spacing w:val="-7"/>
        </w:rPr>
        <w:t> </w:t>
      </w:r>
      <w:r>
        <w:rPr/>
        <w:t>det</w:t>
      </w:r>
      <w:r>
        <w:rPr>
          <w:spacing w:val="-8"/>
        </w:rPr>
        <w:t> </w:t>
      </w:r>
      <w:r>
        <w:rPr/>
        <w:t>terrænnære</w:t>
      </w:r>
      <w:r>
        <w:rPr>
          <w:spacing w:val="-8"/>
        </w:rPr>
        <w:t> </w:t>
      </w:r>
      <w:r>
        <w:rPr/>
        <w:t>grundvand</w:t>
      </w:r>
      <w:r>
        <w:rPr>
          <w:spacing w:val="-7"/>
        </w:rPr>
        <w:t> </w:t>
      </w:r>
      <w:r>
        <w:rPr/>
        <w:t>i</w:t>
      </w:r>
      <w:r>
        <w:rPr>
          <w:spacing w:val="-7"/>
        </w:rPr>
        <w:t> </w:t>
      </w:r>
      <w:r>
        <w:rPr/>
        <w:t>Jupiter</w:t>
      </w:r>
      <w:r>
        <w:rPr>
          <w:spacing w:val="-9"/>
        </w:rPr>
        <w:t> </w:t>
      </w:r>
      <w:r>
        <w:rPr/>
        <w:t>databasen,</w:t>
      </w:r>
      <w:r>
        <w:rPr>
          <w:spacing w:val="-8"/>
        </w:rPr>
        <w:t> </w:t>
      </w:r>
      <w:r>
        <w:rPr/>
        <w:t>og</w:t>
      </w:r>
      <w:r>
        <w:rPr>
          <w:spacing w:val="-8"/>
        </w:rPr>
        <w:t> </w:t>
      </w:r>
      <w:r>
        <w:rPr/>
        <w:t>DK-modellen</w:t>
      </w:r>
      <w:r>
        <w:rPr>
          <w:spacing w:val="-9"/>
        </w:rPr>
        <w:t> </w:t>
      </w:r>
      <w:r>
        <w:rPr/>
        <w:t>kan</w:t>
      </w:r>
      <w:r>
        <w:rPr>
          <w:spacing w:val="-7"/>
        </w:rPr>
        <w:t> </w:t>
      </w:r>
      <w:r>
        <w:rPr/>
        <w:t>i</w:t>
      </w:r>
      <w:r>
        <w:rPr>
          <w:spacing w:val="-7"/>
        </w:rPr>
        <w:t> </w:t>
      </w:r>
      <w:r>
        <w:rPr/>
        <w:t>sin nuværende version ikke beregne opstuvning af vand i vandløb. Dette er nødvendigt for at beregne</w:t>
      </w:r>
      <w:r>
        <w:rPr>
          <w:spacing w:val="-6"/>
        </w:rPr>
        <w:t> </w:t>
      </w:r>
      <w:r>
        <w:rPr/>
        <w:t>vandstand</w:t>
      </w:r>
      <w:r>
        <w:rPr>
          <w:spacing w:val="-7"/>
        </w:rPr>
        <w:t> </w:t>
      </w:r>
      <w:r>
        <w:rPr/>
        <w:t>og</w:t>
      </w:r>
      <w:r>
        <w:rPr>
          <w:spacing w:val="-8"/>
        </w:rPr>
        <w:t> </w:t>
      </w:r>
      <w:r>
        <w:rPr/>
        <w:t>kortlægge</w:t>
      </w:r>
      <w:r>
        <w:rPr>
          <w:spacing w:val="-8"/>
        </w:rPr>
        <w:t> </w:t>
      </w:r>
      <w:r>
        <w:rPr/>
        <w:t>oversvømmelser.</w:t>
      </w:r>
      <w:r>
        <w:rPr>
          <w:spacing w:val="-5"/>
        </w:rPr>
        <w:t> </w:t>
      </w:r>
      <w:r>
        <w:rPr/>
        <w:t>Indeværende</w:t>
      </w:r>
      <w:r>
        <w:rPr>
          <w:spacing w:val="-6"/>
        </w:rPr>
        <w:t> </w:t>
      </w:r>
      <w:r>
        <w:rPr/>
        <w:t>projekt</w:t>
      </w:r>
      <w:r>
        <w:rPr>
          <w:spacing w:val="-8"/>
        </w:rPr>
        <w:t> </w:t>
      </w:r>
      <w:r>
        <w:rPr/>
        <w:t>fokuserer</w:t>
      </w:r>
      <w:r>
        <w:rPr>
          <w:spacing w:val="-7"/>
        </w:rPr>
        <w:t> </w:t>
      </w:r>
      <w:r>
        <w:rPr/>
        <w:t>på</w:t>
      </w:r>
      <w:r>
        <w:rPr>
          <w:spacing w:val="-7"/>
        </w:rPr>
        <w:t> </w:t>
      </w:r>
      <w:r>
        <w:rPr/>
        <w:t>meto- deudvikling</w:t>
      </w:r>
      <w:r>
        <w:rPr>
          <w:spacing w:val="-15"/>
        </w:rPr>
        <w:t> </w:t>
      </w:r>
      <w:r>
        <w:rPr/>
        <w:t>af</w:t>
      </w:r>
      <w:r>
        <w:rPr>
          <w:spacing w:val="-13"/>
        </w:rPr>
        <w:t> </w:t>
      </w:r>
      <w:r>
        <w:rPr/>
        <w:t>og</w:t>
      </w:r>
      <w:r>
        <w:rPr>
          <w:spacing w:val="-13"/>
        </w:rPr>
        <w:t> </w:t>
      </w:r>
      <w:r>
        <w:rPr/>
        <w:t>baseres</w:t>
      </w:r>
      <w:r>
        <w:rPr>
          <w:spacing w:val="-17"/>
        </w:rPr>
        <w:t> </w:t>
      </w:r>
      <w:r>
        <w:rPr/>
        <w:t>på</w:t>
      </w:r>
      <w:r>
        <w:rPr>
          <w:spacing w:val="-14"/>
        </w:rPr>
        <w:t> </w:t>
      </w:r>
      <w:r>
        <w:rPr/>
        <w:t>anvendelse</w:t>
      </w:r>
      <w:r>
        <w:rPr>
          <w:spacing w:val="-14"/>
        </w:rPr>
        <w:t> </w:t>
      </w:r>
      <w:r>
        <w:rPr/>
        <w:t>af</w:t>
      </w:r>
      <w:r>
        <w:rPr>
          <w:spacing w:val="-13"/>
        </w:rPr>
        <w:t> </w:t>
      </w:r>
      <w:r>
        <w:rPr/>
        <w:t>nye</w:t>
      </w:r>
      <w:r>
        <w:rPr>
          <w:spacing w:val="-14"/>
        </w:rPr>
        <w:t> </w:t>
      </w:r>
      <w:r>
        <w:rPr/>
        <w:t>datatyper</w:t>
      </w:r>
      <w:r>
        <w:rPr>
          <w:spacing w:val="-15"/>
        </w:rPr>
        <w:t> </w:t>
      </w:r>
      <w:r>
        <w:rPr/>
        <w:t>i</w:t>
      </w:r>
      <w:r>
        <w:rPr>
          <w:spacing w:val="-13"/>
        </w:rPr>
        <w:t> </w:t>
      </w:r>
      <w:r>
        <w:rPr/>
        <w:t>DK-modellen,</w:t>
      </w:r>
      <w:r>
        <w:rPr>
          <w:spacing w:val="-15"/>
        </w:rPr>
        <w:t> </w:t>
      </w:r>
      <w:r>
        <w:rPr/>
        <w:t>såsom</w:t>
      </w:r>
      <w:r>
        <w:rPr>
          <w:spacing w:val="-14"/>
        </w:rPr>
        <w:t> </w:t>
      </w:r>
      <w:r>
        <w:rPr/>
        <w:t>terrænnære grundvandsdata,</w:t>
      </w:r>
      <w:r>
        <w:rPr>
          <w:spacing w:val="-8"/>
        </w:rPr>
        <w:t> </w:t>
      </w:r>
      <w:r>
        <w:rPr/>
        <w:t>vandstandskoter</w:t>
      </w:r>
      <w:r>
        <w:rPr>
          <w:spacing w:val="-6"/>
        </w:rPr>
        <w:t> </w:t>
      </w:r>
      <w:r>
        <w:rPr/>
        <w:t>fra</w:t>
      </w:r>
      <w:r>
        <w:rPr>
          <w:spacing w:val="-6"/>
        </w:rPr>
        <w:t> </w:t>
      </w:r>
      <w:r>
        <w:rPr/>
        <w:t>søer</w:t>
      </w:r>
      <w:r>
        <w:rPr>
          <w:spacing w:val="-7"/>
        </w:rPr>
        <w:t> </w:t>
      </w:r>
      <w:r>
        <w:rPr/>
        <w:t>og</w:t>
      </w:r>
      <w:r>
        <w:rPr>
          <w:spacing w:val="-6"/>
        </w:rPr>
        <w:t> </w:t>
      </w:r>
      <w:r>
        <w:rPr/>
        <w:t>større</w:t>
      </w:r>
      <w:r>
        <w:rPr>
          <w:spacing w:val="-6"/>
        </w:rPr>
        <w:t> </w:t>
      </w:r>
      <w:r>
        <w:rPr/>
        <w:t>vandløb</w:t>
      </w:r>
      <w:r>
        <w:rPr>
          <w:spacing w:val="-6"/>
        </w:rPr>
        <w:t> </w:t>
      </w:r>
      <w:r>
        <w:rPr/>
        <w:t>og</w:t>
      </w:r>
      <w:r>
        <w:rPr>
          <w:spacing w:val="-7"/>
        </w:rPr>
        <w:t> </w:t>
      </w:r>
      <w:r>
        <w:rPr/>
        <w:t>data</w:t>
      </w:r>
      <w:r>
        <w:rPr>
          <w:spacing w:val="-6"/>
        </w:rPr>
        <w:t> </w:t>
      </w:r>
      <w:r>
        <w:rPr/>
        <w:t>om</w:t>
      </w:r>
      <w:r>
        <w:rPr>
          <w:spacing w:val="-7"/>
        </w:rPr>
        <w:t> </w:t>
      </w:r>
      <w:r>
        <w:rPr/>
        <w:t>bygværker</w:t>
      </w:r>
      <w:r>
        <w:rPr>
          <w:spacing w:val="-7"/>
        </w:rPr>
        <w:t> </w:t>
      </w:r>
      <w:r>
        <w:rPr/>
        <w:t>og</w:t>
      </w:r>
      <w:r>
        <w:rPr>
          <w:spacing w:val="-9"/>
        </w:rPr>
        <w:t> </w:t>
      </w:r>
      <w:r>
        <w:rPr/>
        <w:t>hav- vandsstand,</w:t>
      </w:r>
      <w:r>
        <w:rPr>
          <w:spacing w:val="-11"/>
        </w:rPr>
        <w:t> </w:t>
      </w:r>
      <w:r>
        <w:rPr/>
        <w:t>der</w:t>
      </w:r>
      <w:r>
        <w:rPr>
          <w:spacing w:val="-10"/>
        </w:rPr>
        <w:t> </w:t>
      </w:r>
      <w:r>
        <w:rPr/>
        <w:t>forårsager</w:t>
      </w:r>
      <w:r>
        <w:rPr>
          <w:spacing w:val="-9"/>
        </w:rPr>
        <w:t> </w:t>
      </w:r>
      <w:r>
        <w:rPr/>
        <w:t>opstuvning</w:t>
      </w:r>
      <w:r>
        <w:rPr>
          <w:spacing w:val="-9"/>
        </w:rPr>
        <w:t> </w:t>
      </w:r>
      <w:r>
        <w:rPr/>
        <w:t>af</w:t>
      </w:r>
      <w:r>
        <w:rPr>
          <w:spacing w:val="-8"/>
        </w:rPr>
        <w:t> </w:t>
      </w:r>
      <w:r>
        <w:rPr/>
        <w:t>vand</w:t>
      </w:r>
      <w:r>
        <w:rPr>
          <w:spacing w:val="-8"/>
        </w:rPr>
        <w:t> </w:t>
      </w:r>
      <w:r>
        <w:rPr/>
        <w:t>i</w:t>
      </w:r>
      <w:r>
        <w:rPr>
          <w:spacing w:val="-9"/>
        </w:rPr>
        <w:t> </w:t>
      </w:r>
      <w:r>
        <w:rPr/>
        <w:t>vandløb.</w:t>
      </w:r>
      <w:r>
        <w:rPr>
          <w:spacing w:val="-10"/>
        </w:rPr>
        <w:t> </w:t>
      </w:r>
      <w:r>
        <w:rPr/>
        <w:t>Alle</w:t>
      </w:r>
      <w:r>
        <w:rPr>
          <w:spacing w:val="-8"/>
        </w:rPr>
        <w:t> </w:t>
      </w:r>
      <w:r>
        <w:rPr/>
        <w:t>disse</w:t>
      </w:r>
      <w:r>
        <w:rPr>
          <w:spacing w:val="-9"/>
        </w:rPr>
        <w:t> </w:t>
      </w:r>
      <w:r>
        <w:rPr/>
        <w:t>datatyper</w:t>
      </w:r>
      <w:r>
        <w:rPr>
          <w:spacing w:val="-10"/>
        </w:rPr>
        <w:t> </w:t>
      </w:r>
      <w:r>
        <w:rPr/>
        <w:t>er</w:t>
      </w:r>
      <w:r>
        <w:rPr>
          <w:spacing w:val="-9"/>
        </w:rPr>
        <w:t> </w:t>
      </w:r>
      <w:r>
        <w:rPr/>
        <w:t>nødvendige</w:t>
      </w:r>
    </w:p>
    <w:p>
      <w:pPr>
        <w:pStyle w:val="BodyText"/>
        <w:spacing w:before="4"/>
        <w:rPr>
          <w:sz w:val="26"/>
        </w:rPr>
      </w:pPr>
      <w:r>
        <w:rPr/>
        <w:pict>
          <v:line style="position:absolute;mso-position-horizontal-relative:page;mso-position-vertical-relative:paragraph;z-index:-880;mso-wrap-distance-left:0;mso-wrap-distance-right:0" from="99.264pt,17.352291pt" to="243.284pt,17.352291pt" stroked="true" strokeweight=".47998pt" strokecolor="#000000">
            <v:stroke dashstyle="solid"/>
            <w10:wrap type="topAndBottom"/>
          </v:line>
        </w:pict>
      </w:r>
    </w:p>
    <w:p>
      <w:pPr>
        <w:spacing w:line="186" w:lineRule="exact" w:before="105"/>
        <w:ind w:left="525" w:right="0" w:firstLine="0"/>
        <w:jc w:val="left"/>
        <w:rPr>
          <w:sz w:val="16"/>
        </w:rPr>
      </w:pPr>
      <w:r>
        <w:rPr>
          <w:position w:val="6"/>
          <w:sz w:val="10"/>
        </w:rPr>
        <w:t>1 </w:t>
      </w:r>
      <w:hyperlink r:id="rId13">
        <w:r>
          <w:rPr>
            <w:color w:val="0462C1"/>
            <w:sz w:val="16"/>
            <w:u w:val="single" w:color="0462C1"/>
          </w:rPr>
          <w:t>www.vandmodel.dk</w:t>
        </w:r>
      </w:hyperlink>
    </w:p>
    <w:p>
      <w:pPr>
        <w:spacing w:line="276" w:lineRule="auto" w:before="0"/>
        <w:ind w:left="525" w:right="734" w:firstLine="0"/>
        <w:jc w:val="both"/>
        <w:rPr>
          <w:sz w:val="16"/>
        </w:rPr>
      </w:pPr>
      <w:r>
        <w:rPr>
          <w:position w:val="6"/>
          <w:sz w:val="10"/>
        </w:rPr>
        <w:t>2 </w:t>
      </w:r>
      <w:r>
        <w:rPr>
          <w:sz w:val="16"/>
        </w:rPr>
        <w:t>DK-modellen har været anvendt i en række forsknings- og udviklingsprojekter omkring klimaeffekter, kvalitetssikring af modeller,</w:t>
      </w:r>
      <w:r>
        <w:rPr>
          <w:spacing w:val="-4"/>
          <w:sz w:val="16"/>
        </w:rPr>
        <w:t> </w:t>
      </w:r>
      <w:r>
        <w:rPr>
          <w:sz w:val="16"/>
        </w:rPr>
        <w:t>usikkerhedsvurdering,</w:t>
      </w:r>
      <w:r>
        <w:rPr>
          <w:spacing w:val="-4"/>
          <w:sz w:val="16"/>
        </w:rPr>
        <w:t> </w:t>
      </w:r>
      <w:r>
        <w:rPr>
          <w:sz w:val="16"/>
        </w:rPr>
        <w:t>beregning</w:t>
      </w:r>
      <w:r>
        <w:rPr>
          <w:spacing w:val="-6"/>
          <w:sz w:val="16"/>
        </w:rPr>
        <w:t> </w:t>
      </w:r>
      <w:r>
        <w:rPr>
          <w:sz w:val="16"/>
        </w:rPr>
        <w:t>af</w:t>
      </w:r>
      <w:r>
        <w:rPr>
          <w:spacing w:val="-4"/>
          <w:sz w:val="16"/>
        </w:rPr>
        <w:t> </w:t>
      </w:r>
      <w:r>
        <w:rPr>
          <w:sz w:val="16"/>
        </w:rPr>
        <w:t>umålte</w:t>
      </w:r>
      <w:r>
        <w:rPr>
          <w:spacing w:val="-5"/>
          <w:sz w:val="16"/>
        </w:rPr>
        <w:t> </w:t>
      </w:r>
      <w:r>
        <w:rPr>
          <w:sz w:val="16"/>
        </w:rPr>
        <w:t>oplande</w:t>
      </w:r>
      <w:r>
        <w:rPr>
          <w:spacing w:val="-4"/>
          <w:sz w:val="16"/>
        </w:rPr>
        <w:t> </w:t>
      </w:r>
      <w:r>
        <w:rPr>
          <w:sz w:val="16"/>
        </w:rPr>
        <w:t>og</w:t>
      </w:r>
      <w:r>
        <w:rPr>
          <w:spacing w:val="-5"/>
          <w:sz w:val="16"/>
        </w:rPr>
        <w:t> </w:t>
      </w:r>
      <w:r>
        <w:rPr>
          <w:sz w:val="16"/>
        </w:rPr>
        <w:t>studier</w:t>
      </w:r>
      <w:r>
        <w:rPr>
          <w:spacing w:val="-6"/>
          <w:sz w:val="16"/>
        </w:rPr>
        <w:t> </w:t>
      </w:r>
      <w:r>
        <w:rPr>
          <w:sz w:val="16"/>
        </w:rPr>
        <w:t>af</w:t>
      </w:r>
      <w:r>
        <w:rPr>
          <w:spacing w:val="-4"/>
          <w:sz w:val="16"/>
        </w:rPr>
        <w:t> </w:t>
      </w:r>
      <w:r>
        <w:rPr>
          <w:sz w:val="16"/>
        </w:rPr>
        <w:t>vandbalancen.</w:t>
      </w:r>
      <w:r>
        <w:rPr>
          <w:spacing w:val="-4"/>
          <w:sz w:val="16"/>
        </w:rPr>
        <w:t> </w:t>
      </w:r>
      <w:r>
        <w:rPr>
          <w:sz w:val="16"/>
        </w:rPr>
        <w:t>Modellen</w:t>
      </w:r>
      <w:r>
        <w:rPr>
          <w:spacing w:val="-4"/>
          <w:sz w:val="16"/>
        </w:rPr>
        <w:t> </w:t>
      </w:r>
      <w:r>
        <w:rPr>
          <w:sz w:val="16"/>
        </w:rPr>
        <w:t>anvendes</w:t>
      </w:r>
      <w:r>
        <w:rPr>
          <w:spacing w:val="-4"/>
          <w:sz w:val="16"/>
        </w:rPr>
        <w:t> </w:t>
      </w:r>
      <w:r>
        <w:rPr>
          <w:sz w:val="16"/>
        </w:rPr>
        <w:t>desuden</w:t>
      </w:r>
      <w:r>
        <w:rPr>
          <w:spacing w:val="-5"/>
          <w:sz w:val="16"/>
        </w:rPr>
        <w:t> </w:t>
      </w:r>
      <w:r>
        <w:rPr>
          <w:sz w:val="16"/>
        </w:rPr>
        <w:t>i Vandplan 2 (kvantitativ tilstand og kvælstof beregninger for grundvand herunder kvælstof reduktion) og i forskningspro- jekter</w:t>
      </w:r>
      <w:r>
        <w:rPr>
          <w:spacing w:val="-13"/>
          <w:sz w:val="16"/>
        </w:rPr>
        <w:t> </w:t>
      </w:r>
      <w:r>
        <w:rPr>
          <w:sz w:val="16"/>
        </w:rPr>
        <w:t>omkring</w:t>
      </w:r>
      <w:r>
        <w:rPr>
          <w:spacing w:val="-15"/>
          <w:sz w:val="16"/>
        </w:rPr>
        <w:t> </w:t>
      </w:r>
      <w:r>
        <w:rPr>
          <w:sz w:val="16"/>
        </w:rPr>
        <w:t>dynamisk</w:t>
      </w:r>
      <w:r>
        <w:rPr>
          <w:spacing w:val="-13"/>
          <w:sz w:val="16"/>
        </w:rPr>
        <w:t> </w:t>
      </w:r>
      <w:r>
        <w:rPr>
          <w:sz w:val="16"/>
        </w:rPr>
        <w:t>kobling</w:t>
      </w:r>
      <w:r>
        <w:rPr>
          <w:spacing w:val="-14"/>
          <w:sz w:val="16"/>
        </w:rPr>
        <w:t> </w:t>
      </w:r>
      <w:r>
        <w:rPr>
          <w:sz w:val="16"/>
        </w:rPr>
        <w:t>til</w:t>
      </w:r>
      <w:r>
        <w:rPr>
          <w:spacing w:val="-14"/>
          <w:sz w:val="16"/>
        </w:rPr>
        <w:t> </w:t>
      </w:r>
      <w:r>
        <w:rPr>
          <w:sz w:val="16"/>
        </w:rPr>
        <w:t>klimamodeller,</w:t>
      </w:r>
      <w:r>
        <w:rPr>
          <w:spacing w:val="-13"/>
          <w:sz w:val="16"/>
        </w:rPr>
        <w:t> </w:t>
      </w:r>
      <w:r>
        <w:rPr>
          <w:sz w:val="16"/>
        </w:rPr>
        <w:t>realtidsmodellering</w:t>
      </w:r>
      <w:r>
        <w:rPr>
          <w:spacing w:val="-15"/>
          <w:sz w:val="16"/>
        </w:rPr>
        <w:t> </w:t>
      </w:r>
      <w:r>
        <w:rPr>
          <w:sz w:val="16"/>
        </w:rPr>
        <w:t>og</w:t>
      </w:r>
      <w:r>
        <w:rPr>
          <w:spacing w:val="-12"/>
          <w:sz w:val="16"/>
        </w:rPr>
        <w:t> </w:t>
      </w:r>
      <w:r>
        <w:rPr>
          <w:sz w:val="16"/>
        </w:rPr>
        <w:t>dataassimilering</w:t>
      </w:r>
      <w:r>
        <w:rPr>
          <w:spacing w:val="-13"/>
          <w:sz w:val="16"/>
        </w:rPr>
        <w:t> </w:t>
      </w:r>
      <w:r>
        <w:rPr>
          <w:sz w:val="16"/>
        </w:rPr>
        <w:t>(HYACINTH/HYDROCAST/Re- altidsmodel/NORDRESS). Endelig anvendes modellen i en række igangværende forskningsprojekter (SPACE/TRENDS/FUTURE</w:t>
      </w:r>
      <w:r>
        <w:rPr>
          <w:spacing w:val="-2"/>
          <w:sz w:val="16"/>
        </w:rPr>
        <w:t> </w:t>
      </w:r>
      <w:r>
        <w:rPr>
          <w:sz w:val="16"/>
        </w:rPr>
        <w:t>CROPPING).</w:t>
      </w:r>
    </w:p>
    <w:p>
      <w:pPr>
        <w:spacing w:after="0" w:line="276" w:lineRule="auto"/>
        <w:jc w:val="both"/>
        <w:rPr>
          <w:sz w:val="16"/>
        </w:rPr>
        <w:sectPr>
          <w:pgSz w:w="11910" w:h="16850"/>
          <w:pgMar w:header="0" w:footer="857" w:top="1340" w:bottom="1120" w:left="1460" w:right="680"/>
        </w:sectPr>
      </w:pPr>
    </w:p>
    <w:p>
      <w:pPr>
        <w:pStyle w:val="BodyText"/>
        <w:spacing w:line="276" w:lineRule="auto" w:before="75"/>
        <w:ind w:left="525" w:right="732"/>
        <w:jc w:val="both"/>
      </w:pPr>
      <w:r>
        <w:rPr/>
        <w:t>for at kunne modellere oversvømmelser. Resultaterne fra de udviklede metoder evalueres med anvendelse af uafhængige terrænnære grundvandsdata, uafhængige vandstandsdata i</w:t>
      </w:r>
      <w:r>
        <w:rPr>
          <w:spacing w:val="-13"/>
        </w:rPr>
        <w:t> </w:t>
      </w:r>
      <w:r>
        <w:rPr/>
        <w:t>vandløb</w:t>
      </w:r>
      <w:r>
        <w:rPr>
          <w:spacing w:val="-13"/>
        </w:rPr>
        <w:t> </w:t>
      </w:r>
      <w:r>
        <w:rPr/>
        <w:t>samt</w:t>
      </w:r>
      <w:r>
        <w:rPr>
          <w:spacing w:val="-15"/>
        </w:rPr>
        <w:t> </w:t>
      </w:r>
      <w:r>
        <w:rPr/>
        <w:t>hændelsesdata</w:t>
      </w:r>
      <w:r>
        <w:rPr>
          <w:spacing w:val="-13"/>
        </w:rPr>
        <w:t> </w:t>
      </w:r>
      <w:r>
        <w:rPr/>
        <w:t>for</w:t>
      </w:r>
      <w:r>
        <w:rPr>
          <w:spacing w:val="-14"/>
        </w:rPr>
        <w:t> </w:t>
      </w:r>
      <w:r>
        <w:rPr/>
        <w:t>oversvømmelser,</w:t>
      </w:r>
      <w:r>
        <w:rPr>
          <w:spacing w:val="-11"/>
        </w:rPr>
        <w:t> </w:t>
      </w:r>
      <w:r>
        <w:rPr/>
        <w:t>f.eks.</w:t>
      </w:r>
      <w:r>
        <w:rPr>
          <w:spacing w:val="-14"/>
        </w:rPr>
        <w:t> </w:t>
      </w:r>
      <w:r>
        <w:rPr/>
        <w:t>fotos,</w:t>
      </w:r>
      <w:r>
        <w:rPr>
          <w:spacing w:val="-15"/>
        </w:rPr>
        <w:t> </w:t>
      </w:r>
      <w:r>
        <w:rPr/>
        <w:t>satellitdata</w:t>
      </w:r>
      <w:r>
        <w:rPr>
          <w:spacing w:val="-13"/>
        </w:rPr>
        <w:t> </w:t>
      </w:r>
      <w:r>
        <w:rPr/>
        <w:t>og</w:t>
      </w:r>
      <w:r>
        <w:rPr>
          <w:spacing w:val="-12"/>
        </w:rPr>
        <w:t> </w:t>
      </w:r>
      <w:r>
        <w:rPr/>
        <w:t>digitaliserede kort over oversvømmelsers</w:t>
      </w:r>
      <w:r>
        <w:rPr>
          <w:spacing w:val="-6"/>
        </w:rPr>
        <w:t> </w:t>
      </w:r>
      <w:r>
        <w:rPr/>
        <w:t>udbredelse.</w:t>
      </w:r>
    </w:p>
    <w:p>
      <w:pPr>
        <w:pStyle w:val="BodyText"/>
        <w:spacing w:before="1"/>
        <w:rPr>
          <w:sz w:val="25"/>
        </w:rPr>
      </w:pPr>
    </w:p>
    <w:p>
      <w:pPr>
        <w:pStyle w:val="BodyText"/>
        <w:spacing w:line="276" w:lineRule="auto"/>
        <w:ind w:left="525" w:right="730"/>
        <w:jc w:val="both"/>
      </w:pPr>
      <w:r>
        <w:rPr/>
        <w:t>Selv om DK-modellen er en landsdækkende hydrologisk model, afgrænses metodeudviklin- gen i dette projekt til to udvalgte oplande, der er karakteriseret ved forskellige geologiske forhold</w:t>
      </w:r>
      <w:r>
        <w:rPr>
          <w:spacing w:val="-7"/>
        </w:rPr>
        <w:t> </w:t>
      </w:r>
      <w:r>
        <w:rPr/>
        <w:t>og</w:t>
      </w:r>
      <w:r>
        <w:rPr>
          <w:spacing w:val="-6"/>
        </w:rPr>
        <w:t> </w:t>
      </w:r>
      <w:r>
        <w:rPr/>
        <w:t>mange</w:t>
      </w:r>
      <w:r>
        <w:rPr>
          <w:spacing w:val="-5"/>
        </w:rPr>
        <w:t> </w:t>
      </w:r>
      <w:r>
        <w:rPr/>
        <w:t>forskellige</w:t>
      </w:r>
      <w:r>
        <w:rPr>
          <w:spacing w:val="-3"/>
        </w:rPr>
        <w:t> </w:t>
      </w:r>
      <w:r>
        <w:rPr/>
        <w:t>typer</w:t>
      </w:r>
      <w:r>
        <w:rPr>
          <w:spacing w:val="-5"/>
        </w:rPr>
        <w:t> </w:t>
      </w:r>
      <w:r>
        <w:rPr/>
        <w:t>af</w:t>
      </w:r>
      <w:r>
        <w:rPr>
          <w:spacing w:val="-5"/>
        </w:rPr>
        <w:t> </w:t>
      </w:r>
      <w:r>
        <w:rPr/>
        <w:t>oversvømmelser.</w:t>
      </w:r>
      <w:r>
        <w:rPr>
          <w:spacing w:val="-6"/>
        </w:rPr>
        <w:t> </w:t>
      </w:r>
      <w:r>
        <w:rPr/>
        <w:t>Begge</w:t>
      </w:r>
      <w:r>
        <w:rPr>
          <w:spacing w:val="-4"/>
        </w:rPr>
        <w:t> </w:t>
      </w:r>
      <w:r>
        <w:rPr/>
        <w:t>oplande</w:t>
      </w:r>
      <w:r>
        <w:rPr>
          <w:spacing w:val="-4"/>
        </w:rPr>
        <w:t> </w:t>
      </w:r>
      <w:r>
        <w:rPr/>
        <w:t>er</w:t>
      </w:r>
      <w:r>
        <w:rPr>
          <w:spacing w:val="-5"/>
        </w:rPr>
        <w:t> </w:t>
      </w:r>
      <w:r>
        <w:rPr/>
        <w:t>udpeget</w:t>
      </w:r>
      <w:r>
        <w:rPr>
          <w:spacing w:val="-3"/>
        </w:rPr>
        <w:t> </w:t>
      </w:r>
      <w:r>
        <w:rPr/>
        <w:t>som</w:t>
      </w:r>
      <w:r>
        <w:rPr>
          <w:spacing w:val="-5"/>
        </w:rPr>
        <w:t> </w:t>
      </w:r>
      <w:r>
        <w:rPr/>
        <w:t>sær- lige risikoområder i relation til EU's oversvømmelsesdirektiv. Desuden </w:t>
      </w:r>
      <w:r>
        <w:rPr>
          <w:spacing w:val="2"/>
        </w:rPr>
        <w:t>er </w:t>
      </w:r>
      <w:r>
        <w:rPr/>
        <w:t>der gode data i begge oplande samt interesse fra kommuner, vandforsyninger og regioner om det videre samarbejde med anvendelse af nye data til modellering af</w:t>
      </w:r>
      <w:r>
        <w:rPr>
          <w:spacing w:val="-15"/>
        </w:rPr>
        <w:t> </w:t>
      </w:r>
      <w:r>
        <w:rPr/>
        <w:t>oversvømmelser.</w:t>
      </w:r>
    </w:p>
    <w:p>
      <w:pPr>
        <w:pStyle w:val="BodyText"/>
        <w:spacing w:before="2"/>
        <w:rPr>
          <w:sz w:val="24"/>
        </w:rPr>
      </w:pPr>
    </w:p>
    <w:p>
      <w:pPr>
        <w:pStyle w:val="BodyText"/>
        <w:spacing w:line="276" w:lineRule="auto"/>
        <w:ind w:left="525" w:right="731"/>
        <w:jc w:val="both"/>
      </w:pPr>
      <w:r>
        <w:rPr/>
        <w:t>For at skabe en anvendelig model for hele Danmark med samtidig fokus på at reducere risikoen for at udvikle en model med unødig kompleksitet, der ikke altid vil fungere effektivt, inkluderer</w:t>
      </w:r>
      <w:r>
        <w:rPr>
          <w:spacing w:val="-9"/>
        </w:rPr>
        <w:t> </w:t>
      </w:r>
      <w:r>
        <w:rPr/>
        <w:t>projektet</w:t>
      </w:r>
      <w:r>
        <w:rPr>
          <w:spacing w:val="-9"/>
        </w:rPr>
        <w:t> </w:t>
      </w:r>
      <w:r>
        <w:rPr/>
        <w:t>også</w:t>
      </w:r>
      <w:r>
        <w:rPr>
          <w:spacing w:val="-9"/>
        </w:rPr>
        <w:t> </w:t>
      </w:r>
      <w:r>
        <w:rPr/>
        <w:t>en</w:t>
      </w:r>
      <w:r>
        <w:rPr>
          <w:spacing w:val="-6"/>
        </w:rPr>
        <w:t> </w:t>
      </w:r>
      <w:r>
        <w:rPr/>
        <w:t>undersøgelse</w:t>
      </w:r>
      <w:r>
        <w:rPr>
          <w:spacing w:val="-10"/>
        </w:rPr>
        <w:t> </w:t>
      </w:r>
      <w:r>
        <w:rPr/>
        <w:t>og</w:t>
      </w:r>
      <w:r>
        <w:rPr>
          <w:spacing w:val="-8"/>
        </w:rPr>
        <w:t> </w:t>
      </w:r>
      <w:r>
        <w:rPr/>
        <w:t>sammenligning</w:t>
      </w:r>
      <w:r>
        <w:rPr>
          <w:spacing w:val="-7"/>
        </w:rPr>
        <w:t> </w:t>
      </w:r>
      <w:r>
        <w:rPr/>
        <w:t>af</w:t>
      </w:r>
      <w:r>
        <w:rPr>
          <w:spacing w:val="-5"/>
        </w:rPr>
        <w:t> </w:t>
      </w:r>
      <w:r>
        <w:rPr/>
        <w:t>anvendelsen</w:t>
      </w:r>
      <w:r>
        <w:rPr>
          <w:spacing w:val="-8"/>
        </w:rPr>
        <w:t> </w:t>
      </w:r>
      <w:r>
        <w:rPr/>
        <w:t>af</w:t>
      </w:r>
      <w:r>
        <w:rPr>
          <w:spacing w:val="-6"/>
        </w:rPr>
        <w:t> </w:t>
      </w:r>
      <w:r>
        <w:rPr/>
        <w:t>avancerede og mere simple metoder. Formålet har her været at identificere hvilken metode der er bedst egnet til modellering på landsdækkende skala. Denne vurdering er blandt andet knyttet til metodernes performance, beregningstid og numeriske</w:t>
      </w:r>
      <w:r>
        <w:rPr>
          <w:spacing w:val="-9"/>
        </w:rPr>
        <w:t> </w:t>
      </w:r>
      <w:r>
        <w:rPr/>
        <w:t>robusthed.</w:t>
      </w:r>
    </w:p>
    <w:p>
      <w:pPr>
        <w:pStyle w:val="BodyText"/>
        <w:spacing w:before="2"/>
        <w:rPr>
          <w:sz w:val="24"/>
        </w:rPr>
      </w:pPr>
    </w:p>
    <w:p>
      <w:pPr>
        <w:pStyle w:val="BodyText"/>
        <w:spacing w:line="276" w:lineRule="auto"/>
        <w:ind w:left="525" w:right="731"/>
        <w:jc w:val="both"/>
      </w:pPr>
      <w:r>
        <w:rPr/>
        <w:t>Konklusionerne fremgår af nærværende offentligt tilgængelige videnskabelige rapport, der beskriver og dokumenterer den udviklede metode til bedre modellering og kortlægning af oversvømmelser fra grundvand og vandløb. I rapporten angives fordele og ulemper ved ar- bejdet, og der gives faglige anbefalinger til det videre arbejde på baggrund af tekniske erfa- ringer fra metodeforløbet. Omkostninger og gevinster i forbindelse med indhentning af data og</w:t>
      </w:r>
      <w:r>
        <w:rPr>
          <w:spacing w:val="-6"/>
        </w:rPr>
        <w:t> </w:t>
      </w:r>
      <w:r>
        <w:rPr/>
        <w:t>anvendelse</w:t>
      </w:r>
      <w:r>
        <w:rPr>
          <w:spacing w:val="-6"/>
        </w:rPr>
        <w:t> </w:t>
      </w:r>
      <w:r>
        <w:rPr/>
        <w:t>i</w:t>
      </w:r>
      <w:r>
        <w:rPr>
          <w:spacing w:val="-8"/>
        </w:rPr>
        <w:t> </w:t>
      </w:r>
      <w:r>
        <w:rPr/>
        <w:t>modellering</w:t>
      </w:r>
      <w:r>
        <w:rPr>
          <w:spacing w:val="-6"/>
        </w:rPr>
        <w:t> </w:t>
      </w:r>
      <w:r>
        <w:rPr/>
        <w:t>er</w:t>
      </w:r>
      <w:r>
        <w:rPr>
          <w:spacing w:val="-5"/>
        </w:rPr>
        <w:t> </w:t>
      </w:r>
      <w:r>
        <w:rPr/>
        <w:t>angivet</w:t>
      </w:r>
      <w:r>
        <w:rPr>
          <w:spacing w:val="-6"/>
        </w:rPr>
        <w:t> </w:t>
      </w:r>
      <w:r>
        <w:rPr/>
        <w:t>i</w:t>
      </w:r>
      <w:r>
        <w:rPr>
          <w:spacing w:val="-5"/>
        </w:rPr>
        <w:t> </w:t>
      </w:r>
      <w:r>
        <w:rPr/>
        <w:t>det</w:t>
      </w:r>
      <w:r>
        <w:rPr>
          <w:spacing w:val="-7"/>
        </w:rPr>
        <w:t> </w:t>
      </w:r>
      <w:r>
        <w:rPr/>
        <w:t>omfang,</w:t>
      </w:r>
      <w:r>
        <w:rPr>
          <w:spacing w:val="-7"/>
        </w:rPr>
        <w:t> </w:t>
      </w:r>
      <w:r>
        <w:rPr/>
        <w:t>der</w:t>
      </w:r>
      <w:r>
        <w:rPr>
          <w:spacing w:val="-5"/>
        </w:rPr>
        <w:t> </w:t>
      </w:r>
      <w:r>
        <w:rPr/>
        <w:t>er</w:t>
      </w:r>
      <w:r>
        <w:rPr>
          <w:spacing w:val="-7"/>
        </w:rPr>
        <w:t> </w:t>
      </w:r>
      <w:r>
        <w:rPr/>
        <w:t>opnået</w:t>
      </w:r>
      <w:r>
        <w:rPr>
          <w:spacing w:val="-9"/>
        </w:rPr>
        <w:t> </w:t>
      </w:r>
      <w:r>
        <w:rPr/>
        <w:t>kendskab</w:t>
      </w:r>
      <w:r>
        <w:rPr>
          <w:spacing w:val="-8"/>
        </w:rPr>
        <w:t> </w:t>
      </w:r>
      <w:r>
        <w:rPr/>
        <w:t>hertil</w:t>
      </w:r>
      <w:r>
        <w:rPr>
          <w:spacing w:val="-8"/>
        </w:rPr>
        <w:t> </w:t>
      </w:r>
      <w:r>
        <w:rPr/>
        <w:t>i</w:t>
      </w:r>
      <w:r>
        <w:rPr>
          <w:spacing w:val="-5"/>
        </w:rPr>
        <w:t> </w:t>
      </w:r>
      <w:r>
        <w:rPr/>
        <w:t>forløbet. Projektets</w:t>
      </w:r>
      <w:r>
        <w:rPr>
          <w:spacing w:val="-6"/>
        </w:rPr>
        <w:t> </w:t>
      </w:r>
      <w:r>
        <w:rPr/>
        <w:t>slutprodukt</w:t>
      </w:r>
      <w:r>
        <w:rPr>
          <w:spacing w:val="-6"/>
        </w:rPr>
        <w:t> </w:t>
      </w:r>
      <w:r>
        <w:rPr/>
        <w:t>er</w:t>
      </w:r>
      <w:r>
        <w:rPr>
          <w:spacing w:val="-4"/>
        </w:rPr>
        <w:t> </w:t>
      </w:r>
      <w:r>
        <w:rPr/>
        <w:t>denne</w:t>
      </w:r>
      <w:r>
        <w:rPr>
          <w:spacing w:val="-5"/>
        </w:rPr>
        <w:t> </w:t>
      </w:r>
      <w:r>
        <w:rPr/>
        <w:t>rapport,</w:t>
      </w:r>
      <w:r>
        <w:rPr>
          <w:spacing w:val="-6"/>
        </w:rPr>
        <w:t> </w:t>
      </w:r>
      <w:r>
        <w:rPr/>
        <w:t>der</w:t>
      </w:r>
      <w:r>
        <w:rPr>
          <w:spacing w:val="-5"/>
        </w:rPr>
        <w:t> </w:t>
      </w:r>
      <w:r>
        <w:rPr/>
        <w:t>dokumenterer</w:t>
      </w:r>
      <w:r>
        <w:rPr>
          <w:spacing w:val="-6"/>
        </w:rPr>
        <w:t> </w:t>
      </w:r>
      <w:r>
        <w:rPr/>
        <w:t>og</w:t>
      </w:r>
      <w:r>
        <w:rPr>
          <w:spacing w:val="-5"/>
        </w:rPr>
        <w:t> </w:t>
      </w:r>
      <w:r>
        <w:rPr/>
        <w:t>beskriver</w:t>
      </w:r>
      <w:r>
        <w:rPr>
          <w:spacing w:val="-5"/>
        </w:rPr>
        <w:t> </w:t>
      </w:r>
      <w:r>
        <w:rPr/>
        <w:t>en</w:t>
      </w:r>
      <w:r>
        <w:rPr>
          <w:spacing w:val="-5"/>
        </w:rPr>
        <w:t> </w:t>
      </w:r>
      <w:r>
        <w:rPr/>
        <w:t>række</w:t>
      </w:r>
      <w:r>
        <w:rPr>
          <w:spacing w:val="-5"/>
        </w:rPr>
        <w:t> </w:t>
      </w:r>
      <w:r>
        <w:rPr/>
        <w:t>afprøvede metoder til beregning af</w:t>
      </w:r>
      <w:r>
        <w:rPr>
          <w:spacing w:val="-4"/>
        </w:rPr>
        <w:t> </w:t>
      </w:r>
      <w:r>
        <w:rPr/>
        <w:t>oversvømmelsesrisiko.</w:t>
      </w:r>
    </w:p>
    <w:p>
      <w:pPr>
        <w:pStyle w:val="BodyText"/>
        <w:spacing w:before="1"/>
        <w:rPr>
          <w:sz w:val="24"/>
        </w:rPr>
      </w:pPr>
    </w:p>
    <w:p>
      <w:pPr>
        <w:pStyle w:val="BodyText"/>
        <w:spacing w:line="276" w:lineRule="auto"/>
        <w:ind w:left="525" w:right="733"/>
        <w:jc w:val="both"/>
      </w:pPr>
      <w:r>
        <w:rPr/>
        <w:t>Konklusionerne spiller ind i den videre udvikling på området og hvor de er relevante også i det</w:t>
      </w:r>
      <w:r>
        <w:rPr>
          <w:spacing w:val="-10"/>
        </w:rPr>
        <w:t> </w:t>
      </w:r>
      <w:r>
        <w:rPr/>
        <w:t>hydrologiske</w:t>
      </w:r>
      <w:r>
        <w:rPr>
          <w:spacing w:val="-8"/>
        </w:rPr>
        <w:t> </w:t>
      </w:r>
      <w:r>
        <w:rPr/>
        <w:t>informations-</w:t>
      </w:r>
      <w:r>
        <w:rPr>
          <w:spacing w:val="-9"/>
        </w:rPr>
        <w:t> </w:t>
      </w:r>
      <w:r>
        <w:rPr/>
        <w:t>og</w:t>
      </w:r>
      <w:r>
        <w:rPr>
          <w:spacing w:val="-8"/>
        </w:rPr>
        <w:t> </w:t>
      </w:r>
      <w:r>
        <w:rPr/>
        <w:t>prognosesystem</w:t>
      </w:r>
      <w:r>
        <w:rPr>
          <w:spacing w:val="-7"/>
        </w:rPr>
        <w:t> </w:t>
      </w:r>
      <w:r>
        <w:rPr/>
        <w:t>i</w:t>
      </w:r>
      <w:r>
        <w:rPr>
          <w:spacing w:val="-8"/>
        </w:rPr>
        <w:t> </w:t>
      </w:r>
      <w:r>
        <w:rPr/>
        <w:t>regi</w:t>
      </w:r>
      <w:r>
        <w:rPr>
          <w:spacing w:val="-7"/>
        </w:rPr>
        <w:t> </w:t>
      </w:r>
      <w:r>
        <w:rPr/>
        <w:t>af</w:t>
      </w:r>
      <w:r>
        <w:rPr>
          <w:spacing w:val="-7"/>
        </w:rPr>
        <w:t> </w:t>
      </w:r>
      <w:r>
        <w:rPr/>
        <w:t>FODS</w:t>
      </w:r>
      <w:r>
        <w:rPr>
          <w:spacing w:val="-8"/>
        </w:rPr>
        <w:t> </w:t>
      </w:r>
      <w:r>
        <w:rPr/>
        <w:t>6.1.</w:t>
      </w:r>
      <w:r>
        <w:rPr>
          <w:spacing w:val="-9"/>
        </w:rPr>
        <w:t> </w:t>
      </w:r>
      <w:r>
        <w:rPr/>
        <w:t>Slutproduktet</w:t>
      </w:r>
      <w:r>
        <w:rPr>
          <w:spacing w:val="-9"/>
        </w:rPr>
        <w:t> </w:t>
      </w:r>
      <w:r>
        <w:rPr/>
        <w:t>vil</w:t>
      </w:r>
      <w:r>
        <w:rPr>
          <w:spacing w:val="-6"/>
        </w:rPr>
        <w:t> </w:t>
      </w:r>
      <w:r>
        <w:rPr/>
        <w:t>yder- ligere kunne anvendes af GEUS til videreudvikling af DK-modellen. Både den nyudviklede nedskaleringsmetode og eksterne vandstandsberegnings- og kortlægningsmoduler vil end- videre kunne anvendes af</w:t>
      </w:r>
      <w:r>
        <w:rPr>
          <w:spacing w:val="-8"/>
        </w:rPr>
        <w:t> </w:t>
      </w:r>
      <w:r>
        <w:rPr/>
        <w:t>alle.</w:t>
      </w:r>
    </w:p>
    <w:p>
      <w:pPr>
        <w:pStyle w:val="BodyText"/>
        <w:spacing w:before="1"/>
        <w:rPr>
          <w:sz w:val="24"/>
        </w:rPr>
      </w:pPr>
    </w:p>
    <w:p>
      <w:pPr>
        <w:pStyle w:val="BodyText"/>
        <w:spacing w:line="288" w:lineRule="auto" w:before="1"/>
        <w:ind w:left="525" w:right="734"/>
        <w:jc w:val="both"/>
      </w:pPr>
      <w:r>
        <w:rPr/>
        <w:t>Hvis</w:t>
      </w:r>
      <w:r>
        <w:rPr>
          <w:spacing w:val="-7"/>
        </w:rPr>
        <w:t> </w:t>
      </w:r>
      <w:r>
        <w:rPr/>
        <w:t>metodeudviklingen</w:t>
      </w:r>
      <w:r>
        <w:rPr>
          <w:spacing w:val="-5"/>
        </w:rPr>
        <w:t> </w:t>
      </w:r>
      <w:r>
        <w:rPr/>
        <w:t>af</w:t>
      </w:r>
      <w:r>
        <w:rPr>
          <w:spacing w:val="-6"/>
        </w:rPr>
        <w:t> </w:t>
      </w:r>
      <w:r>
        <w:rPr/>
        <w:t>DK-modellen</w:t>
      </w:r>
      <w:r>
        <w:rPr>
          <w:spacing w:val="-2"/>
        </w:rPr>
        <w:t> </w:t>
      </w:r>
      <w:r>
        <w:rPr/>
        <w:t>vurderes</w:t>
      </w:r>
      <w:r>
        <w:rPr>
          <w:spacing w:val="-5"/>
        </w:rPr>
        <w:t> </w:t>
      </w:r>
      <w:r>
        <w:rPr/>
        <w:t>som</w:t>
      </w:r>
      <w:r>
        <w:rPr>
          <w:spacing w:val="-2"/>
        </w:rPr>
        <w:t> </w:t>
      </w:r>
      <w:r>
        <w:rPr/>
        <w:t>vellykket,</w:t>
      </w:r>
      <w:r>
        <w:rPr>
          <w:spacing w:val="-6"/>
        </w:rPr>
        <w:t> </w:t>
      </w:r>
      <w:r>
        <w:rPr/>
        <w:t>vil</w:t>
      </w:r>
      <w:r>
        <w:rPr>
          <w:spacing w:val="-3"/>
        </w:rPr>
        <w:t> </w:t>
      </w:r>
      <w:r>
        <w:rPr/>
        <w:t>man</w:t>
      </w:r>
      <w:r>
        <w:rPr>
          <w:spacing w:val="-4"/>
        </w:rPr>
        <w:t> </w:t>
      </w:r>
      <w:r>
        <w:rPr/>
        <w:t>være</w:t>
      </w:r>
      <w:r>
        <w:rPr>
          <w:spacing w:val="-5"/>
        </w:rPr>
        <w:t> </w:t>
      </w:r>
      <w:r>
        <w:rPr/>
        <w:t>godt</w:t>
      </w:r>
      <w:r>
        <w:rPr>
          <w:spacing w:val="-5"/>
        </w:rPr>
        <w:t> </w:t>
      </w:r>
      <w:r>
        <w:rPr/>
        <w:t>på</w:t>
      </w:r>
      <w:r>
        <w:rPr>
          <w:spacing w:val="-3"/>
        </w:rPr>
        <w:t> </w:t>
      </w:r>
      <w:r>
        <w:rPr/>
        <w:t>vej</w:t>
      </w:r>
      <w:r>
        <w:rPr>
          <w:spacing w:val="-4"/>
        </w:rPr>
        <w:t> </w:t>
      </w:r>
      <w:r>
        <w:rPr/>
        <w:t>til at</w:t>
      </w:r>
      <w:r>
        <w:rPr>
          <w:spacing w:val="-9"/>
        </w:rPr>
        <w:t> </w:t>
      </w:r>
      <w:r>
        <w:rPr/>
        <w:t>have</w:t>
      </w:r>
      <w:r>
        <w:rPr>
          <w:spacing w:val="-8"/>
        </w:rPr>
        <w:t> </w:t>
      </w:r>
      <w:r>
        <w:rPr/>
        <w:t>et</w:t>
      </w:r>
      <w:r>
        <w:rPr>
          <w:spacing w:val="-7"/>
        </w:rPr>
        <w:t> </w:t>
      </w:r>
      <w:r>
        <w:rPr/>
        <w:t>landsdækkende</w:t>
      </w:r>
      <w:r>
        <w:rPr>
          <w:spacing w:val="-10"/>
        </w:rPr>
        <w:t> </w:t>
      </w:r>
      <w:r>
        <w:rPr/>
        <w:t>beregningsværktøj,</w:t>
      </w:r>
      <w:r>
        <w:rPr>
          <w:spacing w:val="-9"/>
        </w:rPr>
        <w:t> </w:t>
      </w:r>
      <w:r>
        <w:rPr/>
        <w:t>der</w:t>
      </w:r>
      <w:r>
        <w:rPr>
          <w:spacing w:val="-9"/>
        </w:rPr>
        <w:t> </w:t>
      </w:r>
      <w:r>
        <w:rPr/>
        <w:t>inkluderer</w:t>
      </w:r>
      <w:r>
        <w:rPr>
          <w:spacing w:val="-9"/>
        </w:rPr>
        <w:t> </w:t>
      </w:r>
      <w:r>
        <w:rPr/>
        <w:t>hele</w:t>
      </w:r>
      <w:r>
        <w:rPr>
          <w:spacing w:val="-8"/>
        </w:rPr>
        <w:t> </w:t>
      </w:r>
      <w:r>
        <w:rPr/>
        <w:t>det</w:t>
      </w:r>
      <w:r>
        <w:rPr>
          <w:spacing w:val="-9"/>
        </w:rPr>
        <w:t> </w:t>
      </w:r>
      <w:r>
        <w:rPr/>
        <w:t>hydrologiske</w:t>
      </w:r>
      <w:r>
        <w:rPr>
          <w:spacing w:val="-7"/>
        </w:rPr>
        <w:t> </w:t>
      </w:r>
      <w:r>
        <w:rPr/>
        <w:t>kredsløb og kan give et mere realistisk bud på screening af og prognoser for</w:t>
      </w:r>
      <w:r>
        <w:rPr>
          <w:spacing w:val="-22"/>
        </w:rPr>
        <w:t> </w:t>
      </w:r>
      <w:r>
        <w:rPr/>
        <w:t>oversvømmelsesrisiko.</w:t>
      </w:r>
    </w:p>
    <w:p>
      <w:pPr>
        <w:pStyle w:val="BodyText"/>
        <w:spacing w:before="2"/>
        <w:rPr>
          <w:sz w:val="25"/>
        </w:rPr>
      </w:pPr>
    </w:p>
    <w:p>
      <w:pPr>
        <w:pStyle w:val="BodyText"/>
        <w:spacing w:line="288" w:lineRule="auto"/>
        <w:ind w:left="525" w:right="733"/>
        <w:jc w:val="both"/>
      </w:pPr>
      <w:r>
        <w:rPr/>
        <w:t>Projektet</w:t>
      </w:r>
      <w:r>
        <w:rPr>
          <w:spacing w:val="-12"/>
        </w:rPr>
        <w:t> </w:t>
      </w:r>
      <w:r>
        <w:rPr/>
        <w:t>har</w:t>
      </w:r>
      <w:r>
        <w:rPr>
          <w:spacing w:val="-11"/>
        </w:rPr>
        <w:t> </w:t>
      </w:r>
      <w:r>
        <w:rPr/>
        <w:t>været</w:t>
      </w:r>
      <w:r>
        <w:rPr>
          <w:spacing w:val="-12"/>
        </w:rPr>
        <w:t> </w:t>
      </w:r>
      <w:r>
        <w:rPr/>
        <w:t>organiseret</w:t>
      </w:r>
      <w:r>
        <w:rPr>
          <w:spacing w:val="-11"/>
        </w:rPr>
        <w:t> </w:t>
      </w:r>
      <w:r>
        <w:rPr/>
        <w:t>i</w:t>
      </w:r>
      <w:r>
        <w:rPr>
          <w:spacing w:val="-9"/>
        </w:rPr>
        <w:t> </w:t>
      </w:r>
      <w:r>
        <w:rPr/>
        <w:t>en</w:t>
      </w:r>
      <w:r>
        <w:rPr>
          <w:spacing w:val="-10"/>
        </w:rPr>
        <w:t> </w:t>
      </w:r>
      <w:r>
        <w:rPr/>
        <w:t>projektstyregruppe,</w:t>
      </w:r>
      <w:r>
        <w:rPr>
          <w:spacing w:val="-12"/>
        </w:rPr>
        <w:t> </w:t>
      </w:r>
      <w:r>
        <w:rPr/>
        <w:t>en</w:t>
      </w:r>
      <w:r>
        <w:rPr>
          <w:spacing w:val="-9"/>
        </w:rPr>
        <w:t> </w:t>
      </w:r>
      <w:r>
        <w:rPr/>
        <w:t>projektgruppe,</w:t>
      </w:r>
      <w:r>
        <w:rPr>
          <w:spacing w:val="-12"/>
        </w:rPr>
        <w:t> </w:t>
      </w:r>
      <w:r>
        <w:rPr/>
        <w:t>en</w:t>
      </w:r>
      <w:r>
        <w:rPr>
          <w:spacing w:val="-10"/>
        </w:rPr>
        <w:t> </w:t>
      </w:r>
      <w:r>
        <w:rPr/>
        <w:t>følgegruppe</w:t>
      </w:r>
      <w:r>
        <w:rPr>
          <w:spacing w:val="-9"/>
        </w:rPr>
        <w:t> </w:t>
      </w:r>
      <w:r>
        <w:rPr/>
        <w:t>og et eksternt evalueringspanel (faglig midtvejsevaluering). Projektledelsen har været</w:t>
      </w:r>
      <w:r>
        <w:rPr>
          <w:spacing w:val="-42"/>
        </w:rPr>
        <w:t> </w:t>
      </w:r>
      <w:r>
        <w:rPr/>
        <w:t>forankret i Sekretariatet for Terræn, Klima og Vand i SDFE som udmønter FODS initiativ</w:t>
      </w:r>
      <w:r>
        <w:rPr>
          <w:spacing w:val="-26"/>
        </w:rPr>
        <w:t> </w:t>
      </w:r>
      <w:r>
        <w:rPr/>
        <w:t>6.1.</w:t>
      </w:r>
    </w:p>
    <w:p>
      <w:pPr>
        <w:pStyle w:val="BodyText"/>
        <w:spacing w:before="2"/>
        <w:rPr>
          <w:sz w:val="24"/>
        </w:rPr>
      </w:pPr>
    </w:p>
    <w:p>
      <w:pPr>
        <w:pStyle w:val="BodyText"/>
        <w:ind w:left="525"/>
        <w:jc w:val="both"/>
      </w:pPr>
      <w:r>
        <w:rPr/>
        <w:t>Projektstyregruppen:</w:t>
      </w:r>
    </w:p>
    <w:p>
      <w:pPr>
        <w:pStyle w:val="ListParagraph"/>
        <w:numPr>
          <w:ilvl w:val="1"/>
          <w:numId w:val="2"/>
        </w:numPr>
        <w:tabs>
          <w:tab w:pos="1245" w:val="left" w:leader="none"/>
          <w:tab w:pos="1246" w:val="left" w:leader="none"/>
        </w:tabs>
        <w:spacing w:line="240" w:lineRule="auto" w:before="41" w:after="0"/>
        <w:ind w:left="1245" w:right="0" w:hanging="360"/>
        <w:jc w:val="left"/>
        <w:rPr>
          <w:sz w:val="20"/>
        </w:rPr>
      </w:pPr>
      <w:r>
        <w:rPr>
          <w:sz w:val="20"/>
        </w:rPr>
        <w:t>Heidi C Barlebo, Statsgeolog GEUS</w:t>
      </w:r>
      <w:r>
        <w:rPr>
          <w:spacing w:val="-2"/>
          <w:sz w:val="20"/>
        </w:rPr>
        <w:t> </w:t>
      </w:r>
      <w:r>
        <w:rPr>
          <w:sz w:val="20"/>
        </w:rPr>
        <w:t>(formand)</w:t>
      </w:r>
    </w:p>
    <w:p>
      <w:pPr>
        <w:pStyle w:val="ListParagraph"/>
        <w:numPr>
          <w:ilvl w:val="1"/>
          <w:numId w:val="2"/>
        </w:numPr>
        <w:tabs>
          <w:tab w:pos="1245" w:val="left" w:leader="none"/>
          <w:tab w:pos="1246" w:val="left" w:leader="none"/>
        </w:tabs>
        <w:spacing w:line="240" w:lineRule="auto" w:before="33" w:after="0"/>
        <w:ind w:left="1245" w:right="0" w:hanging="360"/>
        <w:jc w:val="left"/>
        <w:rPr>
          <w:sz w:val="20"/>
        </w:rPr>
      </w:pPr>
      <w:r>
        <w:rPr>
          <w:sz w:val="20"/>
        </w:rPr>
        <w:t>Kirsten Elbo og Anne Marie Carstens,</w:t>
      </w:r>
      <w:r>
        <w:rPr>
          <w:spacing w:val="5"/>
          <w:sz w:val="20"/>
        </w:rPr>
        <w:t> </w:t>
      </w:r>
      <w:r>
        <w:rPr>
          <w:sz w:val="20"/>
        </w:rPr>
        <w:t>KL</w:t>
      </w:r>
    </w:p>
    <w:p>
      <w:pPr>
        <w:pStyle w:val="ListParagraph"/>
        <w:numPr>
          <w:ilvl w:val="1"/>
          <w:numId w:val="2"/>
        </w:numPr>
        <w:tabs>
          <w:tab w:pos="1245" w:val="left" w:leader="none"/>
          <w:tab w:pos="1246" w:val="left" w:leader="none"/>
        </w:tabs>
        <w:spacing w:line="240" w:lineRule="auto" w:before="31" w:after="0"/>
        <w:ind w:left="1245" w:right="0" w:hanging="360"/>
        <w:jc w:val="left"/>
        <w:rPr>
          <w:sz w:val="20"/>
        </w:rPr>
      </w:pPr>
      <w:r>
        <w:rPr>
          <w:sz w:val="20"/>
        </w:rPr>
        <w:t>Rolf Johnsen, (for) Danske</w:t>
      </w:r>
      <w:r>
        <w:rPr>
          <w:spacing w:val="-4"/>
          <w:sz w:val="20"/>
        </w:rPr>
        <w:t> </w:t>
      </w:r>
      <w:r>
        <w:rPr>
          <w:sz w:val="20"/>
        </w:rPr>
        <w:t>Regioner</w:t>
      </w:r>
    </w:p>
    <w:p>
      <w:pPr>
        <w:pStyle w:val="ListParagraph"/>
        <w:numPr>
          <w:ilvl w:val="1"/>
          <w:numId w:val="2"/>
        </w:numPr>
        <w:tabs>
          <w:tab w:pos="1245" w:val="left" w:leader="none"/>
          <w:tab w:pos="1246" w:val="left" w:leader="none"/>
        </w:tabs>
        <w:spacing w:line="240" w:lineRule="auto" w:before="33" w:after="0"/>
        <w:ind w:left="1245" w:right="0" w:hanging="360"/>
        <w:jc w:val="left"/>
        <w:rPr>
          <w:sz w:val="20"/>
        </w:rPr>
      </w:pPr>
      <w:r>
        <w:rPr>
          <w:sz w:val="20"/>
        </w:rPr>
        <w:t>Mikkel Hall og Katrine Rafn,</w:t>
      </w:r>
      <w:r>
        <w:rPr>
          <w:spacing w:val="-6"/>
          <w:sz w:val="20"/>
        </w:rPr>
        <w:t> </w:t>
      </w:r>
      <w:r>
        <w:rPr>
          <w:sz w:val="20"/>
        </w:rPr>
        <w:t>MST</w:t>
      </w:r>
    </w:p>
    <w:p>
      <w:pPr>
        <w:pStyle w:val="ListParagraph"/>
        <w:numPr>
          <w:ilvl w:val="1"/>
          <w:numId w:val="2"/>
        </w:numPr>
        <w:tabs>
          <w:tab w:pos="1245" w:val="left" w:leader="none"/>
          <w:tab w:pos="1246" w:val="left" w:leader="none"/>
        </w:tabs>
        <w:spacing w:line="240" w:lineRule="auto" w:before="34" w:after="0"/>
        <w:ind w:left="1245" w:right="0" w:hanging="360"/>
        <w:jc w:val="left"/>
        <w:rPr>
          <w:sz w:val="20"/>
        </w:rPr>
      </w:pPr>
      <w:r>
        <w:rPr>
          <w:sz w:val="20"/>
        </w:rPr>
        <w:t>Janus Gohr Mørk,</w:t>
      </w:r>
      <w:r>
        <w:rPr>
          <w:spacing w:val="-2"/>
          <w:sz w:val="20"/>
        </w:rPr>
        <w:t> </w:t>
      </w:r>
      <w:r>
        <w:rPr>
          <w:sz w:val="20"/>
        </w:rPr>
        <w:t>SDFE</w:t>
      </w:r>
    </w:p>
    <w:p>
      <w:pPr>
        <w:spacing w:after="0" w:line="240" w:lineRule="auto"/>
        <w:jc w:val="left"/>
        <w:rPr>
          <w:sz w:val="20"/>
        </w:rPr>
        <w:sectPr>
          <w:pgSz w:w="11910" w:h="16850"/>
          <w:pgMar w:header="0" w:footer="857" w:top="1340" w:bottom="1120" w:left="1460" w:right="680"/>
        </w:sectPr>
      </w:pPr>
    </w:p>
    <w:p>
      <w:pPr>
        <w:pStyle w:val="BodyText"/>
        <w:spacing w:before="75"/>
        <w:ind w:left="525"/>
      </w:pPr>
      <w:r>
        <w:rPr/>
        <w:t>Projektets projektgruppe:</w:t>
      </w:r>
    </w:p>
    <w:p>
      <w:pPr>
        <w:pStyle w:val="ListParagraph"/>
        <w:numPr>
          <w:ilvl w:val="1"/>
          <w:numId w:val="2"/>
        </w:numPr>
        <w:tabs>
          <w:tab w:pos="1245" w:val="left" w:leader="none"/>
          <w:tab w:pos="1246" w:val="left" w:leader="none"/>
        </w:tabs>
        <w:spacing w:line="240" w:lineRule="auto" w:before="40" w:after="0"/>
        <w:ind w:left="1245" w:right="0" w:hanging="360"/>
        <w:jc w:val="left"/>
        <w:rPr>
          <w:sz w:val="20"/>
        </w:rPr>
      </w:pPr>
      <w:r>
        <w:rPr>
          <w:sz w:val="20"/>
        </w:rPr>
        <w:t>Eva Bøgh, SDFE</w:t>
      </w:r>
      <w:r>
        <w:rPr>
          <w:spacing w:val="-2"/>
          <w:sz w:val="20"/>
        </w:rPr>
        <w:t> </w:t>
      </w:r>
      <w:r>
        <w:rPr>
          <w:sz w:val="20"/>
        </w:rPr>
        <w:t>(projektleder)</w:t>
      </w:r>
    </w:p>
    <w:p>
      <w:pPr>
        <w:pStyle w:val="ListParagraph"/>
        <w:numPr>
          <w:ilvl w:val="1"/>
          <w:numId w:val="2"/>
        </w:numPr>
        <w:tabs>
          <w:tab w:pos="1245" w:val="left" w:leader="none"/>
          <w:tab w:pos="1246" w:val="left" w:leader="none"/>
        </w:tabs>
        <w:spacing w:line="240" w:lineRule="auto" w:before="31" w:after="0"/>
        <w:ind w:left="1245" w:right="0" w:hanging="360"/>
        <w:jc w:val="left"/>
        <w:rPr>
          <w:sz w:val="20"/>
        </w:rPr>
      </w:pPr>
      <w:r>
        <w:rPr>
          <w:sz w:val="20"/>
        </w:rPr>
        <w:t>Hans Jørgen Henriksen, GEUS (teknisk</w:t>
      </w:r>
      <w:r>
        <w:rPr>
          <w:spacing w:val="1"/>
          <w:sz w:val="20"/>
        </w:rPr>
        <w:t> </w:t>
      </w:r>
      <w:r>
        <w:rPr>
          <w:sz w:val="20"/>
        </w:rPr>
        <w:t>projektleder)</w:t>
      </w:r>
    </w:p>
    <w:p>
      <w:pPr>
        <w:pStyle w:val="ListParagraph"/>
        <w:numPr>
          <w:ilvl w:val="1"/>
          <w:numId w:val="2"/>
        </w:numPr>
        <w:tabs>
          <w:tab w:pos="1245" w:val="left" w:leader="none"/>
          <w:tab w:pos="1246" w:val="left" w:leader="none"/>
        </w:tabs>
        <w:spacing w:line="240" w:lineRule="auto" w:before="34" w:after="0"/>
        <w:ind w:left="1245" w:right="0" w:hanging="360"/>
        <w:jc w:val="left"/>
        <w:rPr>
          <w:sz w:val="20"/>
        </w:rPr>
      </w:pPr>
      <w:r>
        <w:rPr>
          <w:sz w:val="20"/>
        </w:rPr>
        <w:t>Ekstern konsulent, eksternt vandstandsmodul vandløb.</w:t>
      </w:r>
      <w:r>
        <w:rPr>
          <w:spacing w:val="-8"/>
          <w:sz w:val="20"/>
        </w:rPr>
        <w:t> </w:t>
      </w:r>
      <w:r>
        <w:rPr>
          <w:sz w:val="20"/>
        </w:rPr>
        <w:t>Hydroinform</w:t>
      </w:r>
    </w:p>
    <w:p>
      <w:pPr>
        <w:pStyle w:val="ListParagraph"/>
        <w:numPr>
          <w:ilvl w:val="1"/>
          <w:numId w:val="2"/>
        </w:numPr>
        <w:tabs>
          <w:tab w:pos="1245" w:val="left" w:leader="none"/>
          <w:tab w:pos="1246" w:val="left" w:leader="none"/>
        </w:tabs>
        <w:spacing w:line="240" w:lineRule="auto" w:before="33" w:after="0"/>
        <w:ind w:left="1245" w:right="0" w:hanging="360"/>
        <w:jc w:val="left"/>
        <w:rPr>
          <w:sz w:val="20"/>
        </w:rPr>
      </w:pPr>
      <w:r>
        <w:rPr>
          <w:sz w:val="20"/>
        </w:rPr>
        <w:t>Ekstern konsulent, MIKE HYDRO River opsætning og vand på terræn.</w:t>
      </w:r>
      <w:r>
        <w:rPr>
          <w:spacing w:val="-9"/>
          <w:sz w:val="20"/>
        </w:rPr>
        <w:t> </w:t>
      </w:r>
      <w:r>
        <w:rPr>
          <w:sz w:val="20"/>
        </w:rPr>
        <w:t>COWI</w:t>
      </w:r>
    </w:p>
    <w:p>
      <w:pPr>
        <w:pStyle w:val="ListParagraph"/>
        <w:numPr>
          <w:ilvl w:val="1"/>
          <w:numId w:val="2"/>
        </w:numPr>
        <w:tabs>
          <w:tab w:pos="1245" w:val="left" w:leader="none"/>
          <w:tab w:pos="1246" w:val="left" w:leader="none"/>
        </w:tabs>
        <w:spacing w:line="240" w:lineRule="auto" w:before="33" w:after="0"/>
        <w:ind w:left="1245" w:right="0" w:hanging="360"/>
        <w:jc w:val="left"/>
        <w:rPr>
          <w:sz w:val="20"/>
        </w:rPr>
      </w:pPr>
      <w:r>
        <w:rPr>
          <w:sz w:val="20"/>
        </w:rPr>
        <w:t>Kaija Jumpanen Andersen,</w:t>
      </w:r>
      <w:r>
        <w:rPr>
          <w:spacing w:val="-2"/>
          <w:sz w:val="20"/>
        </w:rPr>
        <w:t> </w:t>
      </w:r>
      <w:r>
        <w:rPr>
          <w:sz w:val="20"/>
        </w:rPr>
        <w:t>Kystdirektoratet</w:t>
      </w:r>
    </w:p>
    <w:p>
      <w:pPr>
        <w:pStyle w:val="ListParagraph"/>
        <w:numPr>
          <w:ilvl w:val="1"/>
          <w:numId w:val="2"/>
        </w:numPr>
        <w:tabs>
          <w:tab w:pos="1245" w:val="left" w:leader="none"/>
          <w:tab w:pos="1246" w:val="left" w:leader="none"/>
        </w:tabs>
        <w:spacing w:line="240" w:lineRule="auto" w:before="34" w:after="0"/>
        <w:ind w:left="1245" w:right="0" w:hanging="360"/>
        <w:jc w:val="left"/>
        <w:rPr>
          <w:sz w:val="20"/>
        </w:rPr>
      </w:pPr>
      <w:r>
        <w:rPr>
          <w:sz w:val="20"/>
        </w:rPr>
        <w:t>Louise Grøndahl,</w:t>
      </w:r>
      <w:r>
        <w:rPr>
          <w:spacing w:val="-1"/>
          <w:sz w:val="20"/>
        </w:rPr>
        <w:t> </w:t>
      </w:r>
      <w:r>
        <w:rPr>
          <w:sz w:val="20"/>
        </w:rPr>
        <w:t>MST</w:t>
      </w:r>
    </w:p>
    <w:p>
      <w:pPr>
        <w:pStyle w:val="ListParagraph"/>
        <w:numPr>
          <w:ilvl w:val="1"/>
          <w:numId w:val="2"/>
        </w:numPr>
        <w:tabs>
          <w:tab w:pos="1245" w:val="left" w:leader="none"/>
          <w:tab w:pos="1246" w:val="left" w:leader="none"/>
        </w:tabs>
        <w:spacing w:line="240" w:lineRule="auto" w:before="31" w:after="0"/>
        <w:ind w:left="1245" w:right="0" w:hanging="360"/>
        <w:jc w:val="left"/>
        <w:rPr>
          <w:sz w:val="20"/>
        </w:rPr>
      </w:pPr>
      <w:r>
        <w:rPr>
          <w:sz w:val="20"/>
        </w:rPr>
        <w:t>Anders Pytlich og Jannie Thomsen,</w:t>
      </w:r>
      <w:r>
        <w:rPr>
          <w:spacing w:val="-4"/>
          <w:sz w:val="20"/>
        </w:rPr>
        <w:t> </w:t>
      </w:r>
      <w:r>
        <w:rPr>
          <w:sz w:val="20"/>
        </w:rPr>
        <w:t>MST</w:t>
      </w:r>
    </w:p>
    <w:p>
      <w:pPr>
        <w:pStyle w:val="ListParagraph"/>
        <w:numPr>
          <w:ilvl w:val="1"/>
          <w:numId w:val="2"/>
        </w:numPr>
        <w:tabs>
          <w:tab w:pos="1245" w:val="left" w:leader="none"/>
          <w:tab w:pos="1246" w:val="left" w:leader="none"/>
        </w:tabs>
        <w:spacing w:line="240" w:lineRule="auto" w:before="33" w:after="0"/>
        <w:ind w:left="1245" w:right="0" w:hanging="360"/>
        <w:jc w:val="left"/>
        <w:rPr>
          <w:sz w:val="20"/>
        </w:rPr>
      </w:pPr>
      <w:r>
        <w:rPr>
          <w:sz w:val="20"/>
        </w:rPr>
        <w:t>Jes Pedersen, Region</w:t>
      </w:r>
      <w:r>
        <w:rPr>
          <w:spacing w:val="-1"/>
          <w:sz w:val="20"/>
        </w:rPr>
        <w:t> </w:t>
      </w:r>
      <w:r>
        <w:rPr>
          <w:sz w:val="20"/>
        </w:rPr>
        <w:t>Midt</w:t>
      </w:r>
    </w:p>
    <w:p>
      <w:pPr>
        <w:pStyle w:val="ListParagraph"/>
        <w:numPr>
          <w:ilvl w:val="1"/>
          <w:numId w:val="2"/>
        </w:numPr>
        <w:tabs>
          <w:tab w:pos="1245" w:val="left" w:leader="none"/>
          <w:tab w:pos="1246" w:val="left" w:leader="none"/>
        </w:tabs>
        <w:spacing w:line="240" w:lineRule="auto" w:before="33" w:after="0"/>
        <w:ind w:left="1245" w:right="0" w:hanging="360"/>
        <w:jc w:val="left"/>
        <w:rPr>
          <w:sz w:val="20"/>
        </w:rPr>
      </w:pPr>
      <w:r>
        <w:rPr>
          <w:sz w:val="20"/>
        </w:rPr>
        <w:t>Uffe Linneberg Gangelhof, Christian Ammitsøe og Troels K. Bjerre, Vandcenter</w:t>
      </w:r>
      <w:r>
        <w:rPr>
          <w:spacing w:val="-8"/>
          <w:sz w:val="20"/>
        </w:rPr>
        <w:t> </w:t>
      </w:r>
      <w:r>
        <w:rPr>
          <w:sz w:val="20"/>
        </w:rPr>
        <w:t>Syd</w:t>
      </w:r>
    </w:p>
    <w:p>
      <w:pPr>
        <w:pStyle w:val="ListParagraph"/>
        <w:numPr>
          <w:ilvl w:val="1"/>
          <w:numId w:val="2"/>
        </w:numPr>
        <w:tabs>
          <w:tab w:pos="1245" w:val="left" w:leader="none"/>
          <w:tab w:pos="1246" w:val="left" w:leader="none"/>
        </w:tabs>
        <w:spacing w:line="240" w:lineRule="auto" w:before="34" w:after="0"/>
        <w:ind w:left="1245" w:right="0" w:hanging="360"/>
        <w:jc w:val="left"/>
        <w:rPr>
          <w:sz w:val="20"/>
        </w:rPr>
      </w:pPr>
      <w:r>
        <w:rPr>
          <w:sz w:val="20"/>
        </w:rPr>
        <w:t>Allan Lunde, Vandværker Vestforsyning</w:t>
      </w:r>
    </w:p>
    <w:p>
      <w:pPr>
        <w:pStyle w:val="ListParagraph"/>
        <w:numPr>
          <w:ilvl w:val="1"/>
          <w:numId w:val="2"/>
        </w:numPr>
        <w:tabs>
          <w:tab w:pos="1245" w:val="left" w:leader="none"/>
          <w:tab w:pos="1246" w:val="left" w:leader="none"/>
        </w:tabs>
        <w:spacing w:line="240" w:lineRule="auto" w:before="33" w:after="0"/>
        <w:ind w:left="1245" w:right="0" w:hanging="360"/>
        <w:jc w:val="left"/>
        <w:rPr>
          <w:sz w:val="20"/>
        </w:rPr>
      </w:pPr>
      <w:r>
        <w:rPr>
          <w:sz w:val="20"/>
        </w:rPr>
        <w:t>Benny Nielsen, Herning</w:t>
      </w:r>
      <w:r>
        <w:rPr>
          <w:spacing w:val="-5"/>
          <w:sz w:val="20"/>
        </w:rPr>
        <w:t> </w:t>
      </w:r>
      <w:r>
        <w:rPr>
          <w:sz w:val="20"/>
        </w:rPr>
        <w:t>Vand</w:t>
      </w:r>
    </w:p>
    <w:p>
      <w:pPr>
        <w:pStyle w:val="ListParagraph"/>
        <w:numPr>
          <w:ilvl w:val="1"/>
          <w:numId w:val="2"/>
        </w:numPr>
        <w:tabs>
          <w:tab w:pos="1245" w:val="left" w:leader="none"/>
          <w:tab w:pos="1246" w:val="left" w:leader="none"/>
        </w:tabs>
        <w:spacing w:line="240" w:lineRule="auto" w:before="31" w:after="0"/>
        <w:ind w:left="1245" w:right="0" w:hanging="360"/>
        <w:jc w:val="left"/>
        <w:rPr>
          <w:sz w:val="20"/>
        </w:rPr>
      </w:pPr>
      <w:r>
        <w:rPr>
          <w:sz w:val="20"/>
        </w:rPr>
        <w:t>Ole Kristiansen, Holstebro kommune</w:t>
      </w:r>
    </w:p>
    <w:p>
      <w:pPr>
        <w:pStyle w:val="ListParagraph"/>
        <w:numPr>
          <w:ilvl w:val="1"/>
          <w:numId w:val="2"/>
        </w:numPr>
        <w:tabs>
          <w:tab w:pos="1245" w:val="left" w:leader="none"/>
          <w:tab w:pos="1246" w:val="left" w:leader="none"/>
        </w:tabs>
        <w:spacing w:line="240" w:lineRule="auto" w:before="34" w:after="0"/>
        <w:ind w:left="1245" w:right="0" w:hanging="360"/>
        <w:jc w:val="left"/>
        <w:rPr>
          <w:sz w:val="20"/>
        </w:rPr>
      </w:pPr>
      <w:r>
        <w:rPr>
          <w:sz w:val="20"/>
        </w:rPr>
        <w:t>Søren Brandt, Herning</w:t>
      </w:r>
      <w:r>
        <w:rPr>
          <w:spacing w:val="-2"/>
          <w:sz w:val="20"/>
        </w:rPr>
        <w:t> </w:t>
      </w:r>
      <w:r>
        <w:rPr>
          <w:sz w:val="20"/>
        </w:rPr>
        <w:t>kommune</w:t>
      </w:r>
    </w:p>
    <w:p>
      <w:pPr>
        <w:pStyle w:val="ListParagraph"/>
        <w:numPr>
          <w:ilvl w:val="1"/>
          <w:numId w:val="2"/>
        </w:numPr>
        <w:tabs>
          <w:tab w:pos="1245" w:val="left" w:leader="none"/>
          <w:tab w:pos="1246" w:val="left" w:leader="none"/>
        </w:tabs>
        <w:spacing w:line="240" w:lineRule="auto" w:before="33" w:after="0"/>
        <w:ind w:left="1245" w:right="0" w:hanging="360"/>
        <w:jc w:val="left"/>
        <w:rPr>
          <w:sz w:val="20"/>
        </w:rPr>
      </w:pPr>
      <w:r>
        <w:rPr>
          <w:sz w:val="20"/>
        </w:rPr>
        <w:t>Gert Michael Laursen, Odense</w:t>
      </w:r>
      <w:r>
        <w:rPr>
          <w:spacing w:val="-3"/>
          <w:sz w:val="20"/>
        </w:rPr>
        <w:t> </w:t>
      </w:r>
      <w:r>
        <w:rPr>
          <w:sz w:val="20"/>
        </w:rPr>
        <w:t>kommune</w:t>
      </w:r>
    </w:p>
    <w:p>
      <w:pPr>
        <w:pStyle w:val="ListParagraph"/>
        <w:numPr>
          <w:ilvl w:val="1"/>
          <w:numId w:val="2"/>
        </w:numPr>
        <w:tabs>
          <w:tab w:pos="1245" w:val="left" w:leader="none"/>
          <w:tab w:pos="1246" w:val="left" w:leader="none"/>
        </w:tabs>
        <w:spacing w:line="240" w:lineRule="auto" w:before="34" w:after="0"/>
        <w:ind w:left="1245" w:right="0" w:hanging="360"/>
        <w:jc w:val="left"/>
        <w:rPr>
          <w:sz w:val="20"/>
        </w:rPr>
      </w:pPr>
      <w:r>
        <w:rPr>
          <w:sz w:val="20"/>
        </w:rPr>
        <w:t>Claus Kern-Hansen,</w:t>
      </w:r>
      <w:r>
        <w:rPr>
          <w:spacing w:val="2"/>
          <w:sz w:val="20"/>
        </w:rPr>
        <w:t> </w:t>
      </w:r>
      <w:r>
        <w:rPr>
          <w:sz w:val="20"/>
        </w:rPr>
        <w:t>DMI</w:t>
      </w:r>
    </w:p>
    <w:p>
      <w:pPr>
        <w:pStyle w:val="BodyText"/>
        <w:spacing w:before="7"/>
        <w:rPr>
          <w:sz w:val="27"/>
        </w:rPr>
      </w:pPr>
    </w:p>
    <w:p>
      <w:pPr>
        <w:pStyle w:val="BodyText"/>
        <w:spacing w:before="1"/>
        <w:ind w:left="525"/>
      </w:pPr>
      <w:r>
        <w:rPr/>
        <w:t>GEUS medarbejdere/deltagere:</w:t>
      </w:r>
    </w:p>
    <w:p>
      <w:pPr>
        <w:pStyle w:val="ListParagraph"/>
        <w:numPr>
          <w:ilvl w:val="1"/>
          <w:numId w:val="2"/>
        </w:numPr>
        <w:tabs>
          <w:tab w:pos="1245" w:val="left" w:leader="none"/>
          <w:tab w:pos="1246" w:val="left" w:leader="none"/>
        </w:tabs>
        <w:spacing w:line="240" w:lineRule="auto" w:before="88" w:after="0"/>
        <w:ind w:left="1245" w:right="0" w:hanging="360"/>
        <w:jc w:val="left"/>
        <w:rPr>
          <w:sz w:val="20"/>
        </w:rPr>
      </w:pPr>
      <w:r>
        <w:rPr>
          <w:sz w:val="20"/>
        </w:rPr>
        <w:t>Hans Jørgen Henriksen (teknisk projektleder)</w:t>
      </w:r>
    </w:p>
    <w:p>
      <w:pPr>
        <w:pStyle w:val="ListParagraph"/>
        <w:numPr>
          <w:ilvl w:val="1"/>
          <w:numId w:val="2"/>
        </w:numPr>
        <w:tabs>
          <w:tab w:pos="1245" w:val="left" w:leader="none"/>
          <w:tab w:pos="1246" w:val="left" w:leader="none"/>
        </w:tabs>
        <w:spacing w:line="240" w:lineRule="auto" w:before="35" w:after="0"/>
        <w:ind w:left="1245" w:right="0" w:hanging="360"/>
        <w:jc w:val="left"/>
        <w:rPr>
          <w:sz w:val="20"/>
        </w:rPr>
      </w:pPr>
      <w:r>
        <w:rPr>
          <w:sz w:val="20"/>
        </w:rPr>
        <w:t>Torben Sonnenborg (kvalitetssikring)</w:t>
      </w:r>
    </w:p>
    <w:p>
      <w:pPr>
        <w:pStyle w:val="ListParagraph"/>
        <w:numPr>
          <w:ilvl w:val="1"/>
          <w:numId w:val="2"/>
        </w:numPr>
        <w:tabs>
          <w:tab w:pos="1245" w:val="left" w:leader="none"/>
          <w:tab w:pos="1246" w:val="left" w:leader="none"/>
        </w:tabs>
        <w:spacing w:line="240" w:lineRule="auto" w:before="34" w:after="0"/>
        <w:ind w:left="1245" w:right="0" w:hanging="360"/>
        <w:jc w:val="left"/>
        <w:rPr>
          <w:sz w:val="20"/>
        </w:rPr>
      </w:pPr>
      <w:r>
        <w:rPr>
          <w:sz w:val="20"/>
        </w:rPr>
        <w:t>Raphael Schneider (modellør)</w:t>
      </w:r>
    </w:p>
    <w:p>
      <w:pPr>
        <w:pStyle w:val="ListParagraph"/>
        <w:numPr>
          <w:ilvl w:val="1"/>
          <w:numId w:val="2"/>
        </w:numPr>
        <w:tabs>
          <w:tab w:pos="1245" w:val="left" w:leader="none"/>
          <w:tab w:pos="1246" w:val="left" w:leader="none"/>
        </w:tabs>
        <w:spacing w:line="240" w:lineRule="auto" w:before="36" w:after="0"/>
        <w:ind w:left="1245" w:right="0" w:hanging="360"/>
        <w:jc w:val="left"/>
        <w:rPr>
          <w:sz w:val="20"/>
        </w:rPr>
      </w:pPr>
      <w:r>
        <w:rPr>
          <w:sz w:val="20"/>
        </w:rPr>
        <w:t>Simon Stisen</w:t>
      </w:r>
      <w:r>
        <w:rPr>
          <w:spacing w:val="-3"/>
          <w:sz w:val="20"/>
        </w:rPr>
        <w:t> </w:t>
      </w:r>
      <w:r>
        <w:rPr>
          <w:sz w:val="20"/>
        </w:rPr>
        <w:t>(modellør)</w:t>
      </w:r>
    </w:p>
    <w:p>
      <w:pPr>
        <w:pStyle w:val="ListParagraph"/>
        <w:numPr>
          <w:ilvl w:val="1"/>
          <w:numId w:val="2"/>
        </w:numPr>
        <w:tabs>
          <w:tab w:pos="1245" w:val="left" w:leader="none"/>
          <w:tab w:pos="1246" w:val="left" w:leader="none"/>
        </w:tabs>
        <w:spacing w:line="240" w:lineRule="auto" w:before="35" w:after="0"/>
        <w:ind w:left="1245" w:right="0" w:hanging="360"/>
        <w:jc w:val="left"/>
        <w:rPr>
          <w:sz w:val="20"/>
        </w:rPr>
      </w:pPr>
      <w:r>
        <w:rPr>
          <w:sz w:val="20"/>
        </w:rPr>
        <w:t>Maria Ondracek</w:t>
      </w:r>
      <w:r>
        <w:rPr>
          <w:spacing w:val="2"/>
          <w:sz w:val="20"/>
        </w:rPr>
        <w:t> </w:t>
      </w:r>
      <w:r>
        <w:rPr>
          <w:sz w:val="20"/>
        </w:rPr>
        <w:t>(modellør)</w:t>
      </w:r>
    </w:p>
    <w:p>
      <w:pPr>
        <w:pStyle w:val="ListParagraph"/>
        <w:numPr>
          <w:ilvl w:val="1"/>
          <w:numId w:val="2"/>
        </w:numPr>
        <w:tabs>
          <w:tab w:pos="1245" w:val="left" w:leader="none"/>
          <w:tab w:pos="1246" w:val="left" w:leader="none"/>
        </w:tabs>
        <w:spacing w:line="240" w:lineRule="auto" w:before="34" w:after="0"/>
        <w:ind w:left="1245" w:right="0" w:hanging="360"/>
        <w:jc w:val="left"/>
        <w:rPr>
          <w:sz w:val="20"/>
        </w:rPr>
      </w:pPr>
      <w:r>
        <w:rPr>
          <w:sz w:val="20"/>
        </w:rPr>
        <w:t>Lars Troldborg (modellør)</w:t>
      </w:r>
    </w:p>
    <w:p>
      <w:pPr>
        <w:pStyle w:val="ListParagraph"/>
        <w:numPr>
          <w:ilvl w:val="1"/>
          <w:numId w:val="2"/>
        </w:numPr>
        <w:tabs>
          <w:tab w:pos="1245" w:val="left" w:leader="none"/>
          <w:tab w:pos="1246" w:val="left" w:leader="none"/>
        </w:tabs>
        <w:spacing w:line="240" w:lineRule="auto" w:before="36" w:after="0"/>
        <w:ind w:left="1245" w:right="0" w:hanging="360"/>
        <w:jc w:val="left"/>
        <w:rPr>
          <w:sz w:val="20"/>
        </w:rPr>
      </w:pPr>
      <w:r>
        <w:rPr>
          <w:sz w:val="20"/>
        </w:rPr>
        <w:t>Anker Laier Højberg (ad hoc)</w:t>
      </w:r>
    </w:p>
    <w:p>
      <w:pPr>
        <w:pStyle w:val="ListParagraph"/>
        <w:numPr>
          <w:ilvl w:val="1"/>
          <w:numId w:val="2"/>
        </w:numPr>
        <w:tabs>
          <w:tab w:pos="1245" w:val="left" w:leader="none"/>
          <w:tab w:pos="1246" w:val="left" w:leader="none"/>
        </w:tabs>
        <w:spacing w:line="240" w:lineRule="auto" w:before="35" w:after="0"/>
        <w:ind w:left="1245" w:right="0" w:hanging="360"/>
        <w:jc w:val="left"/>
        <w:rPr>
          <w:sz w:val="20"/>
        </w:rPr>
      </w:pPr>
      <w:r>
        <w:rPr>
          <w:sz w:val="20"/>
        </w:rPr>
        <w:t>Jacob B. Kidmose (ad</w:t>
      </w:r>
      <w:r>
        <w:rPr>
          <w:spacing w:val="-3"/>
          <w:sz w:val="20"/>
        </w:rPr>
        <w:t> </w:t>
      </w:r>
      <w:r>
        <w:rPr>
          <w:sz w:val="20"/>
        </w:rPr>
        <w:t>hoc)</w:t>
      </w:r>
    </w:p>
    <w:p>
      <w:pPr>
        <w:pStyle w:val="ListParagraph"/>
        <w:numPr>
          <w:ilvl w:val="1"/>
          <w:numId w:val="2"/>
        </w:numPr>
        <w:tabs>
          <w:tab w:pos="1245" w:val="left" w:leader="none"/>
          <w:tab w:pos="1246" w:val="left" w:leader="none"/>
        </w:tabs>
        <w:spacing w:line="240" w:lineRule="auto" w:before="34" w:after="0"/>
        <w:ind w:left="1245" w:right="0" w:hanging="360"/>
        <w:jc w:val="left"/>
        <w:rPr>
          <w:sz w:val="20"/>
        </w:rPr>
      </w:pPr>
      <w:r>
        <w:rPr>
          <w:sz w:val="20"/>
        </w:rPr>
        <w:t>Jens Christian Refsgaard (ad</w:t>
      </w:r>
      <w:r>
        <w:rPr>
          <w:spacing w:val="-4"/>
          <w:sz w:val="20"/>
        </w:rPr>
        <w:t> </w:t>
      </w:r>
      <w:r>
        <w:rPr>
          <w:sz w:val="20"/>
        </w:rPr>
        <w:t>hoc)</w:t>
      </w:r>
    </w:p>
    <w:p>
      <w:pPr>
        <w:pStyle w:val="BodyText"/>
        <w:spacing w:before="11"/>
        <w:rPr>
          <w:sz w:val="23"/>
        </w:rPr>
      </w:pPr>
    </w:p>
    <w:p>
      <w:pPr>
        <w:pStyle w:val="BodyText"/>
        <w:ind w:left="525"/>
      </w:pPr>
      <w:r>
        <w:rPr/>
        <w:t>Eksterne reviewere:</w:t>
      </w:r>
    </w:p>
    <w:p>
      <w:pPr>
        <w:pStyle w:val="ListParagraph"/>
        <w:numPr>
          <w:ilvl w:val="1"/>
          <w:numId w:val="2"/>
        </w:numPr>
        <w:tabs>
          <w:tab w:pos="1305" w:val="left" w:leader="none"/>
          <w:tab w:pos="1306" w:val="left" w:leader="none"/>
        </w:tabs>
        <w:spacing w:line="240" w:lineRule="auto" w:before="40" w:after="0"/>
        <w:ind w:left="1305" w:right="0" w:hanging="360"/>
        <w:jc w:val="left"/>
        <w:rPr>
          <w:sz w:val="20"/>
        </w:rPr>
      </w:pPr>
      <w:r>
        <w:rPr>
          <w:sz w:val="20"/>
        </w:rPr>
        <w:t>Henrik Madsen,</w:t>
      </w:r>
      <w:r>
        <w:rPr>
          <w:spacing w:val="1"/>
          <w:sz w:val="20"/>
        </w:rPr>
        <w:t> </w:t>
      </w:r>
      <w:r>
        <w:rPr>
          <w:sz w:val="20"/>
        </w:rPr>
        <w:t>DHI</w:t>
      </w:r>
    </w:p>
    <w:p>
      <w:pPr>
        <w:pStyle w:val="ListParagraph"/>
        <w:numPr>
          <w:ilvl w:val="1"/>
          <w:numId w:val="2"/>
        </w:numPr>
        <w:tabs>
          <w:tab w:pos="1305" w:val="left" w:leader="none"/>
          <w:tab w:pos="1306" w:val="left" w:leader="none"/>
        </w:tabs>
        <w:spacing w:line="240" w:lineRule="auto" w:before="31" w:after="0"/>
        <w:ind w:left="1305" w:right="0" w:hanging="360"/>
        <w:jc w:val="left"/>
        <w:rPr>
          <w:sz w:val="20"/>
        </w:rPr>
      </w:pPr>
      <w:r>
        <w:rPr>
          <w:sz w:val="20"/>
        </w:rPr>
        <w:t>Peter Bauer-Gottwein, DTU</w:t>
      </w:r>
    </w:p>
    <w:p>
      <w:pPr>
        <w:pStyle w:val="BodyText"/>
        <w:spacing w:before="9"/>
        <w:rPr>
          <w:sz w:val="26"/>
        </w:rPr>
      </w:pPr>
    </w:p>
    <w:p>
      <w:pPr>
        <w:pStyle w:val="BodyText"/>
        <w:ind w:left="525"/>
      </w:pPr>
      <w:r>
        <w:rPr/>
        <w:t>Projektets følgegruppe:</w:t>
      </w:r>
    </w:p>
    <w:p>
      <w:pPr>
        <w:pStyle w:val="ListParagraph"/>
        <w:numPr>
          <w:ilvl w:val="1"/>
          <w:numId w:val="2"/>
        </w:numPr>
        <w:tabs>
          <w:tab w:pos="1245" w:val="left" w:leader="none"/>
          <w:tab w:pos="1246" w:val="left" w:leader="none"/>
        </w:tabs>
        <w:spacing w:line="240" w:lineRule="auto" w:before="40" w:after="0"/>
        <w:ind w:left="1245" w:right="0" w:hanging="360"/>
        <w:jc w:val="left"/>
        <w:rPr>
          <w:sz w:val="20"/>
        </w:rPr>
      </w:pPr>
      <w:r>
        <w:rPr>
          <w:sz w:val="20"/>
        </w:rPr>
        <w:t>Anne Stalk og Bente Villumsen,</w:t>
      </w:r>
      <w:r>
        <w:rPr>
          <w:spacing w:val="2"/>
          <w:sz w:val="20"/>
        </w:rPr>
        <w:t> </w:t>
      </w:r>
      <w:r>
        <w:rPr>
          <w:sz w:val="20"/>
        </w:rPr>
        <w:t>Klikovand.</w:t>
      </w:r>
    </w:p>
    <w:p>
      <w:pPr>
        <w:pStyle w:val="ListParagraph"/>
        <w:numPr>
          <w:ilvl w:val="1"/>
          <w:numId w:val="2"/>
        </w:numPr>
        <w:tabs>
          <w:tab w:pos="1245" w:val="left" w:leader="none"/>
          <w:tab w:pos="1246" w:val="left" w:leader="none"/>
        </w:tabs>
        <w:spacing w:line="240" w:lineRule="auto" w:before="34" w:after="0"/>
        <w:ind w:left="1245" w:right="0" w:hanging="360"/>
        <w:jc w:val="left"/>
        <w:rPr>
          <w:sz w:val="20"/>
        </w:rPr>
      </w:pPr>
      <w:r>
        <w:rPr>
          <w:sz w:val="20"/>
        </w:rPr>
        <w:t>Jørgen Fjeldsø Christensen, Region</w:t>
      </w:r>
      <w:r>
        <w:rPr>
          <w:spacing w:val="-2"/>
          <w:sz w:val="20"/>
        </w:rPr>
        <w:t> </w:t>
      </w:r>
      <w:r>
        <w:rPr>
          <w:sz w:val="20"/>
        </w:rPr>
        <w:t>Syddanmark</w:t>
      </w:r>
    </w:p>
    <w:p>
      <w:pPr>
        <w:pStyle w:val="ListParagraph"/>
        <w:numPr>
          <w:ilvl w:val="1"/>
          <w:numId w:val="2"/>
        </w:numPr>
        <w:tabs>
          <w:tab w:pos="1245" w:val="left" w:leader="none"/>
          <w:tab w:pos="1246" w:val="left" w:leader="none"/>
        </w:tabs>
        <w:spacing w:line="240" w:lineRule="auto" w:before="31" w:after="0"/>
        <w:ind w:left="1245" w:right="0" w:hanging="360"/>
        <w:jc w:val="left"/>
        <w:rPr>
          <w:sz w:val="20"/>
        </w:rPr>
      </w:pPr>
      <w:r>
        <w:rPr>
          <w:sz w:val="20"/>
        </w:rPr>
        <w:t>Bjørn Howe Jessen,</w:t>
      </w:r>
      <w:r>
        <w:rPr>
          <w:spacing w:val="-4"/>
          <w:sz w:val="20"/>
        </w:rPr>
        <w:t> </w:t>
      </w:r>
      <w:r>
        <w:rPr>
          <w:sz w:val="20"/>
        </w:rPr>
        <w:t>Miljøstyrelsen</w:t>
      </w:r>
    </w:p>
    <w:p>
      <w:pPr>
        <w:pStyle w:val="ListParagraph"/>
        <w:numPr>
          <w:ilvl w:val="1"/>
          <w:numId w:val="2"/>
        </w:numPr>
        <w:tabs>
          <w:tab w:pos="1245" w:val="left" w:leader="none"/>
          <w:tab w:pos="1246" w:val="left" w:leader="none"/>
        </w:tabs>
        <w:spacing w:line="240" w:lineRule="auto" w:before="33" w:after="0"/>
        <w:ind w:left="1245" w:right="0" w:hanging="360"/>
        <w:jc w:val="left"/>
        <w:rPr>
          <w:sz w:val="20"/>
        </w:rPr>
      </w:pPr>
      <w:r>
        <w:rPr>
          <w:sz w:val="20"/>
        </w:rPr>
        <w:t>Torben Weiss Garne, Forsikring og</w:t>
      </w:r>
      <w:r>
        <w:rPr>
          <w:spacing w:val="-8"/>
          <w:sz w:val="20"/>
        </w:rPr>
        <w:t> </w:t>
      </w:r>
      <w:r>
        <w:rPr>
          <w:sz w:val="20"/>
        </w:rPr>
        <w:t>Pension</w:t>
      </w:r>
    </w:p>
    <w:p>
      <w:pPr>
        <w:pStyle w:val="ListParagraph"/>
        <w:numPr>
          <w:ilvl w:val="1"/>
          <w:numId w:val="2"/>
        </w:numPr>
        <w:tabs>
          <w:tab w:pos="1245" w:val="left" w:leader="none"/>
          <w:tab w:pos="1246" w:val="left" w:leader="none"/>
        </w:tabs>
        <w:spacing w:line="240" w:lineRule="auto" w:before="34" w:after="0"/>
        <w:ind w:left="1245" w:right="0" w:hanging="360"/>
        <w:jc w:val="left"/>
        <w:rPr>
          <w:sz w:val="20"/>
        </w:rPr>
      </w:pPr>
      <w:r>
        <w:rPr>
          <w:sz w:val="20"/>
        </w:rPr>
        <w:t>Peter Celander Lindgren, Forsikring og</w:t>
      </w:r>
      <w:r>
        <w:rPr>
          <w:spacing w:val="-1"/>
          <w:sz w:val="20"/>
        </w:rPr>
        <w:t> </w:t>
      </w:r>
      <w:r>
        <w:rPr>
          <w:sz w:val="20"/>
        </w:rPr>
        <w:t>Pension</w:t>
      </w:r>
    </w:p>
    <w:p>
      <w:pPr>
        <w:pStyle w:val="ListParagraph"/>
        <w:numPr>
          <w:ilvl w:val="1"/>
          <w:numId w:val="2"/>
        </w:numPr>
        <w:tabs>
          <w:tab w:pos="1245" w:val="left" w:leader="none"/>
          <w:tab w:pos="1246" w:val="left" w:leader="none"/>
        </w:tabs>
        <w:spacing w:line="240" w:lineRule="auto" w:before="33" w:after="0"/>
        <w:ind w:left="1245" w:right="0" w:hanging="360"/>
        <w:jc w:val="left"/>
        <w:rPr>
          <w:sz w:val="20"/>
        </w:rPr>
      </w:pPr>
      <w:r>
        <w:rPr>
          <w:sz w:val="20"/>
        </w:rPr>
        <w:t>Bjarke Stoltze Kaspersen, Landbrugsstyrelsen</w:t>
      </w:r>
    </w:p>
    <w:p>
      <w:pPr>
        <w:pStyle w:val="ListParagraph"/>
        <w:numPr>
          <w:ilvl w:val="1"/>
          <w:numId w:val="2"/>
        </w:numPr>
        <w:tabs>
          <w:tab w:pos="1245" w:val="left" w:leader="none"/>
          <w:tab w:pos="1246" w:val="left" w:leader="none"/>
        </w:tabs>
        <w:spacing w:line="240" w:lineRule="auto" w:before="34" w:after="0"/>
        <w:ind w:left="1245" w:right="0" w:hanging="360"/>
        <w:jc w:val="left"/>
        <w:rPr>
          <w:sz w:val="20"/>
        </w:rPr>
      </w:pPr>
      <w:r>
        <w:rPr>
          <w:sz w:val="20"/>
        </w:rPr>
        <w:t>Anders Muus,</w:t>
      </w:r>
      <w:r>
        <w:rPr>
          <w:spacing w:val="1"/>
          <w:sz w:val="20"/>
        </w:rPr>
        <w:t> </w:t>
      </w:r>
      <w:r>
        <w:rPr>
          <w:sz w:val="20"/>
        </w:rPr>
        <w:t>BaneDanmark</w:t>
      </w:r>
    </w:p>
    <w:p>
      <w:pPr>
        <w:pStyle w:val="ListParagraph"/>
        <w:numPr>
          <w:ilvl w:val="1"/>
          <w:numId w:val="2"/>
        </w:numPr>
        <w:tabs>
          <w:tab w:pos="1245" w:val="left" w:leader="none"/>
          <w:tab w:pos="1246" w:val="left" w:leader="none"/>
        </w:tabs>
        <w:spacing w:line="240" w:lineRule="auto" w:before="31" w:after="0"/>
        <w:ind w:left="1245" w:right="0" w:hanging="360"/>
        <w:jc w:val="left"/>
        <w:rPr>
          <w:sz w:val="20"/>
        </w:rPr>
      </w:pPr>
      <w:r>
        <w:rPr>
          <w:sz w:val="20"/>
        </w:rPr>
        <w:t>Ann Højgaard Bjørn Jensen,</w:t>
      </w:r>
      <w:r>
        <w:rPr>
          <w:spacing w:val="3"/>
          <w:sz w:val="20"/>
        </w:rPr>
        <w:t> </w:t>
      </w:r>
      <w:r>
        <w:rPr>
          <w:sz w:val="20"/>
        </w:rPr>
        <w:t>Vejdirektoratet</w:t>
      </w:r>
    </w:p>
    <w:p>
      <w:pPr>
        <w:pStyle w:val="ListParagraph"/>
        <w:numPr>
          <w:ilvl w:val="1"/>
          <w:numId w:val="2"/>
        </w:numPr>
        <w:tabs>
          <w:tab w:pos="1245" w:val="left" w:leader="none"/>
          <w:tab w:pos="1246" w:val="left" w:leader="none"/>
        </w:tabs>
        <w:spacing w:line="240" w:lineRule="auto" w:before="33" w:after="0"/>
        <w:ind w:left="1245" w:right="0" w:hanging="360"/>
        <w:jc w:val="left"/>
        <w:rPr>
          <w:sz w:val="20"/>
        </w:rPr>
      </w:pPr>
      <w:r>
        <w:rPr>
          <w:sz w:val="20"/>
        </w:rPr>
        <w:t>Lars Gadegaard Christensen,</w:t>
      </w:r>
      <w:r>
        <w:rPr>
          <w:spacing w:val="-1"/>
          <w:sz w:val="20"/>
        </w:rPr>
        <w:t> </w:t>
      </w:r>
      <w:r>
        <w:rPr>
          <w:sz w:val="20"/>
        </w:rPr>
        <w:t>DANVA</w:t>
      </w:r>
    </w:p>
    <w:p>
      <w:pPr>
        <w:pStyle w:val="ListParagraph"/>
        <w:numPr>
          <w:ilvl w:val="1"/>
          <w:numId w:val="2"/>
        </w:numPr>
        <w:tabs>
          <w:tab w:pos="1245" w:val="left" w:leader="none"/>
          <w:tab w:pos="1246" w:val="left" w:leader="none"/>
        </w:tabs>
        <w:spacing w:line="240" w:lineRule="auto" w:before="34" w:after="0"/>
        <w:ind w:left="1245" w:right="0" w:hanging="360"/>
        <w:jc w:val="left"/>
        <w:rPr>
          <w:sz w:val="20"/>
        </w:rPr>
      </w:pPr>
      <w:r>
        <w:rPr>
          <w:sz w:val="20"/>
        </w:rPr>
        <w:t>Søren Kolind Hvid, SEGES</w:t>
      </w:r>
    </w:p>
    <w:p>
      <w:pPr>
        <w:spacing w:after="0" w:line="240" w:lineRule="auto"/>
        <w:jc w:val="left"/>
        <w:rPr>
          <w:sz w:val="20"/>
        </w:rPr>
        <w:sectPr>
          <w:pgSz w:w="11910" w:h="16850"/>
          <w:pgMar w:header="0" w:footer="857" w:top="1340" w:bottom="1120" w:left="1460" w:right="680"/>
        </w:sectPr>
      </w:pPr>
    </w:p>
    <w:p>
      <w:pPr>
        <w:pStyle w:val="BodyText"/>
        <w:spacing w:before="4"/>
        <w:rPr>
          <w:rFonts w:ascii="Times New Roman"/>
          <w:sz w:val="17"/>
        </w:rPr>
      </w:pPr>
    </w:p>
    <w:p>
      <w:pPr>
        <w:spacing w:after="0"/>
        <w:rPr>
          <w:rFonts w:ascii="Times New Roman"/>
          <w:sz w:val="17"/>
        </w:rPr>
        <w:sectPr>
          <w:pgSz w:w="11910" w:h="16850"/>
          <w:pgMar w:header="0" w:footer="857" w:top="1600" w:bottom="1040" w:left="1460" w:right="680"/>
        </w:sectPr>
      </w:pPr>
    </w:p>
    <w:p>
      <w:pPr>
        <w:pStyle w:val="Heading1"/>
        <w:numPr>
          <w:ilvl w:val="0"/>
          <w:numId w:val="2"/>
        </w:numPr>
        <w:tabs>
          <w:tab w:pos="1092" w:val="left" w:leader="none"/>
        </w:tabs>
        <w:spacing w:line="240" w:lineRule="auto" w:before="73" w:after="0"/>
        <w:ind w:left="1091" w:right="0" w:hanging="566"/>
        <w:jc w:val="both"/>
      </w:pPr>
      <w:bookmarkStart w:name="_bookmark1" w:id="3"/>
      <w:bookmarkEnd w:id="3"/>
      <w:r>
        <w:rPr>
          <w:b w:val="0"/>
        </w:rPr>
      </w:r>
      <w:bookmarkStart w:name="_bookmark1" w:id="4"/>
      <w:bookmarkEnd w:id="4"/>
      <w:r>
        <w:rPr/>
        <w:t>Sammenfa</w:t>
      </w:r>
      <w:r>
        <w:rPr/>
        <w:t>tning</w:t>
      </w:r>
    </w:p>
    <w:p>
      <w:pPr>
        <w:pStyle w:val="BodyText"/>
        <w:spacing w:line="288" w:lineRule="auto" w:before="242"/>
        <w:ind w:left="525" w:right="730"/>
        <w:jc w:val="both"/>
      </w:pPr>
      <w:r>
        <w:rPr/>
        <w:t>Formålet med projektet er at udvikle nye metoder til bedre beregning af det terrænnære grundvandsspejl og vandstand i vandløbene. Dette muliggør anvendelse i risikovurderinger forbundet</w:t>
      </w:r>
      <w:r>
        <w:rPr>
          <w:spacing w:val="-7"/>
        </w:rPr>
        <w:t> </w:t>
      </w:r>
      <w:r>
        <w:rPr/>
        <w:t>med</w:t>
      </w:r>
      <w:r>
        <w:rPr>
          <w:spacing w:val="-6"/>
        </w:rPr>
        <w:t> </w:t>
      </w:r>
      <w:r>
        <w:rPr/>
        <w:t>vand</w:t>
      </w:r>
      <w:r>
        <w:rPr>
          <w:spacing w:val="-8"/>
        </w:rPr>
        <w:t> </w:t>
      </w:r>
      <w:r>
        <w:rPr/>
        <w:t>på</w:t>
      </w:r>
      <w:r>
        <w:rPr>
          <w:spacing w:val="-6"/>
        </w:rPr>
        <w:t> </w:t>
      </w:r>
      <w:r>
        <w:rPr/>
        <w:t>terræn</w:t>
      </w:r>
      <w:r>
        <w:rPr>
          <w:spacing w:val="-6"/>
        </w:rPr>
        <w:t> </w:t>
      </w:r>
      <w:r>
        <w:rPr/>
        <w:t>og</w:t>
      </w:r>
      <w:r>
        <w:rPr>
          <w:spacing w:val="-7"/>
        </w:rPr>
        <w:t> </w:t>
      </w:r>
      <w:r>
        <w:rPr/>
        <w:t>oversvømmelser</w:t>
      </w:r>
      <w:r>
        <w:rPr>
          <w:spacing w:val="-7"/>
        </w:rPr>
        <w:t> </w:t>
      </w:r>
      <w:r>
        <w:rPr/>
        <w:t>fra</w:t>
      </w:r>
      <w:r>
        <w:rPr>
          <w:spacing w:val="-6"/>
        </w:rPr>
        <w:t> </w:t>
      </w:r>
      <w:r>
        <w:rPr/>
        <w:t>vandløb</w:t>
      </w:r>
      <w:r>
        <w:rPr>
          <w:spacing w:val="-8"/>
        </w:rPr>
        <w:t> </w:t>
      </w:r>
      <w:r>
        <w:rPr/>
        <w:t>og</w:t>
      </w:r>
      <w:r>
        <w:rPr>
          <w:spacing w:val="-6"/>
        </w:rPr>
        <w:t> </w:t>
      </w:r>
      <w:r>
        <w:rPr/>
        <w:t>grundvand.</w:t>
      </w:r>
      <w:r>
        <w:rPr>
          <w:spacing w:val="-8"/>
        </w:rPr>
        <w:t> </w:t>
      </w:r>
      <w:r>
        <w:rPr/>
        <w:t>Metodeudvik- lingen er afgrænset til to oplande i hhv. Øst- og Vestdanmark: Storå og Odense Å der er kendetegnet ved forskellige geologiske og geografiske forhold. Begge er udpeget som sær- lige risikoområder i EU's oversvømmelsesdirektiv. Der er desuden gode data for grundvand og</w:t>
      </w:r>
      <w:r>
        <w:rPr>
          <w:spacing w:val="-3"/>
        </w:rPr>
        <w:t> </w:t>
      </w:r>
      <w:r>
        <w:rPr/>
        <w:t>overfladevand</w:t>
      </w:r>
      <w:r>
        <w:rPr>
          <w:spacing w:val="-6"/>
        </w:rPr>
        <w:t> </w:t>
      </w:r>
      <w:r>
        <w:rPr/>
        <w:t>i</w:t>
      </w:r>
      <w:r>
        <w:rPr>
          <w:spacing w:val="-3"/>
        </w:rPr>
        <w:t> </w:t>
      </w:r>
      <w:r>
        <w:rPr/>
        <w:t>begge</w:t>
      </w:r>
      <w:r>
        <w:rPr>
          <w:spacing w:val="-8"/>
        </w:rPr>
        <w:t> </w:t>
      </w:r>
      <w:r>
        <w:rPr/>
        <w:t>områder</w:t>
      </w:r>
      <w:r>
        <w:rPr>
          <w:spacing w:val="-6"/>
        </w:rPr>
        <w:t> </w:t>
      </w:r>
      <w:r>
        <w:rPr/>
        <w:t>og</w:t>
      </w:r>
      <w:r>
        <w:rPr>
          <w:spacing w:val="-2"/>
        </w:rPr>
        <w:t> </w:t>
      </w:r>
      <w:r>
        <w:rPr/>
        <w:t>stor</w:t>
      </w:r>
      <w:r>
        <w:rPr>
          <w:spacing w:val="-7"/>
        </w:rPr>
        <w:t> </w:t>
      </w:r>
      <w:r>
        <w:rPr/>
        <w:t>interesse</w:t>
      </w:r>
      <w:r>
        <w:rPr>
          <w:spacing w:val="-6"/>
        </w:rPr>
        <w:t> </w:t>
      </w:r>
      <w:r>
        <w:rPr/>
        <w:t>fra</w:t>
      </w:r>
      <w:r>
        <w:rPr>
          <w:spacing w:val="-6"/>
        </w:rPr>
        <w:t> </w:t>
      </w:r>
      <w:r>
        <w:rPr/>
        <w:t>kommuner,</w:t>
      </w:r>
      <w:r>
        <w:rPr>
          <w:spacing w:val="-5"/>
        </w:rPr>
        <w:t> </w:t>
      </w:r>
      <w:r>
        <w:rPr/>
        <w:t>vandforsyninger</w:t>
      </w:r>
      <w:r>
        <w:rPr>
          <w:spacing w:val="-4"/>
        </w:rPr>
        <w:t> </w:t>
      </w:r>
      <w:r>
        <w:rPr/>
        <w:t>og</w:t>
      </w:r>
      <w:r>
        <w:rPr>
          <w:spacing w:val="-3"/>
        </w:rPr>
        <w:t> </w:t>
      </w:r>
      <w:r>
        <w:rPr/>
        <w:t>regi- oner om et samarbejde om anvendelse af nye data til modellering af</w:t>
      </w:r>
      <w:r>
        <w:rPr>
          <w:spacing w:val="-15"/>
        </w:rPr>
        <w:t> </w:t>
      </w:r>
      <w:r>
        <w:rPr/>
        <w:t>oversvømmelser.</w:t>
      </w:r>
    </w:p>
    <w:p>
      <w:pPr>
        <w:pStyle w:val="BodyText"/>
        <w:spacing w:before="1"/>
        <w:rPr>
          <w:sz w:val="25"/>
        </w:rPr>
      </w:pPr>
    </w:p>
    <w:p>
      <w:pPr>
        <w:pStyle w:val="BodyText"/>
        <w:ind w:left="525"/>
        <w:jc w:val="both"/>
      </w:pPr>
      <w:r>
        <w:rPr/>
        <w:t>Metodeudviklingen har tre vigtige delleverancer:</w:t>
      </w:r>
    </w:p>
    <w:p>
      <w:pPr>
        <w:pStyle w:val="ListParagraph"/>
        <w:numPr>
          <w:ilvl w:val="0"/>
          <w:numId w:val="3"/>
        </w:numPr>
        <w:tabs>
          <w:tab w:pos="1246" w:val="left" w:leader="none"/>
        </w:tabs>
        <w:spacing w:line="240" w:lineRule="auto" w:before="102" w:after="0"/>
        <w:ind w:left="1245" w:right="0" w:hanging="360"/>
        <w:jc w:val="left"/>
        <w:rPr>
          <w:sz w:val="20"/>
        </w:rPr>
      </w:pPr>
      <w:r>
        <w:rPr>
          <w:sz w:val="20"/>
        </w:rPr>
        <w:t>Metodik til landsdækkende modellering af terrænnært grundvand i 100 m</w:t>
      </w:r>
      <w:r>
        <w:rPr>
          <w:spacing w:val="2"/>
          <w:sz w:val="20"/>
        </w:rPr>
        <w:t> </w:t>
      </w:r>
      <w:r>
        <w:rPr>
          <w:sz w:val="20"/>
        </w:rPr>
        <w:t>opløsning</w:t>
      </w:r>
    </w:p>
    <w:p>
      <w:pPr>
        <w:pStyle w:val="ListParagraph"/>
        <w:numPr>
          <w:ilvl w:val="0"/>
          <w:numId w:val="3"/>
        </w:numPr>
        <w:tabs>
          <w:tab w:pos="1246" w:val="left" w:leader="none"/>
        </w:tabs>
        <w:spacing w:line="292" w:lineRule="auto" w:before="49" w:after="0"/>
        <w:ind w:left="1245" w:right="734" w:hanging="360"/>
        <w:jc w:val="both"/>
        <w:rPr>
          <w:sz w:val="20"/>
        </w:rPr>
      </w:pPr>
      <w:r>
        <w:rPr>
          <w:sz w:val="20"/>
        </w:rPr>
        <w:t>Medtagelse af bygværker i vandløb, udbygning af tværsnitsbeskrivelser for vandløb og inddragelse af havvandstand til at give en dynamisk beskrivelse af vandets opstuvning og simulering af vandstand i</w:t>
      </w:r>
      <w:r>
        <w:rPr>
          <w:spacing w:val="-3"/>
          <w:sz w:val="20"/>
        </w:rPr>
        <w:t> </w:t>
      </w:r>
      <w:r>
        <w:rPr>
          <w:sz w:val="20"/>
        </w:rPr>
        <w:t>vandløb</w:t>
      </w:r>
    </w:p>
    <w:p>
      <w:pPr>
        <w:pStyle w:val="ListParagraph"/>
        <w:numPr>
          <w:ilvl w:val="0"/>
          <w:numId w:val="3"/>
        </w:numPr>
        <w:tabs>
          <w:tab w:pos="1246" w:val="left" w:leader="none"/>
        </w:tabs>
        <w:spacing w:line="292" w:lineRule="auto" w:before="0" w:after="0"/>
        <w:ind w:left="1245" w:right="734" w:hanging="360"/>
        <w:jc w:val="both"/>
        <w:rPr>
          <w:sz w:val="20"/>
        </w:rPr>
      </w:pPr>
      <w:r>
        <w:rPr>
          <w:sz w:val="20"/>
        </w:rPr>
        <w:t>Kobling</w:t>
      </w:r>
      <w:r>
        <w:rPr>
          <w:spacing w:val="-15"/>
          <w:sz w:val="20"/>
        </w:rPr>
        <w:t> </w:t>
      </w:r>
      <w:r>
        <w:rPr>
          <w:sz w:val="20"/>
        </w:rPr>
        <w:t>af</w:t>
      </w:r>
      <w:r>
        <w:rPr>
          <w:spacing w:val="-15"/>
          <w:sz w:val="20"/>
        </w:rPr>
        <w:t> </w:t>
      </w:r>
      <w:r>
        <w:rPr>
          <w:sz w:val="20"/>
        </w:rPr>
        <w:t>vandstandsberegninger</w:t>
      </w:r>
      <w:r>
        <w:rPr>
          <w:spacing w:val="-16"/>
          <w:sz w:val="20"/>
        </w:rPr>
        <w:t> </w:t>
      </w:r>
      <w:r>
        <w:rPr>
          <w:sz w:val="20"/>
        </w:rPr>
        <w:t>for</w:t>
      </w:r>
      <w:r>
        <w:rPr>
          <w:spacing w:val="-15"/>
          <w:sz w:val="20"/>
        </w:rPr>
        <w:t> </w:t>
      </w:r>
      <w:r>
        <w:rPr>
          <w:sz w:val="20"/>
        </w:rPr>
        <w:t>terrænnært</w:t>
      </w:r>
      <w:r>
        <w:rPr>
          <w:spacing w:val="-14"/>
          <w:sz w:val="20"/>
        </w:rPr>
        <w:t> </w:t>
      </w:r>
      <w:r>
        <w:rPr>
          <w:sz w:val="20"/>
        </w:rPr>
        <w:t>grundvand</w:t>
      </w:r>
      <w:r>
        <w:rPr>
          <w:spacing w:val="-14"/>
          <w:sz w:val="20"/>
        </w:rPr>
        <w:t> </w:t>
      </w:r>
      <w:r>
        <w:rPr>
          <w:sz w:val="20"/>
        </w:rPr>
        <w:t>og</w:t>
      </w:r>
      <w:r>
        <w:rPr>
          <w:spacing w:val="-15"/>
          <w:sz w:val="20"/>
        </w:rPr>
        <w:t> </w:t>
      </w:r>
      <w:r>
        <w:rPr>
          <w:sz w:val="20"/>
        </w:rPr>
        <w:t>vandløb</w:t>
      </w:r>
      <w:r>
        <w:rPr>
          <w:spacing w:val="-13"/>
          <w:sz w:val="20"/>
        </w:rPr>
        <w:t> </w:t>
      </w:r>
      <w:r>
        <w:rPr>
          <w:sz w:val="20"/>
        </w:rPr>
        <w:t>med</w:t>
      </w:r>
      <w:r>
        <w:rPr>
          <w:spacing w:val="-17"/>
          <w:sz w:val="20"/>
        </w:rPr>
        <w:t> </w:t>
      </w:r>
      <w:r>
        <w:rPr>
          <w:sz w:val="20"/>
        </w:rPr>
        <w:t>terrændata fra</w:t>
      </w:r>
      <w:r>
        <w:rPr>
          <w:spacing w:val="-7"/>
          <w:sz w:val="20"/>
        </w:rPr>
        <w:t> </w:t>
      </w:r>
      <w:r>
        <w:rPr>
          <w:sz w:val="20"/>
        </w:rPr>
        <w:t>Danmarks</w:t>
      </w:r>
      <w:r>
        <w:rPr>
          <w:spacing w:val="-5"/>
          <w:sz w:val="20"/>
        </w:rPr>
        <w:t> </w:t>
      </w:r>
      <w:r>
        <w:rPr>
          <w:sz w:val="20"/>
        </w:rPr>
        <w:t>Højdemodel</w:t>
      </w:r>
      <w:r>
        <w:rPr>
          <w:spacing w:val="-7"/>
          <w:sz w:val="20"/>
        </w:rPr>
        <w:t> </w:t>
      </w:r>
      <w:r>
        <w:rPr>
          <w:sz w:val="20"/>
        </w:rPr>
        <w:t>for</w:t>
      </w:r>
      <w:r>
        <w:rPr>
          <w:spacing w:val="-6"/>
          <w:sz w:val="20"/>
        </w:rPr>
        <w:t> </w:t>
      </w:r>
      <w:r>
        <w:rPr>
          <w:sz w:val="20"/>
        </w:rPr>
        <w:t>at</w:t>
      </w:r>
      <w:r>
        <w:rPr>
          <w:spacing w:val="-6"/>
          <w:sz w:val="20"/>
        </w:rPr>
        <w:t> </w:t>
      </w:r>
      <w:r>
        <w:rPr>
          <w:sz w:val="20"/>
        </w:rPr>
        <w:t>kunne</w:t>
      </w:r>
      <w:r>
        <w:rPr>
          <w:spacing w:val="-7"/>
          <w:sz w:val="20"/>
        </w:rPr>
        <w:t> </w:t>
      </w:r>
      <w:r>
        <w:rPr>
          <w:sz w:val="20"/>
        </w:rPr>
        <w:t>udføre</w:t>
      </w:r>
      <w:r>
        <w:rPr>
          <w:spacing w:val="-6"/>
          <w:sz w:val="20"/>
        </w:rPr>
        <w:t> </w:t>
      </w:r>
      <w:r>
        <w:rPr>
          <w:sz w:val="20"/>
        </w:rPr>
        <w:t>en</w:t>
      </w:r>
      <w:r>
        <w:rPr>
          <w:spacing w:val="-5"/>
          <w:sz w:val="20"/>
        </w:rPr>
        <w:t> </w:t>
      </w:r>
      <w:r>
        <w:rPr>
          <w:sz w:val="20"/>
        </w:rPr>
        <w:t>mere</w:t>
      </w:r>
      <w:r>
        <w:rPr>
          <w:spacing w:val="-4"/>
          <w:sz w:val="20"/>
        </w:rPr>
        <w:t> </w:t>
      </w:r>
      <w:r>
        <w:rPr>
          <w:sz w:val="20"/>
        </w:rPr>
        <w:t>detaljeret</w:t>
      </w:r>
      <w:r>
        <w:rPr>
          <w:spacing w:val="-6"/>
          <w:sz w:val="20"/>
        </w:rPr>
        <w:t> </w:t>
      </w:r>
      <w:r>
        <w:rPr>
          <w:sz w:val="20"/>
        </w:rPr>
        <w:t>kortlægning</w:t>
      </w:r>
      <w:r>
        <w:rPr>
          <w:spacing w:val="-4"/>
          <w:sz w:val="20"/>
        </w:rPr>
        <w:t> </w:t>
      </w:r>
      <w:r>
        <w:rPr>
          <w:sz w:val="20"/>
        </w:rPr>
        <w:t>af</w:t>
      </w:r>
      <w:r>
        <w:rPr>
          <w:spacing w:val="-5"/>
          <w:sz w:val="20"/>
        </w:rPr>
        <w:t> </w:t>
      </w:r>
      <w:r>
        <w:rPr>
          <w:sz w:val="20"/>
        </w:rPr>
        <w:t>vand</w:t>
      </w:r>
      <w:r>
        <w:rPr>
          <w:spacing w:val="-6"/>
          <w:sz w:val="20"/>
        </w:rPr>
        <w:t> </w:t>
      </w:r>
      <w:r>
        <w:rPr>
          <w:sz w:val="20"/>
        </w:rPr>
        <w:t>på terræn.</w:t>
      </w:r>
    </w:p>
    <w:p>
      <w:pPr>
        <w:pStyle w:val="BodyText"/>
        <w:spacing w:before="6"/>
        <w:rPr>
          <w:sz w:val="20"/>
        </w:rPr>
      </w:pPr>
    </w:p>
    <w:p>
      <w:pPr>
        <w:pStyle w:val="BodyText"/>
        <w:spacing w:line="288" w:lineRule="auto"/>
        <w:ind w:left="525" w:right="732"/>
        <w:jc w:val="both"/>
      </w:pPr>
      <w:r>
        <w:rPr/>
        <w:t>I arbejdet med metodeudviklingen indgår tilpasning af modelkonceptet fra 500 m til 100 m opløsning. Opdateringer og tilpasninger omhandler blandt andet flere pejledata, udbygning af tværsnitsbeskrivelser og tilvejebringelse af vandstandsdata for vandløb og havvands- tandsdata, hvor vandløbet løber ud i havet. Desuden er DMI’s dynamisk korrigerede ned- børsdata</w:t>
      </w:r>
      <w:r>
        <w:rPr>
          <w:spacing w:val="-10"/>
        </w:rPr>
        <w:t> </w:t>
      </w:r>
      <w:r>
        <w:rPr/>
        <w:t>inkluderet,</w:t>
      </w:r>
      <w:r>
        <w:rPr>
          <w:spacing w:val="-10"/>
        </w:rPr>
        <w:t> </w:t>
      </w:r>
      <w:r>
        <w:rPr/>
        <w:t>hvor</w:t>
      </w:r>
      <w:r>
        <w:rPr>
          <w:spacing w:val="-9"/>
        </w:rPr>
        <w:t> </w:t>
      </w:r>
      <w:r>
        <w:rPr/>
        <w:t>DK-Modellen</w:t>
      </w:r>
      <w:r>
        <w:rPr>
          <w:spacing w:val="-9"/>
        </w:rPr>
        <w:t> </w:t>
      </w:r>
      <w:r>
        <w:rPr/>
        <w:t>hidtil</w:t>
      </w:r>
      <w:r>
        <w:rPr>
          <w:spacing w:val="-9"/>
        </w:rPr>
        <w:t> </w:t>
      </w:r>
      <w:r>
        <w:rPr/>
        <w:t>har</w:t>
      </w:r>
      <w:r>
        <w:rPr>
          <w:spacing w:val="-10"/>
        </w:rPr>
        <w:t> </w:t>
      </w:r>
      <w:r>
        <w:rPr/>
        <w:t>været</w:t>
      </w:r>
      <w:r>
        <w:rPr>
          <w:spacing w:val="-11"/>
        </w:rPr>
        <w:t> </w:t>
      </w:r>
      <w:r>
        <w:rPr/>
        <w:t>baseret</w:t>
      </w:r>
      <w:r>
        <w:rPr>
          <w:spacing w:val="-10"/>
        </w:rPr>
        <w:t> </w:t>
      </w:r>
      <w:r>
        <w:rPr/>
        <w:t>på</w:t>
      </w:r>
      <w:r>
        <w:rPr>
          <w:spacing w:val="-9"/>
        </w:rPr>
        <w:t> </w:t>
      </w:r>
      <w:r>
        <w:rPr/>
        <w:t>GEUS’s</w:t>
      </w:r>
      <w:r>
        <w:rPr>
          <w:spacing w:val="-13"/>
        </w:rPr>
        <w:t> </w:t>
      </w:r>
      <w:r>
        <w:rPr/>
        <w:t>korrektion.</w:t>
      </w:r>
      <w:r>
        <w:rPr>
          <w:spacing w:val="-10"/>
        </w:rPr>
        <w:t> </w:t>
      </w:r>
      <w:r>
        <w:rPr/>
        <w:t>Der</w:t>
      </w:r>
      <w:r>
        <w:rPr>
          <w:spacing w:val="-10"/>
        </w:rPr>
        <w:t> </w:t>
      </w:r>
      <w:r>
        <w:rPr/>
        <w:t>er testet for anvendelse af time- og</w:t>
      </w:r>
      <w:r>
        <w:rPr>
          <w:spacing w:val="-8"/>
        </w:rPr>
        <w:t> </w:t>
      </w:r>
      <w:r>
        <w:rPr/>
        <w:t>døgnværdier.</w:t>
      </w:r>
    </w:p>
    <w:p>
      <w:pPr>
        <w:pStyle w:val="BodyText"/>
        <w:spacing w:before="2"/>
        <w:rPr>
          <w:sz w:val="25"/>
        </w:rPr>
      </w:pPr>
    </w:p>
    <w:p>
      <w:pPr>
        <w:pStyle w:val="BodyText"/>
        <w:spacing w:line="276" w:lineRule="auto" w:before="1"/>
        <w:ind w:left="525" w:right="733"/>
        <w:jc w:val="both"/>
      </w:pPr>
      <w:r>
        <w:rPr/>
        <w:t>For at reducere risikoen for at udvikle en meget avanceret model med unødig kompleksitet, der ikke vil kunne fungere effektivt på landsdækkende skala, inkluderer projektet også en undersøgelse af anvendeligheden af de udviklede avancerede metoder sammenlignet med anvendelse af mere simple metoder med henblik på at identificere hvilken metode, der er bedst egnet til modellering på landsdækkende skala.</w:t>
      </w:r>
    </w:p>
    <w:p>
      <w:pPr>
        <w:pStyle w:val="BodyText"/>
        <w:spacing w:before="1"/>
        <w:rPr>
          <w:sz w:val="24"/>
        </w:rPr>
      </w:pPr>
    </w:p>
    <w:p>
      <w:pPr>
        <w:pStyle w:val="BodyText"/>
        <w:spacing w:line="288" w:lineRule="auto"/>
        <w:ind w:left="525" w:right="730"/>
        <w:jc w:val="both"/>
      </w:pPr>
      <w:r>
        <w:rPr/>
        <w:t>Metodeudviklingen blev i april 2018 midtvejsevalueret af et eksternt reviewpanel bestående af</w:t>
      </w:r>
      <w:r>
        <w:rPr>
          <w:spacing w:val="-12"/>
        </w:rPr>
        <w:t> </w:t>
      </w:r>
      <w:r>
        <w:rPr/>
        <w:t>Henrik</w:t>
      </w:r>
      <w:r>
        <w:rPr>
          <w:spacing w:val="-10"/>
        </w:rPr>
        <w:t> </w:t>
      </w:r>
      <w:r>
        <w:rPr/>
        <w:t>Madsen,</w:t>
      </w:r>
      <w:r>
        <w:rPr>
          <w:spacing w:val="-13"/>
        </w:rPr>
        <w:t> </w:t>
      </w:r>
      <w:r>
        <w:rPr/>
        <w:t>DHI</w:t>
      </w:r>
      <w:r>
        <w:rPr>
          <w:spacing w:val="-13"/>
        </w:rPr>
        <w:t> </w:t>
      </w:r>
      <w:r>
        <w:rPr/>
        <w:t>og</w:t>
      </w:r>
      <w:r>
        <w:rPr>
          <w:spacing w:val="-12"/>
        </w:rPr>
        <w:t> </w:t>
      </w:r>
      <w:r>
        <w:rPr/>
        <w:t>Peter</w:t>
      </w:r>
      <w:r>
        <w:rPr>
          <w:spacing w:val="-14"/>
        </w:rPr>
        <w:t> </w:t>
      </w:r>
      <w:r>
        <w:rPr/>
        <w:t>Bauer-Gottwein,</w:t>
      </w:r>
      <w:r>
        <w:rPr>
          <w:spacing w:val="-13"/>
        </w:rPr>
        <w:t> </w:t>
      </w:r>
      <w:r>
        <w:rPr/>
        <w:t>DTU.</w:t>
      </w:r>
      <w:r>
        <w:rPr>
          <w:spacing w:val="-13"/>
        </w:rPr>
        <w:t> </w:t>
      </w:r>
      <w:r>
        <w:rPr/>
        <w:t>Panelet</w:t>
      </w:r>
      <w:r>
        <w:rPr>
          <w:spacing w:val="-15"/>
        </w:rPr>
        <w:t> </w:t>
      </w:r>
      <w:r>
        <w:rPr/>
        <w:t>kom</w:t>
      </w:r>
      <w:r>
        <w:rPr>
          <w:spacing w:val="-11"/>
        </w:rPr>
        <w:t> </w:t>
      </w:r>
      <w:r>
        <w:rPr/>
        <w:t>med</w:t>
      </w:r>
      <w:r>
        <w:rPr>
          <w:spacing w:val="-12"/>
        </w:rPr>
        <w:t> </w:t>
      </w:r>
      <w:r>
        <w:rPr/>
        <w:t>en</w:t>
      </w:r>
      <w:r>
        <w:rPr>
          <w:spacing w:val="-13"/>
        </w:rPr>
        <w:t> </w:t>
      </w:r>
      <w:r>
        <w:rPr/>
        <w:t>række</w:t>
      </w:r>
      <w:r>
        <w:rPr>
          <w:spacing w:val="-13"/>
        </w:rPr>
        <w:t> </w:t>
      </w:r>
      <w:r>
        <w:rPr/>
        <w:t>konstruk- tive forslag til øget fokus på distribueret drænopsætning, anvendelse af en simplere hydro- dynamisk</w:t>
      </w:r>
      <w:r>
        <w:rPr>
          <w:spacing w:val="-11"/>
        </w:rPr>
        <w:t> </w:t>
      </w:r>
      <w:r>
        <w:rPr/>
        <w:t>løsning,</w:t>
      </w:r>
      <w:r>
        <w:rPr>
          <w:spacing w:val="-13"/>
        </w:rPr>
        <w:t> </w:t>
      </w:r>
      <w:r>
        <w:rPr/>
        <w:t>mere</w:t>
      </w:r>
      <w:r>
        <w:rPr>
          <w:spacing w:val="-10"/>
        </w:rPr>
        <w:t> </w:t>
      </w:r>
      <w:r>
        <w:rPr/>
        <w:t>systematisk</w:t>
      </w:r>
      <w:r>
        <w:rPr>
          <w:spacing w:val="-10"/>
        </w:rPr>
        <w:t> </w:t>
      </w:r>
      <w:r>
        <w:rPr/>
        <w:t>undersøgelse</w:t>
      </w:r>
      <w:r>
        <w:rPr>
          <w:spacing w:val="-12"/>
        </w:rPr>
        <w:t> </w:t>
      </w:r>
      <w:r>
        <w:rPr/>
        <w:t>af</w:t>
      </w:r>
      <w:r>
        <w:rPr>
          <w:spacing w:val="-8"/>
        </w:rPr>
        <w:t> </w:t>
      </w:r>
      <w:r>
        <w:rPr/>
        <w:t>betydning</w:t>
      </w:r>
      <w:r>
        <w:rPr>
          <w:spacing w:val="-10"/>
        </w:rPr>
        <w:t> </w:t>
      </w:r>
      <w:r>
        <w:rPr/>
        <w:t>af</w:t>
      </w:r>
      <w:r>
        <w:rPr>
          <w:spacing w:val="-8"/>
        </w:rPr>
        <w:t> </w:t>
      </w:r>
      <w:r>
        <w:rPr/>
        <w:t>en</w:t>
      </w:r>
      <w:r>
        <w:rPr>
          <w:spacing w:val="-10"/>
        </w:rPr>
        <w:t> </w:t>
      </w:r>
      <w:r>
        <w:rPr/>
        <w:t>ny</w:t>
      </w:r>
      <w:r>
        <w:rPr>
          <w:spacing w:val="-12"/>
        </w:rPr>
        <w:t> </w:t>
      </w:r>
      <w:r>
        <w:rPr/>
        <w:t>kalibreringsmetodik i forhold til terrænnært grundvand, usikkerhed på pejleobservationer, inddragelse af</w:t>
      </w:r>
      <w:r>
        <w:rPr>
          <w:spacing w:val="-37"/>
        </w:rPr>
        <w:t> </w:t>
      </w:r>
      <w:r>
        <w:rPr/>
        <w:t>alterna- tive</w:t>
      </w:r>
      <w:r>
        <w:rPr>
          <w:spacing w:val="-7"/>
        </w:rPr>
        <w:t> </w:t>
      </w:r>
      <w:r>
        <w:rPr/>
        <w:t>data</w:t>
      </w:r>
      <w:r>
        <w:rPr>
          <w:spacing w:val="-6"/>
        </w:rPr>
        <w:t> </w:t>
      </w:r>
      <w:r>
        <w:rPr/>
        <w:t>til</w:t>
      </w:r>
      <w:r>
        <w:rPr>
          <w:spacing w:val="-6"/>
        </w:rPr>
        <w:t> </w:t>
      </w:r>
      <w:r>
        <w:rPr/>
        <w:t>simulering</w:t>
      </w:r>
      <w:r>
        <w:rPr>
          <w:spacing w:val="-6"/>
        </w:rPr>
        <w:t> </w:t>
      </w:r>
      <w:r>
        <w:rPr/>
        <w:t>af</w:t>
      </w:r>
      <w:r>
        <w:rPr>
          <w:spacing w:val="-6"/>
        </w:rPr>
        <w:t> </w:t>
      </w:r>
      <w:r>
        <w:rPr/>
        <w:t>oversvømmelser</w:t>
      </w:r>
      <w:r>
        <w:rPr>
          <w:spacing w:val="-7"/>
        </w:rPr>
        <w:t> </w:t>
      </w:r>
      <w:r>
        <w:rPr/>
        <w:t>samt</w:t>
      </w:r>
      <w:r>
        <w:rPr>
          <w:spacing w:val="-8"/>
        </w:rPr>
        <w:t> </w:t>
      </w:r>
      <w:r>
        <w:rPr/>
        <w:t>fokus</w:t>
      </w:r>
      <w:r>
        <w:rPr>
          <w:spacing w:val="-6"/>
        </w:rPr>
        <w:t> </w:t>
      </w:r>
      <w:r>
        <w:rPr/>
        <w:t>på</w:t>
      </w:r>
      <w:r>
        <w:rPr>
          <w:spacing w:val="-7"/>
        </w:rPr>
        <w:t> </w:t>
      </w:r>
      <w:r>
        <w:rPr/>
        <w:t>validering</w:t>
      </w:r>
      <w:r>
        <w:rPr>
          <w:spacing w:val="-6"/>
        </w:rPr>
        <w:t> </w:t>
      </w:r>
      <w:r>
        <w:rPr/>
        <w:t>af</w:t>
      </w:r>
      <w:r>
        <w:rPr>
          <w:spacing w:val="-6"/>
        </w:rPr>
        <w:t> </w:t>
      </w:r>
      <w:r>
        <w:rPr/>
        <w:t>simulerede</w:t>
      </w:r>
      <w:r>
        <w:rPr>
          <w:spacing w:val="-6"/>
        </w:rPr>
        <w:t> </w:t>
      </w:r>
      <w:r>
        <w:rPr/>
        <w:t>oversvøm- melser.</w:t>
      </w:r>
    </w:p>
    <w:p>
      <w:pPr>
        <w:pStyle w:val="BodyText"/>
        <w:spacing w:before="3"/>
        <w:rPr>
          <w:sz w:val="25"/>
        </w:rPr>
      </w:pPr>
    </w:p>
    <w:p>
      <w:pPr>
        <w:pStyle w:val="BodyText"/>
        <w:spacing w:line="288" w:lineRule="auto"/>
        <w:ind w:left="525" w:right="728"/>
        <w:jc w:val="both"/>
      </w:pPr>
      <w:r>
        <w:rPr/>
        <w:t>Kalibreringsstrategi og metoder er udviklet med henblik på forbedret simulering af det ter- rænnære grundvand og vandstand i vandløbene. Resultaterne af kalibrering og validering viser, at der opnås en forbedret performance i forhold til modellering af terrænnært grund- vand</w:t>
      </w:r>
      <w:r>
        <w:rPr>
          <w:spacing w:val="-6"/>
        </w:rPr>
        <w:t> </w:t>
      </w:r>
      <w:r>
        <w:rPr/>
        <w:t>ved</w:t>
      </w:r>
      <w:r>
        <w:rPr>
          <w:spacing w:val="-5"/>
        </w:rPr>
        <w:t> </w:t>
      </w:r>
      <w:r>
        <w:rPr/>
        <w:t>en</w:t>
      </w:r>
      <w:r>
        <w:rPr>
          <w:spacing w:val="-5"/>
        </w:rPr>
        <w:t> </w:t>
      </w:r>
      <w:r>
        <w:rPr/>
        <w:t>forbedret</w:t>
      </w:r>
      <w:r>
        <w:rPr>
          <w:spacing w:val="-6"/>
        </w:rPr>
        <w:t> </w:t>
      </w:r>
      <w:r>
        <w:rPr/>
        <w:t>opløsning</w:t>
      </w:r>
      <w:r>
        <w:rPr>
          <w:spacing w:val="-4"/>
        </w:rPr>
        <w:t> </w:t>
      </w:r>
      <w:r>
        <w:rPr/>
        <w:t>fra</w:t>
      </w:r>
      <w:r>
        <w:rPr>
          <w:spacing w:val="-5"/>
        </w:rPr>
        <w:t> </w:t>
      </w:r>
      <w:r>
        <w:rPr/>
        <w:t>500</w:t>
      </w:r>
      <w:r>
        <w:rPr>
          <w:spacing w:val="-5"/>
        </w:rPr>
        <w:t> </w:t>
      </w:r>
      <w:r>
        <w:rPr/>
        <w:t>m</w:t>
      </w:r>
      <w:r>
        <w:rPr>
          <w:spacing w:val="-3"/>
        </w:rPr>
        <w:t> </w:t>
      </w:r>
      <w:r>
        <w:rPr/>
        <w:t>til</w:t>
      </w:r>
      <w:r>
        <w:rPr>
          <w:spacing w:val="-4"/>
        </w:rPr>
        <w:t> </w:t>
      </w:r>
      <w:r>
        <w:rPr/>
        <w:t>100</w:t>
      </w:r>
      <w:r>
        <w:rPr>
          <w:spacing w:val="-6"/>
        </w:rPr>
        <w:t> </w:t>
      </w:r>
      <w:r>
        <w:rPr/>
        <w:t>m</w:t>
      </w:r>
      <w:r>
        <w:rPr>
          <w:spacing w:val="-6"/>
        </w:rPr>
        <w:t> </w:t>
      </w:r>
      <w:r>
        <w:rPr/>
        <w:t>model,</w:t>
      </w:r>
      <w:r>
        <w:rPr>
          <w:spacing w:val="-6"/>
        </w:rPr>
        <w:t> </w:t>
      </w:r>
      <w:r>
        <w:rPr/>
        <w:t>og</w:t>
      </w:r>
      <w:r>
        <w:rPr>
          <w:spacing w:val="-5"/>
        </w:rPr>
        <w:t> </w:t>
      </w:r>
      <w:r>
        <w:rPr/>
        <w:t>en</w:t>
      </w:r>
      <w:r>
        <w:rPr>
          <w:spacing w:val="-5"/>
        </w:rPr>
        <w:t> </w:t>
      </w:r>
      <w:r>
        <w:rPr/>
        <w:t>bedre</w:t>
      </w:r>
      <w:r>
        <w:rPr>
          <w:spacing w:val="-5"/>
        </w:rPr>
        <w:t> </w:t>
      </w:r>
      <w:r>
        <w:rPr/>
        <w:t>mulighed</w:t>
      </w:r>
      <w:r>
        <w:rPr>
          <w:spacing w:val="-5"/>
        </w:rPr>
        <w:t> </w:t>
      </w:r>
      <w:r>
        <w:rPr/>
        <w:t>for</w:t>
      </w:r>
      <w:r>
        <w:rPr>
          <w:spacing w:val="-6"/>
        </w:rPr>
        <w:t> </w:t>
      </w:r>
      <w:r>
        <w:rPr/>
        <w:t>valide- ring af konceptuel modelbeskrivelse ved at bruge flere pejledata. Vandbalanceforhold i små vandløb beskrives lidt bedre med den mere detaljerede</w:t>
      </w:r>
      <w:r>
        <w:rPr>
          <w:spacing w:val="-12"/>
        </w:rPr>
        <w:t> </w:t>
      </w:r>
      <w:r>
        <w:rPr/>
        <w:t>model.</w:t>
      </w:r>
    </w:p>
    <w:p>
      <w:pPr>
        <w:spacing w:after="0" w:line="288" w:lineRule="auto"/>
        <w:jc w:val="both"/>
        <w:sectPr>
          <w:pgSz w:w="11910" w:h="16850"/>
          <w:pgMar w:header="0" w:footer="857" w:top="1340" w:bottom="1040" w:left="1460" w:right="680"/>
        </w:sectPr>
      </w:pPr>
    </w:p>
    <w:p>
      <w:pPr>
        <w:pStyle w:val="BodyText"/>
        <w:spacing w:line="288" w:lineRule="auto" w:before="106"/>
        <w:ind w:left="525" w:right="729"/>
        <w:jc w:val="both"/>
      </w:pPr>
      <w:r>
        <w:rPr/>
        <w:t>Resultater beregnet med de kalibrerede modeller visualiseres på kort, som viser afstand </w:t>
      </w:r>
      <w:r>
        <w:rPr>
          <w:spacing w:val="-2"/>
        </w:rPr>
        <w:t>til </w:t>
      </w:r>
      <w:r>
        <w:rPr/>
        <w:t>grundvandsspejl og vand på terræn baseret på de forskellige benyttede metodikker. Resul- tater er illustreret for både Storå og Odense Å samt med fem udsnit som zoom til udvalgte områder, hvor der sammenlignes med satellitdata (Sentinel-1). Der er anvendt nedskalering af simuleret dybde til terrænnært grundvand fra 100 m til 10 m opløsning og GIS-baseret udbredelse af vand på terræn på basis af beregnede vandstande i vandløb for undersøgte hændelser</w:t>
      </w:r>
      <w:r>
        <w:rPr>
          <w:spacing w:val="-14"/>
        </w:rPr>
        <w:t> </w:t>
      </w:r>
      <w:r>
        <w:rPr/>
        <w:t>og</w:t>
      </w:r>
      <w:r>
        <w:rPr>
          <w:spacing w:val="-12"/>
        </w:rPr>
        <w:t> </w:t>
      </w:r>
      <w:r>
        <w:rPr/>
        <w:t>sammenligning</w:t>
      </w:r>
      <w:r>
        <w:rPr>
          <w:spacing w:val="-15"/>
        </w:rPr>
        <w:t> </w:t>
      </w:r>
      <w:r>
        <w:rPr/>
        <w:t>med</w:t>
      </w:r>
      <w:r>
        <w:rPr>
          <w:spacing w:val="-12"/>
        </w:rPr>
        <w:t> </w:t>
      </w:r>
      <w:r>
        <w:rPr/>
        <w:t>satellitdata.</w:t>
      </w:r>
      <w:r>
        <w:rPr>
          <w:spacing w:val="-14"/>
        </w:rPr>
        <w:t> </w:t>
      </w:r>
      <w:r>
        <w:rPr/>
        <w:t>Sammenholdt</w:t>
      </w:r>
      <w:r>
        <w:rPr>
          <w:spacing w:val="-13"/>
        </w:rPr>
        <w:t> </w:t>
      </w:r>
      <w:r>
        <w:rPr/>
        <w:t>med</w:t>
      </w:r>
      <w:r>
        <w:rPr>
          <w:spacing w:val="-12"/>
        </w:rPr>
        <w:t> </w:t>
      </w:r>
      <w:r>
        <w:rPr/>
        <w:t>observerede</w:t>
      </w:r>
      <w:r>
        <w:rPr>
          <w:spacing w:val="-13"/>
        </w:rPr>
        <w:t> </w:t>
      </w:r>
      <w:r>
        <w:rPr/>
        <w:t>vandstands- data</w:t>
      </w:r>
      <w:r>
        <w:rPr>
          <w:spacing w:val="-7"/>
        </w:rPr>
        <w:t> </w:t>
      </w:r>
      <w:r>
        <w:rPr/>
        <w:t>giver</w:t>
      </w:r>
      <w:r>
        <w:rPr>
          <w:spacing w:val="-7"/>
        </w:rPr>
        <w:t> </w:t>
      </w:r>
      <w:r>
        <w:rPr/>
        <w:t>dette</w:t>
      </w:r>
      <w:r>
        <w:rPr>
          <w:spacing w:val="-6"/>
        </w:rPr>
        <w:t> </w:t>
      </w:r>
      <w:r>
        <w:rPr/>
        <w:t>samlet</w:t>
      </w:r>
      <w:r>
        <w:rPr>
          <w:spacing w:val="-7"/>
        </w:rPr>
        <w:t> </w:t>
      </w:r>
      <w:r>
        <w:rPr/>
        <w:t>set</w:t>
      </w:r>
      <w:r>
        <w:rPr>
          <w:spacing w:val="-8"/>
        </w:rPr>
        <w:t> </w:t>
      </w:r>
      <w:r>
        <w:rPr/>
        <w:t>en</w:t>
      </w:r>
      <w:r>
        <w:rPr>
          <w:spacing w:val="-6"/>
        </w:rPr>
        <w:t> </w:t>
      </w:r>
      <w:r>
        <w:rPr/>
        <w:t>robust</w:t>
      </w:r>
      <w:r>
        <w:rPr>
          <w:spacing w:val="-7"/>
        </w:rPr>
        <w:t> </w:t>
      </w:r>
      <w:r>
        <w:rPr/>
        <w:t>vurdering</w:t>
      </w:r>
      <w:r>
        <w:rPr>
          <w:spacing w:val="-6"/>
        </w:rPr>
        <w:t> </w:t>
      </w:r>
      <w:r>
        <w:rPr/>
        <w:t>af</w:t>
      </w:r>
      <w:r>
        <w:rPr>
          <w:spacing w:val="-6"/>
        </w:rPr>
        <w:t> </w:t>
      </w:r>
      <w:r>
        <w:rPr/>
        <w:t>oversvømmelsesrisiko.</w:t>
      </w:r>
      <w:r>
        <w:rPr>
          <w:spacing w:val="-7"/>
        </w:rPr>
        <w:t> </w:t>
      </w:r>
      <w:r>
        <w:rPr/>
        <w:t>Effekten</w:t>
      </w:r>
      <w:r>
        <w:rPr>
          <w:spacing w:val="-6"/>
        </w:rPr>
        <w:t> </w:t>
      </w:r>
      <w:r>
        <w:rPr/>
        <w:t>af</w:t>
      </w:r>
      <w:r>
        <w:rPr>
          <w:spacing w:val="-7"/>
        </w:rPr>
        <w:t> </w:t>
      </w:r>
      <w:r>
        <w:rPr/>
        <w:t>forskel- lig</w:t>
      </w:r>
      <w:r>
        <w:rPr>
          <w:spacing w:val="-11"/>
        </w:rPr>
        <w:t> </w:t>
      </w:r>
      <w:r>
        <w:rPr/>
        <w:t>tidsmæssig</w:t>
      </w:r>
      <w:r>
        <w:rPr>
          <w:spacing w:val="-11"/>
        </w:rPr>
        <w:t> </w:t>
      </w:r>
      <w:r>
        <w:rPr/>
        <w:t>opløsning</w:t>
      </w:r>
      <w:r>
        <w:rPr>
          <w:spacing w:val="-11"/>
        </w:rPr>
        <w:t> </w:t>
      </w:r>
      <w:r>
        <w:rPr/>
        <w:t>af</w:t>
      </w:r>
      <w:r>
        <w:rPr>
          <w:spacing w:val="-11"/>
        </w:rPr>
        <w:t> </w:t>
      </w:r>
      <w:r>
        <w:rPr/>
        <w:t>nedbørsdata</w:t>
      </w:r>
      <w:r>
        <w:rPr>
          <w:spacing w:val="-11"/>
        </w:rPr>
        <w:t> </w:t>
      </w:r>
      <w:r>
        <w:rPr/>
        <w:t>(timeværdier</w:t>
      </w:r>
      <w:r>
        <w:rPr>
          <w:spacing w:val="-10"/>
        </w:rPr>
        <w:t> </w:t>
      </w:r>
      <w:r>
        <w:rPr/>
        <w:t>versus</w:t>
      </w:r>
      <w:r>
        <w:rPr>
          <w:spacing w:val="-12"/>
        </w:rPr>
        <w:t> </w:t>
      </w:r>
      <w:r>
        <w:rPr/>
        <w:t>døgnværdier)</w:t>
      </w:r>
      <w:r>
        <w:rPr>
          <w:spacing w:val="-13"/>
        </w:rPr>
        <w:t> </w:t>
      </w:r>
      <w:r>
        <w:rPr/>
        <w:t>er</w:t>
      </w:r>
      <w:r>
        <w:rPr>
          <w:spacing w:val="-12"/>
        </w:rPr>
        <w:t> </w:t>
      </w:r>
      <w:r>
        <w:rPr/>
        <w:t>uden</w:t>
      </w:r>
      <w:r>
        <w:rPr>
          <w:spacing w:val="-10"/>
        </w:rPr>
        <w:t> </w:t>
      </w:r>
      <w:r>
        <w:rPr/>
        <w:t>væsent- lig betydning. Indarbejdning af distribuerede parametre for dræn ud fra landsdækkende kort over drænbehov ser ud til at give en mere troværdig beskrivelse af dybde til terrænnært grundvand sammenlignet med</w:t>
      </w:r>
      <w:r>
        <w:rPr>
          <w:spacing w:val="-4"/>
        </w:rPr>
        <w:t> </w:t>
      </w:r>
      <w:r>
        <w:rPr/>
        <w:t>våd-område-kort.</w:t>
      </w:r>
    </w:p>
    <w:p>
      <w:pPr>
        <w:pStyle w:val="BodyText"/>
        <w:spacing w:before="1"/>
        <w:rPr>
          <w:sz w:val="25"/>
        </w:rPr>
      </w:pPr>
    </w:p>
    <w:p>
      <w:pPr>
        <w:pStyle w:val="BodyText"/>
        <w:spacing w:line="288" w:lineRule="auto"/>
        <w:ind w:left="525" w:right="731"/>
        <w:jc w:val="both"/>
      </w:pPr>
      <w:r>
        <w:rPr/>
        <w:t>For at tydeliggøre fordele, ulemper og potentialer forbundet med alternative løsningsmulig- heder, f.eks.100 m versus 500 m opløsning og dynamisk beregning af vandstand versus simplere stationær beregning, er resultaterne diskuteret i forhold til målopfyldelse, bereg- ningstider, succeskriterier og anvendelsespotentiale for vandforvaltning, klimatilpasning og beredskab.</w:t>
      </w:r>
    </w:p>
    <w:p>
      <w:pPr>
        <w:pStyle w:val="BodyText"/>
        <w:spacing w:before="2"/>
        <w:rPr>
          <w:sz w:val="24"/>
        </w:rPr>
      </w:pPr>
    </w:p>
    <w:p>
      <w:pPr>
        <w:pStyle w:val="Heading2"/>
        <w:numPr>
          <w:ilvl w:val="1"/>
          <w:numId w:val="4"/>
        </w:numPr>
        <w:tabs>
          <w:tab w:pos="1142" w:val="left" w:leader="none"/>
        </w:tabs>
        <w:spacing w:line="240" w:lineRule="auto" w:before="0" w:after="0"/>
        <w:ind w:left="1142" w:right="0" w:hanging="617"/>
        <w:jc w:val="both"/>
      </w:pPr>
      <w:bookmarkStart w:name="_bookmark2" w:id="5"/>
      <w:bookmarkEnd w:id="5"/>
      <w:r>
        <w:rPr>
          <w:b w:val="0"/>
        </w:rPr>
      </w:r>
      <w:bookmarkStart w:name="_bookmark2" w:id="6"/>
      <w:bookmarkEnd w:id="6"/>
      <w:r>
        <w:rPr/>
        <w:t>K</w:t>
      </w:r>
      <w:r>
        <w:rPr/>
        <w:t>onklusion</w:t>
      </w:r>
    </w:p>
    <w:p>
      <w:pPr>
        <w:pStyle w:val="BodyText"/>
        <w:spacing w:line="288" w:lineRule="auto" w:before="241"/>
        <w:ind w:left="525" w:right="732"/>
        <w:jc w:val="both"/>
      </w:pPr>
      <w:r>
        <w:rPr/>
        <w:t>I projektet er der udviklet en metode til bedre modellering af terrænnært grundvand, vand- stand</w:t>
      </w:r>
      <w:r>
        <w:rPr>
          <w:spacing w:val="-14"/>
        </w:rPr>
        <w:t> </w:t>
      </w:r>
      <w:r>
        <w:rPr/>
        <w:t>i</w:t>
      </w:r>
      <w:r>
        <w:rPr>
          <w:spacing w:val="-12"/>
        </w:rPr>
        <w:t> </w:t>
      </w:r>
      <w:r>
        <w:rPr/>
        <w:t>vandløb</w:t>
      </w:r>
      <w:r>
        <w:rPr>
          <w:spacing w:val="-14"/>
        </w:rPr>
        <w:t> </w:t>
      </w:r>
      <w:r>
        <w:rPr/>
        <w:t>og</w:t>
      </w:r>
      <w:r>
        <w:rPr>
          <w:spacing w:val="-15"/>
        </w:rPr>
        <w:t> </w:t>
      </w:r>
      <w:r>
        <w:rPr/>
        <w:t>kortlægning</w:t>
      </w:r>
      <w:r>
        <w:rPr>
          <w:spacing w:val="-13"/>
        </w:rPr>
        <w:t> </w:t>
      </w:r>
      <w:r>
        <w:rPr/>
        <w:t>af</w:t>
      </w:r>
      <w:r>
        <w:rPr>
          <w:spacing w:val="-13"/>
        </w:rPr>
        <w:t> </w:t>
      </w:r>
      <w:r>
        <w:rPr/>
        <w:t>vand</w:t>
      </w:r>
      <w:r>
        <w:rPr>
          <w:spacing w:val="-13"/>
        </w:rPr>
        <w:t> </w:t>
      </w:r>
      <w:r>
        <w:rPr/>
        <w:t>på</w:t>
      </w:r>
      <w:r>
        <w:rPr>
          <w:spacing w:val="-13"/>
        </w:rPr>
        <w:t> </w:t>
      </w:r>
      <w:r>
        <w:rPr/>
        <w:t>terræn.</w:t>
      </w:r>
      <w:r>
        <w:rPr>
          <w:spacing w:val="-16"/>
        </w:rPr>
        <w:t> </w:t>
      </w:r>
      <w:r>
        <w:rPr/>
        <w:t>Projektets</w:t>
      </w:r>
      <w:r>
        <w:rPr>
          <w:spacing w:val="-13"/>
        </w:rPr>
        <w:t> </w:t>
      </w:r>
      <w:r>
        <w:rPr/>
        <w:t>tre</w:t>
      </w:r>
      <w:r>
        <w:rPr>
          <w:spacing w:val="-13"/>
        </w:rPr>
        <w:t> </w:t>
      </w:r>
      <w:r>
        <w:rPr/>
        <w:t>hypoteser</w:t>
      </w:r>
      <w:r>
        <w:rPr>
          <w:spacing w:val="-15"/>
        </w:rPr>
        <w:t> </w:t>
      </w:r>
      <w:r>
        <w:rPr/>
        <w:t>er</w:t>
      </w:r>
      <w:r>
        <w:rPr>
          <w:spacing w:val="-14"/>
        </w:rPr>
        <w:t> </w:t>
      </w:r>
      <w:r>
        <w:rPr/>
        <w:t>dermed</w:t>
      </w:r>
      <w:r>
        <w:rPr>
          <w:spacing w:val="-13"/>
        </w:rPr>
        <w:t> </w:t>
      </w:r>
      <w:r>
        <w:rPr/>
        <w:t>opfyldt, og der er gennemført en analyse af fire løsningsmodeller og deres anvendelighed i forhold til at kunne gennemføre en landsdækkende screening af risiko for oversvømmelser fra ter- rænnært grundvand og</w:t>
      </w:r>
      <w:r>
        <w:rPr>
          <w:spacing w:val="-4"/>
        </w:rPr>
        <w:t> </w:t>
      </w:r>
      <w:r>
        <w:rPr/>
        <w:t>vandløb.</w:t>
      </w:r>
    </w:p>
    <w:p>
      <w:pPr>
        <w:pStyle w:val="BodyText"/>
        <w:spacing w:before="1"/>
        <w:rPr>
          <w:sz w:val="25"/>
        </w:rPr>
      </w:pPr>
    </w:p>
    <w:p>
      <w:pPr>
        <w:pStyle w:val="BodyText"/>
        <w:spacing w:line="288" w:lineRule="auto"/>
        <w:ind w:left="525" w:right="730"/>
        <w:jc w:val="both"/>
      </w:pPr>
      <w:r>
        <w:rPr/>
        <w:t>Alle fire løsningsmodeller (Løsning I: 500 m grundvandsmodel og eksterne vandstandsmo- duler;</w:t>
      </w:r>
      <w:r>
        <w:rPr>
          <w:spacing w:val="-8"/>
        </w:rPr>
        <w:t> </w:t>
      </w:r>
      <w:r>
        <w:rPr/>
        <w:t>Løsning</w:t>
      </w:r>
      <w:r>
        <w:rPr>
          <w:spacing w:val="-5"/>
        </w:rPr>
        <w:t> </w:t>
      </w:r>
      <w:r>
        <w:rPr/>
        <w:t>II:</w:t>
      </w:r>
      <w:r>
        <w:rPr>
          <w:spacing w:val="-7"/>
        </w:rPr>
        <w:t> </w:t>
      </w:r>
      <w:r>
        <w:rPr/>
        <w:t>100</w:t>
      </w:r>
      <w:r>
        <w:rPr>
          <w:spacing w:val="-5"/>
        </w:rPr>
        <w:t> </w:t>
      </w:r>
      <w:r>
        <w:rPr/>
        <w:t>m</w:t>
      </w:r>
      <w:r>
        <w:rPr>
          <w:spacing w:val="-5"/>
        </w:rPr>
        <w:t> </w:t>
      </w:r>
      <w:r>
        <w:rPr/>
        <w:t>grundvandsmodel</w:t>
      </w:r>
      <w:r>
        <w:rPr>
          <w:spacing w:val="-4"/>
        </w:rPr>
        <w:t> </w:t>
      </w:r>
      <w:r>
        <w:rPr/>
        <w:t>og</w:t>
      </w:r>
      <w:r>
        <w:rPr>
          <w:spacing w:val="-6"/>
        </w:rPr>
        <w:t> </w:t>
      </w:r>
      <w:r>
        <w:rPr/>
        <w:t>eksterne</w:t>
      </w:r>
      <w:r>
        <w:rPr>
          <w:spacing w:val="-5"/>
        </w:rPr>
        <w:t> </w:t>
      </w:r>
      <w:r>
        <w:rPr/>
        <w:t>vandstandsmoduler;</w:t>
      </w:r>
      <w:r>
        <w:rPr>
          <w:spacing w:val="-8"/>
        </w:rPr>
        <w:t> </w:t>
      </w:r>
      <w:r>
        <w:rPr/>
        <w:t>Løsning</w:t>
      </w:r>
      <w:r>
        <w:rPr>
          <w:spacing w:val="-5"/>
        </w:rPr>
        <w:t> </w:t>
      </w:r>
      <w:r>
        <w:rPr/>
        <w:t>III:</w:t>
      </w:r>
      <w:r>
        <w:rPr>
          <w:spacing w:val="-7"/>
        </w:rPr>
        <w:t> </w:t>
      </w:r>
      <w:r>
        <w:rPr/>
        <w:t>100 m grundvandsmodel integreret med hydrodynamisk vandstandssimulering og Løsning IV: kombineret 500 m/100 m model og eksterne vandstandsmoduler) giver mulighed for opfyl- delse af projektets mål. Løsning III vil være den mest ressourcekrævende på grund af bety- delige beregningstider, men vil samtidig være den mest tidsbesparende for brugeren da screening og kortlægning af oversvømmelser er indbygget i en model for hele landet (se </w:t>
      </w:r>
      <w:hyperlink w:history="true" w:anchor="_bookmark3">
        <w:r>
          <w:rPr/>
          <w:t>tabel 1</w:t>
        </w:r>
      </w:hyperlink>
      <w:r>
        <w:rPr/>
        <w:t>).</w:t>
      </w:r>
    </w:p>
    <w:p>
      <w:pPr>
        <w:pStyle w:val="BodyText"/>
        <w:spacing w:before="3"/>
        <w:rPr>
          <w:sz w:val="25"/>
        </w:rPr>
      </w:pPr>
    </w:p>
    <w:p>
      <w:pPr>
        <w:pStyle w:val="BodyText"/>
        <w:spacing w:line="288" w:lineRule="auto"/>
        <w:ind w:left="525" w:right="729"/>
        <w:jc w:val="both"/>
      </w:pPr>
      <w:r>
        <w:rPr/>
        <w:t>Løsning</w:t>
      </w:r>
      <w:r>
        <w:rPr>
          <w:spacing w:val="-14"/>
        </w:rPr>
        <w:t> </w:t>
      </w:r>
      <w:r>
        <w:rPr/>
        <w:t>IV</w:t>
      </w:r>
      <w:r>
        <w:rPr>
          <w:spacing w:val="-14"/>
        </w:rPr>
        <w:t> </w:t>
      </w:r>
      <w:r>
        <w:rPr/>
        <w:t>vil</w:t>
      </w:r>
      <w:r>
        <w:rPr>
          <w:spacing w:val="-10"/>
        </w:rPr>
        <w:t> </w:t>
      </w:r>
      <w:r>
        <w:rPr/>
        <w:t>være</w:t>
      </w:r>
      <w:r>
        <w:rPr>
          <w:spacing w:val="-14"/>
        </w:rPr>
        <w:t> </w:t>
      </w:r>
      <w:r>
        <w:rPr/>
        <w:t>gennemførlig</w:t>
      </w:r>
      <w:r>
        <w:rPr>
          <w:spacing w:val="-13"/>
        </w:rPr>
        <w:t> </w:t>
      </w:r>
      <w:r>
        <w:rPr/>
        <w:t>indenfor</w:t>
      </w:r>
      <w:r>
        <w:rPr>
          <w:spacing w:val="-15"/>
        </w:rPr>
        <w:t> </w:t>
      </w:r>
      <w:r>
        <w:rPr/>
        <w:t>en</w:t>
      </w:r>
      <w:r>
        <w:rPr>
          <w:spacing w:val="-13"/>
        </w:rPr>
        <w:t> </w:t>
      </w:r>
      <w:r>
        <w:rPr/>
        <w:t>mere</w:t>
      </w:r>
      <w:r>
        <w:rPr>
          <w:spacing w:val="-10"/>
        </w:rPr>
        <w:t> </w:t>
      </w:r>
      <w:r>
        <w:rPr/>
        <w:t>implementerbar</w:t>
      </w:r>
      <w:r>
        <w:rPr>
          <w:spacing w:val="-14"/>
        </w:rPr>
        <w:t> </w:t>
      </w:r>
      <w:r>
        <w:rPr/>
        <w:t>tids-</w:t>
      </w:r>
      <w:r>
        <w:rPr>
          <w:spacing w:val="-14"/>
        </w:rPr>
        <w:t> </w:t>
      </w:r>
      <w:r>
        <w:rPr/>
        <w:t>og</w:t>
      </w:r>
      <w:r>
        <w:rPr>
          <w:spacing w:val="-14"/>
        </w:rPr>
        <w:t> </w:t>
      </w:r>
      <w:r>
        <w:rPr/>
        <w:t>ressourceramme inkl.</w:t>
      </w:r>
      <w:r>
        <w:rPr>
          <w:spacing w:val="-8"/>
        </w:rPr>
        <w:t> </w:t>
      </w:r>
      <w:r>
        <w:rPr/>
        <w:t>landsdækkende</w:t>
      </w:r>
      <w:r>
        <w:rPr>
          <w:spacing w:val="-6"/>
        </w:rPr>
        <w:t> </w:t>
      </w:r>
      <w:r>
        <w:rPr/>
        <w:t>screening</w:t>
      </w:r>
      <w:r>
        <w:rPr>
          <w:spacing w:val="-6"/>
        </w:rPr>
        <w:t> </w:t>
      </w:r>
      <w:r>
        <w:rPr/>
        <w:t>i</w:t>
      </w:r>
      <w:r>
        <w:rPr>
          <w:spacing w:val="-5"/>
        </w:rPr>
        <w:t> </w:t>
      </w:r>
      <w:r>
        <w:rPr/>
        <w:t>forhold</w:t>
      </w:r>
      <w:r>
        <w:rPr>
          <w:spacing w:val="-6"/>
        </w:rPr>
        <w:t> </w:t>
      </w:r>
      <w:r>
        <w:rPr/>
        <w:t>til</w:t>
      </w:r>
      <w:r>
        <w:rPr>
          <w:spacing w:val="-5"/>
        </w:rPr>
        <w:t> </w:t>
      </w:r>
      <w:r>
        <w:rPr/>
        <w:t>oversvømmelsesrisiko</w:t>
      </w:r>
      <w:r>
        <w:rPr>
          <w:spacing w:val="-6"/>
        </w:rPr>
        <w:t> </w:t>
      </w:r>
      <w:r>
        <w:rPr/>
        <w:t>fra</w:t>
      </w:r>
      <w:r>
        <w:rPr>
          <w:spacing w:val="-6"/>
        </w:rPr>
        <w:t> </w:t>
      </w:r>
      <w:r>
        <w:rPr/>
        <w:t>grundvand</w:t>
      </w:r>
      <w:r>
        <w:rPr>
          <w:spacing w:val="-6"/>
        </w:rPr>
        <w:t> </w:t>
      </w:r>
      <w:r>
        <w:rPr/>
        <w:t>og</w:t>
      </w:r>
      <w:r>
        <w:rPr>
          <w:spacing w:val="-6"/>
        </w:rPr>
        <w:t> </w:t>
      </w:r>
      <w:r>
        <w:rPr/>
        <w:t>vandløb. Løsning</w:t>
      </w:r>
      <w:r>
        <w:rPr>
          <w:spacing w:val="-3"/>
        </w:rPr>
        <w:t> </w:t>
      </w:r>
      <w:r>
        <w:rPr/>
        <w:t>IV</w:t>
      </w:r>
      <w:r>
        <w:rPr>
          <w:spacing w:val="-3"/>
        </w:rPr>
        <w:t> </w:t>
      </w:r>
      <w:r>
        <w:rPr/>
        <w:t>forudsætter</w:t>
      </w:r>
      <w:r>
        <w:rPr>
          <w:spacing w:val="-3"/>
        </w:rPr>
        <w:t> </w:t>
      </w:r>
      <w:r>
        <w:rPr/>
        <w:t>en</w:t>
      </w:r>
      <w:r>
        <w:rPr>
          <w:spacing w:val="-6"/>
        </w:rPr>
        <w:t> </w:t>
      </w:r>
      <w:r>
        <w:rPr/>
        <w:t>fælles</w:t>
      </w:r>
      <w:r>
        <w:rPr>
          <w:spacing w:val="-4"/>
        </w:rPr>
        <w:t> </w:t>
      </w:r>
      <w:r>
        <w:rPr/>
        <w:t>database</w:t>
      </w:r>
      <w:r>
        <w:rPr>
          <w:spacing w:val="-4"/>
        </w:rPr>
        <w:t> </w:t>
      </w:r>
      <w:r>
        <w:rPr/>
        <w:t>for</w:t>
      </w:r>
      <w:r>
        <w:rPr>
          <w:spacing w:val="-4"/>
        </w:rPr>
        <w:t> </w:t>
      </w:r>
      <w:r>
        <w:rPr/>
        <w:t>fysiske</w:t>
      </w:r>
      <w:r>
        <w:rPr>
          <w:spacing w:val="-4"/>
        </w:rPr>
        <w:t> </w:t>
      </w:r>
      <w:r>
        <w:rPr/>
        <w:t>data</w:t>
      </w:r>
      <w:r>
        <w:rPr>
          <w:spacing w:val="-4"/>
        </w:rPr>
        <w:t> </w:t>
      </w:r>
      <w:r>
        <w:rPr/>
        <w:t>(tværprofiler</w:t>
      </w:r>
      <w:r>
        <w:rPr>
          <w:spacing w:val="-4"/>
        </w:rPr>
        <w:t> </w:t>
      </w:r>
      <w:r>
        <w:rPr/>
        <w:t>mm.)</w:t>
      </w:r>
      <w:r>
        <w:rPr>
          <w:spacing w:val="-2"/>
        </w:rPr>
        <w:t> </w:t>
      </w:r>
      <w:r>
        <w:rPr/>
        <w:t>der</w:t>
      </w:r>
      <w:r>
        <w:rPr>
          <w:spacing w:val="-4"/>
        </w:rPr>
        <w:t> </w:t>
      </w:r>
      <w:r>
        <w:rPr/>
        <w:t>er</w:t>
      </w:r>
      <w:r>
        <w:rPr>
          <w:spacing w:val="-4"/>
        </w:rPr>
        <w:t> </w:t>
      </w:r>
      <w:r>
        <w:rPr/>
        <w:t>kompa- tibel med Detaljeret Højdemodel/100 m DK-model vandløbsforløb</w:t>
      </w:r>
      <w:r>
        <w:rPr>
          <w:spacing w:val="-17"/>
        </w:rPr>
        <w:t> </w:t>
      </w:r>
      <w:r>
        <w:rPr/>
        <w:t>(’riverline’).</w:t>
      </w:r>
    </w:p>
    <w:p>
      <w:pPr>
        <w:pStyle w:val="BodyText"/>
        <w:spacing w:before="4"/>
        <w:rPr>
          <w:sz w:val="25"/>
        </w:rPr>
      </w:pPr>
    </w:p>
    <w:p>
      <w:pPr>
        <w:pStyle w:val="BodyText"/>
        <w:spacing w:line="288" w:lineRule="auto"/>
        <w:ind w:left="525" w:right="729"/>
        <w:jc w:val="both"/>
      </w:pPr>
      <w:r>
        <w:rPr/>
        <w:t>Men en forbedret DK-model kan ikke stå alene. For de vandløbsstrækninger, hvor det vur- deres, at der er stor risiko for oversvømmelse, og hvor der er behov for styring af klimasik- ringsanlæg, som for eksempel under planlægning i Storå opstrøms Holstebro, skal den be- skrevne</w:t>
      </w:r>
      <w:r>
        <w:rPr>
          <w:spacing w:val="-6"/>
        </w:rPr>
        <w:t> </w:t>
      </w:r>
      <w:r>
        <w:rPr/>
        <w:t>forbedrede</w:t>
      </w:r>
      <w:r>
        <w:rPr>
          <w:spacing w:val="-11"/>
        </w:rPr>
        <w:t> </w:t>
      </w:r>
      <w:r>
        <w:rPr/>
        <w:t>model</w:t>
      </w:r>
      <w:r>
        <w:rPr>
          <w:spacing w:val="-7"/>
        </w:rPr>
        <w:t> </w:t>
      </w:r>
      <w:r>
        <w:rPr/>
        <w:t>suppleres</w:t>
      </w:r>
      <w:r>
        <w:rPr>
          <w:spacing w:val="-8"/>
        </w:rPr>
        <w:t> </w:t>
      </w:r>
      <w:r>
        <w:rPr/>
        <w:t>med</w:t>
      </w:r>
      <w:r>
        <w:rPr>
          <w:spacing w:val="-6"/>
        </w:rPr>
        <w:t> </w:t>
      </w:r>
      <w:r>
        <w:rPr/>
        <w:t>en</w:t>
      </w:r>
      <w:r>
        <w:rPr>
          <w:spacing w:val="-8"/>
        </w:rPr>
        <w:t> </w:t>
      </w:r>
      <w:r>
        <w:rPr/>
        <w:t>lokal</w:t>
      </w:r>
      <w:r>
        <w:rPr>
          <w:spacing w:val="-7"/>
        </w:rPr>
        <w:t> </w:t>
      </w:r>
      <w:r>
        <w:rPr/>
        <w:t>vandløbsmodel</w:t>
      </w:r>
      <w:r>
        <w:rPr>
          <w:spacing w:val="-5"/>
        </w:rPr>
        <w:t> </w:t>
      </w:r>
      <w:r>
        <w:rPr/>
        <w:t>f.eks.</w:t>
      </w:r>
      <w:r>
        <w:rPr>
          <w:spacing w:val="-9"/>
        </w:rPr>
        <w:t> </w:t>
      </w:r>
      <w:r>
        <w:rPr/>
        <w:t>med</w:t>
      </w:r>
      <w:r>
        <w:rPr>
          <w:spacing w:val="-8"/>
        </w:rPr>
        <w:t> </w:t>
      </w:r>
      <w:r>
        <w:rPr/>
        <w:t>en</w:t>
      </w:r>
      <w:r>
        <w:rPr>
          <w:spacing w:val="-5"/>
        </w:rPr>
        <w:t> </w:t>
      </w:r>
      <w:r>
        <w:rPr/>
        <w:t>hydrodyna- misk MIKE HYDRO river eller et simplere stationært</w:t>
      </w:r>
      <w:r>
        <w:rPr>
          <w:spacing w:val="-12"/>
        </w:rPr>
        <w:t> </w:t>
      </w:r>
      <w:r>
        <w:rPr/>
        <w:t>beregningsmodul.</w:t>
      </w:r>
    </w:p>
    <w:p>
      <w:pPr>
        <w:spacing w:after="0" w:line="288" w:lineRule="auto"/>
        <w:jc w:val="both"/>
        <w:sectPr>
          <w:pgSz w:w="11910" w:h="16850"/>
          <w:pgMar w:header="0" w:footer="857" w:top="1600" w:bottom="1120" w:left="1460" w:right="680"/>
        </w:sectPr>
      </w:pPr>
    </w:p>
    <w:p>
      <w:pPr>
        <w:spacing w:before="39"/>
        <w:ind w:left="525" w:right="0" w:firstLine="0"/>
        <w:jc w:val="left"/>
        <w:rPr>
          <w:rFonts w:ascii="Calibri" w:hAnsi="Calibri"/>
          <w:i/>
          <w:sz w:val="18"/>
        </w:rPr>
      </w:pPr>
      <w:bookmarkStart w:name="_bookmark3" w:id="7"/>
      <w:bookmarkEnd w:id="7"/>
      <w:r>
        <w:rPr/>
      </w:r>
      <w:r>
        <w:rPr>
          <w:rFonts w:ascii="Calibri" w:hAnsi="Calibri"/>
          <w:i/>
          <w:color w:val="44536A"/>
          <w:sz w:val="18"/>
        </w:rPr>
        <w:t>Tabel 1 Løsningsforslag I – IV. Fordele, ulemper, omkostninger og samfundsmæssige gevinster.</w:t>
      </w:r>
    </w:p>
    <w:p>
      <w:pPr>
        <w:pStyle w:val="BodyText"/>
        <w:spacing w:before="3" w:after="1"/>
        <w:rPr>
          <w:rFonts w:ascii="Calibri"/>
          <w:i/>
          <w:sz w:val="16"/>
        </w:r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9"/>
        <w:gridCol w:w="1842"/>
        <w:gridCol w:w="1844"/>
        <w:gridCol w:w="1844"/>
        <w:gridCol w:w="1979"/>
      </w:tblGrid>
      <w:tr>
        <w:trPr>
          <w:trHeight w:val="577" w:hRule="atLeast"/>
        </w:trPr>
        <w:tc>
          <w:tcPr>
            <w:tcW w:w="989" w:type="dxa"/>
          </w:tcPr>
          <w:p>
            <w:pPr>
              <w:pStyle w:val="TableParagraph"/>
              <w:spacing w:line="239" w:lineRule="exact"/>
              <w:ind w:left="107"/>
              <w:jc w:val="left"/>
              <w:rPr>
                <w:sz w:val="21"/>
              </w:rPr>
            </w:pPr>
            <w:r>
              <w:rPr>
                <w:sz w:val="21"/>
              </w:rPr>
              <w:t>Løsning</w:t>
            </w:r>
          </w:p>
        </w:tc>
        <w:tc>
          <w:tcPr>
            <w:tcW w:w="1842" w:type="dxa"/>
          </w:tcPr>
          <w:p>
            <w:pPr>
              <w:pStyle w:val="TableParagraph"/>
              <w:spacing w:line="239" w:lineRule="exact"/>
              <w:ind w:left="107"/>
              <w:jc w:val="left"/>
              <w:rPr>
                <w:sz w:val="21"/>
              </w:rPr>
            </w:pPr>
            <w:r>
              <w:rPr>
                <w:sz w:val="21"/>
              </w:rPr>
              <w:t>Fordele</w:t>
            </w:r>
          </w:p>
        </w:tc>
        <w:tc>
          <w:tcPr>
            <w:tcW w:w="1844" w:type="dxa"/>
          </w:tcPr>
          <w:p>
            <w:pPr>
              <w:pStyle w:val="TableParagraph"/>
              <w:spacing w:line="239" w:lineRule="exact"/>
              <w:ind w:left="106"/>
              <w:jc w:val="left"/>
              <w:rPr>
                <w:sz w:val="21"/>
              </w:rPr>
            </w:pPr>
            <w:r>
              <w:rPr>
                <w:sz w:val="21"/>
              </w:rPr>
              <w:t>Ulemper</w:t>
            </w:r>
          </w:p>
        </w:tc>
        <w:tc>
          <w:tcPr>
            <w:tcW w:w="1844" w:type="dxa"/>
          </w:tcPr>
          <w:p>
            <w:pPr>
              <w:pStyle w:val="TableParagraph"/>
              <w:spacing w:line="239" w:lineRule="exact"/>
              <w:ind w:left="106"/>
              <w:jc w:val="left"/>
              <w:rPr>
                <w:sz w:val="21"/>
              </w:rPr>
            </w:pPr>
            <w:r>
              <w:rPr>
                <w:sz w:val="21"/>
              </w:rPr>
              <w:t>Omkostninger</w:t>
            </w:r>
          </w:p>
        </w:tc>
        <w:tc>
          <w:tcPr>
            <w:tcW w:w="1979" w:type="dxa"/>
          </w:tcPr>
          <w:p>
            <w:pPr>
              <w:pStyle w:val="TableParagraph"/>
              <w:spacing w:line="239" w:lineRule="exact"/>
              <w:ind w:left="105"/>
              <w:jc w:val="left"/>
              <w:rPr>
                <w:sz w:val="21"/>
              </w:rPr>
            </w:pPr>
            <w:r>
              <w:rPr>
                <w:sz w:val="21"/>
              </w:rPr>
              <w:t>Samfundsmæs-</w:t>
            </w:r>
          </w:p>
          <w:p>
            <w:pPr>
              <w:pStyle w:val="TableParagraph"/>
              <w:spacing w:before="49"/>
              <w:ind w:left="105"/>
              <w:jc w:val="left"/>
              <w:rPr>
                <w:sz w:val="21"/>
              </w:rPr>
            </w:pPr>
            <w:r>
              <w:rPr>
                <w:sz w:val="21"/>
              </w:rPr>
              <w:t>sige gevinster</w:t>
            </w:r>
          </w:p>
        </w:tc>
      </w:tr>
      <w:tr>
        <w:trPr>
          <w:trHeight w:val="5217" w:hRule="atLeast"/>
        </w:trPr>
        <w:tc>
          <w:tcPr>
            <w:tcW w:w="989" w:type="dxa"/>
          </w:tcPr>
          <w:p>
            <w:pPr>
              <w:pStyle w:val="TableParagraph"/>
              <w:spacing w:line="241" w:lineRule="exact"/>
              <w:ind w:left="107"/>
              <w:jc w:val="left"/>
              <w:rPr>
                <w:sz w:val="21"/>
              </w:rPr>
            </w:pPr>
            <w:r>
              <w:rPr>
                <w:w w:val="100"/>
                <w:sz w:val="21"/>
              </w:rPr>
              <w:t>I</w:t>
            </w:r>
          </w:p>
        </w:tc>
        <w:tc>
          <w:tcPr>
            <w:tcW w:w="1842" w:type="dxa"/>
          </w:tcPr>
          <w:p>
            <w:pPr>
              <w:pStyle w:val="TableParagraph"/>
              <w:spacing w:line="288" w:lineRule="auto" w:before="1"/>
              <w:ind w:left="107" w:right="174"/>
              <w:jc w:val="left"/>
              <w:rPr>
                <w:sz w:val="18"/>
              </w:rPr>
            </w:pPr>
            <w:r>
              <w:rPr>
                <w:sz w:val="18"/>
              </w:rPr>
              <w:t>Forbedret nøjagtig- hed i simulering af terrænnært grund- vand. Kan kalibre- res for hele landet. Hurtig beregnings- tid.</w:t>
            </w:r>
          </w:p>
        </w:tc>
        <w:tc>
          <w:tcPr>
            <w:tcW w:w="1844" w:type="dxa"/>
          </w:tcPr>
          <w:p>
            <w:pPr>
              <w:pStyle w:val="TableParagraph"/>
              <w:spacing w:line="288" w:lineRule="auto" w:before="1"/>
              <w:ind w:left="106" w:right="147"/>
              <w:jc w:val="left"/>
              <w:rPr>
                <w:sz w:val="18"/>
              </w:rPr>
            </w:pPr>
            <w:r>
              <w:rPr>
                <w:sz w:val="18"/>
              </w:rPr>
              <w:t>Grov opløsning (500 m), ringe mu- lighed for nedskale- ring til 10 m.</w:t>
            </w:r>
          </w:p>
          <w:p>
            <w:pPr>
              <w:pStyle w:val="TableParagraph"/>
              <w:spacing w:before="3"/>
              <w:jc w:val="left"/>
              <w:rPr>
                <w:rFonts w:ascii="Calibri"/>
                <w:i/>
                <w:sz w:val="20"/>
              </w:rPr>
            </w:pPr>
          </w:p>
          <w:p>
            <w:pPr>
              <w:pStyle w:val="TableParagraph"/>
              <w:spacing w:line="288" w:lineRule="auto"/>
              <w:ind w:left="106" w:right="104"/>
              <w:jc w:val="left"/>
              <w:rPr>
                <w:sz w:val="18"/>
              </w:rPr>
            </w:pPr>
            <w:r>
              <w:rPr>
                <w:sz w:val="18"/>
              </w:rPr>
              <w:t>Der udarbejdes ved denne løsning ikke en ny ’riverline’ med tværprofiler der er kompatible med Danmarks Højde- model (som for løs- ning II-IV for 100 m DK-model). Udfor- drende for brugere at simulere vand- stand i vandløb og vand på terræn med eksterne moduler.</w:t>
            </w:r>
          </w:p>
        </w:tc>
        <w:tc>
          <w:tcPr>
            <w:tcW w:w="1844" w:type="dxa"/>
          </w:tcPr>
          <w:p>
            <w:pPr>
              <w:pStyle w:val="TableParagraph"/>
              <w:spacing w:line="288" w:lineRule="auto" w:before="1"/>
              <w:ind w:left="106" w:right="87"/>
              <w:jc w:val="left"/>
              <w:rPr>
                <w:sz w:val="18"/>
              </w:rPr>
            </w:pPr>
            <w:r>
              <w:rPr>
                <w:sz w:val="18"/>
              </w:rPr>
              <w:t>Omkostninger til for- bedring af drænop- sætning, indsamling af pejlinger fra Regi- oner og kalibrering af model er relativt begrænsede.</w:t>
            </w:r>
          </w:p>
          <w:p>
            <w:pPr>
              <w:pStyle w:val="TableParagraph"/>
              <w:spacing w:line="288" w:lineRule="auto"/>
              <w:ind w:left="106" w:right="87"/>
              <w:jc w:val="left"/>
              <w:rPr>
                <w:sz w:val="18"/>
              </w:rPr>
            </w:pPr>
            <w:r>
              <w:rPr>
                <w:sz w:val="18"/>
              </w:rPr>
              <w:t>Løsningen forud- sætter at eksterne moduler skal ind- læse fysiske data (tværprofiler, byg- værker mm.) fra lo- kale kommunale da- tabaser, som ligger i mange forskellige formater. Disse data forventes at blive til- gængelige i FODS</w:t>
            </w:r>
          </w:p>
          <w:p>
            <w:pPr>
              <w:pStyle w:val="TableParagraph"/>
              <w:ind w:left="106"/>
              <w:jc w:val="left"/>
              <w:rPr>
                <w:sz w:val="18"/>
              </w:rPr>
            </w:pPr>
            <w:r>
              <w:rPr>
                <w:sz w:val="18"/>
              </w:rPr>
              <w:t>6.1 projekt ”Samling</w:t>
            </w:r>
          </w:p>
          <w:p>
            <w:pPr>
              <w:pStyle w:val="TableParagraph"/>
              <w:spacing w:before="40"/>
              <w:ind w:left="106"/>
              <w:jc w:val="left"/>
              <w:rPr>
                <w:sz w:val="18"/>
              </w:rPr>
            </w:pPr>
            <w:r>
              <w:rPr>
                <w:sz w:val="18"/>
              </w:rPr>
              <w:t>af vandløbsdata”</w:t>
            </w:r>
          </w:p>
        </w:tc>
        <w:tc>
          <w:tcPr>
            <w:tcW w:w="1979" w:type="dxa"/>
          </w:tcPr>
          <w:p>
            <w:pPr>
              <w:pStyle w:val="TableParagraph"/>
              <w:spacing w:line="288" w:lineRule="auto" w:before="1"/>
              <w:ind w:left="105" w:right="105"/>
              <w:jc w:val="left"/>
              <w:rPr>
                <w:sz w:val="18"/>
              </w:rPr>
            </w:pPr>
            <w:r>
              <w:rPr>
                <w:sz w:val="18"/>
              </w:rPr>
              <w:t>Der tilvejebringes en 500 m referencemo- del som kan give flow randbetingelser og præ-kalibrerede para- meterinput til lokale modeller (fx 100 m modeller). Bedre ud- gangspunkt for vurde- ring af oversvømmel- sesrisiko ved brug af eksterne moduler/el- ler lokale hydrodyna- miske modeller.</w:t>
            </w:r>
          </w:p>
        </w:tc>
      </w:tr>
      <w:tr>
        <w:trPr>
          <w:trHeight w:val="5215" w:hRule="atLeast"/>
        </w:trPr>
        <w:tc>
          <w:tcPr>
            <w:tcW w:w="989" w:type="dxa"/>
          </w:tcPr>
          <w:p>
            <w:pPr>
              <w:pStyle w:val="TableParagraph"/>
              <w:spacing w:line="239" w:lineRule="exact"/>
              <w:ind w:left="107"/>
              <w:jc w:val="left"/>
              <w:rPr>
                <w:sz w:val="21"/>
              </w:rPr>
            </w:pPr>
            <w:r>
              <w:rPr>
                <w:sz w:val="21"/>
              </w:rPr>
              <w:t>II</w:t>
            </w:r>
          </w:p>
        </w:tc>
        <w:tc>
          <w:tcPr>
            <w:tcW w:w="1842" w:type="dxa"/>
          </w:tcPr>
          <w:p>
            <w:pPr>
              <w:pStyle w:val="TableParagraph"/>
              <w:spacing w:line="288" w:lineRule="auto"/>
              <w:ind w:left="107" w:right="143"/>
              <w:jc w:val="left"/>
              <w:rPr>
                <w:sz w:val="18"/>
              </w:rPr>
            </w:pPr>
            <w:r>
              <w:rPr>
                <w:sz w:val="18"/>
              </w:rPr>
              <w:t>Forbedret nøjagtig- hed i simulering af terrænnært grund- vand og afstrøm- ning i små vandløb. Terrænnært grund- vand kan nedskale- res til fx 10 m.</w:t>
            </w:r>
          </w:p>
          <w:p>
            <w:pPr>
              <w:pStyle w:val="TableParagraph"/>
              <w:spacing w:line="288" w:lineRule="auto"/>
              <w:ind w:left="107" w:right="124"/>
              <w:jc w:val="left"/>
              <w:rPr>
                <w:sz w:val="18"/>
              </w:rPr>
            </w:pPr>
            <w:r>
              <w:rPr>
                <w:sz w:val="18"/>
              </w:rPr>
              <w:t>Forbedret udgangs- punkt for eksterne moduler udtrukket fra DK-model til fx HYMOD (ny river- line, nyt vandløbs- setup).</w:t>
            </w:r>
          </w:p>
        </w:tc>
        <w:tc>
          <w:tcPr>
            <w:tcW w:w="1844" w:type="dxa"/>
          </w:tcPr>
          <w:p>
            <w:pPr>
              <w:pStyle w:val="TableParagraph"/>
              <w:spacing w:line="288" w:lineRule="auto"/>
              <w:ind w:left="106" w:right="187"/>
              <w:jc w:val="left"/>
              <w:rPr>
                <w:sz w:val="18"/>
              </w:rPr>
            </w:pPr>
            <w:r>
              <w:rPr>
                <w:sz w:val="18"/>
              </w:rPr>
              <w:t>Øgede kørselstider (50 gange i forhold til løsning I). Tids- krævende at kali- brere modellen i 100 m.</w:t>
            </w:r>
          </w:p>
          <w:p>
            <w:pPr>
              <w:pStyle w:val="TableParagraph"/>
              <w:spacing w:line="288" w:lineRule="auto"/>
              <w:ind w:left="106" w:right="87"/>
              <w:jc w:val="left"/>
              <w:rPr>
                <w:sz w:val="18"/>
              </w:rPr>
            </w:pPr>
            <w:r>
              <w:rPr>
                <w:sz w:val="18"/>
              </w:rPr>
              <w:t>Beregning af vand- stand kan ske med eksterne moduler (HYMOD), men løs- ningen omfatter ikke indbygning af kom- plicerede bygvær- ker og hydrodyna- misk løsning, og dy- namisk beregning af vandstande i vand- løb er ikke muligt.</w:t>
            </w:r>
          </w:p>
        </w:tc>
        <w:tc>
          <w:tcPr>
            <w:tcW w:w="1844" w:type="dxa"/>
          </w:tcPr>
          <w:p>
            <w:pPr>
              <w:pStyle w:val="TableParagraph"/>
              <w:spacing w:line="288" w:lineRule="auto"/>
              <w:ind w:left="106" w:right="87"/>
              <w:jc w:val="left"/>
              <w:rPr>
                <w:sz w:val="18"/>
              </w:rPr>
            </w:pPr>
            <w:r>
              <w:rPr>
                <w:sz w:val="18"/>
              </w:rPr>
              <w:t>Omkostninger til op- sætning af 100 m model er betydelige. Omkostningerne til national kalibrering i 100 m er meget store pga. øgede beregningstider.</w:t>
            </w:r>
          </w:p>
          <w:p>
            <w:pPr>
              <w:pStyle w:val="TableParagraph"/>
              <w:spacing w:line="288" w:lineRule="auto"/>
              <w:ind w:left="106" w:right="107"/>
              <w:jc w:val="left"/>
              <w:rPr>
                <w:sz w:val="18"/>
              </w:rPr>
            </w:pPr>
            <w:r>
              <w:rPr>
                <w:sz w:val="18"/>
              </w:rPr>
              <w:t>Løsningen forud- sætter (som I) at eksterne moduler skal indlæse fysiske data (tværprofiler, bygværker mm.) fra lokale kommunale databaser. Disse data forventes at blive tilgængelige i FODS 6.1 projekt ”Samling af vand-</w:t>
            </w:r>
          </w:p>
          <w:p>
            <w:pPr>
              <w:pStyle w:val="TableParagraph"/>
              <w:ind w:left="106"/>
              <w:jc w:val="left"/>
              <w:rPr>
                <w:sz w:val="18"/>
              </w:rPr>
            </w:pPr>
            <w:r>
              <w:rPr>
                <w:sz w:val="18"/>
              </w:rPr>
              <w:t>løbsdata”</w:t>
            </w:r>
          </w:p>
        </w:tc>
        <w:tc>
          <w:tcPr>
            <w:tcW w:w="1979" w:type="dxa"/>
          </w:tcPr>
          <w:p>
            <w:pPr>
              <w:pStyle w:val="TableParagraph"/>
              <w:spacing w:line="288" w:lineRule="auto"/>
              <w:ind w:left="105" w:right="93"/>
              <w:jc w:val="left"/>
              <w:rPr>
                <w:sz w:val="18"/>
              </w:rPr>
            </w:pPr>
            <w:r>
              <w:rPr>
                <w:sz w:val="18"/>
              </w:rPr>
              <w:t>Løsningen giver pri- mært gevinster i for- hold til væsentligt for- bedret simulering af detaljeret kort af dybde til terrænnært grundvand i 100 m (efter nedskalering jf. DHM yderligere detal- jering til fx 10 m).</w:t>
            </w:r>
          </w:p>
          <w:p>
            <w:pPr>
              <w:pStyle w:val="TableParagraph"/>
              <w:spacing w:line="288" w:lineRule="auto"/>
              <w:ind w:left="105" w:right="118"/>
              <w:jc w:val="left"/>
              <w:rPr>
                <w:sz w:val="18"/>
              </w:rPr>
            </w:pPr>
            <w:r>
              <w:rPr>
                <w:sz w:val="18"/>
              </w:rPr>
              <w:t>Desuden et bedre ud- gangspunkt for brug af eksterne moduler til fx vandstandssimu- lering i vandløb, vandføringsevne</w:t>
            </w:r>
            <w:r>
              <w:rPr>
                <w:spacing w:val="-6"/>
                <w:sz w:val="18"/>
              </w:rPr>
              <w:t> </w:t>
            </w:r>
            <w:r>
              <w:rPr>
                <w:sz w:val="18"/>
              </w:rPr>
              <w:t>mm.</w:t>
            </w:r>
          </w:p>
        </w:tc>
      </w:tr>
      <w:tr>
        <w:trPr>
          <w:trHeight w:val="1989" w:hRule="atLeast"/>
        </w:trPr>
        <w:tc>
          <w:tcPr>
            <w:tcW w:w="989" w:type="dxa"/>
          </w:tcPr>
          <w:p>
            <w:pPr>
              <w:pStyle w:val="TableParagraph"/>
              <w:spacing w:line="239" w:lineRule="exact"/>
              <w:ind w:left="107"/>
              <w:jc w:val="left"/>
              <w:rPr>
                <w:sz w:val="21"/>
              </w:rPr>
            </w:pPr>
            <w:r>
              <w:rPr>
                <w:sz w:val="21"/>
              </w:rPr>
              <w:t>III</w:t>
            </w:r>
          </w:p>
        </w:tc>
        <w:tc>
          <w:tcPr>
            <w:tcW w:w="1842" w:type="dxa"/>
          </w:tcPr>
          <w:p>
            <w:pPr>
              <w:pStyle w:val="TableParagraph"/>
              <w:spacing w:line="288" w:lineRule="auto"/>
              <w:ind w:left="107" w:right="124"/>
              <w:jc w:val="left"/>
              <w:rPr>
                <w:sz w:val="18"/>
              </w:rPr>
            </w:pPr>
            <w:r>
              <w:rPr>
                <w:sz w:val="18"/>
              </w:rPr>
              <w:t>Giver mulighed for dynamisk simule- ring af vandstande i vandløb på basis af hydrodynamisk be- regning samt dybde til terrænnært</w:t>
            </w:r>
          </w:p>
          <w:p>
            <w:pPr>
              <w:pStyle w:val="TableParagraph"/>
              <w:ind w:left="107"/>
              <w:jc w:val="left"/>
              <w:rPr>
                <w:sz w:val="18"/>
              </w:rPr>
            </w:pPr>
            <w:r>
              <w:rPr>
                <w:sz w:val="18"/>
              </w:rPr>
              <w:t>grundvand med i en</w:t>
            </w:r>
          </w:p>
        </w:tc>
        <w:tc>
          <w:tcPr>
            <w:tcW w:w="1844" w:type="dxa"/>
          </w:tcPr>
          <w:p>
            <w:pPr>
              <w:pStyle w:val="TableParagraph"/>
              <w:spacing w:line="288" w:lineRule="auto"/>
              <w:ind w:left="106" w:right="97"/>
              <w:jc w:val="left"/>
              <w:rPr>
                <w:sz w:val="18"/>
              </w:rPr>
            </w:pPr>
            <w:r>
              <w:rPr>
                <w:sz w:val="18"/>
              </w:rPr>
              <w:t>Meget tungt at køre, og meget ressour- cekrævende at ind- bygge tværprofiler, bygværker, brede profiler mm.</w:t>
            </w:r>
          </w:p>
          <w:p>
            <w:pPr>
              <w:pStyle w:val="TableParagraph"/>
              <w:ind w:left="106"/>
              <w:jc w:val="left"/>
              <w:rPr>
                <w:sz w:val="18"/>
              </w:rPr>
            </w:pPr>
            <w:r>
              <w:rPr>
                <w:sz w:val="18"/>
              </w:rPr>
              <w:t>Svært at kalibrere.</w:t>
            </w:r>
          </w:p>
        </w:tc>
        <w:tc>
          <w:tcPr>
            <w:tcW w:w="1844" w:type="dxa"/>
          </w:tcPr>
          <w:p>
            <w:pPr>
              <w:pStyle w:val="TableParagraph"/>
              <w:spacing w:line="288" w:lineRule="auto"/>
              <w:ind w:left="106" w:right="97"/>
              <w:jc w:val="left"/>
              <w:rPr>
                <w:sz w:val="18"/>
              </w:rPr>
            </w:pPr>
            <w:r>
              <w:rPr>
                <w:sz w:val="18"/>
              </w:rPr>
              <w:t>Omkostninger til op- sætning af integre- ret model for hele landet er meget be- tragtelige og vil kræve en meget høj grad af</w:t>
            </w:r>
            <w:r>
              <w:rPr>
                <w:spacing w:val="-4"/>
                <w:sz w:val="18"/>
              </w:rPr>
              <w:t> </w:t>
            </w:r>
            <w:r>
              <w:rPr>
                <w:sz w:val="18"/>
              </w:rPr>
              <w:t>interessent-</w:t>
            </w:r>
          </w:p>
          <w:p>
            <w:pPr>
              <w:pStyle w:val="TableParagraph"/>
              <w:ind w:left="106"/>
              <w:jc w:val="left"/>
              <w:rPr>
                <w:sz w:val="18"/>
              </w:rPr>
            </w:pPr>
            <w:r>
              <w:rPr>
                <w:sz w:val="18"/>
              </w:rPr>
              <w:t>involvering (for at</w:t>
            </w:r>
            <w:r>
              <w:rPr>
                <w:spacing w:val="-9"/>
                <w:sz w:val="18"/>
              </w:rPr>
              <w:t> </w:t>
            </w:r>
            <w:r>
              <w:rPr>
                <w:sz w:val="18"/>
              </w:rPr>
              <w:t>få</w:t>
            </w:r>
          </w:p>
        </w:tc>
        <w:tc>
          <w:tcPr>
            <w:tcW w:w="1979" w:type="dxa"/>
          </w:tcPr>
          <w:p>
            <w:pPr>
              <w:pStyle w:val="TableParagraph"/>
              <w:spacing w:line="288" w:lineRule="auto"/>
              <w:ind w:left="105" w:right="203"/>
              <w:jc w:val="left"/>
              <w:rPr>
                <w:sz w:val="18"/>
              </w:rPr>
            </w:pPr>
            <w:r>
              <w:rPr>
                <w:sz w:val="18"/>
              </w:rPr>
              <w:t>Mulighed for at ind- bygge alle de data der findes og som er relevante for simule- ring af vandstande i vandløb og over- svømmelser i en</w:t>
            </w:r>
          </w:p>
        </w:tc>
      </w:tr>
    </w:tbl>
    <w:p>
      <w:pPr>
        <w:spacing w:after="0" w:line="288" w:lineRule="auto"/>
        <w:jc w:val="left"/>
        <w:rPr>
          <w:sz w:val="18"/>
        </w:rPr>
        <w:sectPr>
          <w:pgSz w:w="11910" w:h="16850"/>
          <w:pgMar w:header="0" w:footer="857" w:top="1380" w:bottom="1120" w:left="1460" w:right="680"/>
        </w:sect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9"/>
        <w:gridCol w:w="1842"/>
        <w:gridCol w:w="1844"/>
        <w:gridCol w:w="1844"/>
        <w:gridCol w:w="1979"/>
      </w:tblGrid>
      <w:tr>
        <w:trPr>
          <w:trHeight w:val="1490" w:hRule="atLeast"/>
        </w:trPr>
        <w:tc>
          <w:tcPr>
            <w:tcW w:w="989" w:type="dxa"/>
          </w:tcPr>
          <w:p>
            <w:pPr>
              <w:pStyle w:val="TableParagraph"/>
              <w:jc w:val="left"/>
              <w:rPr>
                <w:rFonts w:ascii="Times New Roman"/>
                <w:sz w:val="18"/>
              </w:rPr>
            </w:pPr>
          </w:p>
        </w:tc>
        <w:tc>
          <w:tcPr>
            <w:tcW w:w="1842" w:type="dxa"/>
          </w:tcPr>
          <w:p>
            <w:pPr>
              <w:pStyle w:val="TableParagraph"/>
              <w:spacing w:line="288" w:lineRule="auto"/>
              <w:ind w:left="107" w:right="153"/>
              <w:jc w:val="left"/>
              <w:rPr>
                <w:sz w:val="18"/>
              </w:rPr>
            </w:pPr>
            <w:r>
              <w:rPr>
                <w:sz w:val="18"/>
              </w:rPr>
              <w:t>fuld integreret mo- del. Det vil være en fordel fx tæt på ud- løb da tidslig varia- tion i havvandstand</w:t>
            </w:r>
          </w:p>
          <w:p>
            <w:pPr>
              <w:pStyle w:val="TableParagraph"/>
              <w:spacing w:line="206" w:lineRule="exact"/>
              <w:ind w:left="107"/>
              <w:jc w:val="left"/>
              <w:rPr>
                <w:sz w:val="18"/>
              </w:rPr>
            </w:pPr>
            <w:r>
              <w:rPr>
                <w:sz w:val="18"/>
              </w:rPr>
              <w:t>kan indgå.</w:t>
            </w:r>
          </w:p>
        </w:tc>
        <w:tc>
          <w:tcPr>
            <w:tcW w:w="1844" w:type="dxa"/>
          </w:tcPr>
          <w:p>
            <w:pPr>
              <w:pStyle w:val="TableParagraph"/>
              <w:spacing w:line="288" w:lineRule="auto"/>
              <w:ind w:left="106" w:right="117"/>
              <w:jc w:val="left"/>
              <w:rPr>
                <w:sz w:val="18"/>
              </w:rPr>
            </w:pPr>
            <w:r>
              <w:rPr>
                <w:sz w:val="18"/>
              </w:rPr>
              <w:t>Tilstrækkelig perfor- mance på vand- stand i vandløb vil ikke kunne garante- res nationalt</w:t>
            </w:r>
            <w:r>
              <w:rPr>
                <w:spacing w:val="-2"/>
                <w:sz w:val="18"/>
              </w:rPr>
              <w:t> </w:t>
            </w:r>
            <w:r>
              <w:rPr>
                <w:sz w:val="18"/>
              </w:rPr>
              <w:t>for</w:t>
            </w:r>
          </w:p>
          <w:p>
            <w:pPr>
              <w:pStyle w:val="TableParagraph"/>
              <w:spacing w:line="206" w:lineRule="exact"/>
              <w:ind w:left="106"/>
              <w:jc w:val="left"/>
              <w:rPr>
                <w:sz w:val="18"/>
              </w:rPr>
            </w:pPr>
            <w:r>
              <w:rPr>
                <w:sz w:val="18"/>
              </w:rPr>
              <w:t>ekstrem</w:t>
            </w:r>
            <w:r>
              <w:rPr>
                <w:spacing w:val="-5"/>
                <w:sz w:val="18"/>
              </w:rPr>
              <w:t> </w:t>
            </w:r>
            <w:r>
              <w:rPr>
                <w:sz w:val="18"/>
              </w:rPr>
              <w:t>events.</w:t>
            </w:r>
          </w:p>
        </w:tc>
        <w:tc>
          <w:tcPr>
            <w:tcW w:w="1844" w:type="dxa"/>
          </w:tcPr>
          <w:p>
            <w:pPr>
              <w:pStyle w:val="TableParagraph"/>
              <w:spacing w:line="288" w:lineRule="auto"/>
              <w:ind w:left="106" w:right="167"/>
              <w:jc w:val="left"/>
              <w:rPr>
                <w:sz w:val="18"/>
              </w:rPr>
            </w:pPr>
            <w:r>
              <w:rPr>
                <w:sz w:val="18"/>
              </w:rPr>
              <w:t>lokal viden/data med). Urealistisk at kalibrere 100 m hy- drodynamisk løs- ning på nationalt</w:t>
            </w:r>
          </w:p>
          <w:p>
            <w:pPr>
              <w:pStyle w:val="TableParagraph"/>
              <w:spacing w:line="206" w:lineRule="exact"/>
              <w:ind w:left="106"/>
              <w:jc w:val="left"/>
              <w:rPr>
                <w:sz w:val="18"/>
              </w:rPr>
            </w:pPr>
            <w:r>
              <w:rPr>
                <w:sz w:val="18"/>
              </w:rPr>
              <w:t>plan.</w:t>
            </w:r>
          </w:p>
        </w:tc>
        <w:tc>
          <w:tcPr>
            <w:tcW w:w="1979" w:type="dxa"/>
          </w:tcPr>
          <w:p>
            <w:pPr>
              <w:pStyle w:val="TableParagraph"/>
              <w:spacing w:line="288" w:lineRule="auto"/>
              <w:ind w:left="105" w:right="172"/>
              <w:jc w:val="left"/>
              <w:rPr>
                <w:sz w:val="18"/>
              </w:rPr>
            </w:pPr>
            <w:r>
              <w:rPr>
                <w:sz w:val="18"/>
              </w:rPr>
              <w:t>landsdækkende inte- greret DK-model.</w:t>
            </w:r>
          </w:p>
        </w:tc>
      </w:tr>
      <w:tr>
        <w:trPr>
          <w:trHeight w:val="5959" w:hRule="atLeast"/>
        </w:trPr>
        <w:tc>
          <w:tcPr>
            <w:tcW w:w="989" w:type="dxa"/>
            <w:tcBorders>
              <w:bottom w:val="single" w:sz="6" w:space="0" w:color="000000"/>
            </w:tcBorders>
          </w:tcPr>
          <w:p>
            <w:pPr>
              <w:pStyle w:val="TableParagraph"/>
              <w:spacing w:line="236" w:lineRule="exact"/>
              <w:ind w:left="107"/>
              <w:jc w:val="left"/>
              <w:rPr>
                <w:sz w:val="21"/>
              </w:rPr>
            </w:pPr>
            <w:r>
              <w:rPr>
                <w:sz w:val="21"/>
              </w:rPr>
              <w:t>IV</w:t>
            </w:r>
          </w:p>
        </w:tc>
        <w:tc>
          <w:tcPr>
            <w:tcW w:w="1842" w:type="dxa"/>
            <w:tcBorders>
              <w:bottom w:val="single" w:sz="6" w:space="0" w:color="000000"/>
            </w:tcBorders>
          </w:tcPr>
          <w:p>
            <w:pPr>
              <w:pStyle w:val="TableParagraph"/>
              <w:spacing w:line="288" w:lineRule="auto"/>
              <w:ind w:left="107" w:right="104"/>
              <w:jc w:val="left"/>
              <w:rPr>
                <w:sz w:val="18"/>
              </w:rPr>
            </w:pPr>
            <w:r>
              <w:rPr>
                <w:sz w:val="18"/>
              </w:rPr>
              <w:t>Forbedret nøjagtig i forhold til simulering af terrænnært grundvand. Kan nedskaleres til fx 10 m.</w:t>
            </w:r>
          </w:p>
          <w:p>
            <w:pPr>
              <w:pStyle w:val="TableParagraph"/>
              <w:spacing w:before="2"/>
              <w:jc w:val="left"/>
              <w:rPr>
                <w:rFonts w:ascii="Calibri"/>
                <w:i/>
                <w:sz w:val="20"/>
              </w:rPr>
            </w:pPr>
          </w:p>
          <w:p>
            <w:pPr>
              <w:pStyle w:val="TableParagraph"/>
              <w:spacing w:line="288" w:lineRule="auto"/>
              <w:ind w:left="107" w:right="124"/>
              <w:jc w:val="left"/>
              <w:rPr>
                <w:sz w:val="18"/>
              </w:rPr>
            </w:pPr>
            <w:r>
              <w:rPr>
                <w:sz w:val="18"/>
              </w:rPr>
              <w:t>Forbedret udgangs- punkt for eksterne moduler udtrukket fra DK-model til fx HYMOD (ny river- line, nyt vandløbs- setup).</w:t>
            </w:r>
          </w:p>
        </w:tc>
        <w:tc>
          <w:tcPr>
            <w:tcW w:w="1844" w:type="dxa"/>
            <w:tcBorders>
              <w:bottom w:val="single" w:sz="6" w:space="0" w:color="000000"/>
            </w:tcBorders>
          </w:tcPr>
          <w:p>
            <w:pPr>
              <w:pStyle w:val="TableParagraph"/>
              <w:spacing w:line="288" w:lineRule="auto"/>
              <w:ind w:left="106" w:right="87"/>
              <w:jc w:val="left"/>
              <w:rPr>
                <w:sz w:val="18"/>
              </w:rPr>
            </w:pPr>
            <w:r>
              <w:rPr>
                <w:sz w:val="18"/>
              </w:rPr>
              <w:t>Beregning af vand- stand kan ske med eksterne moduler (HYMOD), men løs- ningen omfatter ikke indbygning af kom- plicerede bygvær- ker og hydrodyna- misk løsning, og dy- namisk beregning af vandstande i vand- løb er ikke muligt.</w:t>
            </w:r>
          </w:p>
        </w:tc>
        <w:tc>
          <w:tcPr>
            <w:tcW w:w="1844" w:type="dxa"/>
            <w:tcBorders>
              <w:bottom w:val="single" w:sz="6" w:space="0" w:color="000000"/>
            </w:tcBorders>
          </w:tcPr>
          <w:p>
            <w:pPr>
              <w:pStyle w:val="TableParagraph"/>
              <w:spacing w:line="288" w:lineRule="auto"/>
              <w:ind w:left="106" w:right="87"/>
              <w:jc w:val="left"/>
              <w:rPr>
                <w:sz w:val="18"/>
              </w:rPr>
            </w:pPr>
            <w:r>
              <w:rPr>
                <w:sz w:val="18"/>
              </w:rPr>
              <w:t>Omkostninger til op- sætning af 100 m model er betydelige. Men omkostnin- gerne til national ka- librering i 500 m er beskedne. Kræver metodeudvikling til optimal parameter overførsel fra 500 m til 100 m.</w:t>
            </w:r>
          </w:p>
          <w:p>
            <w:pPr>
              <w:pStyle w:val="TableParagraph"/>
              <w:spacing w:line="288" w:lineRule="auto"/>
              <w:ind w:left="106" w:right="107"/>
              <w:jc w:val="left"/>
              <w:rPr>
                <w:sz w:val="18"/>
              </w:rPr>
            </w:pPr>
            <w:r>
              <w:rPr>
                <w:sz w:val="18"/>
              </w:rPr>
              <w:t>Løsningen forud- sætter (som I og II) at eksterne moduler skal indlæse fysiske data (tværprofiler, bygværker mm.) fra lokale kommunale databaser. Disse data forventes at blive tilgængelige i FODS 6.1 projekt ”Samling af vand-</w:t>
            </w:r>
          </w:p>
          <w:p>
            <w:pPr>
              <w:pStyle w:val="TableParagraph"/>
              <w:spacing w:line="205" w:lineRule="exact"/>
              <w:ind w:left="106"/>
              <w:jc w:val="left"/>
              <w:rPr>
                <w:sz w:val="18"/>
              </w:rPr>
            </w:pPr>
            <w:r>
              <w:rPr>
                <w:sz w:val="18"/>
              </w:rPr>
              <w:t>løbsdata”</w:t>
            </w:r>
          </w:p>
        </w:tc>
        <w:tc>
          <w:tcPr>
            <w:tcW w:w="1979" w:type="dxa"/>
            <w:tcBorders>
              <w:bottom w:val="single" w:sz="6" w:space="0" w:color="000000"/>
            </w:tcBorders>
          </w:tcPr>
          <w:p>
            <w:pPr>
              <w:pStyle w:val="TableParagraph"/>
              <w:spacing w:line="288" w:lineRule="auto"/>
              <w:ind w:left="105" w:right="93"/>
              <w:jc w:val="left"/>
              <w:rPr>
                <w:sz w:val="18"/>
              </w:rPr>
            </w:pPr>
            <w:r>
              <w:rPr>
                <w:sz w:val="18"/>
              </w:rPr>
              <w:t>Løsningen giver pri- mært gevinster i for- hold til væsentligt for- bedret simulering af detaljeret kort af dybde til terrænnært grundvand i 100 m (efter nedskalering jf. DHM yderligere detal- jering til fx 10 m).</w:t>
            </w:r>
          </w:p>
          <w:p>
            <w:pPr>
              <w:pStyle w:val="TableParagraph"/>
              <w:spacing w:line="288" w:lineRule="auto"/>
              <w:ind w:left="105" w:right="118"/>
              <w:jc w:val="left"/>
              <w:rPr>
                <w:sz w:val="18"/>
              </w:rPr>
            </w:pPr>
            <w:r>
              <w:rPr>
                <w:sz w:val="18"/>
              </w:rPr>
              <w:t>Desuden et bedre ud- gangspunkt for brug af eksterne moduler til fx vandstandssimu- lering i vandløb, vandføringsevne</w:t>
            </w:r>
            <w:r>
              <w:rPr>
                <w:spacing w:val="-6"/>
                <w:sz w:val="18"/>
              </w:rPr>
              <w:t> </w:t>
            </w:r>
            <w:r>
              <w:rPr>
                <w:sz w:val="18"/>
              </w:rPr>
              <w:t>mm.</w:t>
            </w:r>
          </w:p>
        </w:tc>
      </w:tr>
    </w:tbl>
    <w:p>
      <w:pPr>
        <w:pStyle w:val="BodyText"/>
        <w:rPr>
          <w:rFonts w:ascii="Calibri"/>
          <w:i/>
          <w:sz w:val="20"/>
        </w:rPr>
      </w:pPr>
    </w:p>
    <w:p>
      <w:pPr>
        <w:pStyle w:val="BodyText"/>
        <w:spacing w:before="2"/>
        <w:rPr>
          <w:rFonts w:ascii="Calibri"/>
          <w:i/>
        </w:rPr>
      </w:pPr>
    </w:p>
    <w:p>
      <w:pPr>
        <w:pStyle w:val="Heading2"/>
        <w:numPr>
          <w:ilvl w:val="1"/>
          <w:numId w:val="4"/>
        </w:numPr>
        <w:tabs>
          <w:tab w:pos="1141" w:val="left" w:leader="none"/>
          <w:tab w:pos="1142" w:val="left" w:leader="none"/>
        </w:tabs>
        <w:spacing w:line="240" w:lineRule="auto" w:before="91" w:after="0"/>
        <w:ind w:left="1142" w:right="0" w:hanging="617"/>
        <w:jc w:val="left"/>
      </w:pPr>
      <w:bookmarkStart w:name="_bookmark4" w:id="8"/>
      <w:bookmarkEnd w:id="8"/>
      <w:r>
        <w:rPr>
          <w:b w:val="0"/>
        </w:rPr>
      </w:r>
      <w:bookmarkStart w:name="_bookmark4" w:id="9"/>
      <w:bookmarkEnd w:id="9"/>
      <w:r>
        <w:rPr/>
        <w:t>R</w:t>
      </w:r>
      <w:r>
        <w:rPr/>
        <w:t>apportens anbefalinger</w:t>
      </w:r>
    </w:p>
    <w:p>
      <w:pPr>
        <w:pStyle w:val="BodyText"/>
        <w:spacing w:line="285" w:lineRule="auto" w:before="212"/>
        <w:ind w:left="525" w:right="734"/>
        <w:jc w:val="both"/>
      </w:pPr>
      <w:r>
        <w:rPr/>
        <w:t>I</w:t>
      </w:r>
      <w:r>
        <w:rPr>
          <w:spacing w:val="-18"/>
        </w:rPr>
        <w:t> </w:t>
      </w:r>
      <w:r>
        <w:rPr/>
        <w:t>dette</w:t>
      </w:r>
      <w:r>
        <w:rPr>
          <w:spacing w:val="-17"/>
        </w:rPr>
        <w:t> </w:t>
      </w:r>
      <w:r>
        <w:rPr/>
        <w:t>afsnit</w:t>
      </w:r>
      <w:r>
        <w:rPr>
          <w:spacing w:val="-18"/>
        </w:rPr>
        <w:t> </w:t>
      </w:r>
      <w:r>
        <w:rPr/>
        <w:t>fremgår</w:t>
      </w:r>
      <w:r>
        <w:rPr>
          <w:spacing w:val="-16"/>
        </w:rPr>
        <w:t> </w:t>
      </w:r>
      <w:r>
        <w:rPr/>
        <w:t>GEUS’s</w:t>
      </w:r>
      <w:r>
        <w:rPr>
          <w:spacing w:val="-16"/>
        </w:rPr>
        <w:t> </w:t>
      </w:r>
      <w:r>
        <w:rPr/>
        <w:t>anbefalinger</w:t>
      </w:r>
      <w:r>
        <w:rPr>
          <w:spacing w:val="-17"/>
        </w:rPr>
        <w:t> </w:t>
      </w:r>
      <w:r>
        <w:rPr/>
        <w:t>med</w:t>
      </w:r>
      <w:r>
        <w:rPr>
          <w:spacing w:val="-17"/>
        </w:rPr>
        <w:t> </w:t>
      </w:r>
      <w:r>
        <w:rPr/>
        <w:t>hensyn</w:t>
      </w:r>
      <w:r>
        <w:rPr>
          <w:spacing w:val="-17"/>
        </w:rPr>
        <w:t> </w:t>
      </w:r>
      <w:r>
        <w:rPr/>
        <w:t>til</w:t>
      </w:r>
      <w:r>
        <w:rPr>
          <w:spacing w:val="-16"/>
        </w:rPr>
        <w:t> </w:t>
      </w:r>
      <w:r>
        <w:rPr/>
        <w:t>løsningsmodel,</w:t>
      </w:r>
      <w:r>
        <w:rPr>
          <w:spacing w:val="-17"/>
        </w:rPr>
        <w:t> </w:t>
      </w:r>
      <w:r>
        <w:rPr/>
        <w:t>terrænnære</w:t>
      </w:r>
      <w:r>
        <w:rPr>
          <w:spacing w:val="-17"/>
        </w:rPr>
        <w:t> </w:t>
      </w:r>
      <w:r>
        <w:rPr/>
        <w:t>grund- vandsdata, vandløbsdata, satellitdata og fotos af oversvømmelser samt</w:t>
      </w:r>
      <w:r>
        <w:rPr>
          <w:spacing w:val="-15"/>
        </w:rPr>
        <w:t> </w:t>
      </w:r>
      <w:r>
        <w:rPr/>
        <w:t>nedbørsdata.</w:t>
      </w:r>
    </w:p>
    <w:p>
      <w:pPr>
        <w:pStyle w:val="BodyText"/>
        <w:spacing w:before="6"/>
        <w:rPr>
          <w:sz w:val="25"/>
        </w:rPr>
      </w:pPr>
    </w:p>
    <w:p>
      <w:pPr>
        <w:pStyle w:val="Heading5"/>
        <w:spacing w:before="1"/>
        <w:rPr>
          <w:i/>
        </w:rPr>
      </w:pPr>
      <w:r>
        <w:rPr>
          <w:i/>
        </w:rPr>
        <w:t>Løsningsmodel</w:t>
      </w:r>
    </w:p>
    <w:p>
      <w:pPr>
        <w:pStyle w:val="BodyText"/>
        <w:spacing w:line="288" w:lineRule="auto" w:before="49"/>
        <w:ind w:left="525" w:right="728"/>
        <w:jc w:val="both"/>
      </w:pPr>
      <w:r>
        <w:rPr/>
        <w:t>Det</w:t>
      </w:r>
      <w:r>
        <w:rPr>
          <w:spacing w:val="-10"/>
        </w:rPr>
        <w:t> </w:t>
      </w:r>
      <w:r>
        <w:rPr/>
        <w:t>nye</w:t>
      </w:r>
      <w:r>
        <w:rPr>
          <w:spacing w:val="-11"/>
        </w:rPr>
        <w:t> </w:t>
      </w:r>
      <w:r>
        <w:rPr/>
        <w:t>kalibreringskoncept</w:t>
      </w:r>
      <w:r>
        <w:rPr>
          <w:spacing w:val="-9"/>
        </w:rPr>
        <w:t> </w:t>
      </w:r>
      <w:r>
        <w:rPr/>
        <w:t>for</w:t>
      </w:r>
      <w:r>
        <w:rPr>
          <w:spacing w:val="-9"/>
        </w:rPr>
        <w:t> </w:t>
      </w:r>
      <w:r>
        <w:rPr/>
        <w:t>terrænnært</w:t>
      </w:r>
      <w:r>
        <w:rPr>
          <w:spacing w:val="-10"/>
        </w:rPr>
        <w:t> </w:t>
      </w:r>
      <w:r>
        <w:rPr/>
        <w:t>grundvand</w:t>
      </w:r>
      <w:r>
        <w:rPr>
          <w:spacing w:val="-8"/>
        </w:rPr>
        <w:t> </w:t>
      </w:r>
      <w:r>
        <w:rPr/>
        <w:t>(’CRPS’)</w:t>
      </w:r>
      <w:r>
        <w:rPr>
          <w:spacing w:val="-9"/>
        </w:rPr>
        <w:t> </w:t>
      </w:r>
      <w:r>
        <w:rPr/>
        <w:t>og</w:t>
      </w:r>
      <w:r>
        <w:rPr>
          <w:spacing w:val="-9"/>
        </w:rPr>
        <w:t> </w:t>
      </w:r>
      <w:r>
        <w:rPr/>
        <w:t>distribueret</w:t>
      </w:r>
      <w:r>
        <w:rPr>
          <w:spacing w:val="-9"/>
        </w:rPr>
        <w:t> </w:t>
      </w:r>
      <w:r>
        <w:rPr/>
        <w:t>dræn</w:t>
      </w:r>
      <w:r>
        <w:rPr>
          <w:spacing w:val="-9"/>
        </w:rPr>
        <w:t> </w:t>
      </w:r>
      <w:r>
        <w:rPr/>
        <w:t>opsæt- ning</w:t>
      </w:r>
      <w:r>
        <w:rPr>
          <w:spacing w:val="-5"/>
        </w:rPr>
        <w:t> </w:t>
      </w:r>
      <w:r>
        <w:rPr/>
        <w:t>anbefales</w:t>
      </w:r>
      <w:r>
        <w:rPr>
          <w:spacing w:val="-5"/>
        </w:rPr>
        <w:t> </w:t>
      </w:r>
      <w:r>
        <w:rPr/>
        <w:t>indbygget</w:t>
      </w:r>
      <w:r>
        <w:rPr>
          <w:spacing w:val="-5"/>
        </w:rPr>
        <w:t> </w:t>
      </w:r>
      <w:r>
        <w:rPr/>
        <w:t>i</w:t>
      </w:r>
      <w:r>
        <w:rPr>
          <w:spacing w:val="-6"/>
        </w:rPr>
        <w:t> </w:t>
      </w:r>
      <w:r>
        <w:rPr/>
        <w:t>DK-modellen</w:t>
      </w:r>
      <w:r>
        <w:rPr>
          <w:spacing w:val="-3"/>
        </w:rPr>
        <w:t> </w:t>
      </w:r>
      <w:r>
        <w:rPr/>
        <w:t>som</w:t>
      </w:r>
      <w:r>
        <w:rPr>
          <w:spacing w:val="-3"/>
        </w:rPr>
        <w:t> </w:t>
      </w:r>
      <w:r>
        <w:rPr/>
        <w:t>beskrevet</w:t>
      </w:r>
      <w:r>
        <w:rPr>
          <w:spacing w:val="-6"/>
        </w:rPr>
        <w:t> </w:t>
      </w:r>
      <w:r>
        <w:rPr/>
        <w:t>i</w:t>
      </w:r>
      <w:r>
        <w:rPr>
          <w:spacing w:val="-4"/>
        </w:rPr>
        <w:t> </w:t>
      </w:r>
      <w:r>
        <w:rPr/>
        <w:t>alle</w:t>
      </w:r>
      <w:r>
        <w:rPr>
          <w:spacing w:val="-4"/>
        </w:rPr>
        <w:t> </w:t>
      </w:r>
      <w:r>
        <w:rPr/>
        <w:t>fire</w:t>
      </w:r>
      <w:r>
        <w:rPr>
          <w:spacing w:val="-5"/>
        </w:rPr>
        <w:t> </w:t>
      </w:r>
      <w:r>
        <w:rPr/>
        <w:t>løsningsmodeller.</w:t>
      </w:r>
      <w:r>
        <w:rPr>
          <w:spacing w:val="-6"/>
        </w:rPr>
        <w:t> </w:t>
      </w:r>
      <w:r>
        <w:rPr/>
        <w:t>En</w:t>
      </w:r>
      <w:r>
        <w:rPr>
          <w:spacing w:val="-5"/>
        </w:rPr>
        <w:t> </w:t>
      </w:r>
      <w:r>
        <w:rPr/>
        <w:t>yder- ligere detaljering af DK-model fra 500 m til 100 m (Løsning II-IV) anbefales med henblik på forbedret</w:t>
      </w:r>
      <w:r>
        <w:rPr>
          <w:spacing w:val="-12"/>
        </w:rPr>
        <w:t> </w:t>
      </w:r>
      <w:r>
        <w:rPr/>
        <w:t>simulering</w:t>
      </w:r>
      <w:r>
        <w:rPr>
          <w:spacing w:val="-9"/>
        </w:rPr>
        <w:t> </w:t>
      </w:r>
      <w:r>
        <w:rPr/>
        <w:t>af</w:t>
      </w:r>
      <w:r>
        <w:rPr>
          <w:spacing w:val="-9"/>
        </w:rPr>
        <w:t> </w:t>
      </w:r>
      <w:r>
        <w:rPr/>
        <w:t>afstrømning</w:t>
      </w:r>
      <w:r>
        <w:rPr>
          <w:spacing w:val="-10"/>
        </w:rPr>
        <w:t> </w:t>
      </w:r>
      <w:r>
        <w:rPr/>
        <w:t>i</w:t>
      </w:r>
      <w:r>
        <w:rPr>
          <w:spacing w:val="-9"/>
        </w:rPr>
        <w:t> </w:t>
      </w:r>
      <w:r>
        <w:rPr/>
        <w:t>mindre</w:t>
      </w:r>
      <w:r>
        <w:rPr>
          <w:spacing w:val="-10"/>
        </w:rPr>
        <w:t> </w:t>
      </w:r>
      <w:r>
        <w:rPr/>
        <w:t>vandløb.</w:t>
      </w:r>
      <w:r>
        <w:rPr>
          <w:spacing w:val="-11"/>
        </w:rPr>
        <w:t> </w:t>
      </w:r>
      <w:r>
        <w:rPr/>
        <w:t>En</w:t>
      </w:r>
      <w:r>
        <w:rPr>
          <w:spacing w:val="-10"/>
        </w:rPr>
        <w:t> </w:t>
      </w:r>
      <w:r>
        <w:rPr/>
        <w:t>sådan</w:t>
      </w:r>
      <w:r>
        <w:rPr>
          <w:spacing w:val="-9"/>
        </w:rPr>
        <w:t> </w:t>
      </w:r>
      <w:r>
        <w:rPr/>
        <w:t>100</w:t>
      </w:r>
      <w:r>
        <w:rPr>
          <w:spacing w:val="-9"/>
        </w:rPr>
        <w:t> </w:t>
      </w:r>
      <w:r>
        <w:rPr/>
        <w:t>m</w:t>
      </w:r>
      <w:r>
        <w:rPr>
          <w:spacing w:val="-8"/>
        </w:rPr>
        <w:t> </w:t>
      </w:r>
      <w:r>
        <w:rPr/>
        <w:t>grundvands-</w:t>
      </w:r>
      <w:r>
        <w:rPr>
          <w:spacing w:val="-11"/>
        </w:rPr>
        <w:t> </w:t>
      </w:r>
      <w:r>
        <w:rPr/>
        <w:t>og</w:t>
      </w:r>
      <w:r>
        <w:rPr>
          <w:spacing w:val="-9"/>
        </w:rPr>
        <w:t> </w:t>
      </w:r>
      <w:r>
        <w:rPr/>
        <w:t>vand- løbsmodel kan samtidig give en forbedret beskrivelse af interaktionen mellem grundvand</w:t>
      </w:r>
      <w:r>
        <w:rPr>
          <w:spacing w:val="-41"/>
        </w:rPr>
        <w:t> </w:t>
      </w:r>
      <w:r>
        <w:rPr>
          <w:spacing w:val="-3"/>
        </w:rPr>
        <w:t>og </w:t>
      </w:r>
      <w:r>
        <w:rPr/>
        <w:t>vandløb. Endelig vil en 100 m grundvandsmodel give et forbedret udgangspunkt for yderli- gere nedskalering (til f.eks. 10</w:t>
      </w:r>
      <w:r>
        <w:rPr>
          <w:spacing w:val="-6"/>
        </w:rPr>
        <w:t> </w:t>
      </w:r>
      <w:r>
        <w:rPr/>
        <w:t>m).</w:t>
      </w:r>
    </w:p>
    <w:p>
      <w:pPr>
        <w:pStyle w:val="BodyText"/>
        <w:spacing w:before="2"/>
        <w:rPr>
          <w:sz w:val="25"/>
        </w:rPr>
      </w:pPr>
    </w:p>
    <w:p>
      <w:pPr>
        <w:pStyle w:val="BodyText"/>
        <w:spacing w:line="288" w:lineRule="auto" w:before="1"/>
        <w:ind w:left="525" w:right="730"/>
        <w:jc w:val="both"/>
      </w:pPr>
      <w:r>
        <w:rPr/>
        <w:t>Det anbefales, at der arbejdes videre med kombineret brug af 500 m og 100 m modellerne, og</w:t>
      </w:r>
      <w:r>
        <w:rPr>
          <w:spacing w:val="-9"/>
        </w:rPr>
        <w:t> </w:t>
      </w:r>
      <w:r>
        <w:rPr/>
        <w:t>muligheder</w:t>
      </w:r>
      <w:r>
        <w:rPr>
          <w:spacing w:val="-10"/>
        </w:rPr>
        <w:t> </w:t>
      </w:r>
      <w:r>
        <w:rPr/>
        <w:t>for</w:t>
      </w:r>
      <w:r>
        <w:rPr>
          <w:spacing w:val="-8"/>
        </w:rPr>
        <w:t> </w:t>
      </w:r>
      <w:r>
        <w:rPr/>
        <w:t>optimering</w:t>
      </w:r>
      <w:r>
        <w:rPr>
          <w:spacing w:val="-6"/>
        </w:rPr>
        <w:t> </w:t>
      </w:r>
      <w:r>
        <w:rPr/>
        <w:t>af</w:t>
      </w:r>
      <w:r>
        <w:rPr>
          <w:spacing w:val="-6"/>
        </w:rPr>
        <w:t> </w:t>
      </w:r>
      <w:r>
        <w:rPr/>
        <w:t>dette</w:t>
      </w:r>
      <w:r>
        <w:rPr>
          <w:spacing w:val="-7"/>
        </w:rPr>
        <w:t> </w:t>
      </w:r>
      <w:r>
        <w:rPr/>
        <w:t>samlede</w:t>
      </w:r>
      <w:r>
        <w:rPr>
          <w:spacing w:val="-8"/>
        </w:rPr>
        <w:t> </w:t>
      </w:r>
      <w:r>
        <w:rPr/>
        <w:t>koncept,</w:t>
      </w:r>
      <w:r>
        <w:rPr>
          <w:spacing w:val="-8"/>
        </w:rPr>
        <w:t> </w:t>
      </w:r>
      <w:r>
        <w:rPr/>
        <w:t>da</w:t>
      </w:r>
      <w:r>
        <w:rPr>
          <w:spacing w:val="-9"/>
        </w:rPr>
        <w:t> </w:t>
      </w:r>
      <w:r>
        <w:rPr/>
        <w:t>kørselstider</w:t>
      </w:r>
      <w:r>
        <w:rPr>
          <w:spacing w:val="-8"/>
        </w:rPr>
        <w:t> </w:t>
      </w:r>
      <w:r>
        <w:rPr/>
        <w:t>til</w:t>
      </w:r>
      <w:r>
        <w:rPr>
          <w:spacing w:val="-8"/>
        </w:rPr>
        <w:t> </w:t>
      </w:r>
      <w:r>
        <w:rPr/>
        <w:t>kalibrering</w:t>
      </w:r>
      <w:r>
        <w:rPr>
          <w:spacing w:val="-9"/>
        </w:rPr>
        <w:t> </w:t>
      </w:r>
      <w:r>
        <w:rPr/>
        <w:t>(med</w:t>
      </w:r>
      <w:r>
        <w:rPr>
          <w:spacing w:val="-9"/>
        </w:rPr>
        <w:t> </w:t>
      </w:r>
      <w:r>
        <w:rPr/>
        <w:t>et stort antal kørsler) udgør en barriere ved brug af 100 m modellen for hele landet. Koblet til en fuld hydrodynamisk vandløbsmodel for hele landet, bliver acceptable kørselstider til en forsvarlig kalibrering en endnu større</w:t>
      </w:r>
      <w:r>
        <w:rPr>
          <w:spacing w:val="-9"/>
        </w:rPr>
        <w:t> </w:t>
      </w:r>
      <w:r>
        <w:rPr/>
        <w:t>udfordring.</w:t>
      </w:r>
    </w:p>
    <w:p>
      <w:pPr>
        <w:spacing w:after="0" w:line="288" w:lineRule="auto"/>
        <w:jc w:val="both"/>
        <w:sectPr>
          <w:pgSz w:w="11910" w:h="16850"/>
          <w:pgMar w:header="0" w:footer="857" w:top="1420" w:bottom="1120" w:left="1460" w:right="680"/>
        </w:sectPr>
      </w:pPr>
    </w:p>
    <w:p>
      <w:pPr>
        <w:pStyle w:val="BodyText"/>
        <w:spacing w:line="288" w:lineRule="auto" w:before="106"/>
        <w:ind w:left="525" w:right="730"/>
        <w:jc w:val="both"/>
      </w:pPr>
      <w:r>
        <w:rPr/>
        <w:t>Den mest implementerbare løsning på landsdækkende skala (Løsning IV) gør brug af et eksternt vandstandsmodul til risikovurdering af oversvømmelser fra grundvand og vandløb. Dybde</w:t>
      </w:r>
      <w:r>
        <w:rPr>
          <w:spacing w:val="-3"/>
        </w:rPr>
        <w:t> </w:t>
      </w:r>
      <w:r>
        <w:rPr/>
        <w:t>til</w:t>
      </w:r>
      <w:r>
        <w:rPr>
          <w:spacing w:val="-2"/>
        </w:rPr>
        <w:t> </w:t>
      </w:r>
      <w:r>
        <w:rPr/>
        <w:t>terrænnært</w:t>
      </w:r>
      <w:r>
        <w:rPr>
          <w:spacing w:val="-4"/>
        </w:rPr>
        <w:t> </w:t>
      </w:r>
      <w:r>
        <w:rPr/>
        <w:t>grundvand</w:t>
      </w:r>
      <w:r>
        <w:rPr>
          <w:spacing w:val="-4"/>
        </w:rPr>
        <w:t> </w:t>
      </w:r>
      <w:r>
        <w:rPr/>
        <w:t>nedskaleret</w:t>
      </w:r>
      <w:r>
        <w:rPr>
          <w:spacing w:val="-4"/>
        </w:rPr>
        <w:t> </w:t>
      </w:r>
      <w:r>
        <w:rPr/>
        <w:t>fra</w:t>
      </w:r>
      <w:r>
        <w:rPr>
          <w:spacing w:val="-3"/>
        </w:rPr>
        <w:t> </w:t>
      </w:r>
      <w:r>
        <w:rPr/>
        <w:t>100</w:t>
      </w:r>
      <w:r>
        <w:rPr>
          <w:spacing w:val="-6"/>
        </w:rPr>
        <w:t> </w:t>
      </w:r>
      <w:r>
        <w:rPr/>
        <w:t>m til</w:t>
      </w:r>
      <w:r>
        <w:rPr>
          <w:spacing w:val="-2"/>
        </w:rPr>
        <w:t> </w:t>
      </w:r>
      <w:r>
        <w:rPr/>
        <w:t>10</w:t>
      </w:r>
      <w:r>
        <w:rPr>
          <w:spacing w:val="-6"/>
        </w:rPr>
        <w:t> </w:t>
      </w:r>
      <w:r>
        <w:rPr/>
        <w:t>m</w:t>
      </w:r>
      <w:r>
        <w:rPr>
          <w:spacing w:val="-1"/>
        </w:rPr>
        <w:t> </w:t>
      </w:r>
      <w:r>
        <w:rPr/>
        <w:t>giver</w:t>
      </w:r>
      <w:r>
        <w:rPr>
          <w:spacing w:val="-3"/>
        </w:rPr>
        <w:t> </w:t>
      </w:r>
      <w:r>
        <w:rPr/>
        <w:t>et</w:t>
      </w:r>
      <w:r>
        <w:rPr>
          <w:spacing w:val="-5"/>
        </w:rPr>
        <w:t> </w:t>
      </w:r>
      <w:r>
        <w:rPr/>
        <w:t>relativt</w:t>
      </w:r>
      <w:r>
        <w:rPr>
          <w:spacing w:val="-1"/>
        </w:rPr>
        <w:t> </w:t>
      </w:r>
      <w:r>
        <w:rPr/>
        <w:t>robust</w:t>
      </w:r>
      <w:r>
        <w:rPr>
          <w:spacing w:val="-3"/>
        </w:rPr>
        <w:t> </w:t>
      </w:r>
      <w:r>
        <w:rPr/>
        <w:t>grund- lag for vurdering af risiko for oversvømmelser fra grundvand. En grundvands- og vandløbs- model</w:t>
      </w:r>
      <w:r>
        <w:rPr>
          <w:spacing w:val="-8"/>
        </w:rPr>
        <w:t> </w:t>
      </w:r>
      <w:r>
        <w:rPr/>
        <w:t>i</w:t>
      </w:r>
      <w:r>
        <w:rPr>
          <w:spacing w:val="-8"/>
        </w:rPr>
        <w:t> </w:t>
      </w:r>
      <w:r>
        <w:rPr/>
        <w:t>100</w:t>
      </w:r>
      <w:r>
        <w:rPr>
          <w:spacing w:val="-8"/>
        </w:rPr>
        <w:t> </w:t>
      </w:r>
      <w:r>
        <w:rPr/>
        <w:t>m</w:t>
      </w:r>
      <w:r>
        <w:rPr>
          <w:spacing w:val="-10"/>
        </w:rPr>
        <w:t> </w:t>
      </w:r>
      <w:r>
        <w:rPr/>
        <w:t>med</w:t>
      </w:r>
      <w:r>
        <w:rPr>
          <w:spacing w:val="-8"/>
        </w:rPr>
        <w:t> </w:t>
      </w:r>
      <w:r>
        <w:rPr/>
        <w:t>’riverline’</w:t>
      </w:r>
      <w:r>
        <w:rPr>
          <w:spacing w:val="-8"/>
        </w:rPr>
        <w:t> </w:t>
      </w:r>
      <w:r>
        <w:rPr/>
        <w:t>tilpasset</w:t>
      </w:r>
      <w:r>
        <w:rPr>
          <w:spacing w:val="-9"/>
        </w:rPr>
        <w:t> </w:t>
      </w:r>
      <w:r>
        <w:rPr/>
        <w:t>Danmarks</w:t>
      </w:r>
      <w:r>
        <w:rPr>
          <w:spacing w:val="-9"/>
        </w:rPr>
        <w:t> </w:t>
      </w:r>
      <w:r>
        <w:rPr/>
        <w:t>Højdemodel</w:t>
      </w:r>
      <w:r>
        <w:rPr>
          <w:spacing w:val="-8"/>
        </w:rPr>
        <w:t> </w:t>
      </w:r>
      <w:r>
        <w:rPr/>
        <w:t>vil</w:t>
      </w:r>
      <w:r>
        <w:rPr>
          <w:spacing w:val="-7"/>
        </w:rPr>
        <w:t> </w:t>
      </w:r>
      <w:r>
        <w:rPr/>
        <w:t>samtidig</w:t>
      </w:r>
      <w:r>
        <w:rPr>
          <w:spacing w:val="-9"/>
        </w:rPr>
        <w:t> </w:t>
      </w:r>
      <w:r>
        <w:rPr/>
        <w:t>give</w:t>
      </w:r>
      <w:r>
        <w:rPr>
          <w:spacing w:val="-10"/>
        </w:rPr>
        <w:t> </w:t>
      </w:r>
      <w:r>
        <w:rPr/>
        <w:t>forbedret</w:t>
      </w:r>
      <w:r>
        <w:rPr>
          <w:spacing w:val="-10"/>
        </w:rPr>
        <w:t> </w:t>
      </w:r>
      <w:r>
        <w:rPr/>
        <w:t>nøj- agtighed på simulering af afstrømningsdynamik og maksimale vandføringer i vandløb. Der- med opnås et forbedret grundlag for vurdering af vandstand og opstuvning i vandløb. Over- svømmelser fra vandløb kan dermed beregnes med anvendelse af Danmarks</w:t>
      </w:r>
      <w:r>
        <w:rPr>
          <w:spacing w:val="-14"/>
        </w:rPr>
        <w:t> </w:t>
      </w:r>
      <w:r>
        <w:rPr/>
        <w:t>Højdemodel.</w:t>
      </w:r>
    </w:p>
    <w:p>
      <w:pPr>
        <w:pStyle w:val="BodyText"/>
        <w:rPr>
          <w:sz w:val="25"/>
        </w:rPr>
      </w:pPr>
    </w:p>
    <w:p>
      <w:pPr>
        <w:pStyle w:val="BodyText"/>
        <w:spacing w:line="288" w:lineRule="auto"/>
        <w:ind w:left="525" w:right="736"/>
        <w:jc w:val="both"/>
      </w:pPr>
      <w:r>
        <w:rPr/>
        <w:t>Samlet set vil den kombinerede 500 m/100 m model udgøre en optimal teknisk løsning på landsplan til forbedret vurdering af områder med højtliggende grundvand og risiko for over- svømmelser fra grundvand og vandløb. Den kombinerede løsning giver mulighed for konsi- stente randbetingelser og parameteroverføring til 100 m modeller.</w:t>
      </w:r>
    </w:p>
    <w:p>
      <w:pPr>
        <w:pStyle w:val="BodyText"/>
        <w:spacing w:before="4"/>
        <w:rPr>
          <w:sz w:val="25"/>
        </w:rPr>
      </w:pPr>
    </w:p>
    <w:p>
      <w:pPr>
        <w:pStyle w:val="Heading5"/>
        <w:jc w:val="both"/>
        <w:rPr>
          <w:i/>
        </w:rPr>
      </w:pPr>
      <w:r>
        <w:rPr>
          <w:i/>
        </w:rPr>
        <w:t>Terrænnære grundvandsdata</w:t>
      </w:r>
    </w:p>
    <w:p>
      <w:pPr>
        <w:pStyle w:val="BodyText"/>
        <w:spacing w:line="288" w:lineRule="auto" w:before="49"/>
        <w:ind w:left="525" w:right="732"/>
        <w:jc w:val="both"/>
      </w:pPr>
      <w:r>
        <w:rPr/>
        <w:t>Af hensyn til kalibrering af den kombinerede 500 m/100 m DK-model i forhold til terrænnært grundvand skal alle tilgængelige terrænnære grundvandsdata samles i en fælles database (Jupiter).</w:t>
      </w:r>
      <w:r>
        <w:rPr>
          <w:spacing w:val="-14"/>
        </w:rPr>
        <w:t> </w:t>
      </w:r>
      <w:r>
        <w:rPr/>
        <w:t>Det</w:t>
      </w:r>
      <w:r>
        <w:rPr>
          <w:spacing w:val="-13"/>
        </w:rPr>
        <w:t> </w:t>
      </w:r>
      <w:r>
        <w:rPr/>
        <w:t>vil</w:t>
      </w:r>
      <w:r>
        <w:rPr>
          <w:spacing w:val="-12"/>
        </w:rPr>
        <w:t> </w:t>
      </w:r>
      <w:r>
        <w:rPr/>
        <w:t>medføre,</w:t>
      </w:r>
      <w:r>
        <w:rPr>
          <w:spacing w:val="-13"/>
        </w:rPr>
        <w:t> </w:t>
      </w:r>
      <w:r>
        <w:rPr/>
        <w:t>at</w:t>
      </w:r>
      <w:r>
        <w:rPr>
          <w:spacing w:val="-14"/>
        </w:rPr>
        <w:t> </w:t>
      </w:r>
      <w:r>
        <w:rPr/>
        <w:t>arbejdet</w:t>
      </w:r>
      <w:r>
        <w:rPr>
          <w:spacing w:val="-13"/>
        </w:rPr>
        <w:t> </w:t>
      </w:r>
      <w:r>
        <w:rPr/>
        <w:t>via</w:t>
      </w:r>
      <w:r>
        <w:rPr>
          <w:spacing w:val="-12"/>
        </w:rPr>
        <w:t> </w:t>
      </w:r>
      <w:r>
        <w:rPr/>
        <w:t>Jupiter</w:t>
      </w:r>
      <w:r>
        <w:rPr>
          <w:spacing w:val="-16"/>
        </w:rPr>
        <w:t> </w:t>
      </w:r>
      <w:r>
        <w:rPr/>
        <w:t>kan</w:t>
      </w:r>
      <w:r>
        <w:rPr>
          <w:spacing w:val="-12"/>
        </w:rPr>
        <w:t> </w:t>
      </w:r>
      <w:r>
        <w:rPr/>
        <w:t>gennemføres</w:t>
      </w:r>
      <w:r>
        <w:rPr>
          <w:spacing w:val="-13"/>
        </w:rPr>
        <w:t> </w:t>
      </w:r>
      <w:r>
        <w:rPr/>
        <w:t>ud</w:t>
      </w:r>
      <w:r>
        <w:rPr>
          <w:spacing w:val="-14"/>
        </w:rPr>
        <w:t> </w:t>
      </w:r>
      <w:r>
        <w:rPr/>
        <w:t>fra</w:t>
      </w:r>
      <w:r>
        <w:rPr>
          <w:spacing w:val="-13"/>
        </w:rPr>
        <w:t> </w:t>
      </w:r>
      <w:r>
        <w:rPr/>
        <w:t>let</w:t>
      </w:r>
      <w:r>
        <w:rPr>
          <w:spacing w:val="-13"/>
        </w:rPr>
        <w:t> </w:t>
      </w:r>
      <w:r>
        <w:rPr/>
        <w:t>tilgængelige</w:t>
      </w:r>
      <w:r>
        <w:rPr>
          <w:spacing w:val="-12"/>
        </w:rPr>
        <w:t> </w:t>
      </w:r>
      <w:r>
        <w:rPr/>
        <w:t>data for terrænnært grundvand. Det anbefales at borings- og pejledata fra regioner indsamles i JUPITER så de kan indgå i validering af</w:t>
      </w:r>
      <w:r>
        <w:rPr>
          <w:spacing w:val="-14"/>
        </w:rPr>
        <w:t> </w:t>
      </w:r>
      <w:r>
        <w:rPr/>
        <w:t>modelstruktur.</w:t>
      </w:r>
    </w:p>
    <w:p>
      <w:pPr>
        <w:pStyle w:val="BodyText"/>
        <w:spacing w:before="1"/>
        <w:rPr>
          <w:sz w:val="25"/>
        </w:rPr>
      </w:pPr>
    </w:p>
    <w:p>
      <w:pPr>
        <w:pStyle w:val="BodyText"/>
        <w:spacing w:line="288" w:lineRule="auto"/>
        <w:ind w:left="525" w:right="731"/>
        <w:jc w:val="both"/>
      </w:pPr>
      <w:r>
        <w:rPr/>
        <w:t>Tidsserier</w:t>
      </w:r>
      <w:r>
        <w:rPr>
          <w:spacing w:val="-11"/>
        </w:rPr>
        <w:t> </w:t>
      </w:r>
      <w:r>
        <w:rPr/>
        <w:t>er</w:t>
      </w:r>
      <w:r>
        <w:rPr>
          <w:spacing w:val="-10"/>
        </w:rPr>
        <w:t> </w:t>
      </w:r>
      <w:r>
        <w:rPr/>
        <w:t>vigtige,</w:t>
      </w:r>
      <w:r>
        <w:rPr>
          <w:spacing w:val="-12"/>
        </w:rPr>
        <w:t> </w:t>
      </w:r>
      <w:r>
        <w:rPr/>
        <w:t>da</w:t>
      </w:r>
      <w:r>
        <w:rPr>
          <w:spacing w:val="-9"/>
        </w:rPr>
        <w:t> </w:t>
      </w:r>
      <w:r>
        <w:rPr/>
        <w:t>eventuelle</w:t>
      </w:r>
      <w:r>
        <w:rPr>
          <w:spacing w:val="-11"/>
        </w:rPr>
        <w:t> </w:t>
      </w:r>
      <w:r>
        <w:rPr/>
        <w:t>problemer</w:t>
      </w:r>
      <w:r>
        <w:rPr>
          <w:spacing w:val="-10"/>
        </w:rPr>
        <w:t> </w:t>
      </w:r>
      <w:r>
        <w:rPr/>
        <w:t>med</w:t>
      </w:r>
      <w:r>
        <w:rPr>
          <w:spacing w:val="-10"/>
        </w:rPr>
        <w:t> </w:t>
      </w:r>
      <w:r>
        <w:rPr/>
        <w:t>repræsentativitet,</w:t>
      </w:r>
      <w:r>
        <w:rPr>
          <w:spacing w:val="-11"/>
        </w:rPr>
        <w:t> </w:t>
      </w:r>
      <w:r>
        <w:rPr/>
        <w:t>f.eks.</w:t>
      </w:r>
      <w:r>
        <w:rPr>
          <w:spacing w:val="-12"/>
        </w:rPr>
        <w:t> </w:t>
      </w:r>
      <w:r>
        <w:rPr/>
        <w:t>pejleboringer</w:t>
      </w:r>
      <w:r>
        <w:rPr>
          <w:spacing w:val="-10"/>
        </w:rPr>
        <w:t> </w:t>
      </w:r>
      <w:r>
        <w:rPr/>
        <w:t>pla- ceret</w:t>
      </w:r>
      <w:r>
        <w:rPr>
          <w:spacing w:val="-10"/>
        </w:rPr>
        <w:t> </w:t>
      </w:r>
      <w:r>
        <w:rPr/>
        <w:t>i</w:t>
      </w:r>
      <w:r>
        <w:rPr>
          <w:spacing w:val="-6"/>
        </w:rPr>
        <w:t> </w:t>
      </w:r>
      <w:r>
        <w:rPr/>
        <w:t>ler</w:t>
      </w:r>
      <w:r>
        <w:rPr>
          <w:spacing w:val="-11"/>
        </w:rPr>
        <w:t> </w:t>
      </w:r>
      <w:r>
        <w:rPr/>
        <w:t>med</w:t>
      </w:r>
      <w:r>
        <w:rPr>
          <w:spacing w:val="-7"/>
        </w:rPr>
        <w:t> </w:t>
      </w:r>
      <w:r>
        <w:rPr/>
        <w:t>’hængende</w:t>
      </w:r>
      <w:r>
        <w:rPr>
          <w:spacing w:val="-10"/>
        </w:rPr>
        <w:t> </w:t>
      </w:r>
      <w:r>
        <w:rPr/>
        <w:t>vandspejl’</w:t>
      </w:r>
      <w:r>
        <w:rPr>
          <w:spacing w:val="-9"/>
        </w:rPr>
        <w:t> </w:t>
      </w:r>
      <w:r>
        <w:rPr/>
        <w:t>lettere</w:t>
      </w:r>
      <w:r>
        <w:rPr>
          <w:spacing w:val="-10"/>
        </w:rPr>
        <w:t> </w:t>
      </w:r>
      <w:r>
        <w:rPr/>
        <w:t>kan</w:t>
      </w:r>
      <w:r>
        <w:rPr>
          <w:spacing w:val="-8"/>
        </w:rPr>
        <w:t> </w:t>
      </w:r>
      <w:r>
        <w:rPr/>
        <w:t>vurderes</w:t>
      </w:r>
      <w:r>
        <w:rPr>
          <w:spacing w:val="-7"/>
        </w:rPr>
        <w:t> </w:t>
      </w:r>
      <w:r>
        <w:rPr/>
        <w:t>for</w:t>
      </w:r>
      <w:r>
        <w:rPr>
          <w:spacing w:val="-9"/>
        </w:rPr>
        <w:t> </w:t>
      </w:r>
      <w:r>
        <w:rPr/>
        <w:t>tidsserier</w:t>
      </w:r>
      <w:r>
        <w:rPr>
          <w:spacing w:val="-8"/>
        </w:rPr>
        <w:t> </w:t>
      </w:r>
      <w:r>
        <w:rPr/>
        <w:t>end</w:t>
      </w:r>
      <w:r>
        <w:rPr>
          <w:spacing w:val="-8"/>
        </w:rPr>
        <w:t> </w:t>
      </w:r>
      <w:r>
        <w:rPr/>
        <w:t>for</w:t>
      </w:r>
      <w:r>
        <w:rPr>
          <w:spacing w:val="-10"/>
        </w:rPr>
        <w:t> </w:t>
      </w:r>
      <w:r>
        <w:rPr/>
        <w:t>boringer</w:t>
      </w:r>
      <w:r>
        <w:rPr>
          <w:spacing w:val="-8"/>
        </w:rPr>
        <w:t> </w:t>
      </w:r>
      <w:r>
        <w:rPr/>
        <w:t>med kun en enkelt pejling (som det er tilfældet for langt de fleste terrænnære pejledata). Det er vigtigt at indsamle flere tidsserier af dybden til det terrænnære grundvandsspejl. Det kan anbefales,</w:t>
      </w:r>
      <w:r>
        <w:rPr>
          <w:spacing w:val="-14"/>
        </w:rPr>
        <w:t> </w:t>
      </w:r>
      <w:r>
        <w:rPr/>
        <w:t>at</w:t>
      </w:r>
      <w:r>
        <w:rPr>
          <w:spacing w:val="-14"/>
        </w:rPr>
        <w:t> </w:t>
      </w:r>
      <w:r>
        <w:rPr/>
        <w:t>der</w:t>
      </w:r>
      <w:r>
        <w:rPr>
          <w:spacing w:val="-13"/>
        </w:rPr>
        <w:t> </w:t>
      </w:r>
      <w:r>
        <w:rPr/>
        <w:t>i</w:t>
      </w:r>
      <w:r>
        <w:rPr>
          <w:spacing w:val="-12"/>
        </w:rPr>
        <w:t> </w:t>
      </w:r>
      <w:r>
        <w:rPr/>
        <w:t>forbindelse</w:t>
      </w:r>
      <w:r>
        <w:rPr>
          <w:spacing w:val="-16"/>
        </w:rPr>
        <w:t> </w:t>
      </w:r>
      <w:r>
        <w:rPr/>
        <w:t>med</w:t>
      </w:r>
      <w:r>
        <w:rPr>
          <w:spacing w:val="-12"/>
        </w:rPr>
        <w:t> </w:t>
      </w:r>
      <w:r>
        <w:rPr/>
        <w:t>etablering</w:t>
      </w:r>
      <w:r>
        <w:rPr>
          <w:spacing w:val="-13"/>
        </w:rPr>
        <w:t> </w:t>
      </w:r>
      <w:r>
        <w:rPr/>
        <w:t>af</w:t>
      </w:r>
      <w:r>
        <w:rPr>
          <w:spacing w:val="-11"/>
        </w:rPr>
        <w:t> </w:t>
      </w:r>
      <w:r>
        <w:rPr/>
        <w:t>nye</w:t>
      </w:r>
      <w:r>
        <w:rPr>
          <w:spacing w:val="-11"/>
        </w:rPr>
        <w:t> </w:t>
      </w:r>
      <w:r>
        <w:rPr/>
        <w:t>mere</w:t>
      </w:r>
      <w:r>
        <w:rPr>
          <w:spacing w:val="-13"/>
        </w:rPr>
        <w:t> </w:t>
      </w:r>
      <w:r>
        <w:rPr/>
        <w:t>repræsentative</w:t>
      </w:r>
      <w:r>
        <w:rPr>
          <w:spacing w:val="-12"/>
        </w:rPr>
        <w:t> </w:t>
      </w:r>
      <w:r>
        <w:rPr/>
        <w:t>pejleboringer</w:t>
      </w:r>
      <w:r>
        <w:rPr>
          <w:spacing w:val="-14"/>
        </w:rPr>
        <w:t> </w:t>
      </w:r>
      <w:r>
        <w:rPr/>
        <w:t>(med kontinuerlig registrering) f.eks. i transekter ved udvalgte lokaliteter, iværksættes forbedret monitering af øvrige vandbalance input parametre (nedbør, jordfugtighed, afstrømning </w:t>
      </w:r>
      <w:r>
        <w:rPr>
          <w:spacing w:val="-3"/>
        </w:rPr>
        <w:t>og </w:t>
      </w:r>
      <w:r>
        <w:rPr/>
        <w:t>grundvandsstand i terrænnært og dybere</w:t>
      </w:r>
      <w:r>
        <w:rPr>
          <w:spacing w:val="-6"/>
        </w:rPr>
        <w:t> </w:t>
      </w:r>
      <w:r>
        <w:rPr/>
        <w:t>grundvand).</w:t>
      </w:r>
    </w:p>
    <w:p>
      <w:pPr>
        <w:pStyle w:val="BodyText"/>
        <w:spacing w:before="3"/>
        <w:rPr>
          <w:sz w:val="25"/>
        </w:rPr>
      </w:pPr>
    </w:p>
    <w:p>
      <w:pPr>
        <w:pStyle w:val="BodyText"/>
        <w:spacing w:line="288" w:lineRule="auto" w:before="1"/>
        <w:ind w:left="525" w:right="734"/>
        <w:jc w:val="both"/>
      </w:pPr>
      <w:r>
        <w:rPr/>
        <w:t>Den nyudviklede kalibreringsmetodik (’CRPS’) som objektivfunktion i forhold til terrænnære grundvandspejlinger, som er karakteristiske derved at de udviser stor inhomogenitet mht. geografisk</w:t>
      </w:r>
      <w:r>
        <w:rPr>
          <w:spacing w:val="-8"/>
        </w:rPr>
        <w:t> </w:t>
      </w:r>
      <w:r>
        <w:rPr/>
        <w:t>dækning,</w:t>
      </w:r>
      <w:r>
        <w:rPr>
          <w:spacing w:val="-8"/>
        </w:rPr>
        <w:t> </w:t>
      </w:r>
      <w:r>
        <w:rPr/>
        <w:t>er</w:t>
      </w:r>
      <w:r>
        <w:rPr>
          <w:spacing w:val="-8"/>
        </w:rPr>
        <w:t> </w:t>
      </w:r>
      <w:r>
        <w:rPr/>
        <w:t>et</w:t>
      </w:r>
      <w:r>
        <w:rPr>
          <w:spacing w:val="-10"/>
        </w:rPr>
        <w:t> </w:t>
      </w:r>
      <w:r>
        <w:rPr/>
        <w:t>vigtigt</w:t>
      </w:r>
      <w:r>
        <w:rPr>
          <w:spacing w:val="-8"/>
        </w:rPr>
        <w:t> </w:t>
      </w:r>
      <w:r>
        <w:rPr/>
        <w:t>resultat</w:t>
      </w:r>
      <w:r>
        <w:rPr>
          <w:spacing w:val="-8"/>
        </w:rPr>
        <w:t> </w:t>
      </w:r>
      <w:r>
        <w:rPr/>
        <w:t>af</w:t>
      </w:r>
      <w:r>
        <w:rPr>
          <w:spacing w:val="-8"/>
        </w:rPr>
        <w:t> </w:t>
      </w:r>
      <w:r>
        <w:rPr/>
        <w:t>metodeudviklingen.</w:t>
      </w:r>
      <w:r>
        <w:rPr>
          <w:spacing w:val="-8"/>
        </w:rPr>
        <w:t> </w:t>
      </w:r>
      <w:r>
        <w:rPr/>
        <w:t>Metoden</w:t>
      </w:r>
      <w:r>
        <w:rPr>
          <w:spacing w:val="-9"/>
        </w:rPr>
        <w:t> </w:t>
      </w:r>
      <w:r>
        <w:rPr/>
        <w:t>betyder</w:t>
      </w:r>
      <w:r>
        <w:rPr>
          <w:spacing w:val="-8"/>
        </w:rPr>
        <w:t> </w:t>
      </w:r>
      <w:r>
        <w:rPr/>
        <w:t>at</w:t>
      </w:r>
      <w:r>
        <w:rPr>
          <w:spacing w:val="-8"/>
        </w:rPr>
        <w:t> </w:t>
      </w:r>
      <w:r>
        <w:rPr/>
        <w:t>sortering af pejlinger som ikke stemmer i forhold til modelstruktur er styrket væsentligt, hvorved den valgte modelstruktur mere effektiv kan kalibreres, samtidig med at observationer der ikke stemmer kan udpeges, så den konceptuelle model i disse områder vil kunne</w:t>
      </w:r>
      <w:r>
        <w:rPr>
          <w:spacing w:val="-42"/>
        </w:rPr>
        <w:t> </w:t>
      </w:r>
      <w:r>
        <w:rPr/>
        <w:t>videreudvikles.</w:t>
      </w:r>
    </w:p>
    <w:p>
      <w:pPr>
        <w:pStyle w:val="BodyText"/>
        <w:spacing w:before="2"/>
        <w:rPr>
          <w:sz w:val="25"/>
        </w:rPr>
      </w:pPr>
    </w:p>
    <w:p>
      <w:pPr>
        <w:pStyle w:val="BodyText"/>
        <w:spacing w:line="288" w:lineRule="auto"/>
        <w:ind w:left="525" w:right="731"/>
        <w:jc w:val="both"/>
      </w:pPr>
      <w:r>
        <w:rPr/>
        <w:t>Der er opnået en nøjagtighed på simulering af dybde til terrænnært grundvandsspejl på 1-2 m</w:t>
      </w:r>
      <w:r>
        <w:rPr>
          <w:spacing w:val="-3"/>
        </w:rPr>
        <w:t> </w:t>
      </w:r>
      <w:r>
        <w:rPr/>
        <w:t>i</w:t>
      </w:r>
      <w:r>
        <w:rPr>
          <w:spacing w:val="-3"/>
        </w:rPr>
        <w:t> </w:t>
      </w:r>
      <w:r>
        <w:rPr/>
        <w:t>gennemsnit,</w:t>
      </w:r>
      <w:r>
        <w:rPr>
          <w:spacing w:val="-5"/>
        </w:rPr>
        <w:t> </w:t>
      </w:r>
      <w:r>
        <w:rPr/>
        <w:t>mod</w:t>
      </w:r>
      <w:r>
        <w:rPr>
          <w:spacing w:val="-3"/>
        </w:rPr>
        <w:t> </w:t>
      </w:r>
      <w:r>
        <w:rPr/>
        <w:t>en</w:t>
      </w:r>
      <w:r>
        <w:rPr>
          <w:spacing w:val="-5"/>
        </w:rPr>
        <w:t> </w:t>
      </w:r>
      <w:r>
        <w:rPr/>
        <w:t>ønsket</w:t>
      </w:r>
      <w:r>
        <w:rPr>
          <w:spacing w:val="-5"/>
        </w:rPr>
        <w:t> </w:t>
      </w:r>
      <w:r>
        <w:rPr/>
        <w:t>performance</w:t>
      </w:r>
      <w:r>
        <w:rPr>
          <w:spacing w:val="-3"/>
        </w:rPr>
        <w:t> </w:t>
      </w:r>
      <w:r>
        <w:rPr/>
        <w:t>på</w:t>
      </w:r>
      <w:r>
        <w:rPr>
          <w:spacing w:val="-3"/>
        </w:rPr>
        <w:t> </w:t>
      </w:r>
      <w:r>
        <w:rPr/>
        <w:t>0.5-1</w:t>
      </w:r>
      <w:r>
        <w:rPr>
          <w:spacing w:val="-4"/>
        </w:rPr>
        <w:t> </w:t>
      </w:r>
      <w:r>
        <w:rPr/>
        <w:t>m.</w:t>
      </w:r>
      <w:r>
        <w:rPr>
          <w:spacing w:val="-6"/>
        </w:rPr>
        <w:t> </w:t>
      </w:r>
      <w:r>
        <w:rPr/>
        <w:t>En</w:t>
      </w:r>
      <w:r>
        <w:rPr>
          <w:spacing w:val="-4"/>
        </w:rPr>
        <w:t> </w:t>
      </w:r>
      <w:r>
        <w:rPr/>
        <w:t>yderligere</w:t>
      </w:r>
      <w:r>
        <w:rPr>
          <w:spacing w:val="-4"/>
        </w:rPr>
        <w:t> </w:t>
      </w:r>
      <w:r>
        <w:rPr/>
        <w:t>detaljering</w:t>
      </w:r>
      <w:r>
        <w:rPr>
          <w:spacing w:val="-3"/>
        </w:rPr>
        <w:t> </w:t>
      </w:r>
      <w:r>
        <w:rPr/>
        <w:t>af</w:t>
      </w:r>
      <w:r>
        <w:rPr>
          <w:spacing w:val="-4"/>
        </w:rPr>
        <w:t> </w:t>
      </w:r>
      <w:r>
        <w:rPr/>
        <w:t>beskri- velsen af terrænnære modelstrukturforhold i modellen f.eks. dræn, geologi, vegetation, be- fæstede</w:t>
      </w:r>
      <w:r>
        <w:rPr>
          <w:spacing w:val="-7"/>
        </w:rPr>
        <w:t> </w:t>
      </w:r>
      <w:r>
        <w:rPr/>
        <w:t>arealer,</w:t>
      </w:r>
      <w:r>
        <w:rPr>
          <w:spacing w:val="-8"/>
        </w:rPr>
        <w:t> </w:t>
      </w:r>
      <w:r>
        <w:rPr/>
        <w:t>beregningslag</w:t>
      </w:r>
      <w:r>
        <w:rPr>
          <w:spacing w:val="-8"/>
        </w:rPr>
        <w:t> </w:t>
      </w:r>
      <w:r>
        <w:rPr/>
        <w:t>m.m.</w:t>
      </w:r>
      <w:r>
        <w:rPr>
          <w:spacing w:val="-7"/>
        </w:rPr>
        <w:t> </w:t>
      </w:r>
      <w:r>
        <w:rPr/>
        <w:t>anbefales,</w:t>
      </w:r>
      <w:r>
        <w:rPr>
          <w:spacing w:val="-7"/>
        </w:rPr>
        <w:t> </w:t>
      </w:r>
      <w:r>
        <w:rPr/>
        <w:t>så</w:t>
      </w:r>
      <w:r>
        <w:rPr>
          <w:spacing w:val="-11"/>
        </w:rPr>
        <w:t> </w:t>
      </w:r>
      <w:r>
        <w:rPr/>
        <w:t>de</w:t>
      </w:r>
      <w:r>
        <w:rPr>
          <w:spacing w:val="-6"/>
        </w:rPr>
        <w:t> </w:t>
      </w:r>
      <w:r>
        <w:rPr/>
        <w:t>repræsenteres</w:t>
      </w:r>
      <w:r>
        <w:rPr>
          <w:spacing w:val="-6"/>
        </w:rPr>
        <w:t> </w:t>
      </w:r>
      <w:r>
        <w:rPr/>
        <w:t>i</w:t>
      </w:r>
      <w:r>
        <w:rPr>
          <w:spacing w:val="-8"/>
        </w:rPr>
        <w:t> </w:t>
      </w:r>
      <w:r>
        <w:rPr/>
        <w:t>en</w:t>
      </w:r>
      <w:r>
        <w:rPr>
          <w:spacing w:val="-8"/>
        </w:rPr>
        <w:t> </w:t>
      </w:r>
      <w:r>
        <w:rPr/>
        <w:t>evt.</w:t>
      </w:r>
      <w:r>
        <w:rPr>
          <w:spacing w:val="-5"/>
        </w:rPr>
        <w:t> </w:t>
      </w:r>
      <w:r>
        <w:rPr/>
        <w:t>100</w:t>
      </w:r>
      <w:r>
        <w:rPr>
          <w:spacing w:val="-8"/>
        </w:rPr>
        <w:t> </w:t>
      </w:r>
      <w:r>
        <w:rPr/>
        <w:t>m</w:t>
      </w:r>
      <w:r>
        <w:rPr>
          <w:spacing w:val="-7"/>
        </w:rPr>
        <w:t> </w:t>
      </w:r>
      <w:r>
        <w:rPr/>
        <w:t>model.</w:t>
      </w:r>
    </w:p>
    <w:p>
      <w:pPr>
        <w:pStyle w:val="BodyText"/>
        <w:spacing w:before="3"/>
        <w:rPr>
          <w:sz w:val="25"/>
        </w:rPr>
      </w:pPr>
    </w:p>
    <w:p>
      <w:pPr>
        <w:pStyle w:val="Heading5"/>
        <w:jc w:val="both"/>
        <w:rPr>
          <w:i/>
        </w:rPr>
      </w:pPr>
      <w:r>
        <w:rPr>
          <w:i/>
        </w:rPr>
        <w:t>Vandløbsdata</w:t>
      </w:r>
    </w:p>
    <w:p>
      <w:pPr>
        <w:pStyle w:val="BodyText"/>
        <w:spacing w:line="288" w:lineRule="auto" w:before="47"/>
        <w:ind w:left="525" w:right="731"/>
        <w:jc w:val="both"/>
      </w:pPr>
      <w:r>
        <w:rPr/>
        <w:t>Af andre væsentlige usikkerheder i forhold til simulering af flow ved hændelsessituationer kan nævnes regulering af afløb fra søer i forbindelse med oversvømmelseshændelser. I</w:t>
      </w:r>
      <w:r>
        <w:rPr>
          <w:spacing w:val="-32"/>
        </w:rPr>
        <w:t> </w:t>
      </w:r>
      <w:r>
        <w:rPr/>
        <w:t>for- hold</w:t>
      </w:r>
      <w:r>
        <w:rPr>
          <w:spacing w:val="19"/>
        </w:rPr>
        <w:t> </w:t>
      </w:r>
      <w:r>
        <w:rPr/>
        <w:t>til</w:t>
      </w:r>
      <w:r>
        <w:rPr>
          <w:spacing w:val="22"/>
        </w:rPr>
        <w:t> </w:t>
      </w:r>
      <w:r>
        <w:rPr/>
        <w:t>vandstandsdata</w:t>
      </w:r>
      <w:r>
        <w:rPr>
          <w:spacing w:val="20"/>
        </w:rPr>
        <w:t> </w:t>
      </w:r>
      <w:r>
        <w:rPr/>
        <w:t>i</w:t>
      </w:r>
      <w:r>
        <w:rPr>
          <w:spacing w:val="20"/>
        </w:rPr>
        <w:t> </w:t>
      </w:r>
      <w:r>
        <w:rPr/>
        <w:t>vandløb</w:t>
      </w:r>
      <w:r>
        <w:rPr>
          <w:spacing w:val="20"/>
        </w:rPr>
        <w:t> </w:t>
      </w:r>
      <w:r>
        <w:rPr/>
        <w:t>udgør</w:t>
      </w:r>
      <w:r>
        <w:rPr>
          <w:spacing w:val="20"/>
        </w:rPr>
        <w:t> </w:t>
      </w:r>
      <w:r>
        <w:rPr/>
        <w:t>den</w:t>
      </w:r>
      <w:r>
        <w:rPr>
          <w:spacing w:val="21"/>
        </w:rPr>
        <w:t> </w:t>
      </w:r>
      <w:r>
        <w:rPr/>
        <w:t>årlige</w:t>
      </w:r>
      <w:r>
        <w:rPr>
          <w:spacing w:val="20"/>
        </w:rPr>
        <w:t> </w:t>
      </w:r>
      <w:r>
        <w:rPr/>
        <w:t>variation/trend</w:t>
      </w:r>
      <w:r>
        <w:rPr>
          <w:spacing w:val="21"/>
        </w:rPr>
        <w:t> </w:t>
      </w:r>
      <w:r>
        <w:rPr/>
        <w:t>i</w:t>
      </w:r>
      <w:r>
        <w:rPr>
          <w:spacing w:val="21"/>
        </w:rPr>
        <w:t> </w:t>
      </w:r>
      <w:r>
        <w:rPr/>
        <w:t>Manningtallet</w:t>
      </w:r>
      <w:r>
        <w:rPr>
          <w:spacing w:val="18"/>
        </w:rPr>
        <w:t> </w:t>
      </w:r>
      <w:r>
        <w:rPr/>
        <w:t>(der</w:t>
      </w:r>
      <w:r>
        <w:rPr>
          <w:spacing w:val="20"/>
        </w:rPr>
        <w:t> </w:t>
      </w:r>
      <w:r>
        <w:rPr/>
        <w:t>har</w:t>
      </w:r>
    </w:p>
    <w:p>
      <w:pPr>
        <w:spacing w:after="0" w:line="288" w:lineRule="auto"/>
        <w:jc w:val="both"/>
        <w:sectPr>
          <w:pgSz w:w="11910" w:h="16850"/>
          <w:pgMar w:header="0" w:footer="857" w:top="1600" w:bottom="1120" w:left="1460" w:right="680"/>
        </w:sectPr>
      </w:pPr>
    </w:p>
    <w:p>
      <w:pPr>
        <w:pStyle w:val="BodyText"/>
        <w:spacing w:line="288" w:lineRule="auto" w:before="75"/>
        <w:ind w:left="525" w:right="731"/>
        <w:jc w:val="both"/>
      </w:pPr>
      <w:r>
        <w:rPr/>
        <w:t>betydning for vandføringsevnen) en væsentlig usikkerhedskilde og den tidsmæssige varia- tion</w:t>
      </w:r>
      <w:r>
        <w:rPr>
          <w:spacing w:val="-9"/>
        </w:rPr>
        <w:t> </w:t>
      </w:r>
      <w:r>
        <w:rPr/>
        <w:t>i</w:t>
      </w:r>
      <w:r>
        <w:rPr>
          <w:spacing w:val="-8"/>
        </w:rPr>
        <w:t> </w:t>
      </w:r>
      <w:r>
        <w:rPr/>
        <w:t>fysiske</w:t>
      </w:r>
      <w:r>
        <w:rPr>
          <w:spacing w:val="-8"/>
        </w:rPr>
        <w:t> </w:t>
      </w:r>
      <w:r>
        <w:rPr/>
        <w:t>forhold</w:t>
      </w:r>
      <w:r>
        <w:rPr>
          <w:spacing w:val="-8"/>
        </w:rPr>
        <w:t> </w:t>
      </w:r>
      <w:r>
        <w:rPr/>
        <w:t>som</w:t>
      </w:r>
      <w:r>
        <w:rPr>
          <w:spacing w:val="-7"/>
        </w:rPr>
        <w:t> </w:t>
      </w:r>
      <w:r>
        <w:rPr/>
        <w:t>følge</w:t>
      </w:r>
      <w:r>
        <w:rPr>
          <w:spacing w:val="-8"/>
        </w:rPr>
        <w:t> </w:t>
      </w:r>
      <w:r>
        <w:rPr/>
        <w:t>af</w:t>
      </w:r>
      <w:r>
        <w:rPr>
          <w:spacing w:val="-8"/>
        </w:rPr>
        <w:t> </w:t>
      </w:r>
      <w:r>
        <w:rPr/>
        <w:t>vandløbsrestaurering</w:t>
      </w:r>
      <w:r>
        <w:rPr>
          <w:spacing w:val="-8"/>
        </w:rPr>
        <w:t> </w:t>
      </w:r>
      <w:r>
        <w:rPr/>
        <w:t>(som</w:t>
      </w:r>
      <w:r>
        <w:rPr>
          <w:spacing w:val="-7"/>
        </w:rPr>
        <w:t> </w:t>
      </w:r>
      <w:r>
        <w:rPr/>
        <w:t>fx</w:t>
      </w:r>
      <w:r>
        <w:rPr>
          <w:spacing w:val="-9"/>
        </w:rPr>
        <w:t> </w:t>
      </w:r>
      <w:r>
        <w:rPr/>
        <w:t>i</w:t>
      </w:r>
      <w:r>
        <w:rPr>
          <w:spacing w:val="-7"/>
        </w:rPr>
        <w:t> </w:t>
      </w:r>
      <w:r>
        <w:rPr/>
        <w:t>Stavis</w:t>
      </w:r>
      <w:r>
        <w:rPr>
          <w:spacing w:val="-8"/>
        </w:rPr>
        <w:t> </w:t>
      </w:r>
      <w:r>
        <w:rPr/>
        <w:t>å)</w:t>
      </w:r>
      <w:r>
        <w:rPr>
          <w:spacing w:val="-10"/>
        </w:rPr>
        <w:t> </w:t>
      </w:r>
      <w:r>
        <w:rPr/>
        <w:t>kan</w:t>
      </w:r>
      <w:r>
        <w:rPr>
          <w:spacing w:val="-8"/>
        </w:rPr>
        <w:t> </w:t>
      </w:r>
      <w:r>
        <w:rPr/>
        <w:t>ikke</w:t>
      </w:r>
      <w:r>
        <w:rPr>
          <w:spacing w:val="-8"/>
        </w:rPr>
        <w:t> </w:t>
      </w:r>
      <w:r>
        <w:rPr/>
        <w:t>simuleres korrekt</w:t>
      </w:r>
      <w:r>
        <w:rPr>
          <w:spacing w:val="-7"/>
        </w:rPr>
        <w:t> </w:t>
      </w:r>
      <w:r>
        <w:rPr/>
        <w:t>med</w:t>
      </w:r>
      <w:r>
        <w:rPr>
          <w:spacing w:val="-6"/>
        </w:rPr>
        <w:t> </w:t>
      </w:r>
      <w:r>
        <w:rPr/>
        <w:t>et</w:t>
      </w:r>
      <w:r>
        <w:rPr>
          <w:spacing w:val="-6"/>
        </w:rPr>
        <w:t> </w:t>
      </w:r>
      <w:r>
        <w:rPr/>
        <w:t>fastholdt</w:t>
      </w:r>
      <w:r>
        <w:rPr>
          <w:spacing w:val="-7"/>
        </w:rPr>
        <w:t> </w:t>
      </w:r>
      <w:r>
        <w:rPr/>
        <w:t>Manningtal</w:t>
      </w:r>
      <w:r>
        <w:rPr>
          <w:spacing w:val="-5"/>
        </w:rPr>
        <w:t> </w:t>
      </w:r>
      <w:r>
        <w:rPr/>
        <w:t>for</w:t>
      </w:r>
      <w:r>
        <w:rPr>
          <w:spacing w:val="-6"/>
        </w:rPr>
        <w:t> </w:t>
      </w:r>
      <w:r>
        <w:rPr/>
        <w:t>vintersituationen</w:t>
      </w:r>
      <w:r>
        <w:rPr>
          <w:spacing w:val="-4"/>
        </w:rPr>
        <w:t> </w:t>
      </w:r>
      <w:r>
        <w:rPr/>
        <w:t>som</w:t>
      </w:r>
      <w:r>
        <w:rPr>
          <w:spacing w:val="-5"/>
        </w:rPr>
        <w:t> </w:t>
      </w:r>
      <w:r>
        <w:rPr/>
        <w:t>anvendt</w:t>
      </w:r>
      <w:r>
        <w:rPr>
          <w:spacing w:val="-7"/>
        </w:rPr>
        <w:t> </w:t>
      </w:r>
      <w:r>
        <w:rPr/>
        <w:t>i</w:t>
      </w:r>
      <w:r>
        <w:rPr>
          <w:spacing w:val="-5"/>
        </w:rPr>
        <w:t> </w:t>
      </w:r>
      <w:r>
        <w:rPr/>
        <w:t>nærværende</w:t>
      </w:r>
      <w:r>
        <w:rPr>
          <w:spacing w:val="-6"/>
        </w:rPr>
        <w:t> </w:t>
      </w:r>
      <w:r>
        <w:rPr/>
        <w:t>projekt. Omvendt</w:t>
      </w:r>
      <w:r>
        <w:rPr>
          <w:spacing w:val="-7"/>
        </w:rPr>
        <w:t> </w:t>
      </w:r>
      <w:r>
        <w:rPr/>
        <w:t>er</w:t>
      </w:r>
      <w:r>
        <w:rPr>
          <w:spacing w:val="-7"/>
        </w:rPr>
        <w:t> </w:t>
      </w:r>
      <w:r>
        <w:rPr/>
        <w:t>det</w:t>
      </w:r>
      <w:r>
        <w:rPr>
          <w:spacing w:val="-7"/>
        </w:rPr>
        <w:t> </w:t>
      </w:r>
      <w:r>
        <w:rPr/>
        <w:t>en</w:t>
      </w:r>
      <w:r>
        <w:rPr>
          <w:spacing w:val="-6"/>
        </w:rPr>
        <w:t> </w:t>
      </w:r>
      <w:r>
        <w:rPr/>
        <w:t>styrke</w:t>
      </w:r>
      <w:r>
        <w:rPr>
          <w:spacing w:val="-8"/>
        </w:rPr>
        <w:t> </w:t>
      </w:r>
      <w:r>
        <w:rPr/>
        <w:t>ved</w:t>
      </w:r>
      <w:r>
        <w:rPr>
          <w:spacing w:val="-6"/>
        </w:rPr>
        <w:t> </w:t>
      </w:r>
      <w:r>
        <w:rPr/>
        <w:t>den</w:t>
      </w:r>
      <w:r>
        <w:rPr>
          <w:spacing w:val="-5"/>
        </w:rPr>
        <w:t> </w:t>
      </w:r>
      <w:r>
        <w:rPr/>
        <w:t>anvendte</w:t>
      </w:r>
      <w:r>
        <w:rPr>
          <w:spacing w:val="-6"/>
        </w:rPr>
        <w:t> </w:t>
      </w:r>
      <w:r>
        <w:rPr/>
        <w:t>parameterisering,</w:t>
      </w:r>
      <w:r>
        <w:rPr>
          <w:spacing w:val="-7"/>
        </w:rPr>
        <w:t> </w:t>
      </w:r>
      <w:r>
        <w:rPr/>
        <w:t>at</w:t>
      </w:r>
      <w:r>
        <w:rPr>
          <w:spacing w:val="-7"/>
        </w:rPr>
        <w:t> </w:t>
      </w:r>
      <w:r>
        <w:rPr/>
        <w:t>en</w:t>
      </w:r>
      <w:r>
        <w:rPr>
          <w:spacing w:val="-6"/>
        </w:rPr>
        <w:t> </w:t>
      </w:r>
      <w:r>
        <w:rPr/>
        <w:t>evt.</w:t>
      </w:r>
      <w:r>
        <w:rPr>
          <w:spacing w:val="-5"/>
        </w:rPr>
        <w:t> </w:t>
      </w:r>
      <w:r>
        <w:rPr/>
        <w:t>trend</w:t>
      </w:r>
      <w:r>
        <w:rPr>
          <w:spacing w:val="-5"/>
        </w:rPr>
        <w:t> </w:t>
      </w:r>
      <w:r>
        <w:rPr/>
        <w:t>i</w:t>
      </w:r>
      <w:r>
        <w:rPr>
          <w:spacing w:val="-5"/>
        </w:rPr>
        <w:t> </w:t>
      </w:r>
      <w:r>
        <w:rPr/>
        <w:t>vandførings- evnen og dermed i risikoen for oversvømmelser fra vandløb vil kunne vurderes på basis </w:t>
      </w:r>
      <w:r>
        <w:rPr>
          <w:spacing w:val="-3"/>
        </w:rPr>
        <w:t>af </w:t>
      </w:r>
      <w:r>
        <w:rPr/>
        <w:t>den anvendte 2-parameter sinusbeskrivelse af årstidsvariationen i Manningtallet, sammen- holdt med resultater fra modelsimulering og</w:t>
      </w:r>
      <w:r>
        <w:rPr>
          <w:spacing w:val="-12"/>
        </w:rPr>
        <w:t> </w:t>
      </w:r>
      <w:r>
        <w:rPr/>
        <w:t>vandstandsmålinger.</w:t>
      </w:r>
    </w:p>
    <w:p>
      <w:pPr>
        <w:pStyle w:val="BodyText"/>
        <w:spacing w:before="2"/>
        <w:rPr>
          <w:sz w:val="25"/>
        </w:rPr>
      </w:pPr>
    </w:p>
    <w:p>
      <w:pPr>
        <w:pStyle w:val="BodyText"/>
        <w:spacing w:line="288" w:lineRule="auto" w:before="1"/>
        <w:ind w:left="525" w:right="732"/>
        <w:jc w:val="both"/>
      </w:pPr>
      <w:r>
        <w:rPr/>
        <w:t>Supplerende</w:t>
      </w:r>
      <w:r>
        <w:rPr>
          <w:spacing w:val="-6"/>
        </w:rPr>
        <w:t> </w:t>
      </w:r>
      <w:r>
        <w:rPr/>
        <w:t>’kampagne’</w:t>
      </w:r>
      <w:r>
        <w:rPr>
          <w:spacing w:val="-6"/>
        </w:rPr>
        <w:t> </w:t>
      </w:r>
      <w:r>
        <w:rPr/>
        <w:t>målinger</w:t>
      </w:r>
      <w:r>
        <w:rPr>
          <w:spacing w:val="-6"/>
        </w:rPr>
        <w:t> </w:t>
      </w:r>
      <w:r>
        <w:rPr/>
        <w:t>fra</w:t>
      </w:r>
      <w:r>
        <w:rPr>
          <w:spacing w:val="-6"/>
        </w:rPr>
        <w:t> </w:t>
      </w:r>
      <w:r>
        <w:rPr/>
        <w:t>udvalgte</w:t>
      </w:r>
      <w:r>
        <w:rPr>
          <w:spacing w:val="-6"/>
        </w:rPr>
        <w:t> </w:t>
      </w:r>
      <w:r>
        <w:rPr/>
        <w:t>hændelser</w:t>
      </w:r>
      <w:r>
        <w:rPr>
          <w:spacing w:val="-4"/>
        </w:rPr>
        <w:t> </w:t>
      </w:r>
      <w:r>
        <w:rPr/>
        <w:t>med</w:t>
      </w:r>
      <w:r>
        <w:rPr>
          <w:spacing w:val="-5"/>
        </w:rPr>
        <w:t> </w:t>
      </w:r>
      <w:r>
        <w:rPr/>
        <w:t>observationer</w:t>
      </w:r>
      <w:r>
        <w:rPr>
          <w:spacing w:val="-6"/>
        </w:rPr>
        <w:t> </w:t>
      </w:r>
      <w:r>
        <w:rPr/>
        <w:t>af</w:t>
      </w:r>
      <w:r>
        <w:rPr>
          <w:spacing w:val="-4"/>
        </w:rPr>
        <w:t> </w:t>
      </w:r>
      <w:r>
        <w:rPr/>
        <w:t>tværsnit</w:t>
      </w:r>
      <w:r>
        <w:rPr>
          <w:spacing w:val="-7"/>
        </w:rPr>
        <w:t> </w:t>
      </w:r>
      <w:r>
        <w:rPr/>
        <w:t>og vandstande</w:t>
      </w:r>
      <w:r>
        <w:rPr>
          <w:spacing w:val="-17"/>
        </w:rPr>
        <w:t> </w:t>
      </w:r>
      <w:r>
        <w:rPr/>
        <w:t>ned</w:t>
      </w:r>
      <w:r>
        <w:rPr>
          <w:spacing w:val="-15"/>
        </w:rPr>
        <w:t> </w:t>
      </w:r>
      <w:r>
        <w:rPr/>
        <w:t>gennem</w:t>
      </w:r>
      <w:r>
        <w:rPr>
          <w:spacing w:val="-17"/>
        </w:rPr>
        <w:t> </w:t>
      </w:r>
      <w:r>
        <w:rPr/>
        <w:t>et</w:t>
      </w:r>
      <w:r>
        <w:rPr>
          <w:spacing w:val="-17"/>
        </w:rPr>
        <w:t> </w:t>
      </w:r>
      <w:r>
        <w:rPr/>
        <w:t>vandløbet</w:t>
      </w:r>
      <w:r>
        <w:rPr>
          <w:spacing w:val="-17"/>
        </w:rPr>
        <w:t> </w:t>
      </w:r>
      <w:r>
        <w:rPr/>
        <w:t>f.eks.</w:t>
      </w:r>
      <w:r>
        <w:rPr>
          <w:spacing w:val="-17"/>
        </w:rPr>
        <w:t> </w:t>
      </w:r>
      <w:r>
        <w:rPr/>
        <w:t>ved</w:t>
      </w:r>
      <w:r>
        <w:rPr>
          <w:spacing w:val="-16"/>
        </w:rPr>
        <w:t> </w:t>
      </w:r>
      <w:r>
        <w:rPr/>
        <w:t>store</w:t>
      </w:r>
      <w:r>
        <w:rPr>
          <w:spacing w:val="-16"/>
        </w:rPr>
        <w:t> </w:t>
      </w:r>
      <w:r>
        <w:rPr/>
        <w:t>afstrømninger</w:t>
      </w:r>
      <w:r>
        <w:rPr>
          <w:spacing w:val="-16"/>
        </w:rPr>
        <w:t> </w:t>
      </w:r>
      <w:r>
        <w:rPr/>
        <w:t>(som</w:t>
      </w:r>
      <w:r>
        <w:rPr>
          <w:spacing w:val="-15"/>
        </w:rPr>
        <w:t> </w:t>
      </w:r>
      <w:r>
        <w:rPr/>
        <w:t>analyserede</w:t>
      </w:r>
      <w:r>
        <w:rPr>
          <w:spacing w:val="-16"/>
        </w:rPr>
        <w:t> </w:t>
      </w:r>
      <w:r>
        <w:rPr/>
        <w:t>event for december 2015), er formentlig nødvendige såfremt man skal kunne forbedre kalibrerin- gen</w:t>
      </w:r>
      <w:r>
        <w:rPr>
          <w:spacing w:val="-12"/>
        </w:rPr>
        <w:t> </w:t>
      </w:r>
      <w:r>
        <w:rPr/>
        <w:t>af</w:t>
      </w:r>
      <w:r>
        <w:rPr>
          <w:spacing w:val="-13"/>
        </w:rPr>
        <w:t> </w:t>
      </w:r>
      <w:r>
        <w:rPr/>
        <w:t>modellen</w:t>
      </w:r>
      <w:r>
        <w:rPr>
          <w:spacing w:val="-12"/>
        </w:rPr>
        <w:t> </w:t>
      </w:r>
      <w:r>
        <w:rPr/>
        <w:t>i</w:t>
      </w:r>
      <w:r>
        <w:rPr>
          <w:spacing w:val="-13"/>
        </w:rPr>
        <w:t> </w:t>
      </w:r>
      <w:r>
        <w:rPr/>
        <w:t>forhold</w:t>
      </w:r>
      <w:r>
        <w:rPr>
          <w:spacing w:val="-13"/>
        </w:rPr>
        <w:t> </w:t>
      </w:r>
      <w:r>
        <w:rPr/>
        <w:t>til</w:t>
      </w:r>
      <w:r>
        <w:rPr>
          <w:spacing w:val="-11"/>
        </w:rPr>
        <w:t> </w:t>
      </w:r>
      <w:r>
        <w:rPr/>
        <w:t>fysiske</w:t>
      </w:r>
      <w:r>
        <w:rPr>
          <w:spacing w:val="-14"/>
        </w:rPr>
        <w:t> </w:t>
      </w:r>
      <w:r>
        <w:rPr/>
        <w:t>forhold,</w:t>
      </w:r>
      <w:r>
        <w:rPr>
          <w:spacing w:val="-12"/>
        </w:rPr>
        <w:t> </w:t>
      </w:r>
      <w:r>
        <w:rPr/>
        <w:t>Manningtal</w:t>
      </w:r>
      <w:r>
        <w:rPr>
          <w:spacing w:val="-11"/>
        </w:rPr>
        <w:t> </w:t>
      </w:r>
      <w:r>
        <w:rPr/>
        <w:t>og</w:t>
      </w:r>
      <w:r>
        <w:rPr>
          <w:spacing w:val="-13"/>
        </w:rPr>
        <w:t> </w:t>
      </w:r>
      <w:r>
        <w:rPr/>
        <w:t>tryktab</w:t>
      </w:r>
      <w:r>
        <w:rPr>
          <w:spacing w:val="-11"/>
        </w:rPr>
        <w:t> </w:t>
      </w:r>
      <w:r>
        <w:rPr/>
        <w:t>i</w:t>
      </w:r>
      <w:r>
        <w:rPr>
          <w:spacing w:val="-11"/>
        </w:rPr>
        <w:t> </w:t>
      </w:r>
      <w:r>
        <w:rPr/>
        <w:t>vandløbet</w:t>
      </w:r>
      <w:r>
        <w:rPr>
          <w:spacing w:val="-14"/>
        </w:rPr>
        <w:t> </w:t>
      </w:r>
      <w:r>
        <w:rPr/>
        <w:t>(indsnævringer, sving mm). En sådan kalibrering/assimilering vil samtidig give meget væsentligt forbedrede modelsimuleringer</w:t>
      </w:r>
      <w:r>
        <w:rPr>
          <w:spacing w:val="-11"/>
        </w:rPr>
        <w:t> </w:t>
      </w:r>
      <w:r>
        <w:rPr/>
        <w:t>af</w:t>
      </w:r>
      <w:r>
        <w:rPr>
          <w:spacing w:val="-12"/>
        </w:rPr>
        <w:t> </w:t>
      </w:r>
      <w:r>
        <w:rPr/>
        <w:t>muligheder</w:t>
      </w:r>
      <w:r>
        <w:rPr>
          <w:spacing w:val="-11"/>
        </w:rPr>
        <w:t> </w:t>
      </w:r>
      <w:r>
        <w:rPr/>
        <w:t>for</w:t>
      </w:r>
      <w:r>
        <w:rPr>
          <w:spacing w:val="-9"/>
        </w:rPr>
        <w:t> </w:t>
      </w:r>
      <w:r>
        <w:rPr/>
        <w:t>detailvurdering</w:t>
      </w:r>
      <w:r>
        <w:rPr>
          <w:spacing w:val="-10"/>
        </w:rPr>
        <w:t> </w:t>
      </w:r>
      <w:r>
        <w:rPr/>
        <w:t>af</w:t>
      </w:r>
      <w:r>
        <w:rPr>
          <w:spacing w:val="-10"/>
        </w:rPr>
        <w:t> </w:t>
      </w:r>
      <w:r>
        <w:rPr/>
        <w:t>risiko</w:t>
      </w:r>
      <w:r>
        <w:rPr>
          <w:spacing w:val="-11"/>
        </w:rPr>
        <w:t> </w:t>
      </w:r>
      <w:r>
        <w:rPr/>
        <w:t>for</w:t>
      </w:r>
      <w:r>
        <w:rPr>
          <w:spacing w:val="-11"/>
        </w:rPr>
        <w:t> </w:t>
      </w:r>
      <w:r>
        <w:rPr/>
        <w:t>oversvømmelser</w:t>
      </w:r>
      <w:r>
        <w:rPr>
          <w:spacing w:val="-11"/>
        </w:rPr>
        <w:t> </w:t>
      </w:r>
      <w:r>
        <w:rPr/>
        <w:t>fra</w:t>
      </w:r>
      <w:r>
        <w:rPr>
          <w:spacing w:val="-11"/>
        </w:rPr>
        <w:t> </w:t>
      </w:r>
      <w:r>
        <w:rPr/>
        <w:t>vandløb og udbredelse af høje vandstande fra vandløb ud i terrænet. Det samme gælder i øvrigt udbredelsen af terrænnære</w:t>
      </w:r>
      <w:r>
        <w:rPr>
          <w:spacing w:val="-3"/>
        </w:rPr>
        <w:t> </w:t>
      </w:r>
      <w:r>
        <w:rPr/>
        <w:t>grundvandstande.</w:t>
      </w:r>
    </w:p>
    <w:p>
      <w:pPr>
        <w:pStyle w:val="BodyText"/>
        <w:spacing w:before="1"/>
        <w:rPr>
          <w:sz w:val="25"/>
        </w:rPr>
      </w:pPr>
    </w:p>
    <w:p>
      <w:pPr>
        <w:pStyle w:val="BodyText"/>
        <w:spacing w:line="288" w:lineRule="auto"/>
        <w:ind w:left="525" w:right="732"/>
        <w:jc w:val="both"/>
      </w:pPr>
      <w:r>
        <w:rPr/>
        <w:t>Det anbefales at samle alle fysiske vandløbsdata i en fælles database, for at de kan bruges effektivt</w:t>
      </w:r>
      <w:r>
        <w:rPr>
          <w:spacing w:val="-6"/>
        </w:rPr>
        <w:t> </w:t>
      </w:r>
      <w:r>
        <w:rPr/>
        <w:t>i</w:t>
      </w:r>
      <w:r>
        <w:rPr>
          <w:spacing w:val="-4"/>
        </w:rPr>
        <w:t> </w:t>
      </w:r>
      <w:r>
        <w:rPr/>
        <w:t>DK-modellen</w:t>
      </w:r>
      <w:r>
        <w:rPr>
          <w:spacing w:val="-4"/>
        </w:rPr>
        <w:t> </w:t>
      </w:r>
      <w:r>
        <w:rPr/>
        <w:t>og</w:t>
      </w:r>
      <w:r>
        <w:rPr>
          <w:spacing w:val="-5"/>
        </w:rPr>
        <w:t> </w:t>
      </w:r>
      <w:r>
        <w:rPr/>
        <w:t>af</w:t>
      </w:r>
      <w:r>
        <w:rPr>
          <w:spacing w:val="-3"/>
        </w:rPr>
        <w:t> </w:t>
      </w:r>
      <w:r>
        <w:rPr/>
        <w:t>brugerne</w:t>
      </w:r>
      <w:r>
        <w:rPr>
          <w:spacing w:val="-4"/>
        </w:rPr>
        <w:t> </w:t>
      </w:r>
      <w:r>
        <w:rPr/>
        <w:t>til</w:t>
      </w:r>
      <w:r>
        <w:rPr>
          <w:spacing w:val="-4"/>
        </w:rPr>
        <w:t> </w:t>
      </w:r>
      <w:r>
        <w:rPr/>
        <w:t>egne</w:t>
      </w:r>
      <w:r>
        <w:rPr>
          <w:spacing w:val="-7"/>
        </w:rPr>
        <w:t> </w:t>
      </w:r>
      <w:r>
        <w:rPr/>
        <w:t>mere</w:t>
      </w:r>
      <w:r>
        <w:rPr>
          <w:spacing w:val="-4"/>
        </w:rPr>
        <w:t> </w:t>
      </w:r>
      <w:r>
        <w:rPr/>
        <w:t>detaljerede</w:t>
      </w:r>
      <w:r>
        <w:rPr>
          <w:spacing w:val="-7"/>
        </w:rPr>
        <w:t> </w:t>
      </w:r>
      <w:r>
        <w:rPr/>
        <w:t>modelberegninger,</w:t>
      </w:r>
      <w:r>
        <w:rPr>
          <w:spacing w:val="-7"/>
        </w:rPr>
        <w:t> </w:t>
      </w:r>
      <w:r>
        <w:rPr/>
        <w:t>kortlæg- ninger og</w:t>
      </w:r>
      <w:r>
        <w:rPr>
          <w:spacing w:val="-3"/>
        </w:rPr>
        <w:t> </w:t>
      </w:r>
      <w:r>
        <w:rPr/>
        <w:t>analyser.</w:t>
      </w:r>
    </w:p>
    <w:p>
      <w:pPr>
        <w:pStyle w:val="BodyText"/>
        <w:spacing w:before="2"/>
        <w:rPr>
          <w:sz w:val="25"/>
        </w:rPr>
      </w:pPr>
    </w:p>
    <w:p>
      <w:pPr>
        <w:pStyle w:val="Heading5"/>
        <w:jc w:val="both"/>
        <w:rPr>
          <w:i/>
        </w:rPr>
      </w:pPr>
      <w:r>
        <w:rPr>
          <w:i/>
        </w:rPr>
        <w:t>Satellitdata og fotos af oversvømmelser</w:t>
      </w:r>
    </w:p>
    <w:p>
      <w:pPr>
        <w:pStyle w:val="BodyText"/>
        <w:spacing w:line="288" w:lineRule="auto" w:before="49"/>
        <w:ind w:left="525" w:right="731"/>
        <w:jc w:val="both"/>
      </w:pPr>
      <w:r>
        <w:rPr/>
        <w:t>Satellitdata og fotos er en anden type uafhængige vandstandsdata, som fremadrettet vil kunne indgå i kalibrering og validering af modellen. Specielt omkring oversvømmelseshæn- delser</w:t>
      </w:r>
      <w:r>
        <w:rPr>
          <w:spacing w:val="-12"/>
        </w:rPr>
        <w:t> </w:t>
      </w:r>
      <w:r>
        <w:rPr/>
        <w:t>var</w:t>
      </w:r>
      <w:r>
        <w:rPr>
          <w:spacing w:val="-11"/>
        </w:rPr>
        <w:t> </w:t>
      </w:r>
      <w:r>
        <w:rPr/>
        <w:t>fotos</w:t>
      </w:r>
      <w:r>
        <w:rPr>
          <w:spacing w:val="-11"/>
        </w:rPr>
        <w:t> </w:t>
      </w:r>
      <w:r>
        <w:rPr/>
        <w:t>særdeles</w:t>
      </w:r>
      <w:r>
        <w:rPr>
          <w:spacing w:val="-13"/>
        </w:rPr>
        <w:t> </w:t>
      </w:r>
      <w:r>
        <w:rPr/>
        <w:t>værdifulde,</w:t>
      </w:r>
      <w:r>
        <w:rPr>
          <w:spacing w:val="-12"/>
        </w:rPr>
        <w:t> </w:t>
      </w:r>
      <w:r>
        <w:rPr/>
        <w:t>som</w:t>
      </w:r>
      <w:r>
        <w:rPr>
          <w:spacing w:val="-9"/>
        </w:rPr>
        <w:t> </w:t>
      </w:r>
      <w:r>
        <w:rPr/>
        <w:t>vist</w:t>
      </w:r>
      <w:r>
        <w:rPr>
          <w:spacing w:val="-12"/>
        </w:rPr>
        <w:t> </w:t>
      </w:r>
      <w:r>
        <w:rPr/>
        <w:t>ved</w:t>
      </w:r>
      <w:r>
        <w:rPr>
          <w:spacing w:val="-10"/>
        </w:rPr>
        <w:t> </w:t>
      </w:r>
      <w:r>
        <w:rPr/>
        <w:t>oversvømmelser</w:t>
      </w:r>
      <w:r>
        <w:rPr>
          <w:spacing w:val="-11"/>
        </w:rPr>
        <w:t> </w:t>
      </w:r>
      <w:r>
        <w:rPr/>
        <w:t>i</w:t>
      </w:r>
      <w:r>
        <w:rPr>
          <w:spacing w:val="-9"/>
        </w:rPr>
        <w:t> </w:t>
      </w:r>
      <w:r>
        <w:rPr/>
        <w:t>januar</w:t>
      </w:r>
      <w:r>
        <w:rPr>
          <w:spacing w:val="-12"/>
        </w:rPr>
        <w:t> </w:t>
      </w:r>
      <w:r>
        <w:rPr/>
        <w:t>2007</w:t>
      </w:r>
      <w:r>
        <w:rPr>
          <w:spacing w:val="-10"/>
        </w:rPr>
        <w:t> </w:t>
      </w:r>
      <w:r>
        <w:rPr/>
        <w:t>i</w:t>
      </w:r>
      <w:r>
        <w:rPr>
          <w:spacing w:val="-10"/>
        </w:rPr>
        <w:t> </w:t>
      </w:r>
      <w:r>
        <w:rPr/>
        <w:t>Holstebro bymidte og andre steder i Storå</w:t>
      </w:r>
      <w:r>
        <w:rPr>
          <w:spacing w:val="-8"/>
        </w:rPr>
        <w:t> </w:t>
      </w:r>
      <w:r>
        <w:rPr/>
        <w:t>oplandet.</w:t>
      </w:r>
    </w:p>
    <w:p>
      <w:pPr>
        <w:pStyle w:val="BodyText"/>
        <w:spacing w:before="3"/>
        <w:rPr>
          <w:sz w:val="25"/>
        </w:rPr>
      </w:pPr>
    </w:p>
    <w:p>
      <w:pPr>
        <w:pStyle w:val="BodyText"/>
        <w:spacing w:line="288" w:lineRule="auto" w:before="1"/>
        <w:ind w:left="525" w:right="731"/>
        <w:jc w:val="both"/>
      </w:pPr>
      <w:r>
        <w:rPr/>
        <w:t>Samme høje anvendelighed har fotos fra december 2015 sammenholdt med satellitdata</w:t>
      </w:r>
      <w:r>
        <w:rPr>
          <w:spacing w:val="-39"/>
        </w:rPr>
        <w:t> </w:t>
      </w:r>
      <w:r>
        <w:rPr/>
        <w:t>(le- veret af rådgivningsvirksomheden DHI GRAS) og modellerede resultater for områder med lille dybde til terrænnært grundvand (1/2-1 m) og udbredelse af vand på</w:t>
      </w:r>
      <w:r>
        <w:rPr>
          <w:spacing w:val="-15"/>
        </w:rPr>
        <w:t> </w:t>
      </w:r>
      <w:r>
        <w:rPr/>
        <w:t>terræn.</w:t>
      </w:r>
    </w:p>
    <w:p>
      <w:pPr>
        <w:pStyle w:val="BodyText"/>
        <w:spacing w:before="2"/>
        <w:rPr>
          <w:sz w:val="25"/>
        </w:rPr>
      </w:pPr>
    </w:p>
    <w:p>
      <w:pPr>
        <w:pStyle w:val="BodyText"/>
        <w:spacing w:line="288" w:lineRule="auto"/>
        <w:ind w:left="525" w:right="730"/>
        <w:jc w:val="both"/>
      </w:pPr>
      <w:r>
        <w:rPr/>
        <w:t>Det anbefales at se nærmere på en kombineret anvendelse af Sentinel-I og Sentinel-II data som foreligger fra efter 2015, til oversvømmelseskortlægning og kombineret risiko kortlæg- ning, baseret på såvel kort over oversvømmelsesrisiko for terrænnært grundvand og udbre- delse af vand i terræn ud fra simulerede vandstande i vandløb. Satellitdata er dog ikke vel- egnede til kortlægning af oversvømmelser i byer pga. skygger fra bygninger.</w:t>
      </w:r>
    </w:p>
    <w:p>
      <w:pPr>
        <w:pStyle w:val="BodyText"/>
        <w:spacing w:before="1"/>
        <w:rPr>
          <w:sz w:val="25"/>
        </w:rPr>
      </w:pPr>
    </w:p>
    <w:p>
      <w:pPr>
        <w:pStyle w:val="Heading5"/>
        <w:jc w:val="both"/>
        <w:rPr>
          <w:i/>
        </w:rPr>
      </w:pPr>
      <w:r>
        <w:rPr>
          <w:i/>
        </w:rPr>
        <w:t>Nedbørsdata</w:t>
      </w:r>
    </w:p>
    <w:p>
      <w:pPr>
        <w:pStyle w:val="BodyText"/>
        <w:spacing w:line="288" w:lineRule="auto" w:before="50"/>
        <w:ind w:left="525" w:right="730"/>
        <w:jc w:val="both"/>
      </w:pPr>
      <w:r>
        <w:rPr/>
        <w:t>Timeværdier af nedbør er ikke nødvendige i større vandløb, da tidsmæssige variationer be- skrives</w:t>
      </w:r>
      <w:r>
        <w:rPr>
          <w:spacing w:val="-7"/>
        </w:rPr>
        <w:t> </w:t>
      </w:r>
      <w:r>
        <w:rPr/>
        <w:t>lige</w:t>
      </w:r>
      <w:r>
        <w:rPr>
          <w:spacing w:val="-7"/>
        </w:rPr>
        <w:t> </w:t>
      </w:r>
      <w:r>
        <w:rPr/>
        <w:t>så</w:t>
      </w:r>
      <w:r>
        <w:rPr>
          <w:spacing w:val="-7"/>
        </w:rPr>
        <w:t> </w:t>
      </w:r>
      <w:r>
        <w:rPr/>
        <w:t>godt</w:t>
      </w:r>
      <w:r>
        <w:rPr>
          <w:spacing w:val="-8"/>
        </w:rPr>
        <w:t> </w:t>
      </w:r>
      <w:r>
        <w:rPr/>
        <w:t>med</w:t>
      </w:r>
      <w:r>
        <w:rPr>
          <w:spacing w:val="-7"/>
        </w:rPr>
        <w:t> </w:t>
      </w:r>
      <w:r>
        <w:rPr/>
        <w:t>døgnværdier</w:t>
      </w:r>
      <w:r>
        <w:rPr>
          <w:spacing w:val="-8"/>
        </w:rPr>
        <w:t> </w:t>
      </w:r>
      <w:r>
        <w:rPr/>
        <w:t>for</w:t>
      </w:r>
      <w:r>
        <w:rPr>
          <w:spacing w:val="-10"/>
        </w:rPr>
        <w:t> </w:t>
      </w:r>
      <w:r>
        <w:rPr/>
        <w:t>nedbøren.</w:t>
      </w:r>
      <w:r>
        <w:rPr>
          <w:spacing w:val="-8"/>
        </w:rPr>
        <w:t> </w:t>
      </w:r>
      <w:r>
        <w:rPr/>
        <w:t>Simulering</w:t>
      </w:r>
      <w:r>
        <w:rPr>
          <w:spacing w:val="-7"/>
        </w:rPr>
        <w:t> </w:t>
      </w:r>
      <w:r>
        <w:rPr/>
        <w:t>af</w:t>
      </w:r>
      <w:r>
        <w:rPr>
          <w:spacing w:val="-6"/>
        </w:rPr>
        <w:t> </w:t>
      </w:r>
      <w:r>
        <w:rPr/>
        <w:t>risiko</w:t>
      </w:r>
      <w:r>
        <w:rPr>
          <w:spacing w:val="-9"/>
        </w:rPr>
        <w:t> </w:t>
      </w:r>
      <w:r>
        <w:rPr/>
        <w:t>for</w:t>
      </w:r>
      <w:r>
        <w:rPr>
          <w:spacing w:val="-8"/>
        </w:rPr>
        <w:t> </w:t>
      </w:r>
      <w:r>
        <w:rPr/>
        <w:t>oversvømmelser fra vandløb og grundvand kan derfor med en god tilnærmelse beskrives på basis af daglige nedbørs- og</w:t>
      </w:r>
      <w:r>
        <w:rPr>
          <w:spacing w:val="-5"/>
        </w:rPr>
        <w:t> </w:t>
      </w:r>
      <w:r>
        <w:rPr/>
        <w:t>klimadata.</w:t>
      </w:r>
    </w:p>
    <w:p>
      <w:pPr>
        <w:pStyle w:val="BodyText"/>
        <w:spacing w:before="3"/>
        <w:rPr>
          <w:sz w:val="25"/>
        </w:rPr>
      </w:pPr>
    </w:p>
    <w:p>
      <w:pPr>
        <w:pStyle w:val="BodyText"/>
        <w:spacing w:line="288" w:lineRule="auto"/>
        <w:ind w:left="525" w:right="733"/>
        <w:jc w:val="both"/>
      </w:pPr>
      <w:r>
        <w:rPr/>
        <w:t>Datagrundlaget</w:t>
      </w:r>
      <w:r>
        <w:rPr>
          <w:spacing w:val="-15"/>
        </w:rPr>
        <w:t> </w:t>
      </w:r>
      <w:r>
        <w:rPr/>
        <w:t>mht.</w:t>
      </w:r>
      <w:r>
        <w:rPr>
          <w:spacing w:val="-14"/>
        </w:rPr>
        <w:t> </w:t>
      </w:r>
      <w:r>
        <w:rPr/>
        <w:t>antal</w:t>
      </w:r>
      <w:r>
        <w:rPr>
          <w:spacing w:val="-13"/>
        </w:rPr>
        <w:t> </w:t>
      </w:r>
      <w:r>
        <w:rPr/>
        <w:t>nedbørsstationer</w:t>
      </w:r>
      <w:r>
        <w:rPr>
          <w:spacing w:val="-13"/>
        </w:rPr>
        <w:t> </w:t>
      </w:r>
      <w:r>
        <w:rPr/>
        <w:t>udgør</w:t>
      </w:r>
      <w:r>
        <w:rPr>
          <w:spacing w:val="-15"/>
        </w:rPr>
        <w:t> </w:t>
      </w:r>
      <w:r>
        <w:rPr/>
        <w:t>formentlig</w:t>
      </w:r>
      <w:r>
        <w:rPr>
          <w:spacing w:val="-13"/>
        </w:rPr>
        <w:t> </w:t>
      </w:r>
      <w:r>
        <w:rPr/>
        <w:t>en</w:t>
      </w:r>
      <w:r>
        <w:rPr>
          <w:spacing w:val="-13"/>
        </w:rPr>
        <w:t> </w:t>
      </w:r>
      <w:r>
        <w:rPr/>
        <w:t>væsentlig</w:t>
      </w:r>
      <w:r>
        <w:rPr>
          <w:spacing w:val="-14"/>
        </w:rPr>
        <w:t> </w:t>
      </w:r>
      <w:r>
        <w:rPr/>
        <w:t>usikkerhedsfaktor vedr. flowsimulering for hændelsesdata for december 2015 i både Odense Å og Storå (på grund</w:t>
      </w:r>
      <w:r>
        <w:rPr>
          <w:spacing w:val="-12"/>
        </w:rPr>
        <w:t> </w:t>
      </w:r>
      <w:r>
        <w:rPr/>
        <w:t>af</w:t>
      </w:r>
      <w:r>
        <w:rPr>
          <w:spacing w:val="-10"/>
        </w:rPr>
        <w:t> </w:t>
      </w:r>
      <w:r>
        <w:rPr/>
        <w:t>et</w:t>
      </w:r>
      <w:r>
        <w:rPr>
          <w:spacing w:val="-10"/>
        </w:rPr>
        <w:t> </w:t>
      </w:r>
      <w:r>
        <w:rPr/>
        <w:t>meget</w:t>
      </w:r>
      <w:r>
        <w:rPr>
          <w:spacing w:val="-9"/>
        </w:rPr>
        <w:t> </w:t>
      </w:r>
      <w:r>
        <w:rPr/>
        <w:t>begrænset</w:t>
      </w:r>
      <w:r>
        <w:rPr>
          <w:spacing w:val="-10"/>
        </w:rPr>
        <w:t> </w:t>
      </w:r>
      <w:r>
        <w:rPr/>
        <w:t>antal</w:t>
      </w:r>
      <w:r>
        <w:rPr>
          <w:spacing w:val="-9"/>
        </w:rPr>
        <w:t> </w:t>
      </w:r>
      <w:r>
        <w:rPr/>
        <w:t>nedbørsstationer</w:t>
      </w:r>
      <w:r>
        <w:rPr>
          <w:spacing w:val="-11"/>
        </w:rPr>
        <w:t> </w:t>
      </w:r>
      <w:r>
        <w:rPr/>
        <w:t>i</w:t>
      </w:r>
      <w:r>
        <w:rPr>
          <w:spacing w:val="-9"/>
        </w:rPr>
        <w:t> </w:t>
      </w:r>
      <w:r>
        <w:rPr/>
        <w:t>begge</w:t>
      </w:r>
      <w:r>
        <w:rPr>
          <w:spacing w:val="-11"/>
        </w:rPr>
        <w:t> </w:t>
      </w:r>
      <w:r>
        <w:rPr/>
        <w:t>oplande</w:t>
      </w:r>
      <w:r>
        <w:rPr>
          <w:spacing w:val="-9"/>
        </w:rPr>
        <w:t> </w:t>
      </w:r>
      <w:r>
        <w:rPr/>
        <w:t>for</w:t>
      </w:r>
      <w:r>
        <w:rPr>
          <w:spacing w:val="-9"/>
        </w:rPr>
        <w:t> </w:t>
      </w:r>
      <w:r>
        <w:rPr/>
        <w:t>valideringsperioden 2009-2015). For at få mere detaljerede modelberegninger, vil det være en fordel, hvis DMI</w:t>
      </w:r>
      <w:r>
        <w:rPr>
          <w:spacing w:val="8"/>
        </w:rPr>
        <w:t> </w:t>
      </w:r>
      <w:r>
        <w:rPr/>
        <w:t>i</w:t>
      </w:r>
    </w:p>
    <w:p>
      <w:pPr>
        <w:spacing w:after="0" w:line="288" w:lineRule="auto"/>
        <w:jc w:val="both"/>
        <w:sectPr>
          <w:pgSz w:w="11910" w:h="16850"/>
          <w:pgMar w:header="0" w:footer="857" w:top="1340" w:bottom="1120" w:left="1460" w:right="680"/>
        </w:sectPr>
      </w:pPr>
    </w:p>
    <w:p>
      <w:pPr>
        <w:pStyle w:val="BodyText"/>
        <w:spacing w:line="288" w:lineRule="auto" w:before="75"/>
        <w:ind w:left="525" w:right="734"/>
        <w:jc w:val="both"/>
      </w:pPr>
      <w:r>
        <w:rPr/>
        <w:t>fremtiden</w:t>
      </w:r>
      <w:r>
        <w:rPr>
          <w:spacing w:val="-11"/>
        </w:rPr>
        <w:t> </w:t>
      </w:r>
      <w:r>
        <w:rPr/>
        <w:t>ved</w:t>
      </w:r>
      <w:r>
        <w:rPr>
          <w:spacing w:val="-13"/>
        </w:rPr>
        <w:t> </w:t>
      </w:r>
      <w:r>
        <w:rPr/>
        <w:t>hjælp</w:t>
      </w:r>
      <w:r>
        <w:rPr>
          <w:spacing w:val="-14"/>
        </w:rPr>
        <w:t> </w:t>
      </w:r>
      <w:r>
        <w:rPr/>
        <w:t>af</w:t>
      </w:r>
      <w:r>
        <w:rPr>
          <w:spacing w:val="-10"/>
        </w:rPr>
        <w:t> </w:t>
      </w:r>
      <w:r>
        <w:rPr/>
        <w:t>radardata</w:t>
      </w:r>
      <w:r>
        <w:rPr>
          <w:spacing w:val="-11"/>
        </w:rPr>
        <w:t> </w:t>
      </w:r>
      <w:r>
        <w:rPr/>
        <w:t>eller</w:t>
      </w:r>
      <w:r>
        <w:rPr>
          <w:spacing w:val="-12"/>
        </w:rPr>
        <w:t> </w:t>
      </w:r>
      <w:r>
        <w:rPr/>
        <w:t>flere</w:t>
      </w:r>
      <w:r>
        <w:rPr>
          <w:spacing w:val="-14"/>
        </w:rPr>
        <w:t> </w:t>
      </w:r>
      <w:r>
        <w:rPr/>
        <w:t>nedbørsstationer</w:t>
      </w:r>
      <w:r>
        <w:rPr>
          <w:spacing w:val="-14"/>
        </w:rPr>
        <w:t> </w:t>
      </w:r>
      <w:r>
        <w:rPr/>
        <w:t>i</w:t>
      </w:r>
      <w:r>
        <w:rPr>
          <w:spacing w:val="-10"/>
        </w:rPr>
        <w:t> </w:t>
      </w:r>
      <w:r>
        <w:rPr/>
        <w:t>det</w:t>
      </w:r>
      <w:r>
        <w:rPr>
          <w:spacing w:val="-12"/>
        </w:rPr>
        <w:t> </w:t>
      </w:r>
      <w:r>
        <w:rPr/>
        <w:t>åbne</w:t>
      </w:r>
      <w:r>
        <w:rPr>
          <w:spacing w:val="-14"/>
        </w:rPr>
        <w:t> </w:t>
      </w:r>
      <w:r>
        <w:rPr/>
        <w:t>land</w:t>
      </w:r>
      <w:r>
        <w:rPr>
          <w:spacing w:val="-13"/>
        </w:rPr>
        <w:t> </w:t>
      </w:r>
      <w:r>
        <w:rPr/>
        <w:t>kan</w:t>
      </w:r>
      <w:r>
        <w:rPr>
          <w:spacing w:val="-12"/>
        </w:rPr>
        <w:t> </w:t>
      </w:r>
      <w:r>
        <w:rPr/>
        <w:t>bidrage</w:t>
      </w:r>
      <w:r>
        <w:rPr>
          <w:spacing w:val="-13"/>
        </w:rPr>
        <w:t> </w:t>
      </w:r>
      <w:r>
        <w:rPr/>
        <w:t>med mere nøjagtige beregninger af lokale nedbørshændelser eller</w:t>
      </w:r>
      <w:r>
        <w:rPr>
          <w:spacing w:val="-14"/>
        </w:rPr>
        <w:t> </w:t>
      </w:r>
      <w:r>
        <w:rPr/>
        <w:t>nedbørsmængder.</w:t>
      </w:r>
    </w:p>
    <w:p>
      <w:pPr>
        <w:pStyle w:val="BodyText"/>
        <w:rPr>
          <w:sz w:val="24"/>
        </w:rPr>
      </w:pPr>
    </w:p>
    <w:p>
      <w:pPr>
        <w:pStyle w:val="BodyText"/>
        <w:spacing w:before="4"/>
        <w:rPr>
          <w:sz w:val="26"/>
        </w:rPr>
      </w:pPr>
    </w:p>
    <w:p>
      <w:pPr>
        <w:pStyle w:val="ListParagraph"/>
        <w:numPr>
          <w:ilvl w:val="1"/>
          <w:numId w:val="4"/>
        </w:numPr>
        <w:tabs>
          <w:tab w:pos="1141" w:val="left" w:leader="none"/>
          <w:tab w:pos="1142" w:val="left" w:leader="none"/>
        </w:tabs>
        <w:spacing w:line="240" w:lineRule="auto" w:before="0" w:after="0"/>
        <w:ind w:left="525" w:right="859" w:firstLine="0"/>
        <w:jc w:val="left"/>
        <w:rPr>
          <w:b/>
          <w:sz w:val="28"/>
        </w:rPr>
      </w:pPr>
      <w:bookmarkStart w:name="_bookmark5" w:id="10"/>
      <w:bookmarkEnd w:id="10"/>
      <w:r>
        <w:rPr/>
      </w:r>
      <w:bookmarkStart w:name="_bookmark5" w:id="11"/>
      <w:bookmarkEnd w:id="11"/>
      <w:r>
        <w:rPr>
          <w:b/>
          <w:sz w:val="28"/>
        </w:rPr>
        <w:t>Sa</w:t>
      </w:r>
      <w:r>
        <w:rPr>
          <w:b/>
          <w:sz w:val="28"/>
        </w:rPr>
        <w:t>mmenfatning af målopfyldelse for projektets tre hypote- ser og</w:t>
      </w:r>
      <w:r>
        <w:rPr>
          <w:b/>
          <w:spacing w:val="-2"/>
          <w:sz w:val="28"/>
        </w:rPr>
        <w:t> </w:t>
      </w:r>
      <w:r>
        <w:rPr>
          <w:b/>
          <w:sz w:val="28"/>
        </w:rPr>
        <w:t>succeskriterier</w:t>
      </w:r>
    </w:p>
    <w:p>
      <w:pPr>
        <w:pStyle w:val="BodyText"/>
        <w:spacing w:line="288" w:lineRule="auto" w:before="240"/>
        <w:ind w:left="525" w:right="733"/>
        <w:jc w:val="both"/>
      </w:pPr>
      <w:r>
        <w:rPr/>
        <w:t>En</w:t>
      </w:r>
      <w:r>
        <w:rPr>
          <w:spacing w:val="-14"/>
        </w:rPr>
        <w:t> </w:t>
      </w:r>
      <w:r>
        <w:rPr/>
        <w:t>kortfattet</w:t>
      </w:r>
      <w:r>
        <w:rPr>
          <w:spacing w:val="-12"/>
        </w:rPr>
        <w:t> </w:t>
      </w:r>
      <w:r>
        <w:rPr/>
        <w:t>sammenfatning</w:t>
      </w:r>
      <w:r>
        <w:rPr>
          <w:spacing w:val="-10"/>
        </w:rPr>
        <w:t> </w:t>
      </w:r>
      <w:r>
        <w:rPr/>
        <w:t>af</w:t>
      </w:r>
      <w:r>
        <w:rPr>
          <w:spacing w:val="-10"/>
        </w:rPr>
        <w:t> </w:t>
      </w:r>
      <w:r>
        <w:rPr/>
        <w:t>projektets</w:t>
      </w:r>
      <w:r>
        <w:rPr>
          <w:spacing w:val="-11"/>
        </w:rPr>
        <w:t> </w:t>
      </w:r>
      <w:r>
        <w:rPr/>
        <w:t>tre</w:t>
      </w:r>
      <w:r>
        <w:rPr>
          <w:spacing w:val="-9"/>
        </w:rPr>
        <w:t> </w:t>
      </w:r>
      <w:r>
        <w:rPr/>
        <w:t>hypoteser</w:t>
      </w:r>
      <w:r>
        <w:rPr>
          <w:spacing w:val="-11"/>
        </w:rPr>
        <w:t> </w:t>
      </w:r>
      <w:r>
        <w:rPr/>
        <w:t>relateret</w:t>
      </w:r>
      <w:r>
        <w:rPr>
          <w:spacing w:val="-12"/>
        </w:rPr>
        <w:t> </w:t>
      </w:r>
      <w:r>
        <w:rPr/>
        <w:t>til</w:t>
      </w:r>
      <w:r>
        <w:rPr>
          <w:spacing w:val="-9"/>
        </w:rPr>
        <w:t> </w:t>
      </w:r>
      <w:r>
        <w:rPr/>
        <w:t>anvendelsespotentiale</w:t>
      </w:r>
      <w:r>
        <w:rPr>
          <w:spacing w:val="-12"/>
        </w:rPr>
        <w:t> </w:t>
      </w:r>
      <w:r>
        <w:rPr/>
        <w:t>og succeskriterier præsenteres</w:t>
      </w:r>
      <w:r>
        <w:rPr>
          <w:spacing w:val="-3"/>
        </w:rPr>
        <w:t> </w:t>
      </w:r>
      <w:r>
        <w:rPr/>
        <w:t>her.</w:t>
      </w:r>
    </w:p>
    <w:p>
      <w:pPr>
        <w:pStyle w:val="BodyText"/>
      </w:pPr>
    </w:p>
    <w:p>
      <w:pPr>
        <w:spacing w:line="288" w:lineRule="auto" w:before="0"/>
        <w:ind w:left="525" w:right="731" w:firstLine="0"/>
        <w:jc w:val="both"/>
        <w:rPr>
          <w:i/>
          <w:sz w:val="21"/>
        </w:rPr>
      </w:pPr>
      <w:r>
        <w:rPr>
          <w:b/>
          <w:i/>
          <w:sz w:val="21"/>
        </w:rPr>
        <w:t>Hypotese H0: Anvendelse af nye data og metoder </w:t>
      </w:r>
      <w:r>
        <w:rPr>
          <w:i/>
          <w:sz w:val="21"/>
        </w:rPr>
        <w:t>i DK-modellen vil give bedre modelle- </w:t>
      </w:r>
      <w:r>
        <w:rPr>
          <w:i/>
          <w:sz w:val="21"/>
        </w:rPr>
        <w:t>ring</w:t>
      </w:r>
      <w:r>
        <w:rPr>
          <w:i/>
          <w:spacing w:val="-4"/>
          <w:sz w:val="21"/>
        </w:rPr>
        <w:t> </w:t>
      </w:r>
      <w:r>
        <w:rPr>
          <w:i/>
          <w:sz w:val="21"/>
        </w:rPr>
        <w:t>af</w:t>
      </w:r>
      <w:r>
        <w:rPr>
          <w:i/>
          <w:spacing w:val="-5"/>
          <w:sz w:val="21"/>
        </w:rPr>
        <w:t> </w:t>
      </w:r>
      <w:r>
        <w:rPr>
          <w:i/>
          <w:sz w:val="21"/>
        </w:rPr>
        <w:t>oversvømmelse.</w:t>
      </w:r>
      <w:r>
        <w:rPr>
          <w:i/>
          <w:spacing w:val="-5"/>
          <w:sz w:val="21"/>
        </w:rPr>
        <w:t> </w:t>
      </w:r>
      <w:r>
        <w:rPr>
          <w:i/>
          <w:sz w:val="21"/>
        </w:rPr>
        <w:t>Resultater</w:t>
      </w:r>
      <w:r>
        <w:rPr>
          <w:i/>
          <w:spacing w:val="-4"/>
          <w:sz w:val="21"/>
        </w:rPr>
        <w:t> </w:t>
      </w:r>
      <w:r>
        <w:rPr>
          <w:i/>
          <w:sz w:val="21"/>
        </w:rPr>
        <w:t>er</w:t>
      </w:r>
      <w:r>
        <w:rPr>
          <w:i/>
          <w:spacing w:val="-4"/>
          <w:sz w:val="21"/>
        </w:rPr>
        <w:t> </w:t>
      </w:r>
      <w:r>
        <w:rPr>
          <w:i/>
          <w:sz w:val="21"/>
        </w:rPr>
        <w:t>evalueret</w:t>
      </w:r>
      <w:r>
        <w:rPr>
          <w:i/>
          <w:spacing w:val="-5"/>
          <w:sz w:val="21"/>
        </w:rPr>
        <w:t> </w:t>
      </w:r>
      <w:r>
        <w:rPr>
          <w:i/>
          <w:sz w:val="21"/>
        </w:rPr>
        <w:t>med</w:t>
      </w:r>
      <w:r>
        <w:rPr>
          <w:i/>
          <w:spacing w:val="-3"/>
          <w:sz w:val="21"/>
        </w:rPr>
        <w:t> </w:t>
      </w:r>
      <w:r>
        <w:rPr>
          <w:i/>
          <w:sz w:val="21"/>
        </w:rPr>
        <w:t>anvendelse</w:t>
      </w:r>
      <w:r>
        <w:rPr>
          <w:i/>
          <w:spacing w:val="-4"/>
          <w:sz w:val="21"/>
        </w:rPr>
        <w:t> </w:t>
      </w:r>
      <w:r>
        <w:rPr>
          <w:i/>
          <w:sz w:val="21"/>
        </w:rPr>
        <w:t>af</w:t>
      </w:r>
      <w:r>
        <w:rPr>
          <w:i/>
          <w:spacing w:val="-5"/>
          <w:sz w:val="21"/>
        </w:rPr>
        <w:t> </w:t>
      </w:r>
      <w:r>
        <w:rPr>
          <w:i/>
          <w:sz w:val="21"/>
        </w:rPr>
        <w:t>hændelsesdata</w:t>
      </w:r>
      <w:r>
        <w:rPr>
          <w:i/>
          <w:spacing w:val="-4"/>
          <w:sz w:val="21"/>
        </w:rPr>
        <w:t> </w:t>
      </w:r>
      <w:r>
        <w:rPr>
          <w:i/>
          <w:sz w:val="21"/>
        </w:rPr>
        <w:t>for</w:t>
      </w:r>
      <w:r>
        <w:rPr>
          <w:i/>
          <w:spacing w:val="-4"/>
          <w:sz w:val="21"/>
        </w:rPr>
        <w:t> </w:t>
      </w:r>
      <w:r>
        <w:rPr>
          <w:i/>
          <w:sz w:val="21"/>
        </w:rPr>
        <w:t>over- svømmelser.</w:t>
      </w:r>
    </w:p>
    <w:p>
      <w:pPr>
        <w:pStyle w:val="BodyText"/>
        <w:spacing w:before="3"/>
        <w:rPr>
          <w:i/>
          <w:sz w:val="25"/>
        </w:rPr>
      </w:pPr>
    </w:p>
    <w:p>
      <w:pPr>
        <w:pStyle w:val="BodyText"/>
        <w:ind w:left="525"/>
      </w:pPr>
      <w:r>
        <w:rPr/>
        <w:t>Hypotese H0 vurderes opfyldt.</w:t>
      </w:r>
    </w:p>
    <w:p>
      <w:pPr>
        <w:pStyle w:val="BodyText"/>
        <w:spacing w:before="3"/>
        <w:rPr>
          <w:sz w:val="29"/>
        </w:rPr>
      </w:pPr>
    </w:p>
    <w:p>
      <w:pPr>
        <w:pStyle w:val="BodyText"/>
        <w:spacing w:line="288" w:lineRule="auto"/>
        <w:ind w:left="525" w:right="729"/>
        <w:jc w:val="both"/>
      </w:pPr>
      <w:r>
        <w:rPr/>
        <w:t>Anvendelse</w:t>
      </w:r>
      <w:r>
        <w:rPr>
          <w:spacing w:val="-7"/>
        </w:rPr>
        <w:t> </w:t>
      </w:r>
      <w:r>
        <w:rPr/>
        <w:t>af</w:t>
      </w:r>
      <w:r>
        <w:rPr>
          <w:spacing w:val="-5"/>
        </w:rPr>
        <w:t> </w:t>
      </w:r>
      <w:r>
        <w:rPr/>
        <w:t>nye</w:t>
      </w:r>
      <w:r>
        <w:rPr>
          <w:spacing w:val="-6"/>
        </w:rPr>
        <w:t> </w:t>
      </w:r>
      <w:r>
        <w:rPr/>
        <w:t>data</w:t>
      </w:r>
      <w:r>
        <w:rPr>
          <w:spacing w:val="-6"/>
        </w:rPr>
        <w:t> </w:t>
      </w:r>
      <w:r>
        <w:rPr/>
        <w:t>og</w:t>
      </w:r>
      <w:r>
        <w:rPr>
          <w:spacing w:val="-6"/>
        </w:rPr>
        <w:t> </w:t>
      </w:r>
      <w:r>
        <w:rPr/>
        <w:t>metoder</w:t>
      </w:r>
      <w:r>
        <w:rPr>
          <w:spacing w:val="-6"/>
        </w:rPr>
        <w:t> </w:t>
      </w:r>
      <w:r>
        <w:rPr/>
        <w:t>i</w:t>
      </w:r>
      <w:r>
        <w:rPr>
          <w:spacing w:val="-5"/>
        </w:rPr>
        <w:t> </w:t>
      </w:r>
      <w:r>
        <w:rPr/>
        <w:t>den</w:t>
      </w:r>
      <w:r>
        <w:rPr>
          <w:spacing w:val="-4"/>
        </w:rPr>
        <w:t> </w:t>
      </w:r>
      <w:r>
        <w:rPr/>
        <w:t>udbyggede</w:t>
      </w:r>
      <w:r>
        <w:rPr>
          <w:spacing w:val="-5"/>
        </w:rPr>
        <w:t> </w:t>
      </w:r>
      <w:r>
        <w:rPr/>
        <w:t>DK-model</w:t>
      </w:r>
      <w:r>
        <w:rPr>
          <w:spacing w:val="-6"/>
        </w:rPr>
        <w:t> </w:t>
      </w:r>
      <w:r>
        <w:rPr/>
        <w:t>i</w:t>
      </w:r>
      <w:r>
        <w:rPr>
          <w:spacing w:val="-5"/>
        </w:rPr>
        <w:t> </w:t>
      </w:r>
      <w:r>
        <w:rPr/>
        <w:t>100</w:t>
      </w:r>
      <w:r>
        <w:rPr>
          <w:spacing w:val="-8"/>
        </w:rPr>
        <w:t> </w:t>
      </w:r>
      <w:r>
        <w:rPr/>
        <w:t>m</w:t>
      </w:r>
      <w:r>
        <w:rPr>
          <w:spacing w:val="-5"/>
        </w:rPr>
        <w:t> </w:t>
      </w:r>
      <w:r>
        <w:rPr/>
        <w:t>opsætning</w:t>
      </w:r>
      <w:r>
        <w:rPr>
          <w:spacing w:val="-4"/>
        </w:rPr>
        <w:t> </w:t>
      </w:r>
      <w:r>
        <w:rPr/>
        <w:t>har</w:t>
      </w:r>
      <w:r>
        <w:rPr>
          <w:spacing w:val="-6"/>
        </w:rPr>
        <w:t> </w:t>
      </w:r>
      <w:r>
        <w:rPr/>
        <w:t>givet væsentligt forbedret performance af modelsimulering af terrænnært grundvand og vandfø- ring</w:t>
      </w:r>
      <w:r>
        <w:rPr>
          <w:spacing w:val="-15"/>
        </w:rPr>
        <w:t> </w:t>
      </w:r>
      <w:r>
        <w:rPr/>
        <w:t>i</w:t>
      </w:r>
      <w:r>
        <w:rPr>
          <w:spacing w:val="-16"/>
        </w:rPr>
        <w:t> </w:t>
      </w:r>
      <w:r>
        <w:rPr/>
        <w:t>mindre</w:t>
      </w:r>
      <w:r>
        <w:rPr>
          <w:spacing w:val="-14"/>
        </w:rPr>
        <w:t> </w:t>
      </w:r>
      <w:r>
        <w:rPr/>
        <w:t>vandløb</w:t>
      </w:r>
      <w:r>
        <w:rPr>
          <w:spacing w:val="-13"/>
        </w:rPr>
        <w:t> </w:t>
      </w:r>
      <w:r>
        <w:rPr/>
        <w:t>i</w:t>
      </w:r>
      <w:r>
        <w:rPr>
          <w:spacing w:val="-16"/>
        </w:rPr>
        <w:t> </w:t>
      </w:r>
      <w:r>
        <w:rPr/>
        <w:t>forhold</w:t>
      </w:r>
      <w:r>
        <w:rPr>
          <w:spacing w:val="-14"/>
        </w:rPr>
        <w:t> </w:t>
      </w:r>
      <w:r>
        <w:rPr/>
        <w:t>til</w:t>
      </w:r>
      <w:r>
        <w:rPr>
          <w:spacing w:val="-13"/>
        </w:rPr>
        <w:t> </w:t>
      </w:r>
      <w:r>
        <w:rPr/>
        <w:t>baseline</w:t>
      </w:r>
      <w:r>
        <w:rPr>
          <w:spacing w:val="-14"/>
        </w:rPr>
        <w:t> </w:t>
      </w:r>
      <w:r>
        <w:rPr/>
        <w:t>modellen</w:t>
      </w:r>
      <w:r>
        <w:rPr>
          <w:spacing w:val="-14"/>
        </w:rPr>
        <w:t> </w:t>
      </w:r>
      <w:r>
        <w:rPr/>
        <w:t>(nuværende</w:t>
      </w:r>
      <w:r>
        <w:rPr>
          <w:spacing w:val="-13"/>
        </w:rPr>
        <w:t> </w:t>
      </w:r>
      <w:r>
        <w:rPr/>
        <w:t>DK-model)</w:t>
      </w:r>
      <w:r>
        <w:rPr>
          <w:spacing w:val="-15"/>
        </w:rPr>
        <w:t> </w:t>
      </w:r>
      <w:r>
        <w:rPr/>
        <w:t>samt</w:t>
      </w:r>
      <w:r>
        <w:rPr>
          <w:spacing w:val="-15"/>
        </w:rPr>
        <w:t> </w:t>
      </w:r>
      <w:r>
        <w:rPr/>
        <w:t>kortlægning af oversvømmelser. Samtidig vurderes det, at nedskalering af resultater fra 100 m til 10 m med højdemodelbaseret metodik giver et kvalitativt forbedret</w:t>
      </w:r>
      <w:r>
        <w:rPr>
          <w:spacing w:val="-15"/>
        </w:rPr>
        <w:t> </w:t>
      </w:r>
      <w:r>
        <w:rPr/>
        <w:t>produkt.</w:t>
      </w:r>
    </w:p>
    <w:p>
      <w:pPr>
        <w:pStyle w:val="BodyText"/>
        <w:spacing w:before="1"/>
        <w:rPr>
          <w:sz w:val="25"/>
        </w:rPr>
      </w:pPr>
    </w:p>
    <w:p>
      <w:pPr>
        <w:pStyle w:val="BodyText"/>
        <w:spacing w:line="288" w:lineRule="auto" w:before="1"/>
        <w:ind w:left="525" w:right="731"/>
        <w:jc w:val="both"/>
      </w:pPr>
      <w:r>
        <w:rPr/>
        <w:t>Resultater af de nyudviklede moduler og metoder til landsdækkende modellering af vandli- dende</w:t>
      </w:r>
      <w:r>
        <w:rPr>
          <w:spacing w:val="-5"/>
        </w:rPr>
        <w:t> </w:t>
      </w:r>
      <w:r>
        <w:rPr/>
        <w:t>areal,</w:t>
      </w:r>
      <w:r>
        <w:rPr>
          <w:spacing w:val="-6"/>
        </w:rPr>
        <w:t> </w:t>
      </w:r>
      <w:r>
        <w:rPr/>
        <w:t>arealer</w:t>
      </w:r>
      <w:r>
        <w:rPr>
          <w:spacing w:val="-8"/>
        </w:rPr>
        <w:t> </w:t>
      </w:r>
      <w:r>
        <w:rPr/>
        <w:t>med</w:t>
      </w:r>
      <w:r>
        <w:rPr>
          <w:spacing w:val="-3"/>
        </w:rPr>
        <w:t> </w:t>
      </w:r>
      <w:r>
        <w:rPr/>
        <w:t>lille</w:t>
      </w:r>
      <w:r>
        <w:rPr>
          <w:spacing w:val="-5"/>
        </w:rPr>
        <w:t> </w:t>
      </w:r>
      <w:r>
        <w:rPr/>
        <w:t>dybde</w:t>
      </w:r>
      <w:r>
        <w:rPr>
          <w:spacing w:val="-4"/>
        </w:rPr>
        <w:t> </w:t>
      </w:r>
      <w:r>
        <w:rPr/>
        <w:t>til</w:t>
      </w:r>
      <w:r>
        <w:rPr>
          <w:spacing w:val="-3"/>
        </w:rPr>
        <w:t> </w:t>
      </w:r>
      <w:r>
        <w:rPr/>
        <w:t>det</w:t>
      </w:r>
      <w:r>
        <w:rPr>
          <w:spacing w:val="-6"/>
        </w:rPr>
        <w:t> </w:t>
      </w:r>
      <w:r>
        <w:rPr/>
        <w:t>terrænnære</w:t>
      </w:r>
      <w:r>
        <w:rPr>
          <w:spacing w:val="-5"/>
        </w:rPr>
        <w:t> </w:t>
      </w:r>
      <w:r>
        <w:rPr/>
        <w:t>grundvand</w:t>
      </w:r>
      <w:r>
        <w:rPr>
          <w:spacing w:val="-3"/>
        </w:rPr>
        <w:t> </w:t>
      </w:r>
      <w:r>
        <w:rPr/>
        <w:t>og</w:t>
      </w:r>
      <w:r>
        <w:rPr>
          <w:spacing w:val="-3"/>
        </w:rPr>
        <w:t> </w:t>
      </w:r>
      <w:r>
        <w:rPr/>
        <w:t>arealer</w:t>
      </w:r>
      <w:r>
        <w:rPr>
          <w:spacing w:val="-5"/>
        </w:rPr>
        <w:t> </w:t>
      </w:r>
      <w:r>
        <w:rPr/>
        <w:t>med</w:t>
      </w:r>
      <w:r>
        <w:rPr>
          <w:spacing w:val="-5"/>
        </w:rPr>
        <w:t> </w:t>
      </w:r>
      <w:r>
        <w:rPr/>
        <w:t>stor</w:t>
      </w:r>
      <w:r>
        <w:rPr>
          <w:spacing w:val="-4"/>
        </w:rPr>
        <w:t> </w:t>
      </w:r>
      <w:r>
        <w:rPr/>
        <w:t>risiko for</w:t>
      </w:r>
      <w:r>
        <w:rPr>
          <w:spacing w:val="-5"/>
        </w:rPr>
        <w:t> </w:t>
      </w:r>
      <w:r>
        <w:rPr/>
        <w:t>oversvømmelser</w:t>
      </w:r>
      <w:r>
        <w:rPr>
          <w:spacing w:val="-4"/>
        </w:rPr>
        <w:t> </w:t>
      </w:r>
      <w:r>
        <w:rPr/>
        <w:t>fra</w:t>
      </w:r>
      <w:r>
        <w:rPr>
          <w:spacing w:val="-4"/>
        </w:rPr>
        <w:t> </w:t>
      </w:r>
      <w:r>
        <w:rPr/>
        <w:t>vandløb</w:t>
      </w:r>
      <w:r>
        <w:rPr>
          <w:spacing w:val="-1"/>
        </w:rPr>
        <w:t> </w:t>
      </w:r>
      <w:r>
        <w:rPr/>
        <w:t>er</w:t>
      </w:r>
      <w:r>
        <w:rPr>
          <w:spacing w:val="-4"/>
        </w:rPr>
        <w:t> </w:t>
      </w:r>
      <w:r>
        <w:rPr/>
        <w:t>testet</w:t>
      </w:r>
      <w:r>
        <w:rPr>
          <w:spacing w:val="-5"/>
        </w:rPr>
        <w:t> </w:t>
      </w:r>
      <w:r>
        <w:rPr/>
        <w:t>for</w:t>
      </w:r>
      <w:r>
        <w:rPr>
          <w:spacing w:val="-4"/>
        </w:rPr>
        <w:t> </w:t>
      </w:r>
      <w:r>
        <w:rPr/>
        <w:t>de</w:t>
      </w:r>
      <w:r>
        <w:rPr>
          <w:spacing w:val="-3"/>
        </w:rPr>
        <w:t> </w:t>
      </w:r>
      <w:r>
        <w:rPr/>
        <w:t>to</w:t>
      </w:r>
      <w:r>
        <w:rPr>
          <w:spacing w:val="-4"/>
        </w:rPr>
        <w:t> </w:t>
      </w:r>
      <w:r>
        <w:rPr/>
        <w:t>oplande,</w:t>
      </w:r>
      <w:r>
        <w:rPr>
          <w:spacing w:val="-4"/>
        </w:rPr>
        <w:t> </w:t>
      </w:r>
      <w:r>
        <w:rPr/>
        <w:t>visualiseret</w:t>
      </w:r>
      <w:r>
        <w:rPr>
          <w:spacing w:val="-5"/>
        </w:rPr>
        <w:t> </w:t>
      </w:r>
      <w:r>
        <w:rPr/>
        <w:t>for</w:t>
      </w:r>
      <w:r>
        <w:rPr>
          <w:spacing w:val="-7"/>
        </w:rPr>
        <w:t> </w:t>
      </w:r>
      <w:r>
        <w:rPr/>
        <w:t>fem</w:t>
      </w:r>
      <w:r>
        <w:rPr>
          <w:spacing w:val="-5"/>
        </w:rPr>
        <w:t> </w:t>
      </w:r>
      <w:r>
        <w:rPr/>
        <w:t>udsnit</w:t>
      </w:r>
      <w:r>
        <w:rPr>
          <w:spacing w:val="-5"/>
        </w:rPr>
        <w:t> </w:t>
      </w:r>
      <w:r>
        <w:rPr/>
        <w:t>i</w:t>
      </w:r>
      <w:r>
        <w:rPr>
          <w:spacing w:val="-4"/>
        </w:rPr>
        <w:t> </w:t>
      </w:r>
      <w:r>
        <w:rPr/>
        <w:t>hvert opland, og sammenlignet med satellitdata fra rådgivningsvirksomheden DHI GRAS og fotos af oversvømmelser. Desuden er beregningstider og muligheder for overførsel og/eller ned- skalering</w:t>
      </w:r>
      <w:r>
        <w:rPr>
          <w:spacing w:val="-7"/>
        </w:rPr>
        <w:t> </w:t>
      </w:r>
      <w:r>
        <w:rPr/>
        <w:t>af</w:t>
      </w:r>
      <w:r>
        <w:rPr>
          <w:spacing w:val="-6"/>
        </w:rPr>
        <w:t> </w:t>
      </w:r>
      <w:r>
        <w:rPr/>
        <w:t>modelparametre</w:t>
      </w:r>
      <w:r>
        <w:rPr>
          <w:spacing w:val="-7"/>
        </w:rPr>
        <w:t> </w:t>
      </w:r>
      <w:r>
        <w:rPr/>
        <w:t>fra</w:t>
      </w:r>
      <w:r>
        <w:rPr>
          <w:spacing w:val="-7"/>
        </w:rPr>
        <w:t> </w:t>
      </w:r>
      <w:r>
        <w:rPr/>
        <w:t>500</w:t>
      </w:r>
      <w:r>
        <w:rPr>
          <w:spacing w:val="-8"/>
        </w:rPr>
        <w:t> </w:t>
      </w:r>
      <w:r>
        <w:rPr/>
        <w:t>m</w:t>
      </w:r>
      <w:r>
        <w:rPr>
          <w:spacing w:val="-6"/>
        </w:rPr>
        <w:t> </w:t>
      </w:r>
      <w:r>
        <w:rPr/>
        <w:t>til</w:t>
      </w:r>
      <w:r>
        <w:rPr>
          <w:spacing w:val="-6"/>
        </w:rPr>
        <w:t> </w:t>
      </w:r>
      <w:r>
        <w:rPr/>
        <w:t>100</w:t>
      </w:r>
      <w:r>
        <w:rPr>
          <w:spacing w:val="-7"/>
        </w:rPr>
        <w:t> </w:t>
      </w:r>
      <w:r>
        <w:rPr/>
        <w:t>m</w:t>
      </w:r>
      <w:r>
        <w:rPr>
          <w:spacing w:val="-3"/>
        </w:rPr>
        <w:t> </w:t>
      </w:r>
      <w:r>
        <w:rPr/>
        <w:t>vurderet.</w:t>
      </w:r>
      <w:r>
        <w:rPr>
          <w:spacing w:val="-7"/>
        </w:rPr>
        <w:t> </w:t>
      </w:r>
      <w:r>
        <w:rPr/>
        <w:t>På</w:t>
      </w:r>
      <w:r>
        <w:rPr>
          <w:spacing w:val="-7"/>
        </w:rPr>
        <w:t> </w:t>
      </w:r>
      <w:r>
        <w:rPr/>
        <w:t>dette</w:t>
      </w:r>
      <w:r>
        <w:rPr>
          <w:spacing w:val="-7"/>
        </w:rPr>
        <w:t> </w:t>
      </w:r>
      <w:r>
        <w:rPr/>
        <w:t>grundlag</w:t>
      </w:r>
      <w:r>
        <w:rPr>
          <w:spacing w:val="-7"/>
        </w:rPr>
        <w:t> </w:t>
      </w:r>
      <w:r>
        <w:rPr/>
        <w:t>vurderes</w:t>
      </w:r>
      <w:r>
        <w:rPr>
          <w:spacing w:val="-6"/>
        </w:rPr>
        <w:t> </w:t>
      </w:r>
      <w:r>
        <w:rPr/>
        <w:t>det,</w:t>
      </w:r>
      <w:r>
        <w:rPr>
          <w:spacing w:val="-8"/>
        </w:rPr>
        <w:t> </w:t>
      </w:r>
      <w:r>
        <w:rPr/>
        <w:t>at en</w:t>
      </w:r>
      <w:r>
        <w:rPr>
          <w:spacing w:val="-9"/>
        </w:rPr>
        <w:t> </w:t>
      </w:r>
      <w:r>
        <w:rPr/>
        <w:t>kombineret</w:t>
      </w:r>
      <w:r>
        <w:rPr>
          <w:spacing w:val="-7"/>
        </w:rPr>
        <w:t> </w:t>
      </w:r>
      <w:r>
        <w:rPr/>
        <w:t>anvendelse</w:t>
      </w:r>
      <w:r>
        <w:rPr>
          <w:spacing w:val="-8"/>
        </w:rPr>
        <w:t> </w:t>
      </w:r>
      <w:r>
        <w:rPr/>
        <w:t>af</w:t>
      </w:r>
      <w:r>
        <w:rPr>
          <w:spacing w:val="-7"/>
        </w:rPr>
        <w:t> </w:t>
      </w:r>
      <w:r>
        <w:rPr/>
        <w:t>en</w:t>
      </w:r>
      <w:r>
        <w:rPr>
          <w:spacing w:val="-8"/>
        </w:rPr>
        <w:t> </w:t>
      </w:r>
      <w:r>
        <w:rPr/>
        <w:t>forbedret</w:t>
      </w:r>
      <w:r>
        <w:rPr>
          <w:spacing w:val="-7"/>
        </w:rPr>
        <w:t> </w:t>
      </w:r>
      <w:r>
        <w:rPr/>
        <w:t>landsdækkende</w:t>
      </w:r>
      <w:r>
        <w:rPr>
          <w:spacing w:val="-8"/>
        </w:rPr>
        <w:t> </w:t>
      </w:r>
      <w:r>
        <w:rPr/>
        <w:t>DK-model</w:t>
      </w:r>
      <w:r>
        <w:rPr>
          <w:spacing w:val="-7"/>
        </w:rPr>
        <w:t> </w:t>
      </w:r>
      <w:r>
        <w:rPr/>
        <w:t>med</w:t>
      </w:r>
      <w:r>
        <w:rPr>
          <w:spacing w:val="-6"/>
        </w:rPr>
        <w:t> </w:t>
      </w:r>
      <w:r>
        <w:rPr/>
        <w:t>opsætninger</w:t>
      </w:r>
      <w:r>
        <w:rPr>
          <w:spacing w:val="-5"/>
        </w:rPr>
        <w:t> </w:t>
      </w:r>
      <w:r>
        <w:rPr/>
        <w:t>i</w:t>
      </w:r>
      <w:r>
        <w:rPr>
          <w:spacing w:val="-9"/>
        </w:rPr>
        <w:t> </w:t>
      </w:r>
      <w:r>
        <w:rPr/>
        <w:t>så- vel 500 m som 100 m, inkl. forbedret dræn parameterisering vil være den mest optimale under hensyn til såvel acceptabel beregningstid som nøjagtighed. Denne løsning inkluderer en detaljeret vandløbsopsætning (i 100 m version med forbedret ’riverline’) kompatibel med Danmarks højdemodel og en udbygning af vandløbsnetværket med små</w:t>
      </w:r>
      <w:r>
        <w:rPr>
          <w:spacing w:val="-15"/>
        </w:rPr>
        <w:t> </w:t>
      </w:r>
      <w:r>
        <w:rPr/>
        <w:t>vandløb.</w:t>
      </w:r>
    </w:p>
    <w:p>
      <w:pPr>
        <w:pStyle w:val="BodyText"/>
        <w:spacing w:before="2"/>
        <w:rPr>
          <w:sz w:val="25"/>
        </w:rPr>
      </w:pPr>
    </w:p>
    <w:p>
      <w:pPr>
        <w:spacing w:line="276" w:lineRule="auto" w:before="1"/>
        <w:ind w:left="525" w:right="843" w:firstLine="0"/>
        <w:jc w:val="left"/>
        <w:rPr>
          <w:i/>
          <w:sz w:val="21"/>
        </w:rPr>
      </w:pPr>
      <w:r>
        <w:rPr>
          <w:b/>
          <w:i/>
          <w:sz w:val="21"/>
        </w:rPr>
        <w:t>Hypotese H1: Brug af flere pejledata om det terrænnære grundvand samt data fra </w:t>
      </w:r>
      <w:r>
        <w:rPr>
          <w:b/>
          <w:i/>
          <w:sz w:val="21"/>
        </w:rPr>
        <w:t>Danmarks højdemodel </w:t>
      </w:r>
      <w:r>
        <w:rPr>
          <w:i/>
          <w:sz w:val="21"/>
        </w:rPr>
        <w:t>i DK-modellen muliggør bedre modelberegninger af den terræn- </w:t>
      </w:r>
      <w:r>
        <w:rPr>
          <w:i/>
          <w:sz w:val="21"/>
        </w:rPr>
        <w:t>nære grundvandsstand. Resultaterne er evalueret med anvendelse af uafhængige terræn- nære grundvandsdata.</w:t>
      </w:r>
    </w:p>
    <w:p>
      <w:pPr>
        <w:pStyle w:val="BodyText"/>
        <w:spacing w:before="3"/>
        <w:rPr>
          <w:i/>
          <w:sz w:val="24"/>
        </w:rPr>
      </w:pPr>
    </w:p>
    <w:p>
      <w:pPr>
        <w:pStyle w:val="BodyText"/>
        <w:ind w:left="525"/>
      </w:pPr>
      <w:r>
        <w:rPr/>
        <w:t>H1 hypotesen vurderes opfyldt.</w:t>
      </w:r>
    </w:p>
    <w:p>
      <w:pPr>
        <w:pStyle w:val="BodyText"/>
        <w:spacing w:before="3"/>
        <w:rPr>
          <w:sz w:val="29"/>
        </w:rPr>
      </w:pPr>
    </w:p>
    <w:p>
      <w:pPr>
        <w:pStyle w:val="BodyText"/>
        <w:spacing w:line="288" w:lineRule="auto"/>
        <w:ind w:left="525" w:right="730"/>
        <w:jc w:val="both"/>
      </w:pPr>
      <w:r>
        <w:rPr/>
        <w:t>Indsamling</w:t>
      </w:r>
      <w:r>
        <w:rPr>
          <w:spacing w:val="-9"/>
        </w:rPr>
        <w:t> </w:t>
      </w:r>
      <w:r>
        <w:rPr/>
        <w:t>af</w:t>
      </w:r>
      <w:r>
        <w:rPr>
          <w:spacing w:val="-8"/>
        </w:rPr>
        <w:t> </w:t>
      </w:r>
      <w:r>
        <w:rPr/>
        <w:t>nye</w:t>
      </w:r>
      <w:r>
        <w:rPr>
          <w:spacing w:val="-8"/>
        </w:rPr>
        <w:t> </w:t>
      </w:r>
      <w:r>
        <w:rPr/>
        <w:t>pejledata</w:t>
      </w:r>
      <w:r>
        <w:rPr>
          <w:spacing w:val="-9"/>
        </w:rPr>
        <w:t> </w:t>
      </w:r>
      <w:r>
        <w:rPr/>
        <w:t>fra</w:t>
      </w:r>
      <w:r>
        <w:rPr>
          <w:spacing w:val="-8"/>
        </w:rPr>
        <w:t> </w:t>
      </w:r>
      <w:r>
        <w:rPr/>
        <w:t>regioner</w:t>
      </w:r>
      <w:r>
        <w:rPr>
          <w:spacing w:val="-10"/>
        </w:rPr>
        <w:t> </w:t>
      </w:r>
      <w:r>
        <w:rPr/>
        <w:t>har</w:t>
      </w:r>
      <w:r>
        <w:rPr>
          <w:spacing w:val="-10"/>
        </w:rPr>
        <w:t> </w:t>
      </w:r>
      <w:r>
        <w:rPr/>
        <w:t>ikke</w:t>
      </w:r>
      <w:r>
        <w:rPr>
          <w:spacing w:val="-8"/>
        </w:rPr>
        <w:t> </w:t>
      </w:r>
      <w:r>
        <w:rPr/>
        <w:t>givet</w:t>
      </w:r>
      <w:r>
        <w:rPr>
          <w:spacing w:val="-10"/>
        </w:rPr>
        <w:t> </w:t>
      </w:r>
      <w:r>
        <w:rPr/>
        <w:t>en</w:t>
      </w:r>
      <w:r>
        <w:rPr>
          <w:spacing w:val="-8"/>
        </w:rPr>
        <w:t> </w:t>
      </w:r>
      <w:r>
        <w:rPr/>
        <w:t>væsentlig</w:t>
      </w:r>
      <w:r>
        <w:rPr>
          <w:spacing w:val="-9"/>
        </w:rPr>
        <w:t> </w:t>
      </w:r>
      <w:r>
        <w:rPr/>
        <w:t>ændret</w:t>
      </w:r>
      <w:r>
        <w:rPr>
          <w:spacing w:val="-11"/>
        </w:rPr>
        <w:t> </w:t>
      </w:r>
      <w:r>
        <w:rPr/>
        <w:t>parameterisering eller modelnøjagtighed, men anvendelse af Danmarks højdemodel og inddragelse af nye terrænnære grundvandsdata har ledt til udvikling af en bedre metode for modellering af ter- rænnært</w:t>
      </w:r>
      <w:r>
        <w:rPr>
          <w:spacing w:val="-13"/>
        </w:rPr>
        <w:t> </w:t>
      </w:r>
      <w:r>
        <w:rPr/>
        <w:t>grundvand</w:t>
      </w:r>
      <w:r>
        <w:rPr>
          <w:spacing w:val="-10"/>
        </w:rPr>
        <w:t> </w:t>
      </w:r>
      <w:r>
        <w:rPr/>
        <w:t>og</w:t>
      </w:r>
      <w:r>
        <w:rPr>
          <w:spacing w:val="-10"/>
        </w:rPr>
        <w:t> </w:t>
      </w:r>
      <w:r>
        <w:rPr/>
        <w:t>nye</w:t>
      </w:r>
      <w:r>
        <w:rPr>
          <w:spacing w:val="-12"/>
        </w:rPr>
        <w:t> </w:t>
      </w:r>
      <w:r>
        <w:rPr/>
        <w:t>fleksible</w:t>
      </w:r>
      <w:r>
        <w:rPr>
          <w:spacing w:val="-11"/>
        </w:rPr>
        <w:t> </w:t>
      </w:r>
      <w:r>
        <w:rPr/>
        <w:t>og</w:t>
      </w:r>
      <w:r>
        <w:rPr>
          <w:spacing w:val="-10"/>
        </w:rPr>
        <w:t> </w:t>
      </w:r>
      <w:r>
        <w:rPr/>
        <w:t>simple</w:t>
      </w:r>
      <w:r>
        <w:rPr>
          <w:spacing w:val="-12"/>
        </w:rPr>
        <w:t> </w:t>
      </w:r>
      <w:r>
        <w:rPr/>
        <w:t>metoder</w:t>
      </w:r>
      <w:r>
        <w:rPr>
          <w:spacing w:val="-11"/>
        </w:rPr>
        <w:t> </w:t>
      </w:r>
      <w:r>
        <w:rPr/>
        <w:t>til</w:t>
      </w:r>
      <w:r>
        <w:rPr>
          <w:spacing w:val="-10"/>
        </w:rPr>
        <w:t> </w:t>
      </w:r>
      <w:r>
        <w:rPr/>
        <w:t>nedskalering</w:t>
      </w:r>
      <w:r>
        <w:rPr>
          <w:spacing w:val="-11"/>
        </w:rPr>
        <w:t> </w:t>
      </w:r>
      <w:r>
        <w:rPr/>
        <w:t>af</w:t>
      </w:r>
      <w:r>
        <w:rPr>
          <w:spacing w:val="-10"/>
        </w:rPr>
        <w:t> </w:t>
      </w:r>
      <w:r>
        <w:rPr/>
        <w:t>terrænnært</w:t>
      </w:r>
      <w:r>
        <w:rPr>
          <w:spacing w:val="-12"/>
        </w:rPr>
        <w:t> </w:t>
      </w:r>
      <w:r>
        <w:rPr/>
        <w:t>grund- vand,</w:t>
      </w:r>
      <w:r>
        <w:rPr>
          <w:spacing w:val="-8"/>
        </w:rPr>
        <w:t> </w:t>
      </w:r>
      <w:r>
        <w:rPr/>
        <w:t>et</w:t>
      </w:r>
      <w:r>
        <w:rPr>
          <w:spacing w:val="-8"/>
        </w:rPr>
        <w:t> </w:t>
      </w:r>
      <w:r>
        <w:rPr/>
        <w:t>eksternt</w:t>
      </w:r>
      <w:r>
        <w:rPr>
          <w:spacing w:val="-7"/>
        </w:rPr>
        <w:t> </w:t>
      </w:r>
      <w:r>
        <w:rPr/>
        <w:t>modul</w:t>
      </w:r>
      <w:r>
        <w:rPr>
          <w:spacing w:val="-6"/>
        </w:rPr>
        <w:t> </w:t>
      </w:r>
      <w:r>
        <w:rPr/>
        <w:t>til</w:t>
      </w:r>
      <w:r>
        <w:rPr>
          <w:spacing w:val="-9"/>
        </w:rPr>
        <w:t> </w:t>
      </w:r>
      <w:r>
        <w:rPr/>
        <w:t>simulering</w:t>
      </w:r>
      <w:r>
        <w:rPr>
          <w:spacing w:val="-6"/>
        </w:rPr>
        <w:t> </w:t>
      </w:r>
      <w:r>
        <w:rPr/>
        <w:t>af</w:t>
      </w:r>
      <w:r>
        <w:rPr>
          <w:spacing w:val="-6"/>
        </w:rPr>
        <w:t> </w:t>
      </w:r>
      <w:r>
        <w:rPr/>
        <w:t>vandstand</w:t>
      </w:r>
      <w:r>
        <w:rPr>
          <w:spacing w:val="-7"/>
        </w:rPr>
        <w:t> </w:t>
      </w:r>
      <w:r>
        <w:rPr/>
        <w:t>og</w:t>
      </w:r>
      <w:r>
        <w:rPr>
          <w:spacing w:val="-5"/>
        </w:rPr>
        <w:t> </w:t>
      </w:r>
      <w:r>
        <w:rPr/>
        <w:t>opstuvning</w:t>
      </w:r>
      <w:r>
        <w:rPr>
          <w:spacing w:val="-7"/>
        </w:rPr>
        <w:t> </w:t>
      </w:r>
      <w:r>
        <w:rPr/>
        <w:t>i</w:t>
      </w:r>
      <w:r>
        <w:rPr>
          <w:spacing w:val="-6"/>
        </w:rPr>
        <w:t> </w:t>
      </w:r>
      <w:r>
        <w:rPr/>
        <w:t>vandløb,</w:t>
      </w:r>
      <w:r>
        <w:rPr>
          <w:spacing w:val="-7"/>
        </w:rPr>
        <w:t> </w:t>
      </w:r>
      <w:r>
        <w:rPr/>
        <w:t>og</w:t>
      </w:r>
      <w:r>
        <w:rPr>
          <w:spacing w:val="-9"/>
        </w:rPr>
        <w:t> </w:t>
      </w:r>
      <w:r>
        <w:rPr/>
        <w:t>et</w:t>
      </w:r>
      <w:r>
        <w:rPr>
          <w:spacing w:val="-6"/>
        </w:rPr>
        <w:t> </w:t>
      </w:r>
      <w:r>
        <w:rPr/>
        <w:t>GIS</w:t>
      </w:r>
      <w:r>
        <w:rPr>
          <w:spacing w:val="-7"/>
        </w:rPr>
        <w:t> </w:t>
      </w:r>
      <w:r>
        <w:rPr/>
        <w:t>modul</w:t>
      </w:r>
    </w:p>
    <w:p>
      <w:pPr>
        <w:spacing w:after="0" w:line="288" w:lineRule="auto"/>
        <w:jc w:val="both"/>
        <w:sectPr>
          <w:pgSz w:w="11910" w:h="16850"/>
          <w:pgMar w:header="0" w:footer="857" w:top="1340" w:bottom="1120" w:left="1460" w:right="680"/>
        </w:sectPr>
      </w:pPr>
    </w:p>
    <w:p>
      <w:pPr>
        <w:pStyle w:val="BodyText"/>
        <w:spacing w:line="288" w:lineRule="auto" w:before="75"/>
        <w:ind w:left="525" w:right="731"/>
        <w:jc w:val="both"/>
      </w:pPr>
      <w:r>
        <w:rPr/>
        <w:t>til udbredelse af vand på terræn i oversvømmelsessituationer. Dette gør det muligt at fore- tage</w:t>
      </w:r>
      <w:r>
        <w:rPr>
          <w:spacing w:val="-12"/>
        </w:rPr>
        <w:t> </w:t>
      </w:r>
      <w:r>
        <w:rPr/>
        <w:t>robuste</w:t>
      </w:r>
      <w:r>
        <w:rPr>
          <w:spacing w:val="-12"/>
        </w:rPr>
        <w:t> </w:t>
      </w:r>
      <w:r>
        <w:rPr/>
        <w:t>vurderinger</w:t>
      </w:r>
      <w:r>
        <w:rPr>
          <w:spacing w:val="-12"/>
        </w:rPr>
        <w:t> </w:t>
      </w:r>
      <w:r>
        <w:rPr/>
        <w:t>af</w:t>
      </w:r>
      <w:r>
        <w:rPr>
          <w:spacing w:val="-12"/>
        </w:rPr>
        <w:t> </w:t>
      </w:r>
      <w:r>
        <w:rPr/>
        <w:t>vandspejlsforhold</w:t>
      </w:r>
      <w:r>
        <w:rPr>
          <w:spacing w:val="-12"/>
        </w:rPr>
        <w:t> </w:t>
      </w:r>
      <w:r>
        <w:rPr/>
        <w:t>og</w:t>
      </w:r>
      <w:r>
        <w:rPr>
          <w:spacing w:val="-11"/>
        </w:rPr>
        <w:t> </w:t>
      </w:r>
      <w:r>
        <w:rPr/>
        <w:t>risiko</w:t>
      </w:r>
      <w:r>
        <w:rPr>
          <w:spacing w:val="-12"/>
        </w:rPr>
        <w:t> </w:t>
      </w:r>
      <w:r>
        <w:rPr/>
        <w:t>for</w:t>
      </w:r>
      <w:r>
        <w:rPr>
          <w:spacing w:val="-13"/>
        </w:rPr>
        <w:t> </w:t>
      </w:r>
      <w:r>
        <w:rPr/>
        <w:t>oversvømmelser</w:t>
      </w:r>
      <w:r>
        <w:rPr>
          <w:spacing w:val="-15"/>
        </w:rPr>
        <w:t> </w:t>
      </w:r>
      <w:r>
        <w:rPr/>
        <w:t>koblet</w:t>
      </w:r>
      <w:r>
        <w:rPr>
          <w:spacing w:val="-13"/>
        </w:rPr>
        <w:t> </w:t>
      </w:r>
      <w:r>
        <w:rPr/>
        <w:t>til</w:t>
      </w:r>
      <w:r>
        <w:rPr>
          <w:spacing w:val="-11"/>
        </w:rPr>
        <w:t> </w:t>
      </w:r>
      <w:r>
        <w:rPr/>
        <w:t>en</w:t>
      </w:r>
      <w:r>
        <w:rPr>
          <w:spacing w:val="-12"/>
        </w:rPr>
        <w:t> </w:t>
      </w:r>
      <w:r>
        <w:rPr/>
        <w:t>yder- ligere</w:t>
      </w:r>
      <w:r>
        <w:rPr>
          <w:spacing w:val="-10"/>
        </w:rPr>
        <w:t> </w:t>
      </w:r>
      <w:r>
        <w:rPr/>
        <w:t>detaljering</w:t>
      </w:r>
      <w:r>
        <w:rPr>
          <w:spacing w:val="-9"/>
        </w:rPr>
        <w:t> </w:t>
      </w:r>
      <w:r>
        <w:rPr/>
        <w:t>af</w:t>
      </w:r>
      <w:r>
        <w:rPr>
          <w:spacing w:val="-6"/>
        </w:rPr>
        <w:t> </w:t>
      </w:r>
      <w:r>
        <w:rPr/>
        <w:t>DK-modellens</w:t>
      </w:r>
      <w:r>
        <w:rPr>
          <w:spacing w:val="-9"/>
        </w:rPr>
        <w:t> </w:t>
      </w:r>
      <w:r>
        <w:rPr/>
        <w:t>vandbalance,</w:t>
      </w:r>
      <w:r>
        <w:rPr>
          <w:spacing w:val="-10"/>
        </w:rPr>
        <w:t> </w:t>
      </w:r>
      <w:r>
        <w:rPr/>
        <w:t>beskrivelse</w:t>
      </w:r>
      <w:r>
        <w:rPr>
          <w:spacing w:val="-8"/>
        </w:rPr>
        <w:t> </w:t>
      </w:r>
      <w:r>
        <w:rPr/>
        <w:t>af</w:t>
      </w:r>
      <w:r>
        <w:rPr>
          <w:spacing w:val="-7"/>
        </w:rPr>
        <w:t> </w:t>
      </w:r>
      <w:r>
        <w:rPr/>
        <w:t>flow</w:t>
      </w:r>
      <w:r>
        <w:rPr>
          <w:spacing w:val="-10"/>
        </w:rPr>
        <w:t> </w:t>
      </w:r>
      <w:r>
        <w:rPr/>
        <w:t>og</w:t>
      </w:r>
      <w:r>
        <w:rPr>
          <w:spacing w:val="-9"/>
        </w:rPr>
        <w:t> </w:t>
      </w:r>
      <w:r>
        <w:rPr/>
        <w:t>dybden</w:t>
      </w:r>
      <w:r>
        <w:rPr>
          <w:spacing w:val="-9"/>
        </w:rPr>
        <w:t> </w:t>
      </w:r>
      <w:r>
        <w:rPr/>
        <w:t>til</w:t>
      </w:r>
      <w:r>
        <w:rPr>
          <w:spacing w:val="-9"/>
        </w:rPr>
        <w:t> </w:t>
      </w:r>
      <w:r>
        <w:rPr/>
        <w:t>det</w:t>
      </w:r>
      <w:r>
        <w:rPr>
          <w:spacing w:val="-9"/>
        </w:rPr>
        <w:t> </w:t>
      </w:r>
      <w:r>
        <w:rPr/>
        <w:t>terræn- nære</w:t>
      </w:r>
      <w:r>
        <w:rPr>
          <w:spacing w:val="-16"/>
        </w:rPr>
        <w:t> </w:t>
      </w:r>
      <w:r>
        <w:rPr/>
        <w:t>grundvand</w:t>
      </w:r>
      <w:r>
        <w:rPr>
          <w:spacing w:val="-15"/>
        </w:rPr>
        <w:t> </w:t>
      </w:r>
      <w:r>
        <w:rPr/>
        <w:t>med</w:t>
      </w:r>
      <w:r>
        <w:rPr>
          <w:spacing w:val="-16"/>
        </w:rPr>
        <w:t> </w:t>
      </w:r>
      <w:r>
        <w:rPr/>
        <w:t>en</w:t>
      </w:r>
      <w:r>
        <w:rPr>
          <w:spacing w:val="-13"/>
        </w:rPr>
        <w:t> </w:t>
      </w:r>
      <w:r>
        <w:rPr/>
        <w:t>efterspurgt</w:t>
      </w:r>
      <w:r>
        <w:rPr>
          <w:spacing w:val="-15"/>
        </w:rPr>
        <w:t> </w:t>
      </w:r>
      <w:r>
        <w:rPr/>
        <w:t>opløsning</w:t>
      </w:r>
      <w:r>
        <w:rPr>
          <w:spacing w:val="-15"/>
        </w:rPr>
        <w:t> </w:t>
      </w:r>
      <w:r>
        <w:rPr/>
        <w:t>på</w:t>
      </w:r>
      <w:r>
        <w:rPr>
          <w:spacing w:val="-14"/>
        </w:rPr>
        <w:t> </w:t>
      </w:r>
      <w:r>
        <w:rPr/>
        <w:t>100</w:t>
      </w:r>
      <w:r>
        <w:rPr>
          <w:spacing w:val="-15"/>
        </w:rPr>
        <w:t> </w:t>
      </w:r>
      <w:r>
        <w:rPr/>
        <w:t>m.</w:t>
      </w:r>
      <w:r>
        <w:rPr>
          <w:spacing w:val="-17"/>
        </w:rPr>
        <w:t> </w:t>
      </w:r>
      <w:r>
        <w:rPr/>
        <w:t>Der</w:t>
      </w:r>
      <w:r>
        <w:rPr>
          <w:spacing w:val="-15"/>
        </w:rPr>
        <w:t> </w:t>
      </w:r>
      <w:r>
        <w:rPr/>
        <w:t>er</w:t>
      </w:r>
      <w:r>
        <w:rPr>
          <w:spacing w:val="-15"/>
        </w:rPr>
        <w:t> </w:t>
      </w:r>
      <w:r>
        <w:rPr/>
        <w:t>opnået</w:t>
      </w:r>
      <w:r>
        <w:rPr>
          <w:spacing w:val="-16"/>
        </w:rPr>
        <w:t> </w:t>
      </w:r>
      <w:r>
        <w:rPr/>
        <w:t>en</w:t>
      </w:r>
      <w:r>
        <w:rPr>
          <w:spacing w:val="-17"/>
        </w:rPr>
        <w:t> </w:t>
      </w:r>
      <w:r>
        <w:rPr/>
        <w:t>middelfejl</w:t>
      </w:r>
      <w:r>
        <w:rPr>
          <w:spacing w:val="-14"/>
        </w:rPr>
        <w:t> </w:t>
      </w:r>
      <w:r>
        <w:rPr/>
        <w:t>i</w:t>
      </w:r>
      <w:r>
        <w:rPr>
          <w:spacing w:val="-15"/>
        </w:rPr>
        <w:t> </w:t>
      </w:r>
      <w:r>
        <w:rPr/>
        <w:t>forhold til</w:t>
      </w:r>
      <w:r>
        <w:rPr>
          <w:spacing w:val="-4"/>
        </w:rPr>
        <w:t> </w:t>
      </w:r>
      <w:r>
        <w:rPr/>
        <w:t>observationer</w:t>
      </w:r>
      <w:r>
        <w:rPr>
          <w:spacing w:val="-4"/>
        </w:rPr>
        <w:t> </w:t>
      </w:r>
      <w:r>
        <w:rPr/>
        <w:t>på</w:t>
      </w:r>
      <w:r>
        <w:rPr>
          <w:spacing w:val="-3"/>
        </w:rPr>
        <w:t> </w:t>
      </w:r>
      <w:r>
        <w:rPr/>
        <w:t>1.0-2.0</w:t>
      </w:r>
      <w:r>
        <w:rPr>
          <w:spacing w:val="-4"/>
        </w:rPr>
        <w:t> </w:t>
      </w:r>
      <w:r>
        <w:rPr/>
        <w:t>m</w:t>
      </w:r>
      <w:r>
        <w:rPr>
          <w:spacing w:val="-2"/>
        </w:rPr>
        <w:t> </w:t>
      </w:r>
      <w:r>
        <w:rPr/>
        <w:t>for</w:t>
      </w:r>
      <w:r>
        <w:rPr>
          <w:spacing w:val="-4"/>
        </w:rPr>
        <w:t> </w:t>
      </w:r>
      <w:r>
        <w:rPr/>
        <w:t>dybden</w:t>
      </w:r>
      <w:r>
        <w:rPr>
          <w:spacing w:val="-3"/>
        </w:rPr>
        <w:t> </w:t>
      </w:r>
      <w:r>
        <w:rPr/>
        <w:t>til</w:t>
      </w:r>
      <w:r>
        <w:rPr>
          <w:spacing w:val="-4"/>
        </w:rPr>
        <w:t> </w:t>
      </w:r>
      <w:r>
        <w:rPr/>
        <w:t>terrænnært</w:t>
      </w:r>
      <w:r>
        <w:rPr>
          <w:spacing w:val="-5"/>
        </w:rPr>
        <w:t> </w:t>
      </w:r>
      <w:r>
        <w:rPr/>
        <w:t>grundvand</w:t>
      </w:r>
      <w:r>
        <w:rPr>
          <w:spacing w:val="-3"/>
        </w:rPr>
        <w:t> </w:t>
      </w:r>
      <w:r>
        <w:rPr/>
        <w:t>for</w:t>
      </w:r>
      <w:r>
        <w:rPr>
          <w:spacing w:val="-4"/>
        </w:rPr>
        <w:t> </w:t>
      </w:r>
      <w:r>
        <w:rPr/>
        <w:t>de</w:t>
      </w:r>
      <w:r>
        <w:rPr>
          <w:spacing w:val="-4"/>
        </w:rPr>
        <w:t> </w:t>
      </w:r>
      <w:r>
        <w:rPr/>
        <w:t>kalibrerede</w:t>
      </w:r>
      <w:r>
        <w:rPr>
          <w:spacing w:val="-6"/>
        </w:rPr>
        <w:t> </w:t>
      </w:r>
      <w:r>
        <w:rPr/>
        <w:t>model- ler</w:t>
      </w:r>
      <w:r>
        <w:rPr>
          <w:spacing w:val="-8"/>
        </w:rPr>
        <w:t> </w:t>
      </w:r>
      <w:r>
        <w:rPr/>
        <w:t>for</w:t>
      </w:r>
      <w:r>
        <w:rPr>
          <w:spacing w:val="-4"/>
        </w:rPr>
        <w:t> </w:t>
      </w:r>
      <w:r>
        <w:rPr/>
        <w:t>90</w:t>
      </w:r>
      <w:r>
        <w:rPr>
          <w:spacing w:val="-4"/>
        </w:rPr>
        <w:t> </w:t>
      </w:r>
      <w:r>
        <w:rPr/>
        <w:t>%</w:t>
      </w:r>
      <w:r>
        <w:rPr>
          <w:spacing w:val="-4"/>
        </w:rPr>
        <w:t> </w:t>
      </w:r>
      <w:r>
        <w:rPr/>
        <w:t>af</w:t>
      </w:r>
      <w:r>
        <w:rPr>
          <w:spacing w:val="-6"/>
        </w:rPr>
        <w:t> </w:t>
      </w:r>
      <w:r>
        <w:rPr/>
        <w:t>pejledata</w:t>
      </w:r>
      <w:r>
        <w:rPr>
          <w:spacing w:val="-6"/>
        </w:rPr>
        <w:t> </w:t>
      </w:r>
      <w:r>
        <w:rPr/>
        <w:t>fra</w:t>
      </w:r>
      <w:r>
        <w:rPr>
          <w:spacing w:val="-4"/>
        </w:rPr>
        <w:t> </w:t>
      </w:r>
      <w:r>
        <w:rPr/>
        <w:t>boringer</w:t>
      </w:r>
      <w:r>
        <w:rPr>
          <w:spacing w:val="-4"/>
        </w:rPr>
        <w:t> </w:t>
      </w:r>
      <w:r>
        <w:rPr/>
        <w:t>filtersat</w:t>
      </w:r>
      <w:r>
        <w:rPr>
          <w:spacing w:val="-5"/>
        </w:rPr>
        <w:t> </w:t>
      </w:r>
      <w:r>
        <w:rPr/>
        <w:t>i</w:t>
      </w:r>
      <w:r>
        <w:rPr>
          <w:spacing w:val="-6"/>
        </w:rPr>
        <w:t> </w:t>
      </w:r>
      <w:r>
        <w:rPr/>
        <w:t>de</w:t>
      </w:r>
      <w:r>
        <w:rPr>
          <w:spacing w:val="-6"/>
        </w:rPr>
        <w:t> </w:t>
      </w:r>
      <w:r>
        <w:rPr/>
        <w:t>øverste</w:t>
      </w:r>
      <w:r>
        <w:rPr>
          <w:spacing w:val="-4"/>
        </w:rPr>
        <w:t> </w:t>
      </w:r>
      <w:r>
        <w:rPr/>
        <w:t>10</w:t>
      </w:r>
      <w:r>
        <w:rPr>
          <w:spacing w:val="-6"/>
        </w:rPr>
        <w:t> </w:t>
      </w:r>
      <w:r>
        <w:rPr/>
        <w:t>m,</w:t>
      </w:r>
      <w:r>
        <w:rPr>
          <w:spacing w:val="-7"/>
        </w:rPr>
        <w:t> </w:t>
      </w:r>
      <w:r>
        <w:rPr/>
        <w:t>altså</w:t>
      </w:r>
      <w:r>
        <w:rPr>
          <w:spacing w:val="-3"/>
        </w:rPr>
        <w:t> </w:t>
      </w:r>
      <w:r>
        <w:rPr/>
        <w:t>tæt</w:t>
      </w:r>
      <w:r>
        <w:rPr>
          <w:spacing w:val="-5"/>
        </w:rPr>
        <w:t> </w:t>
      </w:r>
      <w:r>
        <w:rPr/>
        <w:t>på</w:t>
      </w:r>
      <w:r>
        <w:rPr>
          <w:spacing w:val="-6"/>
        </w:rPr>
        <w:t> </w:t>
      </w:r>
      <w:r>
        <w:rPr/>
        <w:t>den</w:t>
      </w:r>
      <w:r>
        <w:rPr>
          <w:spacing w:val="-3"/>
        </w:rPr>
        <w:t> </w:t>
      </w:r>
      <w:r>
        <w:rPr/>
        <w:t>efterspurgte nøjagtighed</w:t>
      </w:r>
      <w:r>
        <w:rPr>
          <w:spacing w:val="-12"/>
        </w:rPr>
        <w:t> </w:t>
      </w:r>
      <w:r>
        <w:rPr/>
        <w:t>på</w:t>
      </w:r>
      <w:r>
        <w:rPr>
          <w:spacing w:val="-10"/>
        </w:rPr>
        <w:t> </w:t>
      </w:r>
      <w:r>
        <w:rPr/>
        <w:t>0.5-1.0</w:t>
      </w:r>
      <w:r>
        <w:rPr>
          <w:spacing w:val="-13"/>
        </w:rPr>
        <w:t> </w:t>
      </w:r>
      <w:r>
        <w:rPr/>
        <w:t>m</w:t>
      </w:r>
      <w:r>
        <w:rPr>
          <w:spacing w:val="-9"/>
        </w:rPr>
        <w:t> </w:t>
      </w:r>
      <w:r>
        <w:rPr/>
        <w:t>for</w:t>
      </w:r>
      <w:r>
        <w:rPr>
          <w:spacing w:val="-11"/>
        </w:rPr>
        <w:t> </w:t>
      </w:r>
      <w:r>
        <w:rPr/>
        <w:t>80-90</w:t>
      </w:r>
      <w:r>
        <w:rPr>
          <w:spacing w:val="-10"/>
        </w:rPr>
        <w:t> </w:t>
      </w:r>
      <w:r>
        <w:rPr/>
        <w:t>%</w:t>
      </w:r>
      <w:r>
        <w:rPr>
          <w:spacing w:val="-12"/>
        </w:rPr>
        <w:t> </w:t>
      </w:r>
      <w:r>
        <w:rPr/>
        <w:t>af</w:t>
      </w:r>
      <w:r>
        <w:rPr>
          <w:spacing w:val="-10"/>
        </w:rPr>
        <w:t> </w:t>
      </w:r>
      <w:r>
        <w:rPr/>
        <w:t>observationerne</w:t>
      </w:r>
      <w:r>
        <w:rPr>
          <w:spacing w:val="-11"/>
        </w:rPr>
        <w:t> </w:t>
      </w:r>
      <w:r>
        <w:rPr/>
        <w:t>(for</w:t>
      </w:r>
      <w:r>
        <w:rPr>
          <w:spacing w:val="-14"/>
        </w:rPr>
        <w:t> </w:t>
      </w:r>
      <w:r>
        <w:rPr/>
        <w:t>kvalitetssikrede</w:t>
      </w:r>
      <w:r>
        <w:rPr>
          <w:spacing w:val="-10"/>
        </w:rPr>
        <w:t> </w:t>
      </w:r>
      <w:r>
        <w:rPr/>
        <w:t>data).</w:t>
      </w:r>
      <w:r>
        <w:rPr>
          <w:spacing w:val="-13"/>
        </w:rPr>
        <w:t> </w:t>
      </w:r>
      <w:r>
        <w:rPr/>
        <w:t>Samtidig er der udviklet en kalibreringsmetodik, der kan fungere i forhold til terrænnære grundvands- data. Metodikken er robust i forhold til, at en del af de terrænnære pejlinger er meget inho- mogent</w:t>
      </w:r>
      <w:r>
        <w:rPr>
          <w:spacing w:val="-17"/>
        </w:rPr>
        <w:t> </w:t>
      </w:r>
      <w:r>
        <w:rPr/>
        <w:t>fordelt</w:t>
      </w:r>
      <w:r>
        <w:rPr>
          <w:spacing w:val="-15"/>
        </w:rPr>
        <w:t> </w:t>
      </w:r>
      <w:r>
        <w:rPr/>
        <w:t>og</w:t>
      </w:r>
      <w:r>
        <w:rPr>
          <w:spacing w:val="-14"/>
        </w:rPr>
        <w:t> </w:t>
      </w:r>
      <w:r>
        <w:rPr/>
        <w:t>ikke</w:t>
      </w:r>
      <w:r>
        <w:rPr>
          <w:spacing w:val="-13"/>
        </w:rPr>
        <w:t> </w:t>
      </w:r>
      <w:r>
        <w:rPr/>
        <w:t>i</w:t>
      </w:r>
      <w:r>
        <w:rPr>
          <w:spacing w:val="-13"/>
        </w:rPr>
        <w:t> </w:t>
      </w:r>
      <w:r>
        <w:rPr/>
        <w:t>alle</w:t>
      </w:r>
      <w:r>
        <w:rPr>
          <w:spacing w:val="-14"/>
        </w:rPr>
        <w:t> </w:t>
      </w:r>
      <w:r>
        <w:rPr/>
        <w:t>tilfælde</w:t>
      </w:r>
      <w:r>
        <w:rPr>
          <w:spacing w:val="-12"/>
        </w:rPr>
        <w:t> </w:t>
      </w:r>
      <w:r>
        <w:rPr/>
        <w:t>er</w:t>
      </w:r>
      <w:r>
        <w:rPr>
          <w:spacing w:val="-15"/>
        </w:rPr>
        <w:t> </w:t>
      </w:r>
      <w:r>
        <w:rPr/>
        <w:t>repræsentative</w:t>
      </w:r>
      <w:r>
        <w:rPr>
          <w:spacing w:val="-14"/>
        </w:rPr>
        <w:t> </w:t>
      </w:r>
      <w:r>
        <w:rPr/>
        <w:t>i</w:t>
      </w:r>
      <w:r>
        <w:rPr>
          <w:spacing w:val="-13"/>
        </w:rPr>
        <w:t> </w:t>
      </w:r>
      <w:r>
        <w:rPr/>
        <w:t>forhold</w:t>
      </w:r>
      <w:r>
        <w:rPr>
          <w:spacing w:val="-14"/>
        </w:rPr>
        <w:t> </w:t>
      </w:r>
      <w:r>
        <w:rPr/>
        <w:t>til</w:t>
      </w:r>
      <w:r>
        <w:rPr>
          <w:spacing w:val="-13"/>
        </w:rPr>
        <w:t> </w:t>
      </w:r>
      <w:r>
        <w:rPr/>
        <w:t>den</w:t>
      </w:r>
      <w:r>
        <w:rPr>
          <w:spacing w:val="-13"/>
        </w:rPr>
        <w:t> </w:t>
      </w:r>
      <w:r>
        <w:rPr/>
        <w:t>anvendte</w:t>
      </w:r>
      <w:r>
        <w:rPr>
          <w:spacing w:val="-14"/>
        </w:rPr>
        <w:t> </w:t>
      </w:r>
      <w:r>
        <w:rPr/>
        <w:t>modelstruktur (dvs. ’outliers’: filtersætning i forhold til vandførende og lavpermeable modellag). Det er her vigtigt,</w:t>
      </w:r>
      <w:r>
        <w:rPr>
          <w:spacing w:val="-15"/>
        </w:rPr>
        <w:t> </w:t>
      </w:r>
      <w:r>
        <w:rPr/>
        <w:t>at</w:t>
      </w:r>
      <w:r>
        <w:rPr>
          <w:spacing w:val="-15"/>
        </w:rPr>
        <w:t> </w:t>
      </w:r>
      <w:r>
        <w:rPr/>
        <w:t>sådanne</w:t>
      </w:r>
      <w:r>
        <w:rPr>
          <w:spacing w:val="-13"/>
        </w:rPr>
        <w:t> </w:t>
      </w:r>
      <w:r>
        <w:rPr/>
        <w:t>’outliers’</w:t>
      </w:r>
      <w:r>
        <w:rPr>
          <w:spacing w:val="-13"/>
        </w:rPr>
        <w:t> </w:t>
      </w:r>
      <w:r>
        <w:rPr/>
        <w:t>ikke</w:t>
      </w:r>
      <w:r>
        <w:rPr>
          <w:spacing w:val="-13"/>
        </w:rPr>
        <w:t> </w:t>
      </w:r>
      <w:r>
        <w:rPr/>
        <w:t>indgår</w:t>
      </w:r>
      <w:r>
        <w:rPr>
          <w:spacing w:val="-17"/>
        </w:rPr>
        <w:t> </w:t>
      </w:r>
      <w:r>
        <w:rPr/>
        <w:t>i</w:t>
      </w:r>
      <w:r>
        <w:rPr>
          <w:spacing w:val="-12"/>
        </w:rPr>
        <w:t> </w:t>
      </w:r>
      <w:r>
        <w:rPr/>
        <w:t>parameterkalibrering,</w:t>
      </w:r>
      <w:r>
        <w:rPr>
          <w:spacing w:val="-15"/>
        </w:rPr>
        <w:t> </w:t>
      </w:r>
      <w:r>
        <w:rPr/>
        <w:t>men</w:t>
      </w:r>
      <w:r>
        <w:rPr>
          <w:spacing w:val="-13"/>
        </w:rPr>
        <w:t> </w:t>
      </w:r>
      <w:r>
        <w:rPr/>
        <w:t>fortsat</w:t>
      </w:r>
      <w:r>
        <w:rPr>
          <w:spacing w:val="-15"/>
        </w:rPr>
        <w:t> </w:t>
      </w:r>
      <w:r>
        <w:rPr/>
        <w:t>indgår</w:t>
      </w:r>
      <w:r>
        <w:rPr>
          <w:spacing w:val="-15"/>
        </w:rPr>
        <w:t> </w:t>
      </w:r>
      <w:r>
        <w:rPr/>
        <w:t>i</w:t>
      </w:r>
      <w:r>
        <w:rPr>
          <w:spacing w:val="-10"/>
        </w:rPr>
        <w:t> </w:t>
      </w:r>
      <w:r>
        <w:rPr/>
        <w:t>udpegning af</w:t>
      </w:r>
      <w:r>
        <w:rPr>
          <w:spacing w:val="-1"/>
        </w:rPr>
        <w:t> </w:t>
      </w:r>
      <w:r>
        <w:rPr/>
        <w:t>problemområder.</w:t>
      </w:r>
    </w:p>
    <w:p>
      <w:pPr>
        <w:pStyle w:val="BodyText"/>
        <w:spacing w:before="2"/>
        <w:rPr>
          <w:sz w:val="25"/>
        </w:rPr>
      </w:pPr>
    </w:p>
    <w:p>
      <w:pPr>
        <w:pStyle w:val="BodyText"/>
        <w:spacing w:line="288" w:lineRule="auto"/>
        <w:ind w:left="525" w:right="730"/>
        <w:jc w:val="both"/>
      </w:pPr>
      <w:r>
        <w:rPr/>
        <w:t>Indsamling af nye pejledata fra regioner har ikke umiddelbart givet en væsentlig ændret pa- rameterisering, men flere data har bidraget til en forbedret udpegning af problemområder i modellen. For disse områder gælder det, at data enten ikke er repræsentative for den kon- ceptuelle</w:t>
      </w:r>
      <w:r>
        <w:rPr>
          <w:spacing w:val="-9"/>
        </w:rPr>
        <w:t> </w:t>
      </w:r>
      <w:r>
        <w:rPr/>
        <w:t>model,</w:t>
      </w:r>
      <w:r>
        <w:rPr>
          <w:spacing w:val="-9"/>
        </w:rPr>
        <w:t> </w:t>
      </w:r>
      <w:r>
        <w:rPr/>
        <w:t>eller</w:t>
      </w:r>
      <w:r>
        <w:rPr>
          <w:spacing w:val="-6"/>
        </w:rPr>
        <w:t> </w:t>
      </w:r>
      <w:r>
        <w:rPr/>
        <w:t>at</w:t>
      </w:r>
      <w:r>
        <w:rPr>
          <w:spacing w:val="-7"/>
        </w:rPr>
        <w:t> </w:t>
      </w:r>
      <w:r>
        <w:rPr/>
        <w:t>den</w:t>
      </w:r>
      <w:r>
        <w:rPr>
          <w:spacing w:val="-9"/>
        </w:rPr>
        <w:t> </w:t>
      </w:r>
      <w:r>
        <w:rPr/>
        <w:t>konceptuelle</w:t>
      </w:r>
      <w:r>
        <w:rPr>
          <w:spacing w:val="-11"/>
        </w:rPr>
        <w:t> </w:t>
      </w:r>
      <w:r>
        <w:rPr/>
        <w:t>model</w:t>
      </w:r>
      <w:r>
        <w:rPr>
          <w:spacing w:val="-8"/>
        </w:rPr>
        <w:t> </w:t>
      </w:r>
      <w:r>
        <w:rPr/>
        <w:t>må</w:t>
      </w:r>
      <w:r>
        <w:rPr>
          <w:spacing w:val="-8"/>
        </w:rPr>
        <w:t> </w:t>
      </w:r>
      <w:r>
        <w:rPr/>
        <w:t>videreudvikles,</w:t>
      </w:r>
      <w:r>
        <w:rPr>
          <w:spacing w:val="-7"/>
        </w:rPr>
        <w:t> </w:t>
      </w:r>
      <w:r>
        <w:rPr/>
        <w:t>fordi</w:t>
      </w:r>
      <w:r>
        <w:rPr>
          <w:spacing w:val="-8"/>
        </w:rPr>
        <w:t> </w:t>
      </w:r>
      <w:r>
        <w:rPr/>
        <w:t>modelstrukturen</w:t>
      </w:r>
      <w:r>
        <w:rPr>
          <w:spacing w:val="-6"/>
        </w:rPr>
        <w:t> </w:t>
      </w:r>
      <w:r>
        <w:rPr/>
        <w:t>er utilstrækkelig. En sådan videreudvikling vil kræve yderligere kortlægning af det terrænnære grundvand</w:t>
      </w:r>
      <w:r>
        <w:rPr>
          <w:spacing w:val="-4"/>
        </w:rPr>
        <w:t> </w:t>
      </w:r>
      <w:r>
        <w:rPr/>
        <w:t>og</w:t>
      </w:r>
      <w:r>
        <w:rPr>
          <w:spacing w:val="-5"/>
        </w:rPr>
        <w:t> </w:t>
      </w:r>
      <w:r>
        <w:rPr/>
        <w:t>de</w:t>
      </w:r>
      <w:r>
        <w:rPr>
          <w:spacing w:val="-3"/>
        </w:rPr>
        <w:t> </w:t>
      </w:r>
      <w:r>
        <w:rPr/>
        <w:t>geologiske</w:t>
      </w:r>
      <w:r>
        <w:rPr>
          <w:spacing w:val="-5"/>
        </w:rPr>
        <w:t> </w:t>
      </w:r>
      <w:r>
        <w:rPr/>
        <w:t>forhold</w:t>
      </w:r>
      <w:r>
        <w:rPr>
          <w:spacing w:val="-4"/>
        </w:rPr>
        <w:t> </w:t>
      </w:r>
      <w:r>
        <w:rPr/>
        <w:t>samt</w:t>
      </w:r>
      <w:r>
        <w:rPr>
          <w:spacing w:val="-4"/>
        </w:rPr>
        <w:t> </w:t>
      </w:r>
      <w:r>
        <w:rPr/>
        <w:t>den</w:t>
      </w:r>
      <w:r>
        <w:rPr>
          <w:spacing w:val="-3"/>
        </w:rPr>
        <w:t> </w:t>
      </w:r>
      <w:r>
        <w:rPr/>
        <w:t>øvrige</w:t>
      </w:r>
      <w:r>
        <w:rPr>
          <w:spacing w:val="-5"/>
        </w:rPr>
        <w:t> </w:t>
      </w:r>
      <w:r>
        <w:rPr/>
        <w:t>modelstruktur,</w:t>
      </w:r>
      <w:r>
        <w:rPr>
          <w:spacing w:val="-5"/>
        </w:rPr>
        <w:t> </w:t>
      </w:r>
      <w:r>
        <w:rPr/>
        <w:t>der</w:t>
      </w:r>
      <w:r>
        <w:rPr>
          <w:spacing w:val="-7"/>
        </w:rPr>
        <w:t> </w:t>
      </w:r>
      <w:r>
        <w:rPr/>
        <w:t>kan</w:t>
      </w:r>
      <w:r>
        <w:rPr>
          <w:spacing w:val="-4"/>
        </w:rPr>
        <w:t> </w:t>
      </w:r>
      <w:r>
        <w:rPr/>
        <w:t>have</w:t>
      </w:r>
      <w:r>
        <w:rPr>
          <w:spacing w:val="-3"/>
        </w:rPr>
        <w:t> </w:t>
      </w:r>
      <w:r>
        <w:rPr/>
        <w:t>betydning for simuleringen af dybden til det terrænnære</w:t>
      </w:r>
      <w:r>
        <w:rPr>
          <w:spacing w:val="-7"/>
        </w:rPr>
        <w:t> </w:t>
      </w:r>
      <w:r>
        <w:rPr/>
        <w:t>grundvand.</w:t>
      </w:r>
    </w:p>
    <w:p>
      <w:pPr>
        <w:pStyle w:val="BodyText"/>
        <w:spacing w:before="2"/>
        <w:rPr>
          <w:sz w:val="25"/>
        </w:rPr>
      </w:pPr>
    </w:p>
    <w:p>
      <w:pPr>
        <w:pStyle w:val="BodyText"/>
        <w:spacing w:line="288" w:lineRule="auto" w:before="1"/>
        <w:ind w:left="525" w:right="731"/>
        <w:jc w:val="both"/>
      </w:pPr>
      <w:r>
        <w:rPr/>
        <w:t>Undersøgelserne for Storå og Odense Å har vist, at der mangler gode tidsserier for terræn- nært</w:t>
      </w:r>
      <w:r>
        <w:rPr>
          <w:spacing w:val="-14"/>
        </w:rPr>
        <w:t> </w:t>
      </w:r>
      <w:r>
        <w:rPr/>
        <w:t>grundvand.</w:t>
      </w:r>
      <w:r>
        <w:rPr>
          <w:spacing w:val="-13"/>
        </w:rPr>
        <w:t> </w:t>
      </w:r>
      <w:r>
        <w:rPr/>
        <w:t>Langt</w:t>
      </w:r>
      <w:r>
        <w:rPr>
          <w:spacing w:val="-14"/>
        </w:rPr>
        <w:t> </w:t>
      </w:r>
      <w:r>
        <w:rPr/>
        <w:t>de</w:t>
      </w:r>
      <w:r>
        <w:rPr>
          <w:spacing w:val="-12"/>
        </w:rPr>
        <w:t> </w:t>
      </w:r>
      <w:r>
        <w:rPr/>
        <w:t>fleste</w:t>
      </w:r>
      <w:r>
        <w:rPr>
          <w:spacing w:val="-13"/>
        </w:rPr>
        <w:t> </w:t>
      </w:r>
      <w:r>
        <w:rPr/>
        <w:t>pejleboringer</w:t>
      </w:r>
      <w:r>
        <w:rPr>
          <w:spacing w:val="-12"/>
        </w:rPr>
        <w:t> </w:t>
      </w:r>
      <w:r>
        <w:rPr/>
        <w:t>har</w:t>
      </w:r>
      <w:r>
        <w:rPr>
          <w:spacing w:val="-16"/>
        </w:rPr>
        <w:t> </w:t>
      </w:r>
      <w:r>
        <w:rPr/>
        <w:t>kun</w:t>
      </w:r>
      <w:r>
        <w:rPr>
          <w:spacing w:val="-12"/>
        </w:rPr>
        <w:t> </w:t>
      </w:r>
      <w:r>
        <w:rPr/>
        <w:t>en</w:t>
      </w:r>
      <w:r>
        <w:rPr>
          <w:spacing w:val="-13"/>
        </w:rPr>
        <w:t> </w:t>
      </w:r>
      <w:r>
        <w:rPr/>
        <w:t>enkelt</w:t>
      </w:r>
      <w:r>
        <w:rPr>
          <w:spacing w:val="-13"/>
        </w:rPr>
        <w:t> </w:t>
      </w:r>
      <w:r>
        <w:rPr/>
        <w:t>pejling,</w:t>
      </w:r>
      <w:r>
        <w:rPr>
          <w:spacing w:val="-14"/>
        </w:rPr>
        <w:t> </w:t>
      </w:r>
      <w:r>
        <w:rPr/>
        <w:t>og</w:t>
      </w:r>
      <w:r>
        <w:rPr>
          <w:spacing w:val="-12"/>
        </w:rPr>
        <w:t> </w:t>
      </w:r>
      <w:r>
        <w:rPr/>
        <w:t>for</w:t>
      </w:r>
      <w:r>
        <w:rPr>
          <w:spacing w:val="-14"/>
        </w:rPr>
        <w:t> </w:t>
      </w:r>
      <w:r>
        <w:rPr/>
        <w:t>enkeltpejlinger er</w:t>
      </w:r>
      <w:r>
        <w:rPr>
          <w:spacing w:val="-9"/>
        </w:rPr>
        <w:t> </w:t>
      </w:r>
      <w:r>
        <w:rPr/>
        <w:t>det</w:t>
      </w:r>
      <w:r>
        <w:rPr>
          <w:spacing w:val="-8"/>
        </w:rPr>
        <w:t> </w:t>
      </w:r>
      <w:r>
        <w:rPr/>
        <w:t>vanskeligt</w:t>
      </w:r>
      <w:r>
        <w:rPr>
          <w:spacing w:val="-9"/>
        </w:rPr>
        <w:t> </w:t>
      </w:r>
      <w:r>
        <w:rPr/>
        <w:t>at</w:t>
      </w:r>
      <w:r>
        <w:rPr>
          <w:spacing w:val="-8"/>
        </w:rPr>
        <w:t> </w:t>
      </w:r>
      <w:r>
        <w:rPr/>
        <w:t>vurdere</w:t>
      </w:r>
      <w:r>
        <w:rPr>
          <w:spacing w:val="-8"/>
        </w:rPr>
        <w:t> </w:t>
      </w:r>
      <w:r>
        <w:rPr/>
        <w:t>datakvalitet</w:t>
      </w:r>
      <w:r>
        <w:rPr>
          <w:spacing w:val="-8"/>
        </w:rPr>
        <w:t> </w:t>
      </w:r>
      <w:r>
        <w:rPr/>
        <w:t>og</w:t>
      </w:r>
      <w:r>
        <w:rPr>
          <w:spacing w:val="-8"/>
        </w:rPr>
        <w:t> </w:t>
      </w:r>
      <w:r>
        <w:rPr/>
        <w:t>repræsentativitet</w:t>
      </w:r>
      <w:r>
        <w:rPr>
          <w:spacing w:val="-8"/>
        </w:rPr>
        <w:t> </w:t>
      </w:r>
      <w:r>
        <w:rPr/>
        <w:t>i</w:t>
      </w:r>
      <w:r>
        <w:rPr>
          <w:spacing w:val="-10"/>
        </w:rPr>
        <w:t> </w:t>
      </w:r>
      <w:r>
        <w:rPr/>
        <w:t>forhold</w:t>
      </w:r>
      <w:r>
        <w:rPr>
          <w:spacing w:val="-7"/>
        </w:rPr>
        <w:t> </w:t>
      </w:r>
      <w:r>
        <w:rPr/>
        <w:t>til</w:t>
      </w:r>
      <w:r>
        <w:rPr>
          <w:spacing w:val="-10"/>
        </w:rPr>
        <w:t> </w:t>
      </w:r>
      <w:r>
        <w:rPr/>
        <w:t>model.</w:t>
      </w:r>
      <w:r>
        <w:rPr>
          <w:spacing w:val="-7"/>
        </w:rPr>
        <w:t> </w:t>
      </w:r>
      <w:r>
        <w:rPr/>
        <w:t>Indsamling</w:t>
      </w:r>
      <w:r>
        <w:rPr>
          <w:spacing w:val="-8"/>
        </w:rPr>
        <w:t> </w:t>
      </w:r>
      <w:r>
        <w:rPr/>
        <w:t>af kontinuerte pejletidsserier (f.eks. Sunds) har vist et stort potentiale i denne type data til vali- dering af modellens evne til simulering af ændringer i det terrænnære grundvandsspejl </w:t>
      </w:r>
      <w:r>
        <w:rPr>
          <w:spacing w:val="-3"/>
        </w:rPr>
        <w:t>som </w:t>
      </w:r>
      <w:r>
        <w:rPr/>
        <w:t>følge af ændret nedbør og klima. Valideringstest for udvalgte boringer (Sunds) har vist, at modellen kan simulere ændringer i dybden til det terrænnære grundvand over tid som følge af</w:t>
      </w:r>
      <w:r>
        <w:rPr>
          <w:spacing w:val="-7"/>
        </w:rPr>
        <w:t> </w:t>
      </w:r>
      <w:r>
        <w:rPr/>
        <w:t>nedbørsvariationer,</w:t>
      </w:r>
      <w:r>
        <w:rPr>
          <w:spacing w:val="-9"/>
        </w:rPr>
        <w:t> </w:t>
      </w:r>
      <w:r>
        <w:rPr/>
        <w:t>og</w:t>
      </w:r>
      <w:r>
        <w:rPr>
          <w:spacing w:val="-8"/>
        </w:rPr>
        <w:t> </w:t>
      </w:r>
      <w:r>
        <w:rPr/>
        <w:t>at</w:t>
      </w:r>
      <w:r>
        <w:rPr>
          <w:spacing w:val="-8"/>
        </w:rPr>
        <w:t> </w:t>
      </w:r>
      <w:r>
        <w:rPr/>
        <w:t>den</w:t>
      </w:r>
      <w:r>
        <w:rPr>
          <w:spacing w:val="-9"/>
        </w:rPr>
        <w:t> </w:t>
      </w:r>
      <w:r>
        <w:rPr/>
        <w:t>dermed</w:t>
      </w:r>
      <w:r>
        <w:rPr>
          <w:spacing w:val="-7"/>
        </w:rPr>
        <w:t> </w:t>
      </w:r>
      <w:r>
        <w:rPr/>
        <w:t>også</w:t>
      </w:r>
      <w:r>
        <w:rPr>
          <w:spacing w:val="-7"/>
        </w:rPr>
        <w:t> </w:t>
      </w:r>
      <w:r>
        <w:rPr/>
        <w:t>vil</w:t>
      </w:r>
      <w:r>
        <w:rPr>
          <w:spacing w:val="-7"/>
        </w:rPr>
        <w:t> </w:t>
      </w:r>
      <w:r>
        <w:rPr/>
        <w:t>være</w:t>
      </w:r>
      <w:r>
        <w:rPr>
          <w:spacing w:val="-6"/>
        </w:rPr>
        <w:t> </w:t>
      </w:r>
      <w:r>
        <w:rPr/>
        <w:t>anvendelig</w:t>
      </w:r>
      <w:r>
        <w:rPr>
          <w:spacing w:val="-7"/>
        </w:rPr>
        <w:t> </w:t>
      </w:r>
      <w:r>
        <w:rPr/>
        <w:t>til</w:t>
      </w:r>
      <w:r>
        <w:rPr>
          <w:spacing w:val="-6"/>
        </w:rPr>
        <w:t> </w:t>
      </w:r>
      <w:r>
        <w:rPr/>
        <w:t>vurdering</w:t>
      </w:r>
      <w:r>
        <w:rPr>
          <w:spacing w:val="-9"/>
        </w:rPr>
        <w:t> </w:t>
      </w:r>
      <w:r>
        <w:rPr/>
        <w:t>af</w:t>
      </w:r>
      <w:r>
        <w:rPr>
          <w:spacing w:val="-8"/>
        </w:rPr>
        <w:t> </w:t>
      </w:r>
      <w:r>
        <w:rPr/>
        <w:t>klimaeffek- ter på det terrænnære grundvandsspejl. Modellen har kunnet bekræfte, hvor grundvandet erfaringsmæssigt står højt i forhold til GIS-kort over eksisterende vådområder. Endelig kan der</w:t>
      </w:r>
      <w:r>
        <w:rPr>
          <w:spacing w:val="-9"/>
        </w:rPr>
        <w:t> </w:t>
      </w:r>
      <w:r>
        <w:rPr/>
        <w:t>udtrækkes</w:t>
      </w:r>
      <w:r>
        <w:rPr>
          <w:spacing w:val="-12"/>
        </w:rPr>
        <w:t> </w:t>
      </w:r>
      <w:r>
        <w:rPr/>
        <w:t>kort</w:t>
      </w:r>
      <w:r>
        <w:rPr>
          <w:spacing w:val="-10"/>
        </w:rPr>
        <w:t> </w:t>
      </w:r>
      <w:r>
        <w:rPr/>
        <w:t>over</w:t>
      </w:r>
      <w:r>
        <w:rPr>
          <w:spacing w:val="-9"/>
        </w:rPr>
        <w:t> </w:t>
      </w:r>
      <w:r>
        <w:rPr/>
        <w:t>dybden</w:t>
      </w:r>
      <w:r>
        <w:rPr>
          <w:spacing w:val="-8"/>
        </w:rPr>
        <w:t> </w:t>
      </w:r>
      <w:r>
        <w:rPr/>
        <w:t>til</w:t>
      </w:r>
      <w:r>
        <w:rPr>
          <w:spacing w:val="-8"/>
        </w:rPr>
        <w:t> </w:t>
      </w:r>
      <w:r>
        <w:rPr/>
        <w:t>terrænnært</w:t>
      </w:r>
      <w:r>
        <w:rPr>
          <w:spacing w:val="-9"/>
        </w:rPr>
        <w:t> </w:t>
      </w:r>
      <w:r>
        <w:rPr/>
        <w:t>grundvand</w:t>
      </w:r>
      <w:r>
        <w:rPr>
          <w:spacing w:val="-8"/>
        </w:rPr>
        <w:t> </w:t>
      </w:r>
      <w:r>
        <w:rPr/>
        <w:t>for</w:t>
      </w:r>
      <w:r>
        <w:rPr>
          <w:spacing w:val="-9"/>
        </w:rPr>
        <w:t> </w:t>
      </w:r>
      <w:r>
        <w:rPr/>
        <w:t>vilkårlige</w:t>
      </w:r>
      <w:r>
        <w:rPr>
          <w:spacing w:val="-8"/>
        </w:rPr>
        <w:t> </w:t>
      </w:r>
      <w:r>
        <w:rPr/>
        <w:t>hændelser,</w:t>
      </w:r>
      <w:r>
        <w:rPr>
          <w:spacing w:val="-10"/>
        </w:rPr>
        <w:t> </w:t>
      </w:r>
      <w:r>
        <w:rPr/>
        <w:t>f.eks.</w:t>
      </w:r>
      <w:r>
        <w:rPr>
          <w:spacing w:val="-8"/>
        </w:rPr>
        <w:t> </w:t>
      </w:r>
      <w:r>
        <w:rPr/>
        <w:t>den</w:t>
      </w:r>
    </w:p>
    <w:p>
      <w:pPr>
        <w:pStyle w:val="BodyText"/>
        <w:spacing w:line="288" w:lineRule="auto"/>
        <w:ind w:left="525" w:right="732"/>
        <w:jc w:val="both"/>
      </w:pPr>
      <w:r>
        <w:rPr/>
        <w:t>9.</w:t>
      </w:r>
      <w:r>
        <w:rPr>
          <w:spacing w:val="-6"/>
        </w:rPr>
        <w:t> </w:t>
      </w:r>
      <w:r>
        <w:rPr/>
        <w:t>og</w:t>
      </w:r>
      <w:r>
        <w:rPr>
          <w:spacing w:val="-3"/>
        </w:rPr>
        <w:t> </w:t>
      </w:r>
      <w:r>
        <w:rPr/>
        <w:t>26.</w:t>
      </w:r>
      <w:r>
        <w:rPr>
          <w:spacing w:val="-5"/>
        </w:rPr>
        <w:t> </w:t>
      </w:r>
      <w:r>
        <w:rPr/>
        <w:t>december</w:t>
      </w:r>
      <w:r>
        <w:rPr>
          <w:spacing w:val="-7"/>
        </w:rPr>
        <w:t> </w:t>
      </w:r>
      <w:r>
        <w:rPr/>
        <w:t>2015</w:t>
      </w:r>
      <w:r>
        <w:rPr>
          <w:spacing w:val="-6"/>
        </w:rPr>
        <w:t> </w:t>
      </w:r>
      <w:r>
        <w:rPr/>
        <w:t>i</w:t>
      </w:r>
      <w:r>
        <w:rPr>
          <w:spacing w:val="-5"/>
        </w:rPr>
        <w:t> </w:t>
      </w:r>
      <w:r>
        <w:rPr/>
        <w:t>Storå</w:t>
      </w:r>
      <w:r>
        <w:rPr>
          <w:spacing w:val="-4"/>
        </w:rPr>
        <w:t> </w:t>
      </w:r>
      <w:r>
        <w:rPr/>
        <w:t>og</w:t>
      </w:r>
      <w:r>
        <w:rPr>
          <w:spacing w:val="-5"/>
        </w:rPr>
        <w:t> </w:t>
      </w:r>
      <w:r>
        <w:rPr/>
        <w:t>Odense</w:t>
      </w:r>
      <w:r>
        <w:rPr>
          <w:spacing w:val="-6"/>
        </w:rPr>
        <w:t> </w:t>
      </w:r>
      <w:r>
        <w:rPr/>
        <w:t>å,</w:t>
      </w:r>
      <w:r>
        <w:rPr>
          <w:spacing w:val="-5"/>
        </w:rPr>
        <w:t> </w:t>
      </w:r>
      <w:r>
        <w:rPr/>
        <w:t>hvor</w:t>
      </w:r>
      <w:r>
        <w:rPr>
          <w:spacing w:val="-8"/>
        </w:rPr>
        <w:t> </w:t>
      </w:r>
      <w:r>
        <w:rPr/>
        <w:t>simulerede</w:t>
      </w:r>
      <w:r>
        <w:rPr>
          <w:spacing w:val="-2"/>
        </w:rPr>
        <w:t> </w:t>
      </w:r>
      <w:r>
        <w:rPr/>
        <w:t>dybder</w:t>
      </w:r>
      <w:r>
        <w:rPr>
          <w:spacing w:val="-4"/>
        </w:rPr>
        <w:t> </w:t>
      </w:r>
      <w:r>
        <w:rPr/>
        <w:t>til</w:t>
      </w:r>
      <w:r>
        <w:rPr>
          <w:spacing w:val="-3"/>
        </w:rPr>
        <w:t> </w:t>
      </w:r>
      <w:r>
        <w:rPr/>
        <w:t>terrænnært</w:t>
      </w:r>
      <w:r>
        <w:rPr>
          <w:spacing w:val="-6"/>
        </w:rPr>
        <w:t> </w:t>
      </w:r>
      <w:r>
        <w:rPr/>
        <w:t>grund- vand</w:t>
      </w:r>
      <w:r>
        <w:rPr>
          <w:spacing w:val="-10"/>
        </w:rPr>
        <w:t> </w:t>
      </w:r>
      <w:r>
        <w:rPr/>
        <w:t>(efter</w:t>
      </w:r>
      <w:r>
        <w:rPr>
          <w:spacing w:val="-11"/>
        </w:rPr>
        <w:t> </w:t>
      </w:r>
      <w:r>
        <w:rPr/>
        <w:t>nedskalering</w:t>
      </w:r>
      <w:r>
        <w:rPr>
          <w:spacing w:val="-9"/>
        </w:rPr>
        <w:t> </w:t>
      </w:r>
      <w:r>
        <w:rPr/>
        <w:t>til</w:t>
      </w:r>
      <w:r>
        <w:rPr>
          <w:spacing w:val="-12"/>
        </w:rPr>
        <w:t> </w:t>
      </w:r>
      <w:r>
        <w:rPr/>
        <w:t>10</w:t>
      </w:r>
      <w:r>
        <w:rPr>
          <w:spacing w:val="-10"/>
        </w:rPr>
        <w:t> </w:t>
      </w:r>
      <w:r>
        <w:rPr/>
        <w:t>m)</w:t>
      </w:r>
      <w:r>
        <w:rPr>
          <w:spacing w:val="-12"/>
        </w:rPr>
        <w:t> </w:t>
      </w:r>
      <w:r>
        <w:rPr/>
        <w:t>kan</w:t>
      </w:r>
      <w:r>
        <w:rPr>
          <w:spacing w:val="-9"/>
        </w:rPr>
        <w:t> </w:t>
      </w:r>
      <w:r>
        <w:rPr/>
        <w:t>sammenlignes</w:t>
      </w:r>
      <w:r>
        <w:rPr>
          <w:spacing w:val="-10"/>
        </w:rPr>
        <w:t> </w:t>
      </w:r>
      <w:r>
        <w:rPr/>
        <w:t>med</w:t>
      </w:r>
      <w:r>
        <w:rPr>
          <w:spacing w:val="-7"/>
        </w:rPr>
        <w:t> </w:t>
      </w:r>
      <w:r>
        <w:rPr/>
        <w:t>fotos</w:t>
      </w:r>
      <w:r>
        <w:rPr>
          <w:spacing w:val="-11"/>
        </w:rPr>
        <w:t> </w:t>
      </w:r>
      <w:r>
        <w:rPr/>
        <w:t>og</w:t>
      </w:r>
      <w:r>
        <w:rPr>
          <w:spacing w:val="-10"/>
        </w:rPr>
        <w:t> </w:t>
      </w:r>
      <w:r>
        <w:rPr/>
        <w:t>satellitdata,</w:t>
      </w:r>
      <w:r>
        <w:rPr>
          <w:spacing w:val="-12"/>
        </w:rPr>
        <w:t> </w:t>
      </w:r>
      <w:r>
        <w:rPr/>
        <w:t>hvorved</w:t>
      </w:r>
      <w:r>
        <w:rPr>
          <w:spacing w:val="-9"/>
        </w:rPr>
        <w:t> </w:t>
      </w:r>
      <w:r>
        <w:rPr/>
        <w:t>risiko for oversvømmelse fra grundvand og vandløb kan</w:t>
      </w:r>
      <w:r>
        <w:rPr>
          <w:spacing w:val="-10"/>
        </w:rPr>
        <w:t> </w:t>
      </w:r>
      <w:r>
        <w:rPr/>
        <w:t>vurderes.</w:t>
      </w:r>
    </w:p>
    <w:p>
      <w:pPr>
        <w:pStyle w:val="BodyText"/>
        <w:spacing w:before="2"/>
        <w:rPr>
          <w:sz w:val="25"/>
        </w:rPr>
      </w:pPr>
    </w:p>
    <w:p>
      <w:pPr>
        <w:pStyle w:val="BodyText"/>
        <w:spacing w:line="288" w:lineRule="auto"/>
        <w:ind w:left="525" w:right="731"/>
        <w:jc w:val="both"/>
      </w:pPr>
      <w:r>
        <w:rPr/>
        <w:t>Udfordringerne med anvendelse af terrænnære grundvandsdata til hydrologisk modellering på</w:t>
      </w:r>
      <w:r>
        <w:rPr>
          <w:spacing w:val="-10"/>
        </w:rPr>
        <w:t> </w:t>
      </w:r>
      <w:r>
        <w:rPr/>
        <w:t>landsdækkende</w:t>
      </w:r>
      <w:r>
        <w:rPr>
          <w:spacing w:val="-10"/>
        </w:rPr>
        <w:t> </w:t>
      </w:r>
      <w:r>
        <w:rPr/>
        <w:t>skala</w:t>
      </w:r>
      <w:r>
        <w:rPr>
          <w:spacing w:val="-12"/>
        </w:rPr>
        <w:t> </w:t>
      </w:r>
      <w:r>
        <w:rPr/>
        <w:t>er</w:t>
      </w:r>
      <w:r>
        <w:rPr>
          <w:spacing w:val="-11"/>
        </w:rPr>
        <w:t> </w:t>
      </w:r>
      <w:r>
        <w:rPr/>
        <w:t>beskrevet</w:t>
      </w:r>
      <w:r>
        <w:rPr>
          <w:spacing w:val="-11"/>
        </w:rPr>
        <w:t> </w:t>
      </w:r>
      <w:r>
        <w:rPr/>
        <w:t>med</w:t>
      </w:r>
      <w:r>
        <w:rPr>
          <w:spacing w:val="-10"/>
        </w:rPr>
        <w:t> </w:t>
      </w:r>
      <w:r>
        <w:rPr/>
        <w:t>en</w:t>
      </w:r>
      <w:r>
        <w:rPr>
          <w:spacing w:val="-9"/>
        </w:rPr>
        <w:t> </w:t>
      </w:r>
      <w:r>
        <w:rPr/>
        <w:t>række</w:t>
      </w:r>
      <w:r>
        <w:rPr>
          <w:spacing w:val="-11"/>
        </w:rPr>
        <w:t> </w:t>
      </w:r>
      <w:r>
        <w:rPr/>
        <w:t>konkrete</w:t>
      </w:r>
      <w:r>
        <w:rPr>
          <w:spacing w:val="-10"/>
        </w:rPr>
        <w:t> </w:t>
      </w:r>
      <w:r>
        <w:rPr/>
        <w:t>analyser</w:t>
      </w:r>
      <w:r>
        <w:rPr>
          <w:spacing w:val="-11"/>
        </w:rPr>
        <w:t> </w:t>
      </w:r>
      <w:r>
        <w:rPr/>
        <w:t>i</w:t>
      </w:r>
      <w:r>
        <w:rPr>
          <w:spacing w:val="-9"/>
        </w:rPr>
        <w:t> </w:t>
      </w:r>
      <w:r>
        <w:rPr/>
        <w:t>de</w:t>
      </w:r>
      <w:r>
        <w:rPr>
          <w:spacing w:val="-10"/>
        </w:rPr>
        <w:t> </w:t>
      </w:r>
      <w:r>
        <w:rPr/>
        <w:t>to</w:t>
      </w:r>
      <w:r>
        <w:rPr>
          <w:spacing w:val="-10"/>
        </w:rPr>
        <w:t> </w:t>
      </w:r>
      <w:r>
        <w:rPr/>
        <w:t>oplande</w:t>
      </w:r>
      <w:r>
        <w:rPr>
          <w:spacing w:val="-10"/>
        </w:rPr>
        <w:t> </w:t>
      </w:r>
      <w:r>
        <w:rPr/>
        <w:t>(mid- delfejlens</w:t>
      </w:r>
      <w:r>
        <w:rPr>
          <w:spacing w:val="-4"/>
        </w:rPr>
        <w:t> </w:t>
      </w:r>
      <w:r>
        <w:rPr/>
        <w:t>dybdeafhængighed,</w:t>
      </w:r>
      <w:r>
        <w:rPr>
          <w:spacing w:val="-4"/>
        </w:rPr>
        <w:t> </w:t>
      </w:r>
      <w:r>
        <w:rPr/>
        <w:t>test</w:t>
      </w:r>
      <w:r>
        <w:rPr>
          <w:spacing w:val="-5"/>
        </w:rPr>
        <w:t> </w:t>
      </w:r>
      <w:r>
        <w:rPr/>
        <w:t>i</w:t>
      </w:r>
      <w:r>
        <w:rPr>
          <w:spacing w:val="-3"/>
        </w:rPr>
        <w:t> </w:t>
      </w:r>
      <w:r>
        <w:rPr/>
        <w:t>forhold</w:t>
      </w:r>
      <w:r>
        <w:rPr>
          <w:spacing w:val="-4"/>
        </w:rPr>
        <w:t> </w:t>
      </w:r>
      <w:r>
        <w:rPr/>
        <w:t>til</w:t>
      </w:r>
      <w:r>
        <w:rPr>
          <w:spacing w:val="-3"/>
        </w:rPr>
        <w:t> </w:t>
      </w:r>
      <w:r>
        <w:rPr/>
        <w:t>digitale</w:t>
      </w:r>
      <w:r>
        <w:rPr>
          <w:spacing w:val="-4"/>
        </w:rPr>
        <w:t> </w:t>
      </w:r>
      <w:r>
        <w:rPr/>
        <w:t>geotekniske</w:t>
      </w:r>
      <w:r>
        <w:rPr>
          <w:spacing w:val="-4"/>
        </w:rPr>
        <w:t> </w:t>
      </w:r>
      <w:r>
        <w:rPr/>
        <w:t>boringer</w:t>
      </w:r>
      <w:r>
        <w:rPr>
          <w:spacing w:val="-4"/>
        </w:rPr>
        <w:t> </w:t>
      </w:r>
      <w:r>
        <w:rPr/>
        <w:t>og</w:t>
      </w:r>
      <w:r>
        <w:rPr>
          <w:spacing w:val="-4"/>
        </w:rPr>
        <w:t> </w:t>
      </w:r>
      <w:r>
        <w:rPr/>
        <w:t>håndtering</w:t>
      </w:r>
      <w:r>
        <w:rPr>
          <w:spacing w:val="-4"/>
        </w:rPr>
        <w:t> </w:t>
      </w:r>
      <w:r>
        <w:rPr/>
        <w:t>af inhomogene datasæt). Endelig er der givet anbefalinger til, hvordan nøjagtigheden kan for- bedres yderligere, f.eks. ved indbygning af mere distribuerede landsdækkende kort over drænbehov, indbygning af ny geologi fra kortlægningsmodeller samt etablering af nye og mere repræsentative pejletidsserier for terrænnært grundvand (så man begrænser</w:t>
      </w:r>
      <w:r>
        <w:rPr>
          <w:spacing w:val="-35"/>
        </w:rPr>
        <w:t> </w:t>
      </w:r>
      <w:r>
        <w:rPr/>
        <w:t>observa- tioner der optræder som ’outliers’, fx hængende</w:t>
      </w:r>
      <w:r>
        <w:rPr>
          <w:spacing w:val="-13"/>
        </w:rPr>
        <w:t> </w:t>
      </w:r>
      <w:r>
        <w:rPr/>
        <w:t>vandspejl).</w:t>
      </w:r>
    </w:p>
    <w:p>
      <w:pPr>
        <w:spacing w:after="0" w:line="288" w:lineRule="auto"/>
        <w:jc w:val="both"/>
        <w:sectPr>
          <w:pgSz w:w="11910" w:h="16850"/>
          <w:pgMar w:header="0" w:footer="857" w:top="1340" w:bottom="1120" w:left="1460" w:right="680"/>
        </w:sectPr>
      </w:pPr>
    </w:p>
    <w:p>
      <w:pPr>
        <w:spacing w:line="288" w:lineRule="auto" w:before="75"/>
        <w:ind w:left="525" w:right="733" w:firstLine="0"/>
        <w:jc w:val="both"/>
        <w:rPr>
          <w:i/>
          <w:sz w:val="21"/>
        </w:rPr>
      </w:pPr>
      <w:r>
        <w:rPr>
          <w:b/>
          <w:i/>
          <w:sz w:val="21"/>
        </w:rPr>
        <w:t>Hypotese H2: Brug af vandstandsdata og bygværker </w:t>
      </w:r>
      <w:r>
        <w:rPr>
          <w:i/>
          <w:sz w:val="21"/>
        </w:rPr>
        <w:t>i DK-modellen muliggør bedre mo- </w:t>
      </w:r>
      <w:r>
        <w:rPr>
          <w:i/>
          <w:sz w:val="21"/>
        </w:rPr>
        <w:t>delberegninger af vandstand i vandløb. Resultaterne er evalueret med brug af uafhængige vandstandsdata.</w:t>
      </w:r>
    </w:p>
    <w:p>
      <w:pPr>
        <w:pStyle w:val="BodyText"/>
        <w:spacing w:before="2"/>
        <w:rPr>
          <w:i/>
          <w:sz w:val="25"/>
        </w:rPr>
      </w:pPr>
    </w:p>
    <w:p>
      <w:pPr>
        <w:pStyle w:val="BodyText"/>
        <w:spacing w:before="1"/>
        <w:ind w:left="525"/>
        <w:jc w:val="both"/>
      </w:pPr>
      <w:r>
        <w:rPr/>
        <w:t>H2 hypotesen vurderes opfyldt.</w:t>
      </w:r>
    </w:p>
    <w:p>
      <w:pPr>
        <w:pStyle w:val="BodyText"/>
        <w:spacing w:before="3"/>
        <w:rPr>
          <w:sz w:val="29"/>
        </w:rPr>
      </w:pPr>
    </w:p>
    <w:p>
      <w:pPr>
        <w:pStyle w:val="BodyText"/>
        <w:spacing w:line="288" w:lineRule="auto"/>
        <w:ind w:left="525" w:right="731"/>
        <w:jc w:val="both"/>
      </w:pPr>
      <w:r>
        <w:rPr/>
        <w:t>Inddragelse</w:t>
      </w:r>
      <w:r>
        <w:rPr>
          <w:spacing w:val="-17"/>
        </w:rPr>
        <w:t> </w:t>
      </w:r>
      <w:r>
        <w:rPr/>
        <w:t>af</w:t>
      </w:r>
      <w:r>
        <w:rPr>
          <w:spacing w:val="-14"/>
        </w:rPr>
        <w:t> </w:t>
      </w:r>
      <w:r>
        <w:rPr/>
        <w:t>nye</w:t>
      </w:r>
      <w:r>
        <w:rPr>
          <w:spacing w:val="-17"/>
        </w:rPr>
        <w:t> </w:t>
      </w:r>
      <w:r>
        <w:rPr/>
        <w:t>fysiske</w:t>
      </w:r>
      <w:r>
        <w:rPr>
          <w:spacing w:val="-16"/>
        </w:rPr>
        <w:t> </w:t>
      </w:r>
      <w:r>
        <w:rPr/>
        <w:t>vandløbsdata</w:t>
      </w:r>
      <w:r>
        <w:rPr>
          <w:spacing w:val="-15"/>
        </w:rPr>
        <w:t> </w:t>
      </w:r>
      <w:r>
        <w:rPr/>
        <w:t>(tværprofiler</w:t>
      </w:r>
      <w:r>
        <w:rPr>
          <w:spacing w:val="-18"/>
        </w:rPr>
        <w:t> </w:t>
      </w:r>
      <w:r>
        <w:rPr/>
        <w:t>og</w:t>
      </w:r>
      <w:r>
        <w:rPr>
          <w:spacing w:val="-15"/>
        </w:rPr>
        <w:t> </w:t>
      </w:r>
      <w:r>
        <w:rPr/>
        <w:t>bygværker)</w:t>
      </w:r>
      <w:r>
        <w:rPr>
          <w:spacing w:val="-18"/>
        </w:rPr>
        <w:t> </w:t>
      </w:r>
      <w:r>
        <w:rPr/>
        <w:t>og</w:t>
      </w:r>
      <w:r>
        <w:rPr>
          <w:spacing w:val="-14"/>
        </w:rPr>
        <w:t> </w:t>
      </w:r>
      <w:r>
        <w:rPr/>
        <w:t>vandstandstidsserier fra hav og vandløb har vist sig særdeles effektive til kalibrering af den hydrodynamiske mo- del.</w:t>
      </w:r>
      <w:r>
        <w:rPr>
          <w:spacing w:val="-17"/>
        </w:rPr>
        <w:t> </w:t>
      </w:r>
      <w:r>
        <w:rPr/>
        <w:t>Herved</w:t>
      </w:r>
      <w:r>
        <w:rPr>
          <w:spacing w:val="-14"/>
        </w:rPr>
        <w:t> </w:t>
      </w:r>
      <w:r>
        <w:rPr/>
        <w:t>er</w:t>
      </w:r>
      <w:r>
        <w:rPr>
          <w:spacing w:val="-15"/>
        </w:rPr>
        <w:t> </w:t>
      </w:r>
      <w:r>
        <w:rPr/>
        <w:t>det</w:t>
      </w:r>
      <w:r>
        <w:rPr>
          <w:spacing w:val="-16"/>
        </w:rPr>
        <w:t> </w:t>
      </w:r>
      <w:r>
        <w:rPr/>
        <w:t>lykkedes</w:t>
      </w:r>
      <w:r>
        <w:rPr>
          <w:spacing w:val="-15"/>
        </w:rPr>
        <w:t> </w:t>
      </w:r>
      <w:r>
        <w:rPr/>
        <w:t>at</w:t>
      </w:r>
      <w:r>
        <w:rPr>
          <w:spacing w:val="-13"/>
        </w:rPr>
        <w:t> </w:t>
      </w:r>
      <w:r>
        <w:rPr/>
        <w:t>videreudvikle</w:t>
      </w:r>
      <w:r>
        <w:rPr>
          <w:spacing w:val="-16"/>
        </w:rPr>
        <w:t> </w:t>
      </w:r>
      <w:r>
        <w:rPr/>
        <w:t>DK-modellen,</w:t>
      </w:r>
      <w:r>
        <w:rPr>
          <w:spacing w:val="-17"/>
        </w:rPr>
        <w:t> </w:t>
      </w:r>
      <w:r>
        <w:rPr/>
        <w:t>så</w:t>
      </w:r>
      <w:r>
        <w:rPr>
          <w:spacing w:val="-15"/>
        </w:rPr>
        <w:t> </w:t>
      </w:r>
      <w:r>
        <w:rPr/>
        <w:t>den</w:t>
      </w:r>
      <w:r>
        <w:rPr>
          <w:spacing w:val="-14"/>
        </w:rPr>
        <w:t> </w:t>
      </w:r>
      <w:r>
        <w:rPr/>
        <w:t>(for</w:t>
      </w:r>
      <w:r>
        <w:rPr>
          <w:spacing w:val="-15"/>
        </w:rPr>
        <w:t> </w:t>
      </w:r>
      <w:r>
        <w:rPr/>
        <w:t>første</w:t>
      </w:r>
      <w:r>
        <w:rPr>
          <w:spacing w:val="-16"/>
        </w:rPr>
        <w:t> </w:t>
      </w:r>
      <w:r>
        <w:rPr/>
        <w:t>gang)</w:t>
      </w:r>
      <w:r>
        <w:rPr>
          <w:spacing w:val="-15"/>
        </w:rPr>
        <w:t> </w:t>
      </w:r>
      <w:r>
        <w:rPr/>
        <w:t>har</w:t>
      </w:r>
      <w:r>
        <w:rPr>
          <w:spacing w:val="-15"/>
        </w:rPr>
        <w:t> </w:t>
      </w:r>
      <w:r>
        <w:rPr/>
        <w:t>kunnet anvendes til vurdering af oversvømmelser fra vandløb og mere detaljeret modellering og nedskalering af dybde til terrænnært</w:t>
      </w:r>
      <w:r>
        <w:rPr>
          <w:spacing w:val="-4"/>
        </w:rPr>
        <w:t> </w:t>
      </w:r>
      <w:r>
        <w:rPr/>
        <w:t>grundvand.</w:t>
      </w:r>
    </w:p>
    <w:p>
      <w:pPr>
        <w:pStyle w:val="BodyText"/>
        <w:spacing w:before="3"/>
        <w:rPr>
          <w:sz w:val="25"/>
        </w:rPr>
      </w:pPr>
    </w:p>
    <w:p>
      <w:pPr>
        <w:pStyle w:val="BodyText"/>
        <w:spacing w:line="288" w:lineRule="auto" w:before="1"/>
        <w:ind w:left="525" w:right="732"/>
        <w:jc w:val="both"/>
      </w:pPr>
      <w:r>
        <w:rPr/>
        <w:t>Den kalibrerede model kan opfylde de krav, der var opstillet af interessenterne forud for ka- libreringen (hvor der til screeningsformål ønskedes en middel nøjagtighed på ca. 20 cm på simuleret vandstand) ved alle de målestationer, hvor der forelå vandstandsobservationer</w:t>
      </w:r>
      <w:r>
        <w:rPr>
          <w:spacing w:val="-35"/>
        </w:rPr>
        <w:t> </w:t>
      </w:r>
      <w:r>
        <w:rPr/>
        <w:t>for kalibreringsperioden.</w:t>
      </w:r>
    </w:p>
    <w:p>
      <w:pPr>
        <w:pStyle w:val="BodyText"/>
        <w:spacing w:before="1"/>
        <w:rPr>
          <w:sz w:val="25"/>
        </w:rPr>
      </w:pPr>
    </w:p>
    <w:p>
      <w:pPr>
        <w:pStyle w:val="BodyText"/>
        <w:spacing w:line="288" w:lineRule="auto"/>
        <w:ind w:left="525" w:right="732"/>
        <w:jc w:val="both"/>
      </w:pPr>
      <w:r>
        <w:rPr/>
        <w:t>Modellen kan dermed på landsdækkende skala modellere ekstrem årsvandføring og vand- stand med rimelig nøjagtighed til screeningsformål.</w:t>
      </w:r>
    </w:p>
    <w:p>
      <w:pPr>
        <w:pStyle w:val="BodyText"/>
        <w:spacing w:before="10"/>
        <w:rPr>
          <w:sz w:val="20"/>
        </w:rPr>
      </w:pPr>
    </w:p>
    <w:p>
      <w:pPr>
        <w:pStyle w:val="ListParagraph"/>
        <w:numPr>
          <w:ilvl w:val="1"/>
          <w:numId w:val="4"/>
        </w:numPr>
        <w:tabs>
          <w:tab w:pos="1142" w:val="left" w:leader="none"/>
        </w:tabs>
        <w:spacing w:line="240" w:lineRule="auto" w:before="0" w:after="0"/>
        <w:ind w:left="1142" w:right="0" w:hanging="617"/>
        <w:jc w:val="both"/>
        <w:rPr>
          <w:b/>
          <w:sz w:val="28"/>
        </w:rPr>
      </w:pPr>
      <w:bookmarkStart w:name="_bookmark6" w:id="12"/>
      <w:bookmarkEnd w:id="12"/>
      <w:r>
        <w:rPr/>
      </w:r>
      <w:bookmarkStart w:name="_bookmark6" w:id="13"/>
      <w:bookmarkEnd w:id="13"/>
      <w:r>
        <w:rPr>
          <w:b/>
          <w:sz w:val="28"/>
        </w:rPr>
        <w:t>Erf</w:t>
      </w:r>
      <w:r>
        <w:rPr>
          <w:b/>
          <w:sz w:val="28"/>
        </w:rPr>
        <w:t>aringer fra</w:t>
      </w:r>
      <w:r>
        <w:rPr>
          <w:b/>
          <w:spacing w:val="-12"/>
          <w:sz w:val="28"/>
        </w:rPr>
        <w:t> </w:t>
      </w:r>
      <w:r>
        <w:rPr>
          <w:b/>
          <w:sz w:val="28"/>
        </w:rPr>
        <w:t>projektarbejdet</w:t>
      </w:r>
    </w:p>
    <w:p>
      <w:pPr>
        <w:pStyle w:val="BodyText"/>
        <w:spacing w:line="288" w:lineRule="auto" w:before="212"/>
        <w:ind w:left="525" w:right="730"/>
        <w:jc w:val="both"/>
      </w:pPr>
      <w:r>
        <w:rPr/>
        <w:t>I nærværende afsnit beskrives erfaringer med indsamling og anvendelse af vandløbsdata, tilpasning og kalibrering af vandløbsmodel, udvikling af eksternt stationært vandløbsmodul, inddragelse af nye terrænnære grundvandsdata (pejlinger), modellering af terrænnært grundvand, modellering af oversvømmelser og brug af 500 m opløsning i modelkalibrering af grundvandsmodel og 100 m opløsning</w:t>
      </w:r>
      <w:r>
        <w:rPr>
          <w:spacing w:val="-4"/>
        </w:rPr>
        <w:t> </w:t>
      </w:r>
      <w:r>
        <w:rPr/>
        <w:t>produktionskørsler.</w:t>
      </w:r>
    </w:p>
    <w:p>
      <w:pPr>
        <w:pStyle w:val="BodyText"/>
        <w:spacing w:before="1"/>
        <w:rPr>
          <w:sz w:val="25"/>
        </w:rPr>
      </w:pPr>
    </w:p>
    <w:p>
      <w:pPr>
        <w:pStyle w:val="Heading5"/>
        <w:spacing w:before="1"/>
        <w:jc w:val="both"/>
        <w:rPr>
          <w:i/>
        </w:rPr>
      </w:pPr>
      <w:r>
        <w:rPr>
          <w:i/>
        </w:rPr>
        <w:t>Erfaringer med indsamling og indbygning af vandløbsdata</w:t>
      </w:r>
    </w:p>
    <w:p>
      <w:pPr>
        <w:pStyle w:val="BodyText"/>
        <w:spacing w:line="276" w:lineRule="auto" w:before="49"/>
        <w:ind w:left="525" w:right="731"/>
        <w:jc w:val="both"/>
      </w:pPr>
      <w:r>
        <w:rPr/>
        <w:t>De opstillede modeller med indbygning af opmålte tværprofiler og bygværker i fuld hydrody- namisk løsning samt vandstandsdata giver en forbedret beskrivelse af vandstand i vandløb i forhold til den eksisterende DK-model. Det har imidlertid vist sig at være et stort arbejde at indbygge detaljerede tværprofiler, bygværker og profiler, og overgangen til en fuld hydrody- namisk løsning med MIKE HYDRO giver en lang beregningstid (meget små tidskridt i vand- løbsmodellen).</w:t>
      </w:r>
      <w:r>
        <w:rPr>
          <w:spacing w:val="-6"/>
        </w:rPr>
        <w:t> </w:t>
      </w:r>
      <w:r>
        <w:rPr/>
        <w:t>Den</w:t>
      </w:r>
      <w:r>
        <w:rPr>
          <w:spacing w:val="-4"/>
        </w:rPr>
        <w:t> </w:t>
      </w:r>
      <w:r>
        <w:rPr/>
        <w:t>lange</w:t>
      </w:r>
      <w:r>
        <w:rPr>
          <w:spacing w:val="-6"/>
        </w:rPr>
        <w:t> </w:t>
      </w:r>
      <w:r>
        <w:rPr/>
        <w:t>beregningstid</w:t>
      </w:r>
      <w:r>
        <w:rPr>
          <w:spacing w:val="-3"/>
        </w:rPr>
        <w:t> </w:t>
      </w:r>
      <w:r>
        <w:rPr/>
        <w:t>er</w:t>
      </w:r>
      <w:r>
        <w:rPr>
          <w:spacing w:val="-4"/>
        </w:rPr>
        <w:t> </w:t>
      </w:r>
      <w:r>
        <w:rPr/>
        <w:t>en</w:t>
      </w:r>
      <w:r>
        <w:rPr>
          <w:spacing w:val="-6"/>
        </w:rPr>
        <w:t> </w:t>
      </w:r>
      <w:r>
        <w:rPr/>
        <w:t>barriere</w:t>
      </w:r>
      <w:r>
        <w:rPr>
          <w:spacing w:val="-4"/>
        </w:rPr>
        <w:t> </w:t>
      </w:r>
      <w:r>
        <w:rPr/>
        <w:t>for</w:t>
      </w:r>
      <w:r>
        <w:rPr>
          <w:spacing w:val="-8"/>
        </w:rPr>
        <w:t> </w:t>
      </w:r>
      <w:r>
        <w:rPr/>
        <w:t>gennemførsel</w:t>
      </w:r>
      <w:r>
        <w:rPr>
          <w:spacing w:val="-3"/>
        </w:rPr>
        <w:t> </w:t>
      </w:r>
      <w:r>
        <w:rPr/>
        <w:t>af</w:t>
      </w:r>
      <w:r>
        <w:rPr>
          <w:spacing w:val="-3"/>
        </w:rPr>
        <w:t> </w:t>
      </w:r>
      <w:r>
        <w:rPr/>
        <w:t>et</w:t>
      </w:r>
      <w:r>
        <w:rPr>
          <w:spacing w:val="-6"/>
        </w:rPr>
        <w:t> </w:t>
      </w:r>
      <w:r>
        <w:rPr/>
        <w:t>stort</w:t>
      </w:r>
      <w:r>
        <w:rPr>
          <w:spacing w:val="-5"/>
        </w:rPr>
        <w:t> </w:t>
      </w:r>
      <w:r>
        <w:rPr/>
        <w:t>antal</w:t>
      </w:r>
      <w:r>
        <w:rPr>
          <w:spacing w:val="-5"/>
        </w:rPr>
        <w:t> </w:t>
      </w:r>
      <w:r>
        <w:rPr/>
        <w:t>mo- delkalibreringer (invers modellering) og landsdækkende fuldt dynamisk vandstandssimule- ring for en årrække (fx</w:t>
      </w:r>
      <w:r>
        <w:rPr>
          <w:spacing w:val="-7"/>
        </w:rPr>
        <w:t> </w:t>
      </w:r>
      <w:r>
        <w:rPr/>
        <w:t>1991-2015).</w:t>
      </w:r>
    </w:p>
    <w:p>
      <w:pPr>
        <w:pStyle w:val="BodyText"/>
        <w:rPr>
          <w:sz w:val="24"/>
        </w:rPr>
      </w:pPr>
    </w:p>
    <w:p>
      <w:pPr>
        <w:pStyle w:val="BodyText"/>
        <w:spacing w:line="276" w:lineRule="auto"/>
        <w:ind w:left="525" w:right="732"/>
        <w:jc w:val="both"/>
      </w:pPr>
      <w:r>
        <w:rPr/>
        <w:t>Stationeringen af vandløb var grundlæggende forskellig, når data fra forskellige kilder skulle kombineres. Kommuner anvender typisk en stationering, der begynder i udløb, mens vand- løbsmodellen (MIKE systemet) tæller den anden vej. Forskellige modeller havde forskellig stationering,</w:t>
      </w:r>
      <w:r>
        <w:rPr>
          <w:spacing w:val="-7"/>
        </w:rPr>
        <w:t> </w:t>
      </w:r>
      <w:r>
        <w:rPr/>
        <w:t>da</w:t>
      </w:r>
      <w:r>
        <w:rPr>
          <w:spacing w:val="-4"/>
        </w:rPr>
        <w:t> </w:t>
      </w:r>
      <w:r>
        <w:rPr/>
        <w:t>stationeringen</w:t>
      </w:r>
      <w:r>
        <w:rPr>
          <w:spacing w:val="-7"/>
        </w:rPr>
        <w:t> </w:t>
      </w:r>
      <w:r>
        <w:rPr/>
        <w:t>afhænger</w:t>
      </w:r>
      <w:r>
        <w:rPr>
          <w:spacing w:val="-5"/>
        </w:rPr>
        <w:t> </w:t>
      </w:r>
      <w:r>
        <w:rPr/>
        <w:t>af</w:t>
      </w:r>
      <w:r>
        <w:rPr>
          <w:spacing w:val="-5"/>
        </w:rPr>
        <w:t> </w:t>
      </w:r>
      <w:r>
        <w:rPr/>
        <w:t>detaljeringsgrad</w:t>
      </w:r>
      <w:r>
        <w:rPr>
          <w:spacing w:val="-5"/>
        </w:rPr>
        <w:t> </w:t>
      </w:r>
      <w:r>
        <w:rPr/>
        <w:t>af</w:t>
      </w:r>
      <w:r>
        <w:rPr>
          <w:spacing w:val="-4"/>
        </w:rPr>
        <w:t> </w:t>
      </w:r>
      <w:r>
        <w:rPr/>
        <w:t>vandløbets</w:t>
      </w:r>
      <w:r>
        <w:rPr>
          <w:spacing w:val="-5"/>
        </w:rPr>
        <w:t> </w:t>
      </w:r>
      <w:r>
        <w:rPr/>
        <w:t>placering</w:t>
      </w:r>
      <w:r>
        <w:rPr>
          <w:spacing w:val="-3"/>
        </w:rPr>
        <w:t> </w:t>
      </w:r>
      <w:r>
        <w:rPr/>
        <w:t>/</w:t>
      </w:r>
      <w:r>
        <w:rPr>
          <w:spacing w:val="-6"/>
        </w:rPr>
        <w:t> </w:t>
      </w:r>
      <w:r>
        <w:rPr/>
        <w:t>digita- lisering</w:t>
      </w:r>
      <w:r>
        <w:rPr>
          <w:spacing w:val="-18"/>
        </w:rPr>
        <w:t> </w:t>
      </w:r>
      <w:r>
        <w:rPr/>
        <w:t>i</w:t>
      </w:r>
      <w:r>
        <w:rPr>
          <w:spacing w:val="-14"/>
        </w:rPr>
        <w:t> </w:t>
      </w:r>
      <w:r>
        <w:rPr/>
        <w:t>xy-planet</w:t>
      </w:r>
      <w:r>
        <w:rPr>
          <w:spacing w:val="-16"/>
        </w:rPr>
        <w:t> </w:t>
      </w:r>
      <w:r>
        <w:rPr/>
        <w:t>(’riverline’).</w:t>
      </w:r>
      <w:r>
        <w:rPr>
          <w:spacing w:val="-16"/>
        </w:rPr>
        <w:t> </w:t>
      </w:r>
      <w:r>
        <w:rPr/>
        <w:t>Dette</w:t>
      </w:r>
      <w:r>
        <w:rPr>
          <w:spacing w:val="-15"/>
        </w:rPr>
        <w:t> </w:t>
      </w:r>
      <w:r>
        <w:rPr/>
        <w:t>har</w:t>
      </w:r>
      <w:r>
        <w:rPr>
          <w:spacing w:val="-17"/>
        </w:rPr>
        <w:t> </w:t>
      </w:r>
      <w:r>
        <w:rPr/>
        <w:t>betydning</w:t>
      </w:r>
      <w:r>
        <w:rPr>
          <w:spacing w:val="-15"/>
        </w:rPr>
        <w:t> </w:t>
      </w:r>
      <w:r>
        <w:rPr/>
        <w:t>både</w:t>
      </w:r>
      <w:r>
        <w:rPr>
          <w:spacing w:val="-17"/>
        </w:rPr>
        <w:t> </w:t>
      </w:r>
      <w:r>
        <w:rPr/>
        <w:t>for</w:t>
      </w:r>
      <w:r>
        <w:rPr>
          <w:spacing w:val="-16"/>
        </w:rPr>
        <w:t> </w:t>
      </w:r>
      <w:r>
        <w:rPr/>
        <w:t>tværsnit,</w:t>
      </w:r>
      <w:r>
        <w:rPr>
          <w:spacing w:val="-15"/>
        </w:rPr>
        <w:t> </w:t>
      </w:r>
      <w:r>
        <w:rPr/>
        <w:t>begrænsende</w:t>
      </w:r>
      <w:r>
        <w:rPr>
          <w:spacing w:val="-15"/>
        </w:rPr>
        <w:t> </w:t>
      </w:r>
      <w:r>
        <w:rPr/>
        <w:t>strukturer (bygværker),</w:t>
      </w:r>
      <w:r>
        <w:rPr>
          <w:spacing w:val="-7"/>
        </w:rPr>
        <w:t> </w:t>
      </w:r>
      <w:r>
        <w:rPr/>
        <w:t>vejunderføringer</w:t>
      </w:r>
      <w:r>
        <w:rPr>
          <w:spacing w:val="-5"/>
        </w:rPr>
        <w:t> </w:t>
      </w:r>
      <w:r>
        <w:rPr/>
        <w:t>og</w:t>
      </w:r>
      <w:r>
        <w:rPr>
          <w:spacing w:val="-5"/>
        </w:rPr>
        <w:t> </w:t>
      </w:r>
      <w:r>
        <w:rPr/>
        <w:t>for</w:t>
      </w:r>
      <w:r>
        <w:rPr>
          <w:spacing w:val="-5"/>
        </w:rPr>
        <w:t> </w:t>
      </w:r>
      <w:r>
        <w:rPr/>
        <w:t>regulerende</w:t>
      </w:r>
      <w:r>
        <w:rPr>
          <w:spacing w:val="-6"/>
        </w:rPr>
        <w:t> </w:t>
      </w:r>
      <w:r>
        <w:rPr/>
        <w:t>bygværker</w:t>
      </w:r>
      <w:r>
        <w:rPr>
          <w:spacing w:val="-6"/>
        </w:rPr>
        <w:t> </w:t>
      </w:r>
      <w:r>
        <w:rPr/>
        <w:t>(overløb).</w:t>
      </w:r>
      <w:r>
        <w:rPr>
          <w:spacing w:val="-8"/>
        </w:rPr>
        <w:t> </w:t>
      </w:r>
      <w:r>
        <w:rPr/>
        <w:t>Også</w:t>
      </w:r>
      <w:r>
        <w:rPr>
          <w:spacing w:val="-5"/>
        </w:rPr>
        <w:t> </w:t>
      </w:r>
      <w:r>
        <w:rPr/>
        <w:t>når</w:t>
      </w:r>
      <w:r>
        <w:rPr>
          <w:spacing w:val="-6"/>
        </w:rPr>
        <w:t> </w:t>
      </w:r>
      <w:r>
        <w:rPr/>
        <w:t>det</w:t>
      </w:r>
      <w:r>
        <w:rPr>
          <w:spacing w:val="-6"/>
        </w:rPr>
        <w:t> </w:t>
      </w:r>
      <w:r>
        <w:rPr/>
        <w:t>gælder udvidelsen af tværprofiler i ådalen ved hjælp af Danmarks Højdemodel gav dette en del ud- fordringer. Brede profiler kunne automatisk udtrækkes vinkelret på vandløbet, men med stærkt</w:t>
      </w:r>
      <w:r>
        <w:rPr>
          <w:spacing w:val="-13"/>
        </w:rPr>
        <w:t> </w:t>
      </w:r>
      <w:r>
        <w:rPr/>
        <w:t>slyngede</w:t>
      </w:r>
      <w:r>
        <w:rPr>
          <w:spacing w:val="-10"/>
        </w:rPr>
        <w:t> </w:t>
      </w:r>
      <w:r>
        <w:rPr/>
        <w:t>vandløb</w:t>
      </w:r>
      <w:r>
        <w:rPr>
          <w:spacing w:val="-12"/>
        </w:rPr>
        <w:t> </w:t>
      </w:r>
      <w:r>
        <w:rPr/>
        <w:t>som</w:t>
      </w:r>
      <w:r>
        <w:rPr>
          <w:spacing w:val="-12"/>
        </w:rPr>
        <w:t> </w:t>
      </w:r>
      <w:r>
        <w:rPr/>
        <w:t>i</w:t>
      </w:r>
      <w:r>
        <w:rPr>
          <w:spacing w:val="-11"/>
        </w:rPr>
        <w:t> </w:t>
      </w:r>
      <w:r>
        <w:rPr/>
        <w:t>Storå</w:t>
      </w:r>
      <w:r>
        <w:rPr>
          <w:spacing w:val="-11"/>
        </w:rPr>
        <w:t> </w:t>
      </w:r>
      <w:r>
        <w:rPr/>
        <w:t>var</w:t>
      </w:r>
      <w:r>
        <w:rPr>
          <w:spacing w:val="-12"/>
        </w:rPr>
        <w:t> </w:t>
      </w:r>
      <w:r>
        <w:rPr/>
        <w:t>det</w:t>
      </w:r>
      <w:r>
        <w:rPr>
          <w:spacing w:val="-12"/>
        </w:rPr>
        <w:t> </w:t>
      </w:r>
      <w:r>
        <w:rPr/>
        <w:t>i</w:t>
      </w:r>
      <w:r>
        <w:rPr>
          <w:spacing w:val="-11"/>
        </w:rPr>
        <w:t> </w:t>
      </w:r>
      <w:r>
        <w:rPr/>
        <w:t>en</w:t>
      </w:r>
      <w:r>
        <w:rPr>
          <w:spacing w:val="-10"/>
        </w:rPr>
        <w:t> </w:t>
      </w:r>
      <w:r>
        <w:rPr/>
        <w:t>del</w:t>
      </w:r>
      <w:r>
        <w:rPr>
          <w:spacing w:val="-11"/>
        </w:rPr>
        <w:t> </w:t>
      </w:r>
      <w:r>
        <w:rPr/>
        <w:t>tilfælde</w:t>
      </w:r>
      <w:r>
        <w:rPr>
          <w:spacing w:val="-10"/>
        </w:rPr>
        <w:t> </w:t>
      </w:r>
      <w:r>
        <w:rPr/>
        <w:t>nødvendigt</w:t>
      </w:r>
      <w:r>
        <w:rPr>
          <w:spacing w:val="-13"/>
        </w:rPr>
        <w:t> </w:t>
      </w:r>
      <w:r>
        <w:rPr/>
        <w:t>at</w:t>
      </w:r>
      <w:r>
        <w:rPr>
          <w:spacing w:val="-12"/>
        </w:rPr>
        <w:t> </w:t>
      </w:r>
      <w:r>
        <w:rPr/>
        <w:t>foretage</w:t>
      </w:r>
      <w:r>
        <w:rPr>
          <w:spacing w:val="-14"/>
        </w:rPr>
        <w:t> </w:t>
      </w:r>
      <w:r>
        <w:rPr/>
        <w:t>manuelle justeringer,</w:t>
      </w:r>
      <w:r>
        <w:rPr>
          <w:spacing w:val="-6"/>
        </w:rPr>
        <w:t> </w:t>
      </w:r>
      <w:r>
        <w:rPr/>
        <w:t>før</w:t>
      </w:r>
      <w:r>
        <w:rPr>
          <w:spacing w:val="-6"/>
        </w:rPr>
        <w:t> </w:t>
      </w:r>
      <w:r>
        <w:rPr/>
        <w:t>der</w:t>
      </w:r>
      <w:r>
        <w:rPr>
          <w:spacing w:val="-6"/>
        </w:rPr>
        <w:t> </w:t>
      </w:r>
      <w:r>
        <w:rPr/>
        <w:t>kunne</w:t>
      </w:r>
      <w:r>
        <w:rPr>
          <w:spacing w:val="-3"/>
        </w:rPr>
        <w:t> </w:t>
      </w:r>
      <w:r>
        <w:rPr/>
        <w:t>tilvejebringes</w:t>
      </w:r>
      <w:r>
        <w:rPr>
          <w:spacing w:val="-4"/>
        </w:rPr>
        <w:t> </w:t>
      </w:r>
      <w:r>
        <w:rPr/>
        <w:t>et</w:t>
      </w:r>
      <w:r>
        <w:rPr>
          <w:spacing w:val="-5"/>
        </w:rPr>
        <w:t> </w:t>
      </w:r>
      <w:r>
        <w:rPr/>
        <w:t>brugbart</w:t>
      </w:r>
      <w:r>
        <w:rPr>
          <w:spacing w:val="-5"/>
        </w:rPr>
        <w:t> </w:t>
      </w:r>
      <w:r>
        <w:rPr/>
        <w:t>vandløbs</w:t>
      </w:r>
      <w:r>
        <w:rPr>
          <w:spacing w:val="-4"/>
        </w:rPr>
        <w:t> </w:t>
      </w:r>
      <w:r>
        <w:rPr/>
        <w:t>model</w:t>
      </w:r>
      <w:r>
        <w:rPr>
          <w:spacing w:val="-5"/>
        </w:rPr>
        <w:t> </w:t>
      </w:r>
      <w:r>
        <w:rPr/>
        <w:t>setup.</w:t>
      </w:r>
      <w:r>
        <w:rPr>
          <w:spacing w:val="-4"/>
        </w:rPr>
        <w:t> </w:t>
      </w:r>
      <w:r>
        <w:rPr/>
        <w:t>Med</w:t>
      </w:r>
      <w:r>
        <w:rPr>
          <w:spacing w:val="-4"/>
        </w:rPr>
        <w:t> </w:t>
      </w:r>
      <w:r>
        <w:rPr/>
        <w:t>støtte</w:t>
      </w:r>
      <w:r>
        <w:rPr>
          <w:spacing w:val="-4"/>
        </w:rPr>
        <w:t> </w:t>
      </w:r>
      <w:r>
        <w:rPr/>
        <w:t>i</w:t>
      </w:r>
      <w:r>
        <w:rPr>
          <w:spacing w:val="-5"/>
        </w:rPr>
        <w:t> </w:t>
      </w:r>
      <w:r>
        <w:rPr/>
        <w:t>fotos</w:t>
      </w:r>
    </w:p>
    <w:p>
      <w:pPr>
        <w:spacing w:after="0" w:line="276" w:lineRule="auto"/>
        <w:jc w:val="both"/>
        <w:sectPr>
          <w:pgSz w:w="11910" w:h="16850"/>
          <w:pgMar w:header="0" w:footer="857" w:top="1340" w:bottom="1120" w:left="1460" w:right="680"/>
        </w:sectPr>
      </w:pPr>
    </w:p>
    <w:p>
      <w:pPr>
        <w:pStyle w:val="BodyText"/>
        <w:spacing w:line="276" w:lineRule="auto" w:before="75"/>
        <w:ind w:left="525" w:right="733"/>
        <w:jc w:val="both"/>
      </w:pPr>
      <w:r>
        <w:rPr/>
        <w:t>af broer lykkedes det at justere ’riverline’ i forhold til Danmarks Højdemodel og stationering, men justeringen indebar samtidig en ekstra usikkerhed på den simulerede vandspejlskote i vandløb.</w:t>
      </w:r>
      <w:r>
        <w:rPr>
          <w:spacing w:val="-12"/>
        </w:rPr>
        <w:t> </w:t>
      </w:r>
      <w:r>
        <w:rPr/>
        <w:t>Der</w:t>
      </w:r>
      <w:r>
        <w:rPr>
          <w:spacing w:val="-11"/>
        </w:rPr>
        <w:t> </w:t>
      </w:r>
      <w:r>
        <w:rPr/>
        <w:t>skal</w:t>
      </w:r>
      <w:r>
        <w:rPr>
          <w:spacing w:val="-10"/>
        </w:rPr>
        <w:t> </w:t>
      </w:r>
      <w:r>
        <w:rPr/>
        <w:t>derfor</w:t>
      </w:r>
      <w:r>
        <w:rPr>
          <w:spacing w:val="-11"/>
        </w:rPr>
        <w:t> </w:t>
      </w:r>
      <w:r>
        <w:rPr/>
        <w:t>indarbejdes</w:t>
      </w:r>
      <w:r>
        <w:rPr>
          <w:spacing w:val="-11"/>
        </w:rPr>
        <w:t> </w:t>
      </w:r>
      <w:r>
        <w:rPr/>
        <w:t>en</w:t>
      </w:r>
      <w:r>
        <w:rPr>
          <w:spacing w:val="-11"/>
        </w:rPr>
        <w:t> </w:t>
      </w:r>
      <w:r>
        <w:rPr/>
        <w:t>ny</w:t>
      </w:r>
      <w:r>
        <w:rPr>
          <w:spacing w:val="-11"/>
        </w:rPr>
        <w:t> </w:t>
      </w:r>
      <w:r>
        <w:rPr/>
        <w:t>’riverline’,</w:t>
      </w:r>
      <w:r>
        <w:rPr>
          <w:spacing w:val="-14"/>
        </w:rPr>
        <w:t> </w:t>
      </w:r>
      <w:r>
        <w:rPr/>
        <w:t>som</w:t>
      </w:r>
      <w:r>
        <w:rPr>
          <w:spacing w:val="-9"/>
        </w:rPr>
        <w:t> </w:t>
      </w:r>
      <w:r>
        <w:rPr/>
        <w:t>er</w:t>
      </w:r>
      <w:r>
        <w:rPr>
          <w:spacing w:val="-11"/>
        </w:rPr>
        <w:t> </w:t>
      </w:r>
      <w:r>
        <w:rPr/>
        <w:t>kompatibel</w:t>
      </w:r>
      <w:r>
        <w:rPr>
          <w:spacing w:val="-12"/>
        </w:rPr>
        <w:t> </w:t>
      </w:r>
      <w:r>
        <w:rPr/>
        <w:t>med</w:t>
      </w:r>
      <w:r>
        <w:rPr>
          <w:spacing w:val="-10"/>
        </w:rPr>
        <w:t> </w:t>
      </w:r>
      <w:r>
        <w:rPr/>
        <w:t>Danmarks</w:t>
      </w:r>
      <w:r>
        <w:rPr>
          <w:spacing w:val="-11"/>
        </w:rPr>
        <w:t> </w:t>
      </w:r>
      <w:r>
        <w:rPr/>
        <w:t>Høj- demodel</w:t>
      </w:r>
      <w:r>
        <w:rPr>
          <w:spacing w:val="-7"/>
        </w:rPr>
        <w:t> </w:t>
      </w:r>
      <w:r>
        <w:rPr/>
        <w:t>lige</w:t>
      </w:r>
      <w:r>
        <w:rPr>
          <w:spacing w:val="-8"/>
        </w:rPr>
        <w:t> </w:t>
      </w:r>
      <w:r>
        <w:rPr/>
        <w:t>fra</w:t>
      </w:r>
      <w:r>
        <w:rPr>
          <w:spacing w:val="-8"/>
        </w:rPr>
        <w:t> </w:t>
      </w:r>
      <w:r>
        <w:rPr/>
        <w:t>starten</w:t>
      </w:r>
      <w:r>
        <w:rPr>
          <w:spacing w:val="-8"/>
        </w:rPr>
        <w:t> </w:t>
      </w:r>
      <w:r>
        <w:rPr/>
        <w:t>i</w:t>
      </w:r>
      <w:r>
        <w:rPr>
          <w:spacing w:val="-8"/>
        </w:rPr>
        <w:t> </w:t>
      </w:r>
      <w:r>
        <w:rPr/>
        <w:t>en</w:t>
      </w:r>
      <w:r>
        <w:rPr>
          <w:spacing w:val="-7"/>
        </w:rPr>
        <w:t> </w:t>
      </w:r>
      <w:r>
        <w:rPr/>
        <w:t>udbygget</w:t>
      </w:r>
      <w:r>
        <w:rPr>
          <w:spacing w:val="-9"/>
        </w:rPr>
        <w:t> </w:t>
      </w:r>
      <w:r>
        <w:rPr/>
        <w:t>DK-model</w:t>
      </w:r>
      <w:r>
        <w:rPr>
          <w:spacing w:val="-7"/>
        </w:rPr>
        <w:t> </w:t>
      </w:r>
      <w:r>
        <w:rPr/>
        <w:t>100</w:t>
      </w:r>
      <w:r>
        <w:rPr>
          <w:spacing w:val="-10"/>
        </w:rPr>
        <w:t> </w:t>
      </w:r>
      <w:r>
        <w:rPr/>
        <w:t>m,</w:t>
      </w:r>
      <w:r>
        <w:rPr>
          <w:spacing w:val="-9"/>
        </w:rPr>
        <w:t> </w:t>
      </w:r>
      <w:r>
        <w:rPr/>
        <w:t>og</w:t>
      </w:r>
      <w:r>
        <w:rPr>
          <w:spacing w:val="-8"/>
        </w:rPr>
        <w:t> </w:t>
      </w:r>
      <w:r>
        <w:rPr/>
        <w:t>der</w:t>
      </w:r>
      <w:r>
        <w:rPr>
          <w:spacing w:val="-8"/>
        </w:rPr>
        <w:t> </w:t>
      </w:r>
      <w:r>
        <w:rPr/>
        <w:t>skal</w:t>
      </w:r>
      <w:r>
        <w:rPr>
          <w:spacing w:val="-7"/>
        </w:rPr>
        <w:t> </w:t>
      </w:r>
      <w:r>
        <w:rPr/>
        <w:t>indlæses</w:t>
      </w:r>
      <w:r>
        <w:rPr>
          <w:spacing w:val="-8"/>
        </w:rPr>
        <w:t> </w:t>
      </w:r>
      <w:r>
        <w:rPr/>
        <w:t>tværprofiler</w:t>
      </w:r>
      <w:r>
        <w:rPr>
          <w:spacing w:val="-9"/>
        </w:rPr>
        <w:t> </w:t>
      </w:r>
      <w:r>
        <w:rPr/>
        <w:t>og bygværker med en stationering, der svarer til den landsdækkende</w:t>
      </w:r>
      <w:r>
        <w:rPr>
          <w:spacing w:val="-18"/>
        </w:rPr>
        <w:t> </w:t>
      </w:r>
      <w:r>
        <w:rPr/>
        <w:t>’riverline’.</w:t>
      </w:r>
    </w:p>
    <w:p>
      <w:pPr>
        <w:pStyle w:val="BodyText"/>
        <w:spacing w:before="2"/>
        <w:rPr>
          <w:sz w:val="25"/>
        </w:rPr>
      </w:pPr>
    </w:p>
    <w:p>
      <w:pPr>
        <w:pStyle w:val="BodyText"/>
        <w:spacing w:line="288" w:lineRule="auto"/>
        <w:ind w:left="525" w:right="730"/>
        <w:jc w:val="both"/>
      </w:pPr>
      <w:r>
        <w:rPr/>
        <w:t>Anvendelse af lokalt forankrede hydrodynamiske vandløbsmodeller kan her give en mere detaljeret</w:t>
      </w:r>
      <w:r>
        <w:rPr>
          <w:spacing w:val="-6"/>
        </w:rPr>
        <w:t> </w:t>
      </w:r>
      <w:r>
        <w:rPr/>
        <w:t>vurdering</w:t>
      </w:r>
      <w:r>
        <w:rPr>
          <w:spacing w:val="-4"/>
        </w:rPr>
        <w:t> </w:t>
      </w:r>
      <w:r>
        <w:rPr/>
        <w:t>af</w:t>
      </w:r>
      <w:r>
        <w:rPr>
          <w:spacing w:val="-3"/>
        </w:rPr>
        <w:t> </w:t>
      </w:r>
      <w:r>
        <w:rPr/>
        <w:t>vandspejl</w:t>
      </w:r>
      <w:r>
        <w:rPr>
          <w:spacing w:val="-3"/>
        </w:rPr>
        <w:t> </w:t>
      </w:r>
      <w:r>
        <w:rPr/>
        <w:t>ned</w:t>
      </w:r>
      <w:r>
        <w:rPr>
          <w:spacing w:val="-4"/>
        </w:rPr>
        <w:t> </w:t>
      </w:r>
      <w:r>
        <w:rPr/>
        <w:t>gennem</w:t>
      </w:r>
      <w:r>
        <w:rPr>
          <w:spacing w:val="-3"/>
        </w:rPr>
        <w:t> </w:t>
      </w:r>
      <w:r>
        <w:rPr/>
        <w:t>vandløbet</w:t>
      </w:r>
      <w:r>
        <w:rPr>
          <w:spacing w:val="-5"/>
        </w:rPr>
        <w:t> </w:t>
      </w:r>
      <w:r>
        <w:rPr/>
        <w:t>under</w:t>
      </w:r>
      <w:r>
        <w:rPr>
          <w:spacing w:val="-5"/>
        </w:rPr>
        <w:t> </w:t>
      </w:r>
      <w:r>
        <w:rPr/>
        <w:t>hensyn</w:t>
      </w:r>
      <w:r>
        <w:rPr>
          <w:spacing w:val="-4"/>
        </w:rPr>
        <w:t> </w:t>
      </w:r>
      <w:r>
        <w:rPr/>
        <w:t>til</w:t>
      </w:r>
      <w:r>
        <w:rPr>
          <w:spacing w:val="-3"/>
        </w:rPr>
        <w:t> </w:t>
      </w:r>
      <w:r>
        <w:rPr/>
        <w:t>detaljerede</w:t>
      </w:r>
      <w:r>
        <w:rPr>
          <w:spacing w:val="-4"/>
        </w:rPr>
        <w:t> </w:t>
      </w:r>
      <w:r>
        <w:rPr/>
        <w:t>fysiske forhold (af samme type som de opstillede MIKE HYDRO river hydrodynamiske modeller for udvalgte strækninger i Odense Å og Storå baseret på opmålte tværprofiler, bygværker, vandstandsdata, kalibrerede Manningtal for delstrækninger m.m). Flow-randbetingelser for de lokale hydrodynamiske vandløbsmodeller kan udtrækkes fra den udbyggede DK-model for et stort antal vandløbspunkter. Et simplere stationært modul (HYMOD) kan evt. bringes i anvendelse</w:t>
      </w:r>
      <w:r>
        <w:rPr>
          <w:spacing w:val="-9"/>
        </w:rPr>
        <w:t> </w:t>
      </w:r>
      <w:r>
        <w:rPr/>
        <w:t>til</w:t>
      </w:r>
      <w:r>
        <w:rPr>
          <w:spacing w:val="-9"/>
        </w:rPr>
        <w:t> </w:t>
      </w:r>
      <w:r>
        <w:rPr/>
        <w:t>landsdækkende</w:t>
      </w:r>
      <w:r>
        <w:rPr>
          <w:spacing w:val="-8"/>
        </w:rPr>
        <w:t> </w:t>
      </w:r>
      <w:r>
        <w:rPr/>
        <w:t>screeningsanalyser</w:t>
      </w:r>
      <w:r>
        <w:rPr>
          <w:spacing w:val="-10"/>
        </w:rPr>
        <w:t> </w:t>
      </w:r>
      <w:r>
        <w:rPr/>
        <w:t>baseret</w:t>
      </w:r>
      <w:r>
        <w:rPr>
          <w:spacing w:val="-9"/>
        </w:rPr>
        <w:t> </w:t>
      </w:r>
      <w:r>
        <w:rPr/>
        <w:t>på</w:t>
      </w:r>
      <w:r>
        <w:rPr>
          <w:spacing w:val="-7"/>
        </w:rPr>
        <w:t> </w:t>
      </w:r>
      <w:r>
        <w:rPr/>
        <w:t>udtræk</w:t>
      </w:r>
      <w:r>
        <w:rPr>
          <w:spacing w:val="-4"/>
        </w:rPr>
        <w:t> </w:t>
      </w:r>
      <w:r>
        <w:rPr/>
        <w:t>af</w:t>
      </w:r>
      <w:r>
        <w:rPr>
          <w:spacing w:val="-8"/>
        </w:rPr>
        <w:t> </w:t>
      </w:r>
      <w:r>
        <w:rPr/>
        <w:t>fysiske</w:t>
      </w:r>
      <w:r>
        <w:rPr>
          <w:spacing w:val="-6"/>
        </w:rPr>
        <w:t> </w:t>
      </w:r>
      <w:r>
        <w:rPr/>
        <w:t>data</w:t>
      </w:r>
      <w:r>
        <w:rPr>
          <w:spacing w:val="-9"/>
        </w:rPr>
        <w:t> </w:t>
      </w:r>
      <w:r>
        <w:rPr/>
        <w:t>fra</w:t>
      </w:r>
      <w:r>
        <w:rPr>
          <w:spacing w:val="-8"/>
        </w:rPr>
        <w:t> </w:t>
      </w:r>
      <w:r>
        <w:rPr/>
        <w:t>den fælles database over fysiske</w:t>
      </w:r>
      <w:r>
        <w:rPr>
          <w:spacing w:val="-6"/>
        </w:rPr>
        <w:t> </w:t>
      </w:r>
      <w:r>
        <w:rPr/>
        <w:t>vandløbsdata.</w:t>
      </w:r>
    </w:p>
    <w:p>
      <w:pPr>
        <w:pStyle w:val="BodyText"/>
        <w:spacing w:before="1"/>
        <w:rPr>
          <w:sz w:val="24"/>
        </w:rPr>
      </w:pPr>
    </w:p>
    <w:p>
      <w:pPr>
        <w:pStyle w:val="BodyText"/>
        <w:spacing w:line="276" w:lineRule="auto"/>
        <w:ind w:left="525" w:right="734"/>
        <w:jc w:val="both"/>
      </w:pPr>
      <w:r>
        <w:rPr/>
        <w:t>Dataindsamlingen</w:t>
      </w:r>
      <w:r>
        <w:rPr>
          <w:spacing w:val="-7"/>
        </w:rPr>
        <w:t> </w:t>
      </w:r>
      <w:r>
        <w:rPr/>
        <w:t>er</w:t>
      </w:r>
      <w:r>
        <w:rPr>
          <w:spacing w:val="-7"/>
        </w:rPr>
        <w:t> </w:t>
      </w:r>
      <w:r>
        <w:rPr/>
        <w:t>ret</w:t>
      </w:r>
      <w:r>
        <w:rPr>
          <w:spacing w:val="-7"/>
        </w:rPr>
        <w:t> </w:t>
      </w:r>
      <w:r>
        <w:rPr/>
        <w:t>tidskrævende</w:t>
      </w:r>
      <w:r>
        <w:rPr>
          <w:spacing w:val="-10"/>
        </w:rPr>
        <w:t> </w:t>
      </w:r>
      <w:r>
        <w:rPr/>
        <w:t>med</w:t>
      </w:r>
      <w:r>
        <w:rPr>
          <w:spacing w:val="-8"/>
        </w:rPr>
        <w:t> </w:t>
      </w:r>
      <w:r>
        <w:rPr/>
        <w:t>mange</w:t>
      </w:r>
      <w:r>
        <w:rPr>
          <w:spacing w:val="-9"/>
        </w:rPr>
        <w:t> </w:t>
      </w:r>
      <w:r>
        <w:rPr/>
        <w:t>forskellige</w:t>
      </w:r>
      <w:r>
        <w:rPr>
          <w:spacing w:val="-8"/>
        </w:rPr>
        <w:t> </w:t>
      </w:r>
      <w:r>
        <w:rPr/>
        <w:t>datakilder.</w:t>
      </w:r>
      <w:r>
        <w:rPr>
          <w:spacing w:val="-7"/>
        </w:rPr>
        <w:t> </w:t>
      </w:r>
      <w:r>
        <w:rPr/>
        <w:t>Specielt</w:t>
      </w:r>
      <w:r>
        <w:rPr>
          <w:spacing w:val="-9"/>
        </w:rPr>
        <w:t> </w:t>
      </w:r>
      <w:r>
        <w:rPr/>
        <w:t>i</w:t>
      </w:r>
      <w:r>
        <w:rPr>
          <w:spacing w:val="-8"/>
        </w:rPr>
        <w:t> </w:t>
      </w:r>
      <w:r>
        <w:rPr/>
        <w:t>forhold</w:t>
      </w:r>
      <w:r>
        <w:rPr>
          <w:spacing w:val="-7"/>
        </w:rPr>
        <w:t> </w:t>
      </w:r>
      <w:r>
        <w:rPr>
          <w:spacing w:val="-2"/>
        </w:rPr>
        <w:t>til </w:t>
      </w:r>
      <w:r>
        <w:rPr/>
        <w:t>tidsseriedata er der en udfordring i, at både Kommuner, Miljøstyrelsen, Kystdirektoratet og Danmarks Meteorologiske Institut er dataejere, der skal kontaktes individuelt for at frem- skaffe data. Desuden leveres data i mange forskellige formater, og i forhold til vandstand, der ikke er kote</w:t>
      </w:r>
      <w:r>
        <w:rPr>
          <w:spacing w:val="-6"/>
        </w:rPr>
        <w:t> </w:t>
      </w:r>
      <w:r>
        <w:rPr/>
        <w:t>fastsat.</w:t>
      </w:r>
    </w:p>
    <w:p>
      <w:pPr>
        <w:pStyle w:val="BodyText"/>
        <w:spacing w:before="4"/>
        <w:rPr>
          <w:sz w:val="25"/>
        </w:rPr>
      </w:pPr>
    </w:p>
    <w:p>
      <w:pPr>
        <w:pStyle w:val="Heading5"/>
        <w:jc w:val="both"/>
        <w:rPr>
          <w:i/>
        </w:rPr>
      </w:pPr>
      <w:r>
        <w:rPr>
          <w:i/>
        </w:rPr>
        <w:t>Erfaringer med og kalibrering og validering af vandløbsmodel</w:t>
      </w:r>
    </w:p>
    <w:p>
      <w:pPr>
        <w:pStyle w:val="BodyText"/>
        <w:spacing w:line="288" w:lineRule="auto" w:before="49"/>
        <w:ind w:left="525" w:right="730"/>
        <w:jc w:val="both"/>
      </w:pPr>
      <w:r>
        <w:rPr/>
        <w:t>Kalibrering</w:t>
      </w:r>
      <w:r>
        <w:rPr>
          <w:spacing w:val="-5"/>
        </w:rPr>
        <w:t> </w:t>
      </w:r>
      <w:r>
        <w:rPr/>
        <w:t>specifikt</w:t>
      </w:r>
      <w:r>
        <w:rPr>
          <w:spacing w:val="-8"/>
        </w:rPr>
        <w:t> </w:t>
      </w:r>
      <w:r>
        <w:rPr/>
        <w:t>mod</w:t>
      </w:r>
      <w:r>
        <w:rPr>
          <w:spacing w:val="-4"/>
        </w:rPr>
        <w:t> </w:t>
      </w:r>
      <w:r>
        <w:rPr/>
        <w:t>vandstand</w:t>
      </w:r>
      <w:r>
        <w:rPr>
          <w:spacing w:val="-4"/>
        </w:rPr>
        <w:t> </w:t>
      </w:r>
      <w:r>
        <w:rPr/>
        <w:t>har</w:t>
      </w:r>
      <w:r>
        <w:rPr>
          <w:spacing w:val="-5"/>
        </w:rPr>
        <w:t> </w:t>
      </w:r>
      <w:r>
        <w:rPr/>
        <w:t>givet</w:t>
      </w:r>
      <w:r>
        <w:rPr>
          <w:spacing w:val="-6"/>
        </w:rPr>
        <w:t> </w:t>
      </w:r>
      <w:r>
        <w:rPr/>
        <w:t>en</w:t>
      </w:r>
      <w:r>
        <w:rPr>
          <w:spacing w:val="-4"/>
        </w:rPr>
        <w:t> </w:t>
      </w:r>
      <w:r>
        <w:rPr/>
        <w:t>rimelig</w:t>
      </w:r>
      <w:r>
        <w:rPr>
          <w:spacing w:val="-2"/>
        </w:rPr>
        <w:t> </w:t>
      </w:r>
      <w:r>
        <w:rPr/>
        <w:t>nøjagtighed</w:t>
      </w:r>
      <w:r>
        <w:rPr>
          <w:spacing w:val="-3"/>
        </w:rPr>
        <w:t> </w:t>
      </w:r>
      <w:r>
        <w:rPr/>
        <w:t>på</w:t>
      </w:r>
      <w:r>
        <w:rPr>
          <w:spacing w:val="-4"/>
        </w:rPr>
        <w:t> </w:t>
      </w:r>
      <w:r>
        <w:rPr/>
        <w:t>simuleret</w:t>
      </w:r>
      <w:r>
        <w:rPr>
          <w:spacing w:val="-6"/>
        </w:rPr>
        <w:t> </w:t>
      </w:r>
      <w:r>
        <w:rPr/>
        <w:t>vandstand i vandløb for kalibreringsperioden og de stationer, der har indgået i kalibreringen (RMSE svarende til 20 cm), og med en lovende parameterisering af Manningtallet baseret på </w:t>
      </w:r>
      <w:r>
        <w:rPr>
          <w:spacing w:val="-3"/>
        </w:rPr>
        <w:t>en </w:t>
      </w:r>
      <w:r>
        <w:rPr/>
        <w:t>simpel</w:t>
      </w:r>
      <w:r>
        <w:rPr>
          <w:spacing w:val="-3"/>
        </w:rPr>
        <w:t> </w:t>
      </w:r>
      <w:r>
        <w:rPr/>
        <w:t>2-parameter</w:t>
      </w:r>
      <w:r>
        <w:rPr>
          <w:spacing w:val="-4"/>
        </w:rPr>
        <w:t> </w:t>
      </w:r>
      <w:r>
        <w:rPr/>
        <w:t>’sinus</w:t>
      </w:r>
      <w:r>
        <w:rPr>
          <w:spacing w:val="-6"/>
        </w:rPr>
        <w:t> </w:t>
      </w:r>
      <w:r>
        <w:rPr/>
        <w:t>beskrivelse’.</w:t>
      </w:r>
      <w:r>
        <w:rPr>
          <w:spacing w:val="-6"/>
        </w:rPr>
        <w:t> </w:t>
      </w:r>
      <w:r>
        <w:rPr/>
        <w:t>Resultater</w:t>
      </w:r>
      <w:r>
        <w:rPr>
          <w:spacing w:val="-4"/>
        </w:rPr>
        <w:t> </w:t>
      </w:r>
      <w:r>
        <w:rPr/>
        <w:t>for</w:t>
      </w:r>
      <w:r>
        <w:rPr>
          <w:spacing w:val="-4"/>
        </w:rPr>
        <w:t> </w:t>
      </w:r>
      <w:r>
        <w:rPr/>
        <w:t>valideringstests</w:t>
      </w:r>
      <w:r>
        <w:rPr>
          <w:spacing w:val="-4"/>
        </w:rPr>
        <w:t> </w:t>
      </w:r>
      <w:r>
        <w:rPr/>
        <w:t>har</w:t>
      </w:r>
      <w:r>
        <w:rPr>
          <w:spacing w:val="-4"/>
        </w:rPr>
        <w:t> </w:t>
      </w:r>
      <w:r>
        <w:rPr/>
        <w:t>vist,</w:t>
      </w:r>
      <w:r>
        <w:rPr>
          <w:spacing w:val="-2"/>
        </w:rPr>
        <w:t> </w:t>
      </w:r>
      <w:r>
        <w:rPr/>
        <w:t>at</w:t>
      </w:r>
      <w:r>
        <w:rPr>
          <w:spacing w:val="-5"/>
        </w:rPr>
        <w:t> </w:t>
      </w:r>
      <w:r>
        <w:rPr/>
        <w:t>det</w:t>
      </w:r>
      <w:r>
        <w:rPr>
          <w:spacing w:val="-5"/>
        </w:rPr>
        <w:t> </w:t>
      </w:r>
      <w:r>
        <w:rPr/>
        <w:t>er</w:t>
      </w:r>
      <w:r>
        <w:rPr>
          <w:spacing w:val="-5"/>
        </w:rPr>
        <w:t> </w:t>
      </w:r>
      <w:r>
        <w:rPr/>
        <w:t>van- skeligt at opfylde det ønskede krav på ca. 20 cm for mere ekstreme hændelser. I nogle til- fælde skyldtes det afvigelser i simulering af maksimale vandføringer (fx i valideringsperio- den).</w:t>
      </w:r>
      <w:r>
        <w:rPr>
          <w:spacing w:val="-11"/>
        </w:rPr>
        <w:t> </w:t>
      </w:r>
      <w:r>
        <w:rPr/>
        <w:t>I</w:t>
      </w:r>
      <w:r>
        <w:rPr>
          <w:spacing w:val="-10"/>
        </w:rPr>
        <w:t> </w:t>
      </w:r>
      <w:r>
        <w:rPr/>
        <w:t>andre</w:t>
      </w:r>
      <w:r>
        <w:rPr>
          <w:spacing w:val="-10"/>
        </w:rPr>
        <w:t> </w:t>
      </w:r>
      <w:r>
        <w:rPr/>
        <w:t>tilfælde</w:t>
      </w:r>
      <w:r>
        <w:rPr>
          <w:spacing w:val="-9"/>
        </w:rPr>
        <w:t> </w:t>
      </w:r>
      <w:r>
        <w:rPr/>
        <w:t>skyldes</w:t>
      </w:r>
      <w:r>
        <w:rPr>
          <w:spacing w:val="-9"/>
        </w:rPr>
        <w:t> </w:t>
      </w:r>
      <w:r>
        <w:rPr/>
        <w:t>det,</w:t>
      </w:r>
      <w:r>
        <w:rPr>
          <w:spacing w:val="-10"/>
        </w:rPr>
        <w:t> </w:t>
      </w:r>
      <w:r>
        <w:rPr/>
        <w:t>at</w:t>
      </w:r>
      <w:r>
        <w:rPr>
          <w:spacing w:val="-10"/>
        </w:rPr>
        <w:t> </w:t>
      </w:r>
      <w:r>
        <w:rPr/>
        <w:t>den</w:t>
      </w:r>
      <w:r>
        <w:rPr>
          <w:spacing w:val="-8"/>
        </w:rPr>
        <w:t> </w:t>
      </w:r>
      <w:r>
        <w:rPr/>
        <w:t>simple</w:t>
      </w:r>
      <w:r>
        <w:rPr>
          <w:spacing w:val="-9"/>
        </w:rPr>
        <w:t> </w:t>
      </w:r>
      <w:r>
        <w:rPr/>
        <w:t>2-parameter</w:t>
      </w:r>
      <w:r>
        <w:rPr>
          <w:spacing w:val="-12"/>
        </w:rPr>
        <w:t> </w:t>
      </w:r>
      <w:r>
        <w:rPr/>
        <w:t>kalibrering</w:t>
      </w:r>
      <w:r>
        <w:rPr>
          <w:spacing w:val="-9"/>
        </w:rPr>
        <w:t> </w:t>
      </w:r>
      <w:r>
        <w:rPr/>
        <w:t>af</w:t>
      </w:r>
      <w:r>
        <w:rPr>
          <w:spacing w:val="-8"/>
        </w:rPr>
        <w:t> </w:t>
      </w:r>
      <w:r>
        <w:rPr/>
        <w:t>Manningtallet</w:t>
      </w:r>
      <w:r>
        <w:rPr>
          <w:spacing w:val="-9"/>
        </w:rPr>
        <w:t> </w:t>
      </w:r>
      <w:r>
        <w:rPr/>
        <w:t>ikke var præcis</w:t>
      </w:r>
      <w:r>
        <w:rPr>
          <w:spacing w:val="-3"/>
        </w:rPr>
        <w:t> </w:t>
      </w:r>
      <w:r>
        <w:rPr/>
        <w:t>nok.</w:t>
      </w:r>
    </w:p>
    <w:p>
      <w:pPr>
        <w:pStyle w:val="BodyText"/>
        <w:spacing w:before="1"/>
        <w:rPr>
          <w:sz w:val="25"/>
        </w:rPr>
      </w:pPr>
    </w:p>
    <w:p>
      <w:pPr>
        <w:pStyle w:val="BodyText"/>
        <w:spacing w:line="288" w:lineRule="auto"/>
        <w:ind w:left="525" w:right="729"/>
        <w:jc w:val="both"/>
      </w:pPr>
      <w:r>
        <w:rPr/>
        <w:t>Der er en overraskende god nøjagtighed på simuleret vandstand også med den simple vandstandsmodellering</w:t>
      </w:r>
      <w:r>
        <w:rPr>
          <w:spacing w:val="-7"/>
        </w:rPr>
        <w:t> </w:t>
      </w:r>
      <w:r>
        <w:rPr/>
        <w:t>(’routing’),</w:t>
      </w:r>
      <w:r>
        <w:rPr>
          <w:spacing w:val="-8"/>
        </w:rPr>
        <w:t> </w:t>
      </w:r>
      <w:r>
        <w:rPr/>
        <w:t>der</w:t>
      </w:r>
      <w:r>
        <w:rPr>
          <w:spacing w:val="-10"/>
        </w:rPr>
        <w:t> </w:t>
      </w:r>
      <w:r>
        <w:rPr/>
        <w:t>har</w:t>
      </w:r>
      <w:r>
        <w:rPr>
          <w:spacing w:val="-7"/>
        </w:rPr>
        <w:t> </w:t>
      </w:r>
      <w:r>
        <w:rPr/>
        <w:t>været</w:t>
      </w:r>
      <w:r>
        <w:rPr>
          <w:spacing w:val="-8"/>
        </w:rPr>
        <w:t> </w:t>
      </w:r>
      <w:r>
        <w:rPr/>
        <w:t>anvendt</w:t>
      </w:r>
      <w:r>
        <w:rPr>
          <w:spacing w:val="-8"/>
        </w:rPr>
        <w:t> </w:t>
      </w:r>
      <w:r>
        <w:rPr/>
        <w:t>i</w:t>
      </w:r>
      <w:r>
        <w:rPr>
          <w:spacing w:val="-9"/>
        </w:rPr>
        <w:t> </w:t>
      </w:r>
      <w:r>
        <w:rPr/>
        <w:t>DK-modellen</w:t>
      </w:r>
      <w:r>
        <w:rPr>
          <w:spacing w:val="-7"/>
        </w:rPr>
        <w:t> </w:t>
      </w:r>
      <w:r>
        <w:rPr/>
        <w:t>ved</w:t>
      </w:r>
      <w:r>
        <w:rPr>
          <w:spacing w:val="-7"/>
        </w:rPr>
        <w:t> </w:t>
      </w:r>
      <w:r>
        <w:rPr/>
        <w:t>vandføringssta- tioner. Det skyldes formentlig, at vandføringsstationer typisk er beliggende på strækninger med naturlig dybde, og ikke på strækninger med opstuvning fra hav eller bygværker. Her </w:t>
      </w:r>
      <w:r>
        <w:rPr>
          <w:spacing w:val="-3"/>
        </w:rPr>
        <w:t>vil </w:t>
      </w:r>
      <w:r>
        <w:rPr/>
        <w:t>opstuvning gøre simuleringen unøjagtig, og det er samtidig de strækninger hvor risikoen for oversvømmelse fra vandløb med udbredelse i terræn er størst. Det er derfor nødvendigt at anvende</w:t>
      </w:r>
      <w:r>
        <w:rPr>
          <w:spacing w:val="-15"/>
        </w:rPr>
        <w:t> </w:t>
      </w:r>
      <w:r>
        <w:rPr/>
        <w:t>enten</w:t>
      </w:r>
      <w:r>
        <w:rPr>
          <w:spacing w:val="-15"/>
        </w:rPr>
        <w:t> </w:t>
      </w:r>
      <w:r>
        <w:rPr/>
        <w:t>en</w:t>
      </w:r>
      <w:r>
        <w:rPr>
          <w:spacing w:val="-14"/>
        </w:rPr>
        <w:t> </w:t>
      </w:r>
      <w:r>
        <w:rPr/>
        <w:t>hydrodynamisk</w:t>
      </w:r>
      <w:r>
        <w:rPr>
          <w:spacing w:val="-13"/>
        </w:rPr>
        <w:t> </w:t>
      </w:r>
      <w:r>
        <w:rPr/>
        <w:t>løsning</w:t>
      </w:r>
      <w:r>
        <w:rPr>
          <w:spacing w:val="-14"/>
        </w:rPr>
        <w:t> </w:t>
      </w:r>
      <w:r>
        <w:rPr/>
        <w:t>eller</w:t>
      </w:r>
      <w:r>
        <w:rPr>
          <w:spacing w:val="-14"/>
        </w:rPr>
        <w:t> </w:t>
      </w:r>
      <w:r>
        <w:rPr/>
        <w:t>det</w:t>
      </w:r>
      <w:r>
        <w:rPr>
          <w:spacing w:val="-15"/>
        </w:rPr>
        <w:t> </w:t>
      </w:r>
      <w:r>
        <w:rPr/>
        <w:t>udviklede</w:t>
      </w:r>
      <w:r>
        <w:rPr>
          <w:spacing w:val="-15"/>
        </w:rPr>
        <w:t> </w:t>
      </w:r>
      <w:r>
        <w:rPr/>
        <w:t>eksterne</w:t>
      </w:r>
      <w:r>
        <w:rPr>
          <w:spacing w:val="-14"/>
        </w:rPr>
        <w:t> </w:t>
      </w:r>
      <w:r>
        <w:rPr/>
        <w:t>vandstandsmodul,</w:t>
      </w:r>
      <w:r>
        <w:rPr>
          <w:spacing w:val="-16"/>
        </w:rPr>
        <w:t> </w:t>
      </w:r>
      <w:r>
        <w:rPr/>
        <w:t>der inkluderer</w:t>
      </w:r>
      <w:r>
        <w:rPr>
          <w:spacing w:val="-8"/>
        </w:rPr>
        <w:t> </w:t>
      </w:r>
      <w:r>
        <w:rPr/>
        <w:t>opstuvning</w:t>
      </w:r>
      <w:r>
        <w:rPr>
          <w:spacing w:val="-6"/>
        </w:rPr>
        <w:t> </w:t>
      </w:r>
      <w:r>
        <w:rPr/>
        <w:t>i</w:t>
      </w:r>
      <w:r>
        <w:rPr>
          <w:spacing w:val="-9"/>
        </w:rPr>
        <w:t> </w:t>
      </w:r>
      <w:r>
        <w:rPr/>
        <w:t>beregningen.</w:t>
      </w:r>
      <w:r>
        <w:rPr>
          <w:spacing w:val="-9"/>
        </w:rPr>
        <w:t> </w:t>
      </w:r>
      <w:r>
        <w:rPr/>
        <w:t>Der</w:t>
      </w:r>
      <w:r>
        <w:rPr>
          <w:spacing w:val="-9"/>
        </w:rPr>
        <w:t> </w:t>
      </w:r>
      <w:r>
        <w:rPr/>
        <w:t>forelå</w:t>
      </w:r>
      <w:r>
        <w:rPr>
          <w:spacing w:val="-9"/>
        </w:rPr>
        <w:t> </w:t>
      </w:r>
      <w:r>
        <w:rPr/>
        <w:t>kun</w:t>
      </w:r>
      <w:r>
        <w:rPr>
          <w:spacing w:val="-6"/>
        </w:rPr>
        <w:t> </w:t>
      </w:r>
      <w:r>
        <w:rPr/>
        <w:t>data</w:t>
      </w:r>
      <w:r>
        <w:rPr>
          <w:spacing w:val="-6"/>
        </w:rPr>
        <w:t> </w:t>
      </w:r>
      <w:r>
        <w:rPr/>
        <w:t>fra</w:t>
      </w:r>
      <w:r>
        <w:rPr>
          <w:spacing w:val="-7"/>
        </w:rPr>
        <w:t> </w:t>
      </w:r>
      <w:r>
        <w:rPr/>
        <w:t>relativt</w:t>
      </w:r>
      <w:r>
        <w:rPr>
          <w:spacing w:val="-7"/>
        </w:rPr>
        <w:t> </w:t>
      </w:r>
      <w:r>
        <w:rPr/>
        <w:t>få</w:t>
      </w:r>
      <w:r>
        <w:rPr>
          <w:spacing w:val="-8"/>
        </w:rPr>
        <w:t> </w:t>
      </w:r>
      <w:r>
        <w:rPr/>
        <w:t>målestationer,</w:t>
      </w:r>
      <w:r>
        <w:rPr>
          <w:spacing w:val="-8"/>
        </w:rPr>
        <w:t> </w:t>
      </w:r>
      <w:r>
        <w:rPr/>
        <w:t>og</w:t>
      </w:r>
      <w:r>
        <w:rPr>
          <w:spacing w:val="-8"/>
        </w:rPr>
        <w:t> </w:t>
      </w:r>
      <w:r>
        <w:rPr/>
        <w:t>data skulle hentes fra forskellige</w:t>
      </w:r>
      <w:r>
        <w:rPr>
          <w:spacing w:val="-8"/>
        </w:rPr>
        <w:t> </w:t>
      </w:r>
      <w:r>
        <w:rPr/>
        <w:t>kilder.</w:t>
      </w:r>
    </w:p>
    <w:p>
      <w:pPr>
        <w:pStyle w:val="BodyText"/>
        <w:spacing w:before="4"/>
        <w:rPr>
          <w:sz w:val="25"/>
        </w:rPr>
      </w:pPr>
    </w:p>
    <w:p>
      <w:pPr>
        <w:pStyle w:val="BodyText"/>
        <w:spacing w:line="285" w:lineRule="auto" w:before="1"/>
        <w:ind w:left="525" w:right="732"/>
        <w:jc w:val="both"/>
      </w:pPr>
      <w:r>
        <w:rPr/>
        <w:t>En bedre samlet oversigt på et sted over tilgængelige vandstandsdata fra vandløb, kunne have lettet arbejdet med indsamling af data fra de mange forskellige kilder.</w:t>
      </w:r>
    </w:p>
    <w:p>
      <w:pPr>
        <w:spacing w:after="0" w:line="285" w:lineRule="auto"/>
        <w:jc w:val="both"/>
        <w:sectPr>
          <w:pgSz w:w="11910" w:h="16850"/>
          <w:pgMar w:header="0" w:footer="857" w:top="1340" w:bottom="1120" w:left="1460" w:right="680"/>
        </w:sectPr>
      </w:pPr>
    </w:p>
    <w:p>
      <w:pPr>
        <w:pStyle w:val="Heading5"/>
        <w:spacing w:before="75"/>
        <w:rPr>
          <w:i/>
        </w:rPr>
      </w:pPr>
      <w:r>
        <w:rPr>
          <w:i/>
        </w:rPr>
        <w:t>Erfaringer med udvikling af eksternt stationært vandstandsmodul</w:t>
      </w:r>
    </w:p>
    <w:p>
      <w:pPr>
        <w:pStyle w:val="BodyText"/>
        <w:spacing w:line="288" w:lineRule="auto" w:before="49"/>
        <w:ind w:left="525" w:right="730"/>
        <w:jc w:val="both"/>
      </w:pPr>
      <w:r>
        <w:rPr/>
        <w:t>Det</w:t>
      </w:r>
      <w:r>
        <w:rPr>
          <w:spacing w:val="-8"/>
        </w:rPr>
        <w:t> </w:t>
      </w:r>
      <w:r>
        <w:rPr/>
        <w:t>eksterne</w:t>
      </w:r>
      <w:r>
        <w:rPr>
          <w:spacing w:val="-7"/>
        </w:rPr>
        <w:t> </w:t>
      </w:r>
      <w:r>
        <w:rPr/>
        <w:t>vandstandsmodul</w:t>
      </w:r>
      <w:r>
        <w:rPr>
          <w:spacing w:val="-6"/>
        </w:rPr>
        <w:t> </w:t>
      </w:r>
      <w:r>
        <w:rPr/>
        <w:t>(HYMOD</w:t>
      </w:r>
      <w:r>
        <w:rPr>
          <w:spacing w:val="-6"/>
        </w:rPr>
        <w:t> </w:t>
      </w:r>
      <w:r>
        <w:rPr/>
        <w:t>udviklet</w:t>
      </w:r>
      <w:r>
        <w:rPr>
          <w:spacing w:val="-8"/>
        </w:rPr>
        <w:t> </w:t>
      </w:r>
      <w:r>
        <w:rPr/>
        <w:t>af</w:t>
      </w:r>
      <w:r>
        <w:rPr>
          <w:spacing w:val="-3"/>
        </w:rPr>
        <w:t> </w:t>
      </w:r>
      <w:r>
        <w:rPr/>
        <w:t>HYDROINFORM),</w:t>
      </w:r>
      <w:r>
        <w:rPr>
          <w:spacing w:val="-8"/>
        </w:rPr>
        <w:t> </w:t>
      </w:r>
      <w:r>
        <w:rPr/>
        <w:t>giver</w:t>
      </w:r>
      <w:r>
        <w:rPr>
          <w:spacing w:val="-5"/>
        </w:rPr>
        <w:t> </w:t>
      </w:r>
      <w:r>
        <w:rPr/>
        <w:t>mulighed</w:t>
      </w:r>
      <w:r>
        <w:rPr>
          <w:spacing w:val="-6"/>
        </w:rPr>
        <w:t> </w:t>
      </w:r>
      <w:r>
        <w:rPr/>
        <w:t>for</w:t>
      </w:r>
      <w:r>
        <w:rPr>
          <w:spacing w:val="-8"/>
        </w:rPr>
        <w:t> </w:t>
      </w:r>
      <w:r>
        <w:rPr/>
        <w:t>at beregne</w:t>
      </w:r>
      <w:r>
        <w:rPr>
          <w:spacing w:val="-8"/>
        </w:rPr>
        <w:t> </w:t>
      </w:r>
      <w:r>
        <w:rPr/>
        <w:t>vandstanden</w:t>
      </w:r>
      <w:r>
        <w:rPr>
          <w:spacing w:val="-7"/>
        </w:rPr>
        <w:t> </w:t>
      </w:r>
      <w:r>
        <w:rPr/>
        <w:t>op</w:t>
      </w:r>
      <w:r>
        <w:rPr>
          <w:spacing w:val="-8"/>
        </w:rPr>
        <w:t> </w:t>
      </w:r>
      <w:r>
        <w:rPr/>
        <w:t>gennem</w:t>
      </w:r>
      <w:r>
        <w:rPr>
          <w:spacing w:val="-7"/>
        </w:rPr>
        <w:t> </w:t>
      </w:r>
      <w:r>
        <w:rPr/>
        <w:t>vandløbet</w:t>
      </w:r>
      <w:r>
        <w:rPr>
          <w:spacing w:val="-12"/>
        </w:rPr>
        <w:t> </w:t>
      </w:r>
      <w:r>
        <w:rPr/>
        <w:t>med</w:t>
      </w:r>
      <w:r>
        <w:rPr>
          <w:spacing w:val="-8"/>
        </w:rPr>
        <w:t> </w:t>
      </w:r>
      <w:r>
        <w:rPr/>
        <w:t>randbetingelser</w:t>
      </w:r>
      <w:r>
        <w:rPr>
          <w:spacing w:val="-9"/>
        </w:rPr>
        <w:t> </w:t>
      </w:r>
      <w:r>
        <w:rPr/>
        <w:t>(vandføring)</w:t>
      </w:r>
      <w:r>
        <w:rPr>
          <w:spacing w:val="-9"/>
        </w:rPr>
        <w:t> </w:t>
      </w:r>
      <w:r>
        <w:rPr/>
        <w:t>for</w:t>
      </w:r>
      <w:r>
        <w:rPr>
          <w:spacing w:val="-9"/>
        </w:rPr>
        <w:t> </w:t>
      </w:r>
      <w:r>
        <w:rPr/>
        <w:t>vandløbs- punkter og tilløb, f.eks. fra de opstillede flowmodeller for Storå og Odense Å. Det nye modul giver omtrent de samme resultater som den avancerede, hydrodynamiske vandløbsmodel (MIKE HYDRO River). Det simple modul har en række begrænsninger men også en række fordele. F.eks. kan der med modulet hurtigt gennemregnes et større antal scenarier for en bestemt dag (f.eks. december 2015) med ændret vandløbsbredde, ændret Manningtal, </w:t>
      </w:r>
      <w:r>
        <w:rPr>
          <w:spacing w:val="-3"/>
        </w:rPr>
        <w:t>og </w:t>
      </w:r>
      <w:r>
        <w:rPr/>
        <w:t>ændret klimafaktor. Derved kan der foretages simuleringer af vandstande i vandløb og ud- bredelse af vand i terræn til brug for analyse af resultater og effekter af forskellige</w:t>
      </w:r>
      <w:r>
        <w:rPr>
          <w:spacing w:val="-23"/>
        </w:rPr>
        <w:t> </w:t>
      </w:r>
      <w:r>
        <w:rPr/>
        <w:t>tiltag.</w:t>
      </w:r>
    </w:p>
    <w:p>
      <w:pPr>
        <w:pStyle w:val="BodyText"/>
        <w:spacing w:before="1"/>
        <w:rPr>
          <w:sz w:val="25"/>
        </w:rPr>
      </w:pPr>
    </w:p>
    <w:p>
      <w:pPr>
        <w:pStyle w:val="BodyText"/>
        <w:spacing w:line="288" w:lineRule="auto"/>
        <w:ind w:left="525" w:right="729"/>
        <w:jc w:val="both"/>
      </w:pPr>
      <w:r>
        <w:rPr/>
        <w:t>Modulet</w:t>
      </w:r>
      <w:r>
        <w:rPr>
          <w:spacing w:val="-8"/>
        </w:rPr>
        <w:t> </w:t>
      </w:r>
      <w:r>
        <w:rPr/>
        <w:t>er</w:t>
      </w:r>
      <w:r>
        <w:rPr>
          <w:spacing w:val="-7"/>
        </w:rPr>
        <w:t> </w:t>
      </w:r>
      <w:r>
        <w:rPr/>
        <w:t>testet</w:t>
      </w:r>
      <w:r>
        <w:rPr>
          <w:spacing w:val="-10"/>
        </w:rPr>
        <w:t> </w:t>
      </w:r>
      <w:r>
        <w:rPr/>
        <w:t>i</w:t>
      </w:r>
      <w:r>
        <w:rPr>
          <w:spacing w:val="-5"/>
        </w:rPr>
        <w:t> </w:t>
      </w:r>
      <w:r>
        <w:rPr/>
        <w:t>forhold</w:t>
      </w:r>
      <w:r>
        <w:rPr>
          <w:spacing w:val="-9"/>
        </w:rPr>
        <w:t> </w:t>
      </w:r>
      <w:r>
        <w:rPr/>
        <w:t>til</w:t>
      </w:r>
      <w:r>
        <w:rPr>
          <w:spacing w:val="-5"/>
        </w:rPr>
        <w:t> </w:t>
      </w:r>
      <w:r>
        <w:rPr/>
        <w:t>de</w:t>
      </w:r>
      <w:r>
        <w:rPr>
          <w:spacing w:val="-7"/>
        </w:rPr>
        <w:t> </w:t>
      </w:r>
      <w:r>
        <w:rPr/>
        <w:t>detaljerede</w:t>
      </w:r>
      <w:r>
        <w:rPr>
          <w:spacing w:val="-6"/>
        </w:rPr>
        <w:t> </w:t>
      </w:r>
      <w:r>
        <w:rPr/>
        <w:t>MIKE</w:t>
      </w:r>
      <w:r>
        <w:rPr>
          <w:spacing w:val="-9"/>
        </w:rPr>
        <w:t> </w:t>
      </w:r>
      <w:r>
        <w:rPr/>
        <w:t>HYDRO</w:t>
      </w:r>
      <w:r>
        <w:rPr>
          <w:spacing w:val="-7"/>
        </w:rPr>
        <w:t> </w:t>
      </w:r>
      <w:r>
        <w:rPr/>
        <w:t>River</w:t>
      </w:r>
      <w:r>
        <w:rPr>
          <w:spacing w:val="-8"/>
        </w:rPr>
        <w:t> </w:t>
      </w:r>
      <w:r>
        <w:rPr/>
        <w:t>opsætninger.</w:t>
      </w:r>
      <w:r>
        <w:rPr>
          <w:spacing w:val="-10"/>
        </w:rPr>
        <w:t> </w:t>
      </w:r>
      <w:r>
        <w:rPr/>
        <w:t>Anvendelse</w:t>
      </w:r>
      <w:r>
        <w:rPr>
          <w:spacing w:val="-7"/>
        </w:rPr>
        <w:t> </w:t>
      </w:r>
      <w:r>
        <w:rPr>
          <w:spacing w:val="-3"/>
        </w:rPr>
        <w:t>af </w:t>
      </w:r>
      <w:r>
        <w:rPr/>
        <w:t>forskellige eksisterende lokale vandløbsmodeller (MIKE 11, VASP osv.) er mulig. En data- base</w:t>
      </w:r>
      <w:r>
        <w:rPr>
          <w:spacing w:val="-4"/>
        </w:rPr>
        <w:t> </w:t>
      </w:r>
      <w:r>
        <w:rPr/>
        <w:t>hvorfra</w:t>
      </w:r>
      <w:r>
        <w:rPr>
          <w:spacing w:val="-4"/>
        </w:rPr>
        <w:t> </w:t>
      </w:r>
      <w:r>
        <w:rPr/>
        <w:t>tværprofiler,</w:t>
      </w:r>
      <w:r>
        <w:rPr>
          <w:spacing w:val="-5"/>
        </w:rPr>
        <w:t> </w:t>
      </w:r>
      <w:r>
        <w:rPr/>
        <w:t>bygværker</w:t>
      </w:r>
      <w:r>
        <w:rPr>
          <w:spacing w:val="-4"/>
        </w:rPr>
        <w:t> </w:t>
      </w:r>
      <w:r>
        <w:rPr/>
        <w:t>mm.</w:t>
      </w:r>
      <w:r>
        <w:rPr>
          <w:spacing w:val="-6"/>
        </w:rPr>
        <w:t> </w:t>
      </w:r>
      <w:r>
        <w:rPr/>
        <w:t>kompatibel</w:t>
      </w:r>
      <w:r>
        <w:rPr>
          <w:spacing w:val="-6"/>
        </w:rPr>
        <w:t> </w:t>
      </w:r>
      <w:r>
        <w:rPr/>
        <w:t>med</w:t>
      </w:r>
      <w:r>
        <w:rPr>
          <w:spacing w:val="-3"/>
        </w:rPr>
        <w:t> </w:t>
      </w:r>
      <w:r>
        <w:rPr/>
        <w:t>100</w:t>
      </w:r>
      <w:r>
        <w:rPr>
          <w:spacing w:val="-2"/>
        </w:rPr>
        <w:t> </w:t>
      </w:r>
      <w:r>
        <w:rPr/>
        <w:t>m</w:t>
      </w:r>
      <w:r>
        <w:rPr>
          <w:spacing w:val="-5"/>
        </w:rPr>
        <w:t> </w:t>
      </w:r>
      <w:r>
        <w:rPr/>
        <w:t>model</w:t>
      </w:r>
      <w:r>
        <w:rPr>
          <w:spacing w:val="-2"/>
        </w:rPr>
        <w:t> </w:t>
      </w:r>
      <w:r>
        <w:rPr/>
        <w:t>og</w:t>
      </w:r>
      <w:r>
        <w:rPr>
          <w:spacing w:val="-4"/>
        </w:rPr>
        <w:t> </w:t>
      </w:r>
      <w:r>
        <w:rPr/>
        <w:t>ny</w:t>
      </w:r>
      <w:r>
        <w:rPr>
          <w:spacing w:val="-6"/>
        </w:rPr>
        <w:t> </w:t>
      </w:r>
      <w:r>
        <w:rPr/>
        <w:t>’riverline’</w:t>
      </w:r>
      <w:r>
        <w:rPr>
          <w:spacing w:val="-1"/>
        </w:rPr>
        <w:t> </w:t>
      </w:r>
      <w:r>
        <w:rPr/>
        <w:t>i</w:t>
      </w:r>
      <w:r>
        <w:rPr>
          <w:spacing w:val="-3"/>
        </w:rPr>
        <w:t> </w:t>
      </w:r>
      <w:r>
        <w:rPr/>
        <w:t>en udbygget</w:t>
      </w:r>
      <w:r>
        <w:rPr>
          <w:spacing w:val="-8"/>
        </w:rPr>
        <w:t> </w:t>
      </w:r>
      <w:r>
        <w:rPr/>
        <w:t>DK-model</w:t>
      </w:r>
      <w:r>
        <w:rPr>
          <w:spacing w:val="-8"/>
        </w:rPr>
        <w:t> </w:t>
      </w:r>
      <w:r>
        <w:rPr/>
        <w:t>kan</w:t>
      </w:r>
      <w:r>
        <w:rPr>
          <w:spacing w:val="-9"/>
        </w:rPr>
        <w:t> </w:t>
      </w:r>
      <w:r>
        <w:rPr/>
        <w:t>indlæses,</w:t>
      </w:r>
      <w:r>
        <w:rPr>
          <w:spacing w:val="-7"/>
        </w:rPr>
        <w:t> </w:t>
      </w:r>
      <w:r>
        <w:rPr/>
        <w:t>vil</w:t>
      </w:r>
      <w:r>
        <w:rPr>
          <w:spacing w:val="-6"/>
        </w:rPr>
        <w:t> </w:t>
      </w:r>
      <w:r>
        <w:rPr/>
        <w:t>gøre</w:t>
      </w:r>
      <w:r>
        <w:rPr>
          <w:spacing w:val="-6"/>
        </w:rPr>
        <w:t> </w:t>
      </w:r>
      <w:r>
        <w:rPr/>
        <w:t>det</w:t>
      </w:r>
      <w:r>
        <w:rPr>
          <w:spacing w:val="-8"/>
        </w:rPr>
        <w:t> </w:t>
      </w:r>
      <w:r>
        <w:rPr/>
        <w:t>lettere</w:t>
      </w:r>
      <w:r>
        <w:rPr>
          <w:spacing w:val="-6"/>
        </w:rPr>
        <w:t> </w:t>
      </w:r>
      <w:r>
        <w:rPr/>
        <w:t>at</w:t>
      </w:r>
      <w:r>
        <w:rPr>
          <w:spacing w:val="-8"/>
        </w:rPr>
        <w:t> </w:t>
      </w:r>
      <w:r>
        <w:rPr/>
        <w:t>indlæse</w:t>
      </w:r>
      <w:r>
        <w:rPr>
          <w:spacing w:val="-9"/>
        </w:rPr>
        <w:t> </w:t>
      </w:r>
      <w:r>
        <w:rPr/>
        <w:t>fysiske</w:t>
      </w:r>
      <w:r>
        <w:rPr>
          <w:spacing w:val="-7"/>
        </w:rPr>
        <w:t> </w:t>
      </w:r>
      <w:r>
        <w:rPr/>
        <w:t>data</w:t>
      </w:r>
      <w:r>
        <w:rPr>
          <w:spacing w:val="-6"/>
        </w:rPr>
        <w:t> </w:t>
      </w:r>
      <w:r>
        <w:rPr/>
        <w:t>(opmålte</w:t>
      </w:r>
      <w:r>
        <w:rPr>
          <w:spacing w:val="-7"/>
        </w:rPr>
        <w:t> </w:t>
      </w:r>
      <w:r>
        <w:rPr/>
        <w:t>tvær- profiler</w:t>
      </w:r>
      <w:r>
        <w:rPr>
          <w:spacing w:val="-9"/>
        </w:rPr>
        <w:t> </w:t>
      </w:r>
      <w:r>
        <w:rPr/>
        <w:t>og</w:t>
      </w:r>
      <w:r>
        <w:rPr>
          <w:spacing w:val="-8"/>
        </w:rPr>
        <w:t> </w:t>
      </w:r>
      <w:r>
        <w:rPr/>
        <w:t>bygværker)</w:t>
      </w:r>
      <w:r>
        <w:rPr>
          <w:spacing w:val="-10"/>
        </w:rPr>
        <w:t> </w:t>
      </w:r>
      <w:r>
        <w:rPr/>
        <w:t>i</w:t>
      </w:r>
      <w:r>
        <w:rPr>
          <w:spacing w:val="-7"/>
        </w:rPr>
        <w:t> </w:t>
      </w:r>
      <w:r>
        <w:rPr/>
        <w:t>DK-model</w:t>
      </w:r>
      <w:r>
        <w:rPr>
          <w:spacing w:val="-8"/>
        </w:rPr>
        <w:t> </w:t>
      </w:r>
      <w:r>
        <w:rPr/>
        <w:t>og</w:t>
      </w:r>
      <w:r>
        <w:rPr>
          <w:spacing w:val="-8"/>
        </w:rPr>
        <w:t> </w:t>
      </w:r>
      <w:r>
        <w:rPr/>
        <w:t>anvende</w:t>
      </w:r>
      <w:r>
        <w:rPr>
          <w:spacing w:val="-8"/>
        </w:rPr>
        <w:t> </w:t>
      </w:r>
      <w:r>
        <w:rPr/>
        <w:t>det</w:t>
      </w:r>
      <w:r>
        <w:rPr>
          <w:spacing w:val="-8"/>
        </w:rPr>
        <w:t> </w:t>
      </w:r>
      <w:r>
        <w:rPr/>
        <w:t>eksterne</w:t>
      </w:r>
      <w:r>
        <w:rPr>
          <w:spacing w:val="-11"/>
        </w:rPr>
        <w:t> </w:t>
      </w:r>
      <w:r>
        <w:rPr/>
        <w:t>modul</w:t>
      </w:r>
      <w:r>
        <w:rPr>
          <w:spacing w:val="-8"/>
        </w:rPr>
        <w:t> </w:t>
      </w:r>
      <w:r>
        <w:rPr/>
        <w:t>med</w:t>
      </w:r>
      <w:r>
        <w:rPr>
          <w:spacing w:val="-8"/>
        </w:rPr>
        <w:t> </w:t>
      </w:r>
      <w:r>
        <w:rPr/>
        <w:t>input</w:t>
      </w:r>
      <w:r>
        <w:rPr>
          <w:spacing w:val="-8"/>
        </w:rPr>
        <w:t> </w:t>
      </w:r>
      <w:r>
        <w:rPr/>
        <w:t>af</w:t>
      </w:r>
      <w:r>
        <w:rPr>
          <w:spacing w:val="-7"/>
        </w:rPr>
        <w:t> </w:t>
      </w:r>
      <w:r>
        <w:rPr/>
        <w:t>vandførings- data</w:t>
      </w:r>
      <w:r>
        <w:rPr>
          <w:spacing w:val="-6"/>
        </w:rPr>
        <w:t> </w:t>
      </w:r>
      <w:r>
        <w:rPr/>
        <w:t>fra</w:t>
      </w:r>
      <w:r>
        <w:rPr>
          <w:spacing w:val="-5"/>
        </w:rPr>
        <w:t> </w:t>
      </w:r>
      <w:r>
        <w:rPr/>
        <w:t>DK-model.</w:t>
      </w:r>
      <w:r>
        <w:rPr>
          <w:spacing w:val="-7"/>
        </w:rPr>
        <w:t> </w:t>
      </w:r>
      <w:r>
        <w:rPr/>
        <w:t>GEUS’</w:t>
      </w:r>
      <w:r>
        <w:rPr>
          <w:spacing w:val="-6"/>
        </w:rPr>
        <w:t> </w:t>
      </w:r>
      <w:r>
        <w:rPr/>
        <w:t>erfaring</w:t>
      </w:r>
      <w:r>
        <w:rPr>
          <w:spacing w:val="-5"/>
        </w:rPr>
        <w:t> </w:t>
      </w:r>
      <w:r>
        <w:rPr/>
        <w:t>med</w:t>
      </w:r>
      <w:r>
        <w:rPr>
          <w:spacing w:val="-6"/>
        </w:rPr>
        <w:t> </w:t>
      </w:r>
      <w:r>
        <w:rPr/>
        <w:t>det</w:t>
      </w:r>
      <w:r>
        <w:rPr>
          <w:spacing w:val="-6"/>
        </w:rPr>
        <w:t> </w:t>
      </w:r>
      <w:r>
        <w:rPr/>
        <w:t>eksterne</w:t>
      </w:r>
      <w:r>
        <w:rPr>
          <w:spacing w:val="-7"/>
        </w:rPr>
        <w:t> </w:t>
      </w:r>
      <w:r>
        <w:rPr/>
        <w:t>modul</w:t>
      </w:r>
      <w:r>
        <w:rPr>
          <w:spacing w:val="-5"/>
        </w:rPr>
        <w:t> </w:t>
      </w:r>
      <w:r>
        <w:rPr/>
        <w:t>har</w:t>
      </w:r>
      <w:r>
        <w:rPr>
          <w:spacing w:val="-5"/>
        </w:rPr>
        <w:t> </w:t>
      </w:r>
      <w:r>
        <w:rPr/>
        <w:t>været</w:t>
      </w:r>
      <w:r>
        <w:rPr>
          <w:spacing w:val="-6"/>
        </w:rPr>
        <w:t> </w:t>
      </w:r>
      <w:r>
        <w:rPr/>
        <w:t>god,</w:t>
      </w:r>
      <w:r>
        <w:rPr>
          <w:spacing w:val="-7"/>
        </w:rPr>
        <w:t> </w:t>
      </w:r>
      <w:r>
        <w:rPr/>
        <w:t>og</w:t>
      </w:r>
      <w:r>
        <w:rPr>
          <w:spacing w:val="-5"/>
        </w:rPr>
        <w:t> </w:t>
      </w:r>
      <w:r>
        <w:rPr/>
        <w:t>det</w:t>
      </w:r>
      <w:r>
        <w:rPr>
          <w:spacing w:val="-7"/>
        </w:rPr>
        <w:t> </w:t>
      </w:r>
      <w:r>
        <w:rPr/>
        <w:t>har</w:t>
      </w:r>
      <w:r>
        <w:rPr>
          <w:spacing w:val="-5"/>
        </w:rPr>
        <w:t> </w:t>
      </w:r>
      <w:r>
        <w:rPr/>
        <w:t>været muligt at lave samlede beregninger for hele oplandet til både Storå og Odense å. Det er relativt enkelt at plotte tværprofiler, længdeprofiler og simulerede vandstande, og udskrive GIS-filer (shape filer). Herfra kan oversvømmelser fra vandløb kortlægges ved hjælp af det af COWI udviklede</w:t>
      </w:r>
      <w:r>
        <w:rPr>
          <w:spacing w:val="-9"/>
        </w:rPr>
        <w:t> </w:t>
      </w:r>
      <w:r>
        <w:rPr/>
        <w:t>GIS-værktøj.</w:t>
      </w:r>
    </w:p>
    <w:p>
      <w:pPr>
        <w:pStyle w:val="BodyText"/>
        <w:spacing w:before="3"/>
        <w:rPr>
          <w:sz w:val="25"/>
        </w:rPr>
      </w:pPr>
    </w:p>
    <w:p>
      <w:pPr>
        <w:pStyle w:val="BodyText"/>
        <w:spacing w:line="288" w:lineRule="auto"/>
        <w:ind w:left="525" w:right="656"/>
      </w:pPr>
      <w:r>
        <w:rPr>
          <w:b/>
          <w:i/>
        </w:rPr>
        <w:t>Erfaringer med kalibrering i forhold til nye terrænnære grundvandsdata (pejlinger) </w:t>
      </w:r>
      <w:r>
        <w:rPr/>
        <w:t>Inddragelse af nye terrænnære grundvandsdata fra regioner har ikke givet nævneværdige ændringer på parameter-optimering (i forhold til brug af JUPITER data), men har bidraget til at tilvejebringe et stærkere valideringsgrundlag med forbedret mulighed for at udpege områ- der med fejl i modelstrukturen. Sådanne fejl kan skyldes fejlagtige eller usikre inputdata, f.eks. klima-, indvindings- eller vandløbsregulerings-data, forkerte randbetingelser (rand- flux/gradient eller trykniveau randbetingelser), fejl i zonering og parameterisering af model- opsætning (fx vandløbsopsætning, drænopsætning eller hydrogeologiske og hydrauliske pa- rameterværdier) men kan også skyldes fejlagtige (eller ikke repræsentative) pejleobservati- oner.</w:t>
      </w:r>
    </w:p>
    <w:p>
      <w:pPr>
        <w:pStyle w:val="BodyText"/>
        <w:spacing w:before="2"/>
        <w:rPr>
          <w:sz w:val="25"/>
        </w:rPr>
      </w:pPr>
    </w:p>
    <w:p>
      <w:pPr>
        <w:pStyle w:val="BodyText"/>
        <w:spacing w:line="288" w:lineRule="auto"/>
        <w:ind w:left="525" w:right="729"/>
        <w:jc w:val="both"/>
      </w:pPr>
      <w:r>
        <w:rPr/>
        <w:t>Selvom</w:t>
      </w:r>
      <w:r>
        <w:rPr>
          <w:spacing w:val="-4"/>
        </w:rPr>
        <w:t> </w:t>
      </w:r>
      <w:r>
        <w:rPr/>
        <w:t>der</w:t>
      </w:r>
      <w:r>
        <w:rPr>
          <w:spacing w:val="-5"/>
        </w:rPr>
        <w:t> </w:t>
      </w:r>
      <w:r>
        <w:rPr/>
        <w:t>er</w:t>
      </w:r>
      <w:r>
        <w:rPr>
          <w:spacing w:val="-6"/>
        </w:rPr>
        <w:t> </w:t>
      </w:r>
      <w:r>
        <w:rPr/>
        <w:t>indsamlet</w:t>
      </w:r>
      <w:r>
        <w:rPr>
          <w:spacing w:val="-6"/>
        </w:rPr>
        <w:t> </w:t>
      </w:r>
      <w:r>
        <w:rPr/>
        <w:t>mange</w:t>
      </w:r>
      <w:r>
        <w:rPr>
          <w:spacing w:val="-5"/>
        </w:rPr>
        <w:t> </w:t>
      </w:r>
      <w:r>
        <w:rPr/>
        <w:t>nye</w:t>
      </w:r>
      <w:r>
        <w:rPr>
          <w:spacing w:val="-5"/>
        </w:rPr>
        <w:t> </w:t>
      </w:r>
      <w:r>
        <w:rPr/>
        <w:t>pejledata</w:t>
      </w:r>
      <w:r>
        <w:rPr>
          <w:spacing w:val="-5"/>
        </w:rPr>
        <w:t> </w:t>
      </w:r>
      <w:r>
        <w:rPr/>
        <w:t>fra</w:t>
      </w:r>
      <w:r>
        <w:rPr>
          <w:spacing w:val="-5"/>
        </w:rPr>
        <w:t> </w:t>
      </w:r>
      <w:r>
        <w:rPr/>
        <w:t>bl.a.</w:t>
      </w:r>
      <w:r>
        <w:rPr>
          <w:spacing w:val="-7"/>
        </w:rPr>
        <w:t> </w:t>
      </w:r>
      <w:r>
        <w:rPr/>
        <w:t>regioner,</w:t>
      </w:r>
      <w:r>
        <w:rPr>
          <w:spacing w:val="-6"/>
        </w:rPr>
        <w:t> </w:t>
      </w:r>
      <w:r>
        <w:rPr/>
        <w:t>er</w:t>
      </w:r>
      <w:r>
        <w:rPr>
          <w:spacing w:val="-6"/>
        </w:rPr>
        <w:t> </w:t>
      </w:r>
      <w:r>
        <w:rPr/>
        <w:t>der</w:t>
      </w:r>
      <w:r>
        <w:rPr>
          <w:spacing w:val="-5"/>
        </w:rPr>
        <w:t> </w:t>
      </w:r>
      <w:r>
        <w:rPr/>
        <w:t>fortsat</w:t>
      </w:r>
      <w:r>
        <w:rPr>
          <w:spacing w:val="-6"/>
        </w:rPr>
        <w:t> </w:t>
      </w:r>
      <w:r>
        <w:rPr/>
        <w:t>en</w:t>
      </w:r>
      <w:r>
        <w:rPr>
          <w:spacing w:val="-5"/>
        </w:rPr>
        <w:t> </w:t>
      </w:r>
      <w:r>
        <w:rPr/>
        <w:t>udtalt</w:t>
      </w:r>
      <w:r>
        <w:rPr>
          <w:spacing w:val="-7"/>
        </w:rPr>
        <w:t> </w:t>
      </w:r>
      <w:r>
        <w:rPr/>
        <w:t>man- gel</w:t>
      </w:r>
      <w:r>
        <w:rPr>
          <w:spacing w:val="-13"/>
        </w:rPr>
        <w:t> </w:t>
      </w:r>
      <w:r>
        <w:rPr/>
        <w:t>på</w:t>
      </w:r>
      <w:r>
        <w:rPr>
          <w:spacing w:val="-13"/>
        </w:rPr>
        <w:t> </w:t>
      </w:r>
      <w:r>
        <w:rPr/>
        <w:t>pejletidsserier</w:t>
      </w:r>
      <w:r>
        <w:rPr>
          <w:spacing w:val="-14"/>
        </w:rPr>
        <w:t> </w:t>
      </w:r>
      <w:r>
        <w:rPr/>
        <w:t>for</w:t>
      </w:r>
      <w:r>
        <w:rPr>
          <w:spacing w:val="-15"/>
        </w:rPr>
        <w:t> </w:t>
      </w:r>
      <w:r>
        <w:rPr/>
        <w:t>det</w:t>
      </w:r>
      <w:r>
        <w:rPr>
          <w:spacing w:val="-14"/>
        </w:rPr>
        <w:t> </w:t>
      </w:r>
      <w:r>
        <w:rPr/>
        <w:t>terrænnære</w:t>
      </w:r>
      <w:r>
        <w:rPr>
          <w:spacing w:val="-13"/>
        </w:rPr>
        <w:t> </w:t>
      </w:r>
      <w:r>
        <w:rPr/>
        <w:t>grundvand.</w:t>
      </w:r>
      <w:r>
        <w:rPr>
          <w:spacing w:val="-16"/>
        </w:rPr>
        <w:t> </w:t>
      </w:r>
      <w:r>
        <w:rPr/>
        <w:t>Modellen</w:t>
      </w:r>
      <w:r>
        <w:rPr>
          <w:spacing w:val="-14"/>
        </w:rPr>
        <w:t> </w:t>
      </w:r>
      <w:r>
        <w:rPr/>
        <w:t>giver</w:t>
      </w:r>
      <w:r>
        <w:rPr>
          <w:spacing w:val="-14"/>
        </w:rPr>
        <w:t> </w:t>
      </w:r>
      <w:r>
        <w:rPr/>
        <w:t>god</w:t>
      </w:r>
      <w:r>
        <w:rPr>
          <w:spacing w:val="-15"/>
        </w:rPr>
        <w:t> </w:t>
      </w:r>
      <w:r>
        <w:rPr/>
        <w:t>nøjagtighed</w:t>
      </w:r>
      <w:r>
        <w:rPr>
          <w:spacing w:val="-12"/>
        </w:rPr>
        <w:t> </w:t>
      </w:r>
      <w:r>
        <w:rPr/>
        <w:t>i</w:t>
      </w:r>
      <w:r>
        <w:rPr>
          <w:spacing w:val="-16"/>
        </w:rPr>
        <w:t> </w:t>
      </w:r>
      <w:r>
        <w:rPr/>
        <w:t>forhold til de få data der foreligger fra de seneste år fra f.eks. Sunds området, hvor der er indsamlet kontinuerlige pejledata af Herning Vand siden medio 2014. Der er desuden lavet en sensiti- vitetsvurdering, hvor der ud fra en distribueret drænopsætning er opnået en forbedret kvali- tativ udpegning af vådområder med brug af nedskalering til 10</w:t>
      </w:r>
      <w:r>
        <w:rPr>
          <w:spacing w:val="-16"/>
        </w:rPr>
        <w:t> </w:t>
      </w:r>
      <w:r>
        <w:rPr/>
        <w:t>m.</w:t>
      </w:r>
    </w:p>
    <w:p>
      <w:pPr>
        <w:pStyle w:val="BodyText"/>
        <w:spacing w:before="3"/>
        <w:rPr>
          <w:sz w:val="25"/>
        </w:rPr>
      </w:pPr>
    </w:p>
    <w:p>
      <w:pPr>
        <w:pStyle w:val="BodyText"/>
        <w:spacing w:line="288" w:lineRule="auto"/>
        <w:ind w:left="525" w:right="730"/>
        <w:jc w:val="both"/>
      </w:pPr>
      <w:r>
        <w:rPr/>
        <w:t>Det nye drænkoncept forventes fremadrettet indbygget i DK-modellen og ser lovende ud. Endelig</w:t>
      </w:r>
      <w:r>
        <w:rPr>
          <w:spacing w:val="-12"/>
        </w:rPr>
        <w:t> </w:t>
      </w:r>
      <w:r>
        <w:rPr/>
        <w:t>er</w:t>
      </w:r>
      <w:r>
        <w:rPr>
          <w:spacing w:val="-15"/>
        </w:rPr>
        <w:t> </w:t>
      </w:r>
      <w:r>
        <w:rPr/>
        <w:t>der</w:t>
      </w:r>
      <w:r>
        <w:rPr>
          <w:spacing w:val="-11"/>
        </w:rPr>
        <w:t> </w:t>
      </w:r>
      <w:r>
        <w:rPr/>
        <w:t>er</w:t>
      </w:r>
      <w:r>
        <w:rPr>
          <w:spacing w:val="-14"/>
        </w:rPr>
        <w:t> </w:t>
      </w:r>
      <w:r>
        <w:rPr/>
        <w:t>lavet</w:t>
      </w:r>
      <w:r>
        <w:rPr>
          <w:spacing w:val="-12"/>
        </w:rPr>
        <w:t> </w:t>
      </w:r>
      <w:r>
        <w:rPr/>
        <w:t>en</w:t>
      </w:r>
      <w:r>
        <w:rPr>
          <w:spacing w:val="-11"/>
        </w:rPr>
        <w:t> </w:t>
      </w:r>
      <w:r>
        <w:rPr/>
        <w:t>valideringstest</w:t>
      </w:r>
      <w:r>
        <w:rPr>
          <w:spacing w:val="-13"/>
        </w:rPr>
        <w:t> </w:t>
      </w:r>
      <w:r>
        <w:rPr/>
        <w:t>i</w:t>
      </w:r>
      <w:r>
        <w:rPr>
          <w:spacing w:val="-12"/>
        </w:rPr>
        <w:t> </w:t>
      </w:r>
      <w:r>
        <w:rPr/>
        <w:t>forhold</w:t>
      </w:r>
      <w:r>
        <w:rPr>
          <w:spacing w:val="-14"/>
        </w:rPr>
        <w:t> </w:t>
      </w:r>
      <w:r>
        <w:rPr/>
        <w:t>til</w:t>
      </w:r>
      <w:r>
        <w:rPr>
          <w:spacing w:val="-10"/>
        </w:rPr>
        <w:t> </w:t>
      </w:r>
      <w:r>
        <w:rPr/>
        <w:t>Geo’s</w:t>
      </w:r>
      <w:r>
        <w:rPr>
          <w:spacing w:val="-14"/>
        </w:rPr>
        <w:t> </w:t>
      </w:r>
      <w:r>
        <w:rPr/>
        <w:t>pejledata</w:t>
      </w:r>
      <w:r>
        <w:rPr>
          <w:spacing w:val="-15"/>
        </w:rPr>
        <w:t> </w:t>
      </w:r>
      <w:r>
        <w:rPr/>
        <w:t>der</w:t>
      </w:r>
      <w:r>
        <w:rPr>
          <w:spacing w:val="-11"/>
        </w:rPr>
        <w:t> </w:t>
      </w:r>
      <w:r>
        <w:rPr/>
        <w:t>viser</w:t>
      </w:r>
      <w:r>
        <w:rPr>
          <w:spacing w:val="-15"/>
        </w:rPr>
        <w:t> </w:t>
      </w:r>
      <w:r>
        <w:rPr/>
        <w:t>omtrent</w:t>
      </w:r>
      <w:r>
        <w:rPr>
          <w:spacing w:val="-12"/>
        </w:rPr>
        <w:t> </w:t>
      </w:r>
      <w:r>
        <w:rPr/>
        <w:t>samme resultater som øvrige pejledata. Geo’s data fra f.eks. Odense oplandet er typisk placeret i relation</w:t>
      </w:r>
      <w:r>
        <w:rPr>
          <w:spacing w:val="-11"/>
        </w:rPr>
        <w:t> </w:t>
      </w:r>
      <w:r>
        <w:rPr/>
        <w:t>til</w:t>
      </w:r>
      <w:r>
        <w:rPr>
          <w:spacing w:val="-10"/>
        </w:rPr>
        <w:t> </w:t>
      </w:r>
      <w:r>
        <w:rPr/>
        <w:t>større</w:t>
      </w:r>
      <w:r>
        <w:rPr>
          <w:spacing w:val="-11"/>
        </w:rPr>
        <w:t> </w:t>
      </w:r>
      <w:r>
        <w:rPr/>
        <w:t>anlægsprojekter</w:t>
      </w:r>
      <w:r>
        <w:rPr>
          <w:spacing w:val="-11"/>
        </w:rPr>
        <w:t> </w:t>
      </w:r>
      <w:r>
        <w:rPr/>
        <w:t>(f.eks.</w:t>
      </w:r>
      <w:r>
        <w:rPr>
          <w:spacing w:val="-12"/>
        </w:rPr>
        <w:t> </w:t>
      </w:r>
      <w:r>
        <w:rPr/>
        <w:t>Svendborg</w:t>
      </w:r>
      <w:r>
        <w:rPr>
          <w:spacing w:val="-11"/>
        </w:rPr>
        <w:t> </w:t>
      </w:r>
      <w:r>
        <w:rPr/>
        <w:t>motorvej</w:t>
      </w:r>
      <w:r>
        <w:rPr>
          <w:spacing w:val="-10"/>
        </w:rPr>
        <w:t> </w:t>
      </w:r>
      <w:r>
        <w:rPr/>
        <w:t>eller</w:t>
      </w:r>
      <w:r>
        <w:rPr>
          <w:spacing w:val="-11"/>
        </w:rPr>
        <w:t> </w:t>
      </w:r>
      <w:r>
        <w:rPr/>
        <w:t>i</w:t>
      </w:r>
      <w:r>
        <w:rPr>
          <w:spacing w:val="-10"/>
        </w:rPr>
        <w:t> </w:t>
      </w:r>
      <w:r>
        <w:rPr/>
        <w:t>Odense</w:t>
      </w:r>
      <w:r>
        <w:rPr>
          <w:spacing w:val="-11"/>
        </w:rPr>
        <w:t> </w:t>
      </w:r>
      <w:r>
        <w:rPr/>
        <w:t>by</w:t>
      </w:r>
      <w:r>
        <w:rPr>
          <w:spacing w:val="-11"/>
        </w:rPr>
        <w:t> </w:t>
      </w:r>
      <w:r>
        <w:rPr/>
        <w:t>området).</w:t>
      </w:r>
      <w:r>
        <w:rPr>
          <w:spacing w:val="-12"/>
        </w:rPr>
        <w:t> </w:t>
      </w:r>
      <w:r>
        <w:rPr/>
        <w:t>Det er</w:t>
      </w:r>
      <w:r>
        <w:rPr>
          <w:spacing w:val="-5"/>
        </w:rPr>
        <w:t> </w:t>
      </w:r>
      <w:r>
        <w:rPr/>
        <w:t>områder,</w:t>
      </w:r>
      <w:r>
        <w:rPr>
          <w:spacing w:val="-5"/>
        </w:rPr>
        <w:t> </w:t>
      </w:r>
      <w:r>
        <w:rPr/>
        <w:t>hvor</w:t>
      </w:r>
      <w:r>
        <w:rPr>
          <w:spacing w:val="-5"/>
        </w:rPr>
        <w:t> </w:t>
      </w:r>
      <w:r>
        <w:rPr/>
        <w:t>model</w:t>
      </w:r>
      <w:r>
        <w:rPr>
          <w:spacing w:val="-2"/>
        </w:rPr>
        <w:t> </w:t>
      </w:r>
      <w:r>
        <w:rPr/>
        <w:t>performance</w:t>
      </w:r>
      <w:r>
        <w:rPr>
          <w:spacing w:val="-4"/>
        </w:rPr>
        <w:t> </w:t>
      </w:r>
      <w:r>
        <w:rPr/>
        <w:t>af</w:t>
      </w:r>
      <w:r>
        <w:rPr>
          <w:spacing w:val="-3"/>
        </w:rPr>
        <w:t> </w:t>
      </w:r>
      <w:r>
        <w:rPr/>
        <w:t>forskellige</w:t>
      </w:r>
      <w:r>
        <w:rPr>
          <w:spacing w:val="-5"/>
        </w:rPr>
        <w:t> </w:t>
      </w:r>
      <w:r>
        <w:rPr/>
        <w:t>årsager</w:t>
      </w:r>
      <w:r>
        <w:rPr>
          <w:spacing w:val="-5"/>
        </w:rPr>
        <w:t> </w:t>
      </w:r>
      <w:r>
        <w:rPr/>
        <w:t>er</w:t>
      </w:r>
      <w:r>
        <w:rPr>
          <w:spacing w:val="-5"/>
        </w:rPr>
        <w:t> </w:t>
      </w:r>
      <w:r>
        <w:rPr/>
        <w:t>relativ</w:t>
      </w:r>
      <w:r>
        <w:rPr>
          <w:spacing w:val="-6"/>
        </w:rPr>
        <w:t> </w:t>
      </w:r>
      <w:r>
        <w:rPr/>
        <w:t>dårlig,</w:t>
      </w:r>
      <w:r>
        <w:rPr>
          <w:spacing w:val="-1"/>
        </w:rPr>
        <w:t> </w:t>
      </w:r>
      <w:r>
        <w:rPr/>
        <w:t>og</w:t>
      </w:r>
      <w:r>
        <w:rPr>
          <w:spacing w:val="-5"/>
        </w:rPr>
        <w:t> </w:t>
      </w:r>
      <w:r>
        <w:rPr/>
        <w:t>valideringsre- sultatet</w:t>
      </w:r>
      <w:r>
        <w:rPr>
          <w:spacing w:val="7"/>
        </w:rPr>
        <w:t> </w:t>
      </w:r>
      <w:r>
        <w:rPr/>
        <w:t>med</w:t>
      </w:r>
      <w:r>
        <w:rPr>
          <w:spacing w:val="11"/>
        </w:rPr>
        <w:t> </w:t>
      </w:r>
      <w:r>
        <w:rPr/>
        <w:t>Geo</w:t>
      </w:r>
      <w:r>
        <w:rPr>
          <w:spacing w:val="12"/>
        </w:rPr>
        <w:t> </w:t>
      </w:r>
      <w:r>
        <w:rPr/>
        <w:t>data</w:t>
      </w:r>
      <w:r>
        <w:rPr>
          <w:spacing w:val="12"/>
        </w:rPr>
        <w:t> </w:t>
      </w:r>
      <w:r>
        <w:rPr/>
        <w:t>er</w:t>
      </w:r>
      <w:r>
        <w:rPr>
          <w:spacing w:val="10"/>
        </w:rPr>
        <w:t> </w:t>
      </w:r>
      <w:r>
        <w:rPr/>
        <w:t>derfor</w:t>
      </w:r>
      <w:r>
        <w:rPr>
          <w:spacing w:val="10"/>
        </w:rPr>
        <w:t> </w:t>
      </w:r>
      <w:r>
        <w:rPr/>
        <w:t>primært</w:t>
      </w:r>
      <w:r>
        <w:rPr>
          <w:spacing w:val="10"/>
        </w:rPr>
        <w:t> </w:t>
      </w:r>
      <w:r>
        <w:rPr/>
        <w:t>et</w:t>
      </w:r>
      <w:r>
        <w:rPr>
          <w:spacing w:val="11"/>
        </w:rPr>
        <w:t> </w:t>
      </w:r>
      <w:r>
        <w:rPr/>
        <w:t>udtryk</w:t>
      </w:r>
      <w:r>
        <w:rPr>
          <w:spacing w:val="13"/>
        </w:rPr>
        <w:t> </w:t>
      </w:r>
      <w:r>
        <w:rPr/>
        <w:t>for</w:t>
      </w:r>
      <w:r>
        <w:rPr>
          <w:spacing w:val="10"/>
        </w:rPr>
        <w:t> </w:t>
      </w:r>
      <w:r>
        <w:rPr/>
        <w:t>dette,</w:t>
      </w:r>
      <w:r>
        <w:rPr>
          <w:spacing w:val="10"/>
        </w:rPr>
        <w:t> </w:t>
      </w:r>
      <w:r>
        <w:rPr/>
        <w:t>og</w:t>
      </w:r>
      <w:r>
        <w:rPr>
          <w:spacing w:val="12"/>
        </w:rPr>
        <w:t> </w:t>
      </w:r>
      <w:r>
        <w:rPr/>
        <w:t>ikke</w:t>
      </w:r>
      <w:r>
        <w:rPr>
          <w:spacing w:val="11"/>
        </w:rPr>
        <w:t> </w:t>
      </w:r>
      <w:r>
        <w:rPr/>
        <w:t>at</w:t>
      </w:r>
      <w:r>
        <w:rPr>
          <w:spacing w:val="10"/>
        </w:rPr>
        <w:t> </w:t>
      </w:r>
      <w:r>
        <w:rPr/>
        <w:t>datakvaliteten</w:t>
      </w:r>
      <w:r>
        <w:rPr>
          <w:spacing w:val="11"/>
        </w:rPr>
        <w:t> </w:t>
      </w:r>
      <w:r>
        <w:rPr/>
        <w:t>f.eks.</w:t>
      </w:r>
    </w:p>
    <w:p>
      <w:pPr>
        <w:spacing w:after="0" w:line="288" w:lineRule="auto"/>
        <w:jc w:val="both"/>
        <w:sectPr>
          <w:pgSz w:w="11910" w:h="16850"/>
          <w:pgMar w:header="0" w:footer="857" w:top="1340" w:bottom="1120" w:left="1460" w:right="680"/>
        </w:sectPr>
      </w:pPr>
    </w:p>
    <w:p>
      <w:pPr>
        <w:pStyle w:val="BodyText"/>
        <w:spacing w:line="288" w:lineRule="auto" w:before="75"/>
        <w:ind w:left="525" w:right="732"/>
        <w:jc w:val="both"/>
      </w:pPr>
      <w:r>
        <w:rPr/>
        <w:t>ikke er god nok. Flere pejledata fra regioner, Geo og andre data kan derfor forbedre valide- ringsgrundlaget for terrænnært grundvand.</w:t>
      </w:r>
    </w:p>
    <w:p>
      <w:pPr>
        <w:pStyle w:val="BodyText"/>
        <w:spacing w:before="2"/>
        <w:rPr>
          <w:sz w:val="25"/>
        </w:rPr>
      </w:pPr>
    </w:p>
    <w:p>
      <w:pPr>
        <w:pStyle w:val="Heading5"/>
        <w:jc w:val="both"/>
        <w:rPr>
          <w:i/>
        </w:rPr>
      </w:pPr>
      <w:r>
        <w:rPr>
          <w:i/>
        </w:rPr>
        <w:t>Erfaringer med anvendelse af terrænnære grundvandsdata</w:t>
      </w:r>
    </w:p>
    <w:p>
      <w:pPr>
        <w:pStyle w:val="BodyText"/>
        <w:spacing w:line="288" w:lineRule="auto" w:before="49"/>
        <w:ind w:left="525" w:right="729"/>
        <w:jc w:val="both"/>
      </w:pPr>
      <w:r>
        <w:rPr/>
        <w:t>GEUS har udviklet et nyt lovende og robust kalibreringskoncept, baseret på en ny kalibre- ringsmetodik, der har øget fokus på terrænnært grundvand. Den nye kalibreringsmetodik planlægges overført til DK-modellen i fremtiden. Metoden giver bedre mulighed for optime- ring af parametre med anvendelse af mange terrænnære pejledata fra grundvand med vari- erende</w:t>
      </w:r>
      <w:r>
        <w:rPr>
          <w:spacing w:val="-13"/>
        </w:rPr>
        <w:t> </w:t>
      </w:r>
      <w:r>
        <w:rPr/>
        <w:t>(ukendt)</w:t>
      </w:r>
      <w:r>
        <w:rPr>
          <w:spacing w:val="-13"/>
        </w:rPr>
        <w:t> </w:t>
      </w:r>
      <w:r>
        <w:rPr/>
        <w:t>kvalitet.</w:t>
      </w:r>
      <w:r>
        <w:rPr>
          <w:spacing w:val="-13"/>
        </w:rPr>
        <w:t> </w:t>
      </w:r>
      <w:r>
        <w:rPr/>
        <w:t>Den</w:t>
      </w:r>
      <w:r>
        <w:rPr>
          <w:spacing w:val="-12"/>
        </w:rPr>
        <w:t> </w:t>
      </w:r>
      <w:r>
        <w:rPr/>
        <w:t>giver</w:t>
      </w:r>
      <w:r>
        <w:rPr>
          <w:spacing w:val="-13"/>
        </w:rPr>
        <w:t> </w:t>
      </w:r>
      <w:r>
        <w:rPr/>
        <w:t>også</w:t>
      </w:r>
      <w:r>
        <w:rPr>
          <w:spacing w:val="-12"/>
        </w:rPr>
        <w:t> </w:t>
      </w:r>
      <w:r>
        <w:rPr/>
        <w:t>bedre</w:t>
      </w:r>
      <w:r>
        <w:rPr>
          <w:spacing w:val="-16"/>
        </w:rPr>
        <w:t> </w:t>
      </w:r>
      <w:r>
        <w:rPr/>
        <w:t>mulighed</w:t>
      </w:r>
      <w:r>
        <w:rPr>
          <w:spacing w:val="-12"/>
        </w:rPr>
        <w:t> </w:t>
      </w:r>
      <w:r>
        <w:rPr/>
        <w:t>for</w:t>
      </w:r>
      <w:r>
        <w:rPr>
          <w:spacing w:val="-13"/>
        </w:rPr>
        <w:t> </w:t>
      </w:r>
      <w:r>
        <w:rPr/>
        <w:t>at</w:t>
      </w:r>
      <w:r>
        <w:rPr>
          <w:spacing w:val="-13"/>
        </w:rPr>
        <w:t> </w:t>
      </w:r>
      <w:r>
        <w:rPr/>
        <w:t>sikre,</w:t>
      </w:r>
      <w:r>
        <w:rPr>
          <w:spacing w:val="-13"/>
        </w:rPr>
        <w:t> </w:t>
      </w:r>
      <w:r>
        <w:rPr/>
        <w:t>at</w:t>
      </w:r>
      <w:r>
        <w:rPr>
          <w:spacing w:val="-13"/>
        </w:rPr>
        <w:t> </w:t>
      </w:r>
      <w:r>
        <w:rPr/>
        <w:t>optimering</w:t>
      </w:r>
      <w:r>
        <w:rPr>
          <w:spacing w:val="-12"/>
        </w:rPr>
        <w:t> </w:t>
      </w:r>
      <w:r>
        <w:rPr/>
        <w:t>ikke</w:t>
      </w:r>
      <w:r>
        <w:rPr>
          <w:spacing w:val="-13"/>
        </w:rPr>
        <w:t> </w:t>
      </w:r>
      <w:r>
        <w:rPr/>
        <w:t>skæv- vrides</w:t>
      </w:r>
      <w:r>
        <w:rPr>
          <w:spacing w:val="-14"/>
        </w:rPr>
        <w:t> </w:t>
      </w:r>
      <w:r>
        <w:rPr/>
        <w:t>i</w:t>
      </w:r>
      <w:r>
        <w:rPr>
          <w:spacing w:val="-13"/>
        </w:rPr>
        <w:t> </w:t>
      </w:r>
      <w:r>
        <w:rPr/>
        <w:t>områder</w:t>
      </w:r>
      <w:r>
        <w:rPr>
          <w:spacing w:val="-15"/>
        </w:rPr>
        <w:t> </w:t>
      </w:r>
      <w:r>
        <w:rPr/>
        <w:t>med</w:t>
      </w:r>
      <w:r>
        <w:rPr>
          <w:spacing w:val="-15"/>
        </w:rPr>
        <w:t> </w:t>
      </w:r>
      <w:r>
        <w:rPr/>
        <w:t>modelstruktur</w:t>
      </w:r>
      <w:r>
        <w:rPr>
          <w:spacing w:val="-17"/>
        </w:rPr>
        <w:t> </w:t>
      </w:r>
      <w:r>
        <w:rPr/>
        <w:t>fejl</w:t>
      </w:r>
      <w:r>
        <w:rPr>
          <w:spacing w:val="-13"/>
        </w:rPr>
        <w:t> </w:t>
      </w:r>
      <w:r>
        <w:rPr/>
        <w:t>(konceptuelle</w:t>
      </w:r>
      <w:r>
        <w:rPr>
          <w:spacing w:val="-14"/>
        </w:rPr>
        <w:t> </w:t>
      </w:r>
      <w:r>
        <w:rPr/>
        <w:t>fejl),</w:t>
      </w:r>
      <w:r>
        <w:rPr>
          <w:spacing w:val="-14"/>
        </w:rPr>
        <w:t> </w:t>
      </w:r>
      <w:r>
        <w:rPr/>
        <w:t>eller</w:t>
      </w:r>
      <w:r>
        <w:rPr>
          <w:spacing w:val="-11"/>
        </w:rPr>
        <w:t> </w:t>
      </w:r>
      <w:r>
        <w:rPr/>
        <w:t>i</w:t>
      </w:r>
      <w:r>
        <w:rPr>
          <w:spacing w:val="-16"/>
        </w:rPr>
        <w:t> </w:t>
      </w:r>
      <w:r>
        <w:rPr/>
        <w:t>forhold</w:t>
      </w:r>
      <w:r>
        <w:rPr>
          <w:spacing w:val="-14"/>
        </w:rPr>
        <w:t> </w:t>
      </w:r>
      <w:r>
        <w:rPr/>
        <w:t>til</w:t>
      </w:r>
      <w:r>
        <w:rPr>
          <w:spacing w:val="-12"/>
        </w:rPr>
        <w:t> </w:t>
      </w:r>
      <w:r>
        <w:rPr/>
        <w:t>observationer</w:t>
      </w:r>
      <w:r>
        <w:rPr>
          <w:spacing w:val="-17"/>
        </w:rPr>
        <w:t> </w:t>
      </w:r>
      <w:r>
        <w:rPr/>
        <w:t>med store afvigelser (’outliers’) mellem observationer og simuleret dybde til terrænnært grund- vand. Det nye kalibreringskoncept og de nye pejledata fra regioner, forsyninger, kommuner og</w:t>
      </w:r>
      <w:r>
        <w:rPr>
          <w:spacing w:val="-4"/>
        </w:rPr>
        <w:t> </w:t>
      </w:r>
      <w:r>
        <w:rPr/>
        <w:t>rådgivere</w:t>
      </w:r>
      <w:r>
        <w:rPr>
          <w:spacing w:val="-4"/>
        </w:rPr>
        <w:t> </w:t>
      </w:r>
      <w:r>
        <w:rPr/>
        <w:t>giver</w:t>
      </w:r>
      <w:r>
        <w:rPr>
          <w:spacing w:val="-5"/>
        </w:rPr>
        <w:t> </w:t>
      </w:r>
      <w:r>
        <w:rPr/>
        <w:t>bedre</w:t>
      </w:r>
      <w:r>
        <w:rPr>
          <w:spacing w:val="-6"/>
        </w:rPr>
        <w:t> </w:t>
      </w:r>
      <w:r>
        <w:rPr/>
        <w:t>mulighed</w:t>
      </w:r>
      <w:r>
        <w:rPr>
          <w:spacing w:val="-4"/>
        </w:rPr>
        <w:t> </w:t>
      </w:r>
      <w:r>
        <w:rPr/>
        <w:t>for</w:t>
      </w:r>
      <w:r>
        <w:rPr>
          <w:spacing w:val="-4"/>
        </w:rPr>
        <w:t> </w:t>
      </w:r>
      <w:r>
        <w:rPr/>
        <w:t>udpegning</w:t>
      </w:r>
      <w:r>
        <w:rPr>
          <w:spacing w:val="-5"/>
        </w:rPr>
        <w:t> </w:t>
      </w:r>
      <w:r>
        <w:rPr/>
        <w:t>af</w:t>
      </w:r>
      <w:r>
        <w:rPr>
          <w:spacing w:val="-5"/>
        </w:rPr>
        <w:t> </w:t>
      </w:r>
      <w:r>
        <w:rPr/>
        <w:t>problemområder,</w:t>
      </w:r>
      <w:r>
        <w:rPr>
          <w:spacing w:val="-6"/>
        </w:rPr>
        <w:t> </w:t>
      </w:r>
      <w:r>
        <w:rPr/>
        <w:t>hvor</w:t>
      </w:r>
      <w:r>
        <w:rPr>
          <w:spacing w:val="-4"/>
        </w:rPr>
        <w:t> </w:t>
      </w:r>
      <w:r>
        <w:rPr/>
        <w:t>den</w:t>
      </w:r>
      <w:r>
        <w:rPr>
          <w:spacing w:val="-5"/>
        </w:rPr>
        <w:t> </w:t>
      </w:r>
      <w:r>
        <w:rPr/>
        <w:t>konceptuelle model</w:t>
      </w:r>
      <w:r>
        <w:rPr>
          <w:spacing w:val="-12"/>
        </w:rPr>
        <w:t> </w:t>
      </w:r>
      <w:r>
        <w:rPr/>
        <w:t>er</w:t>
      </w:r>
      <w:r>
        <w:rPr>
          <w:spacing w:val="-14"/>
        </w:rPr>
        <w:t> </w:t>
      </w:r>
      <w:r>
        <w:rPr/>
        <w:t>utilstrækkelig</w:t>
      </w:r>
      <w:r>
        <w:rPr>
          <w:spacing w:val="-11"/>
        </w:rPr>
        <w:t> </w:t>
      </w:r>
      <w:r>
        <w:rPr/>
        <w:t>og</w:t>
      </w:r>
      <w:r>
        <w:rPr>
          <w:spacing w:val="-12"/>
        </w:rPr>
        <w:t> </w:t>
      </w:r>
      <w:r>
        <w:rPr/>
        <w:t>skal</w:t>
      </w:r>
      <w:r>
        <w:rPr>
          <w:spacing w:val="-12"/>
        </w:rPr>
        <w:t> </w:t>
      </w:r>
      <w:r>
        <w:rPr/>
        <w:t>forbedres</w:t>
      </w:r>
      <w:r>
        <w:rPr>
          <w:spacing w:val="-14"/>
        </w:rPr>
        <w:t> </w:t>
      </w:r>
      <w:r>
        <w:rPr/>
        <w:t>ved</w:t>
      </w:r>
      <w:r>
        <w:rPr>
          <w:spacing w:val="-12"/>
        </w:rPr>
        <w:t> </w:t>
      </w:r>
      <w:r>
        <w:rPr/>
        <w:t>ny</w:t>
      </w:r>
      <w:r>
        <w:rPr>
          <w:spacing w:val="-16"/>
        </w:rPr>
        <w:t> </w:t>
      </w:r>
      <w:r>
        <w:rPr/>
        <w:t>kortlægning</w:t>
      </w:r>
      <w:r>
        <w:rPr>
          <w:spacing w:val="-13"/>
        </w:rPr>
        <w:t> </w:t>
      </w:r>
      <w:r>
        <w:rPr/>
        <w:t>og</w:t>
      </w:r>
      <w:r>
        <w:rPr>
          <w:spacing w:val="-12"/>
        </w:rPr>
        <w:t> </w:t>
      </w:r>
      <w:r>
        <w:rPr/>
        <w:t>bedre</w:t>
      </w:r>
      <w:r>
        <w:rPr>
          <w:spacing w:val="-13"/>
        </w:rPr>
        <w:t> </w:t>
      </w:r>
      <w:r>
        <w:rPr/>
        <w:t>overvågning.</w:t>
      </w:r>
      <w:r>
        <w:rPr>
          <w:spacing w:val="-13"/>
        </w:rPr>
        <w:t> </w:t>
      </w:r>
      <w:r>
        <w:rPr/>
        <w:t>Områder med stor usikkerhed kan derved</w:t>
      </w:r>
      <w:r>
        <w:rPr>
          <w:spacing w:val="-8"/>
        </w:rPr>
        <w:t> </w:t>
      </w:r>
      <w:r>
        <w:rPr/>
        <w:t>afgrænses.</w:t>
      </w:r>
    </w:p>
    <w:p>
      <w:pPr>
        <w:pStyle w:val="BodyText"/>
        <w:spacing w:before="3"/>
        <w:rPr>
          <w:sz w:val="25"/>
        </w:rPr>
      </w:pPr>
    </w:p>
    <w:p>
      <w:pPr>
        <w:pStyle w:val="BodyText"/>
        <w:spacing w:line="288" w:lineRule="auto"/>
        <w:ind w:left="525" w:right="732"/>
        <w:jc w:val="both"/>
      </w:pPr>
      <w:r>
        <w:rPr/>
        <w:t>Opstillingen</w:t>
      </w:r>
      <w:r>
        <w:rPr>
          <w:spacing w:val="-12"/>
        </w:rPr>
        <w:t> </w:t>
      </w:r>
      <w:r>
        <w:rPr/>
        <w:t>af</w:t>
      </w:r>
      <w:r>
        <w:rPr>
          <w:spacing w:val="-10"/>
        </w:rPr>
        <w:t> </w:t>
      </w:r>
      <w:r>
        <w:rPr/>
        <w:t>de</w:t>
      </w:r>
      <w:r>
        <w:rPr>
          <w:spacing w:val="-10"/>
        </w:rPr>
        <w:t> </w:t>
      </w:r>
      <w:r>
        <w:rPr/>
        <w:t>to</w:t>
      </w:r>
      <w:r>
        <w:rPr>
          <w:spacing w:val="-11"/>
        </w:rPr>
        <w:t> </w:t>
      </w:r>
      <w:r>
        <w:rPr/>
        <w:t>delmodeller</w:t>
      </w:r>
      <w:r>
        <w:rPr>
          <w:spacing w:val="-14"/>
        </w:rPr>
        <w:t> </w:t>
      </w:r>
      <w:r>
        <w:rPr/>
        <w:t>for</w:t>
      </w:r>
      <w:r>
        <w:rPr>
          <w:spacing w:val="-11"/>
        </w:rPr>
        <w:t> </w:t>
      </w:r>
      <w:r>
        <w:rPr/>
        <w:t>Storå</w:t>
      </w:r>
      <w:r>
        <w:rPr>
          <w:spacing w:val="-14"/>
        </w:rPr>
        <w:t> </w:t>
      </w:r>
      <w:r>
        <w:rPr/>
        <w:t>og</w:t>
      </w:r>
      <w:r>
        <w:rPr>
          <w:spacing w:val="-10"/>
        </w:rPr>
        <w:t> </w:t>
      </w:r>
      <w:r>
        <w:rPr/>
        <w:t>Odense</w:t>
      </w:r>
      <w:r>
        <w:rPr>
          <w:spacing w:val="-13"/>
        </w:rPr>
        <w:t> </w:t>
      </w:r>
      <w:r>
        <w:rPr/>
        <w:t>Å</w:t>
      </w:r>
      <w:r>
        <w:rPr>
          <w:spacing w:val="-10"/>
        </w:rPr>
        <w:t> </w:t>
      </w:r>
      <w:r>
        <w:rPr/>
        <w:t>har</w:t>
      </w:r>
      <w:r>
        <w:rPr>
          <w:spacing w:val="-11"/>
        </w:rPr>
        <w:t> </w:t>
      </w:r>
      <w:r>
        <w:rPr/>
        <w:t>vist,</w:t>
      </w:r>
      <w:r>
        <w:rPr>
          <w:spacing w:val="-12"/>
        </w:rPr>
        <w:t> </w:t>
      </w:r>
      <w:r>
        <w:rPr/>
        <w:t>at</w:t>
      </w:r>
      <w:r>
        <w:rPr>
          <w:spacing w:val="-12"/>
        </w:rPr>
        <w:t> </w:t>
      </w:r>
      <w:r>
        <w:rPr/>
        <w:t>der</w:t>
      </w:r>
      <w:r>
        <w:rPr>
          <w:spacing w:val="-11"/>
        </w:rPr>
        <w:t> </w:t>
      </w:r>
      <w:r>
        <w:rPr/>
        <w:t>er</w:t>
      </w:r>
      <w:r>
        <w:rPr>
          <w:spacing w:val="-11"/>
        </w:rPr>
        <w:t> </w:t>
      </w:r>
      <w:r>
        <w:rPr/>
        <w:t>opnået</w:t>
      </w:r>
      <w:r>
        <w:rPr>
          <w:spacing w:val="-12"/>
        </w:rPr>
        <w:t> </w:t>
      </w:r>
      <w:r>
        <w:rPr/>
        <w:t>en</w:t>
      </w:r>
      <w:r>
        <w:rPr>
          <w:spacing w:val="-10"/>
        </w:rPr>
        <w:t> </w:t>
      </w:r>
      <w:r>
        <w:rPr/>
        <w:t>forbedret beskrivelse af terrænnært grundvand. Overgangen fra 500 m til 100 m opløsning giver samme performance på store vandføringsstationer men forbedret performance på små op- lande. Der opnås en lidt bedre performance på terrænnært grundvand med den forfinede 100 m model med en opnået middel absolut fejl på den kalibrerede models dybde til det terrænnære grundvandsspejl på 1.0-2.0 m (1.5-3.0 m for valideringstesten). Denne perfor- mance</w:t>
      </w:r>
      <w:r>
        <w:rPr>
          <w:spacing w:val="-6"/>
        </w:rPr>
        <w:t> </w:t>
      </w:r>
      <w:r>
        <w:rPr/>
        <w:t>er</w:t>
      </w:r>
      <w:r>
        <w:rPr>
          <w:spacing w:val="-7"/>
        </w:rPr>
        <w:t> </w:t>
      </w:r>
      <w:r>
        <w:rPr/>
        <w:t>forbedret</w:t>
      </w:r>
      <w:r>
        <w:rPr>
          <w:spacing w:val="-8"/>
        </w:rPr>
        <w:t> </w:t>
      </w:r>
      <w:r>
        <w:rPr/>
        <w:t>i</w:t>
      </w:r>
      <w:r>
        <w:rPr>
          <w:spacing w:val="-4"/>
        </w:rPr>
        <w:t> </w:t>
      </w:r>
      <w:r>
        <w:rPr/>
        <w:t>forhold</w:t>
      </w:r>
      <w:r>
        <w:rPr>
          <w:spacing w:val="-6"/>
        </w:rPr>
        <w:t> </w:t>
      </w:r>
      <w:r>
        <w:rPr/>
        <w:t>til</w:t>
      </w:r>
      <w:r>
        <w:rPr>
          <w:spacing w:val="-5"/>
        </w:rPr>
        <w:t> </w:t>
      </w:r>
      <w:r>
        <w:rPr/>
        <w:t>baseline</w:t>
      </w:r>
      <w:r>
        <w:rPr>
          <w:spacing w:val="-8"/>
        </w:rPr>
        <w:t> </w:t>
      </w:r>
      <w:r>
        <w:rPr/>
        <w:t>DK-modellen</w:t>
      </w:r>
      <w:r>
        <w:rPr>
          <w:spacing w:val="-7"/>
        </w:rPr>
        <w:t> </w:t>
      </w:r>
      <w:r>
        <w:rPr/>
        <w:t>og</w:t>
      </w:r>
      <w:r>
        <w:rPr>
          <w:spacing w:val="-6"/>
        </w:rPr>
        <w:t> </w:t>
      </w:r>
      <w:r>
        <w:rPr/>
        <w:t>tæt</w:t>
      </w:r>
      <w:r>
        <w:rPr>
          <w:spacing w:val="-8"/>
        </w:rPr>
        <w:t> </w:t>
      </w:r>
      <w:r>
        <w:rPr/>
        <w:t>på</w:t>
      </w:r>
      <w:r>
        <w:rPr>
          <w:spacing w:val="-6"/>
        </w:rPr>
        <w:t> </w:t>
      </w:r>
      <w:r>
        <w:rPr/>
        <w:t>den</w:t>
      </w:r>
      <w:r>
        <w:rPr>
          <w:spacing w:val="-5"/>
        </w:rPr>
        <w:t> </w:t>
      </w:r>
      <w:r>
        <w:rPr/>
        <w:t>ønskede</w:t>
      </w:r>
      <w:r>
        <w:rPr>
          <w:spacing w:val="-6"/>
        </w:rPr>
        <w:t> </w:t>
      </w:r>
      <w:r>
        <w:rPr/>
        <w:t>nøjagtighed</w:t>
      </w:r>
      <w:r>
        <w:rPr>
          <w:spacing w:val="-6"/>
        </w:rPr>
        <w:t> </w:t>
      </w:r>
      <w:r>
        <w:rPr>
          <w:spacing w:val="-3"/>
        </w:rPr>
        <w:t>på </w:t>
      </w:r>
      <w:r>
        <w:rPr/>
        <w:t>0.5-1 m for 80-90 % af observationerne. Der er foretaget en test af timeværdi input i stedet for daglig nedbør i såvel Storå som Odense Å. Resultaterne viser kun en ubetydelig forskel i forhold til dybde til grundvandsstand og simulering af vandstand i større vandløb for De- cember 2015</w:t>
      </w:r>
      <w:r>
        <w:rPr>
          <w:spacing w:val="-3"/>
        </w:rPr>
        <w:t> </w:t>
      </w:r>
      <w:r>
        <w:rPr/>
        <w:t>oversvømmelseshændelsen.</w:t>
      </w:r>
    </w:p>
    <w:p>
      <w:pPr>
        <w:pStyle w:val="BodyText"/>
        <w:spacing w:before="3"/>
        <w:rPr>
          <w:sz w:val="25"/>
        </w:rPr>
      </w:pPr>
    </w:p>
    <w:p>
      <w:pPr>
        <w:pStyle w:val="Heading5"/>
        <w:jc w:val="both"/>
        <w:rPr>
          <w:i/>
        </w:rPr>
      </w:pPr>
      <w:r>
        <w:rPr>
          <w:i/>
        </w:rPr>
        <w:t>Erfaringer med simulering af oversvømmelser</w:t>
      </w:r>
    </w:p>
    <w:p>
      <w:pPr>
        <w:pStyle w:val="BodyText"/>
        <w:spacing w:line="288" w:lineRule="auto" w:before="47"/>
        <w:ind w:left="525" w:right="730"/>
        <w:jc w:val="both"/>
      </w:pPr>
      <w:r>
        <w:rPr/>
        <w:t>Til</w:t>
      </w:r>
      <w:r>
        <w:rPr>
          <w:spacing w:val="-11"/>
        </w:rPr>
        <w:t> </w:t>
      </w:r>
      <w:r>
        <w:rPr/>
        <w:t>brug</w:t>
      </w:r>
      <w:r>
        <w:rPr>
          <w:spacing w:val="-11"/>
        </w:rPr>
        <w:t> </w:t>
      </w:r>
      <w:r>
        <w:rPr/>
        <w:t>for</w:t>
      </w:r>
      <w:r>
        <w:rPr>
          <w:spacing w:val="-12"/>
        </w:rPr>
        <w:t> </w:t>
      </w:r>
      <w:r>
        <w:rPr/>
        <w:t>simulering</w:t>
      </w:r>
      <w:r>
        <w:rPr>
          <w:spacing w:val="-10"/>
        </w:rPr>
        <w:t> </w:t>
      </w:r>
      <w:r>
        <w:rPr/>
        <w:t>af</w:t>
      </w:r>
      <w:r>
        <w:rPr>
          <w:spacing w:val="-11"/>
        </w:rPr>
        <w:t> </w:t>
      </w:r>
      <w:r>
        <w:rPr/>
        <w:t>udbredelse</w:t>
      </w:r>
      <w:r>
        <w:rPr>
          <w:spacing w:val="-11"/>
        </w:rPr>
        <w:t> </w:t>
      </w:r>
      <w:r>
        <w:rPr/>
        <w:t>af</w:t>
      </w:r>
      <w:r>
        <w:rPr>
          <w:spacing w:val="-11"/>
        </w:rPr>
        <w:t> </w:t>
      </w:r>
      <w:r>
        <w:rPr/>
        <w:t>oversvømmelser</w:t>
      </w:r>
      <w:r>
        <w:rPr>
          <w:spacing w:val="-11"/>
        </w:rPr>
        <w:t> </w:t>
      </w:r>
      <w:r>
        <w:rPr/>
        <w:t>fra</w:t>
      </w:r>
      <w:r>
        <w:rPr>
          <w:spacing w:val="-12"/>
        </w:rPr>
        <w:t> </w:t>
      </w:r>
      <w:r>
        <w:rPr/>
        <w:t>grundvand</w:t>
      </w:r>
      <w:r>
        <w:rPr>
          <w:spacing w:val="-10"/>
        </w:rPr>
        <w:t> </w:t>
      </w:r>
      <w:r>
        <w:rPr/>
        <w:t>og</w:t>
      </w:r>
      <w:r>
        <w:rPr>
          <w:spacing w:val="-11"/>
        </w:rPr>
        <w:t> </w:t>
      </w:r>
      <w:r>
        <w:rPr/>
        <w:t>vandløb</w:t>
      </w:r>
      <w:r>
        <w:rPr>
          <w:spacing w:val="-13"/>
        </w:rPr>
        <w:t> </w:t>
      </w:r>
      <w:r>
        <w:rPr/>
        <w:t>med</w:t>
      </w:r>
      <w:r>
        <w:rPr>
          <w:spacing w:val="-12"/>
        </w:rPr>
        <w:t> </w:t>
      </w:r>
      <w:r>
        <w:rPr/>
        <w:t>vand på</w:t>
      </w:r>
      <w:r>
        <w:rPr>
          <w:spacing w:val="-14"/>
        </w:rPr>
        <w:t> </w:t>
      </w:r>
      <w:r>
        <w:rPr/>
        <w:t>terræn</w:t>
      </w:r>
      <w:r>
        <w:rPr>
          <w:spacing w:val="-14"/>
        </w:rPr>
        <w:t> </w:t>
      </w:r>
      <w:r>
        <w:rPr/>
        <w:t>er</w:t>
      </w:r>
      <w:r>
        <w:rPr>
          <w:spacing w:val="-14"/>
        </w:rPr>
        <w:t> </w:t>
      </w:r>
      <w:r>
        <w:rPr/>
        <w:t>der</w:t>
      </w:r>
      <w:r>
        <w:rPr>
          <w:spacing w:val="-14"/>
        </w:rPr>
        <w:t> </w:t>
      </w:r>
      <w:r>
        <w:rPr/>
        <w:t>udarbejdet</w:t>
      </w:r>
      <w:r>
        <w:rPr>
          <w:spacing w:val="-14"/>
        </w:rPr>
        <w:t> </w:t>
      </w:r>
      <w:r>
        <w:rPr/>
        <w:t>to</w:t>
      </w:r>
      <w:r>
        <w:rPr>
          <w:spacing w:val="-13"/>
        </w:rPr>
        <w:t> </w:t>
      </w:r>
      <w:r>
        <w:rPr/>
        <w:t>moduler.</w:t>
      </w:r>
      <w:r>
        <w:rPr>
          <w:spacing w:val="-17"/>
        </w:rPr>
        <w:t> </w:t>
      </w:r>
      <w:r>
        <w:rPr/>
        <w:t>Dels</w:t>
      </w:r>
      <w:r>
        <w:rPr>
          <w:spacing w:val="-13"/>
        </w:rPr>
        <w:t> </w:t>
      </w:r>
      <w:r>
        <w:rPr/>
        <w:t>et</w:t>
      </w:r>
      <w:r>
        <w:rPr>
          <w:spacing w:val="-14"/>
        </w:rPr>
        <w:t> </w:t>
      </w:r>
      <w:r>
        <w:rPr/>
        <w:t>GIS-modul</w:t>
      </w:r>
      <w:r>
        <w:rPr>
          <w:spacing w:val="-12"/>
        </w:rPr>
        <w:t> </w:t>
      </w:r>
      <w:r>
        <w:rPr/>
        <w:t>udarbejdet</w:t>
      </w:r>
      <w:r>
        <w:rPr>
          <w:spacing w:val="-14"/>
        </w:rPr>
        <w:t> </w:t>
      </w:r>
      <w:r>
        <w:rPr/>
        <w:t>af</w:t>
      </w:r>
      <w:r>
        <w:rPr>
          <w:spacing w:val="-12"/>
        </w:rPr>
        <w:t> </w:t>
      </w:r>
      <w:r>
        <w:rPr/>
        <w:t>COWI</w:t>
      </w:r>
      <w:r>
        <w:rPr>
          <w:spacing w:val="-19"/>
        </w:rPr>
        <w:t> </w:t>
      </w:r>
      <w:r>
        <w:rPr/>
        <w:t>til</w:t>
      </w:r>
      <w:r>
        <w:rPr>
          <w:spacing w:val="-12"/>
        </w:rPr>
        <w:t> </w:t>
      </w:r>
      <w:r>
        <w:rPr/>
        <w:t>udbredelse af vand på terræn ud fra beregnede vandstande fra vandløbsmodel (fx MIKE HYDRO River eller HYMOD ’resultatfil’ med længdeprofil af vandstanden i vandløbet), som benytter data fra Danmarks Højdemodel, og dels et modul udviklet af GEUS til nedskalering af simuleret dybde til grundvandsspejl for et 500 m eller 100 m grid, til 10 m grid (eller finere) ligeledes vha. Danmarks Højdemodel. Modulerne er testet med et lovende resultat i forhold til over- svømmelseshændelser i Storå og Odense Å for December 2015 og vurderet i forhold til sa- tellitdata</w:t>
      </w:r>
      <w:r>
        <w:rPr>
          <w:spacing w:val="-2"/>
        </w:rPr>
        <w:t> </w:t>
      </w:r>
      <w:r>
        <w:rPr/>
        <w:t>(Sentinel-1).</w:t>
      </w:r>
    </w:p>
    <w:p>
      <w:pPr>
        <w:pStyle w:val="BodyText"/>
        <w:spacing w:before="4"/>
        <w:rPr>
          <w:sz w:val="25"/>
        </w:rPr>
      </w:pPr>
    </w:p>
    <w:p>
      <w:pPr>
        <w:pStyle w:val="BodyText"/>
        <w:spacing w:line="288" w:lineRule="auto"/>
        <w:ind w:left="525" w:right="730"/>
        <w:jc w:val="both"/>
      </w:pPr>
      <w:r>
        <w:rPr/>
        <w:t>Nedskaleringen af dybde til terrænnært grundvand med brug af Danmarks Højdemodel ser fornuftig</w:t>
      </w:r>
      <w:r>
        <w:rPr>
          <w:spacing w:val="-9"/>
        </w:rPr>
        <w:t> </w:t>
      </w:r>
      <w:r>
        <w:rPr/>
        <w:t>ud</w:t>
      </w:r>
      <w:r>
        <w:rPr>
          <w:spacing w:val="-8"/>
        </w:rPr>
        <w:t> </w:t>
      </w:r>
      <w:r>
        <w:rPr/>
        <w:t>og</w:t>
      </w:r>
      <w:r>
        <w:rPr>
          <w:spacing w:val="-8"/>
        </w:rPr>
        <w:t> </w:t>
      </w:r>
      <w:r>
        <w:rPr/>
        <w:t>udmærker</w:t>
      </w:r>
      <w:r>
        <w:rPr>
          <w:spacing w:val="-9"/>
        </w:rPr>
        <w:t> </w:t>
      </w:r>
      <w:r>
        <w:rPr/>
        <w:t>sig</w:t>
      </w:r>
      <w:r>
        <w:rPr>
          <w:spacing w:val="-8"/>
        </w:rPr>
        <w:t> </w:t>
      </w:r>
      <w:r>
        <w:rPr/>
        <w:t>ved</w:t>
      </w:r>
      <w:r>
        <w:rPr>
          <w:spacing w:val="-8"/>
        </w:rPr>
        <w:t> </w:t>
      </w:r>
      <w:r>
        <w:rPr/>
        <w:t>sin</w:t>
      </w:r>
      <w:r>
        <w:rPr>
          <w:spacing w:val="-8"/>
        </w:rPr>
        <w:t> </w:t>
      </w:r>
      <w:r>
        <w:rPr/>
        <w:t>simpelhed.</w:t>
      </w:r>
      <w:r>
        <w:rPr>
          <w:spacing w:val="-8"/>
        </w:rPr>
        <w:t> </w:t>
      </w:r>
      <w:r>
        <w:rPr/>
        <w:t>Det</w:t>
      </w:r>
      <w:r>
        <w:rPr>
          <w:spacing w:val="-11"/>
        </w:rPr>
        <w:t> </w:t>
      </w:r>
      <w:r>
        <w:rPr/>
        <w:t>kan</w:t>
      </w:r>
      <w:r>
        <w:rPr>
          <w:spacing w:val="-8"/>
        </w:rPr>
        <w:t> </w:t>
      </w:r>
      <w:r>
        <w:rPr/>
        <w:t>dog</w:t>
      </w:r>
      <w:r>
        <w:rPr>
          <w:spacing w:val="-10"/>
        </w:rPr>
        <w:t> </w:t>
      </w:r>
      <w:r>
        <w:rPr/>
        <w:t>ikke</w:t>
      </w:r>
      <w:r>
        <w:rPr>
          <w:spacing w:val="-11"/>
        </w:rPr>
        <w:t> </w:t>
      </w:r>
      <w:r>
        <w:rPr/>
        <w:t>kvantitativt</w:t>
      </w:r>
      <w:r>
        <w:rPr>
          <w:spacing w:val="-9"/>
        </w:rPr>
        <w:t> </w:t>
      </w:r>
      <w:r>
        <w:rPr/>
        <w:t>ud</w:t>
      </w:r>
      <w:r>
        <w:rPr>
          <w:spacing w:val="-8"/>
        </w:rPr>
        <w:t> </w:t>
      </w:r>
      <w:r>
        <w:rPr/>
        <w:t>fra</w:t>
      </w:r>
      <w:r>
        <w:rPr>
          <w:spacing w:val="-11"/>
        </w:rPr>
        <w:t> </w:t>
      </w:r>
      <w:r>
        <w:rPr/>
        <w:t>målinger fastslås med sikkerhed om det nedskalerede produkt er mere nøjagtigt end et 100 m grid produkt. Imidlertid udpeges ved nedskaleringen områder langs mere snævre vandløbsdale og lavninger, som umiddelbart øger troværdigheden. Resultaterne fra grundvandsmodellen af dybde til terrænnært grundvand giver et godt bud på områder med risiko for oversvøm- melse fra vandløb. Kombineret brug af de to kort kan give et anvendeligt</w:t>
      </w:r>
      <w:r>
        <w:rPr>
          <w:spacing w:val="-24"/>
        </w:rPr>
        <w:t> </w:t>
      </w:r>
      <w:r>
        <w:rPr/>
        <w:t>screeningskort.</w:t>
      </w:r>
    </w:p>
    <w:p>
      <w:pPr>
        <w:spacing w:after="0" w:line="288" w:lineRule="auto"/>
        <w:jc w:val="both"/>
        <w:sectPr>
          <w:pgSz w:w="11910" w:h="16850"/>
          <w:pgMar w:header="0" w:footer="857" w:top="1340" w:bottom="1120" w:left="1460" w:right="680"/>
        </w:sectPr>
      </w:pPr>
    </w:p>
    <w:p>
      <w:pPr>
        <w:pStyle w:val="BodyText"/>
        <w:spacing w:line="288" w:lineRule="auto" w:before="75"/>
        <w:ind w:left="525" w:right="731"/>
        <w:jc w:val="both"/>
      </w:pPr>
      <w:r>
        <w:rPr/>
        <w:t>Betydning af usikkerheder på simuleret vandstand i vandløb i forhold til kortlagte oversvøm- mede arealer kan undersøges ved sensitivitetsanalyser, hvor der for en strækning i Storå er tillagt hhv. 20 cm (svarende til den gennemsnitlig usikkerhed) og 50 cm (svarende til den maksimale usikkerhed) for oversvømmelseshændelsen i december 2017.</w:t>
      </w:r>
    </w:p>
    <w:p>
      <w:pPr>
        <w:pStyle w:val="BodyText"/>
        <w:spacing w:before="3"/>
        <w:rPr>
          <w:sz w:val="25"/>
        </w:rPr>
      </w:pPr>
    </w:p>
    <w:p>
      <w:pPr>
        <w:pStyle w:val="Heading5"/>
        <w:spacing w:line="285" w:lineRule="auto"/>
        <w:ind w:right="737"/>
        <w:jc w:val="both"/>
      </w:pPr>
      <w:r>
        <w:rPr>
          <w:i/>
        </w:rPr>
        <w:t>Erfaringer</w:t>
      </w:r>
      <w:r>
        <w:rPr>
          <w:i/>
          <w:spacing w:val="-11"/>
        </w:rPr>
        <w:t> </w:t>
      </w:r>
      <w:r>
        <w:rPr>
          <w:i/>
        </w:rPr>
        <w:t>med</w:t>
      </w:r>
      <w:r>
        <w:rPr>
          <w:i/>
          <w:spacing w:val="-11"/>
        </w:rPr>
        <w:t> </w:t>
      </w:r>
      <w:r>
        <w:rPr>
          <w:i/>
        </w:rPr>
        <w:t>500</w:t>
      </w:r>
      <w:r>
        <w:rPr>
          <w:i/>
          <w:spacing w:val="-11"/>
        </w:rPr>
        <w:t> </w:t>
      </w:r>
      <w:r>
        <w:rPr>
          <w:i/>
        </w:rPr>
        <w:t>m</w:t>
      </w:r>
      <w:r>
        <w:rPr>
          <w:i/>
          <w:spacing w:val="-10"/>
        </w:rPr>
        <w:t> </w:t>
      </w:r>
      <w:r>
        <w:rPr>
          <w:i/>
        </w:rPr>
        <w:t>opløsning</w:t>
      </w:r>
      <w:r>
        <w:rPr>
          <w:i/>
          <w:spacing w:val="-10"/>
        </w:rPr>
        <w:t> </w:t>
      </w:r>
      <w:r>
        <w:rPr>
          <w:i/>
        </w:rPr>
        <w:t>i</w:t>
      </w:r>
      <w:r>
        <w:rPr>
          <w:i/>
          <w:spacing w:val="-12"/>
        </w:rPr>
        <w:t> </w:t>
      </w:r>
      <w:r>
        <w:rPr>
          <w:i/>
        </w:rPr>
        <w:t>kalibrering</w:t>
      </w:r>
      <w:r>
        <w:rPr>
          <w:i/>
          <w:spacing w:val="-9"/>
        </w:rPr>
        <w:t> </w:t>
      </w:r>
      <w:r>
        <w:rPr>
          <w:i/>
        </w:rPr>
        <w:t>af</w:t>
      </w:r>
      <w:r>
        <w:rPr>
          <w:i/>
          <w:spacing w:val="-11"/>
        </w:rPr>
        <w:t> </w:t>
      </w:r>
      <w:r>
        <w:rPr>
          <w:i/>
        </w:rPr>
        <w:t>grundvandsmodel</w:t>
      </w:r>
      <w:r>
        <w:rPr>
          <w:i/>
          <w:spacing w:val="-12"/>
        </w:rPr>
        <w:t> </w:t>
      </w:r>
      <w:r>
        <w:rPr>
          <w:i/>
        </w:rPr>
        <w:t>og</w:t>
      </w:r>
      <w:r>
        <w:rPr>
          <w:i/>
          <w:spacing w:val="-10"/>
        </w:rPr>
        <w:t> </w:t>
      </w:r>
      <w:r>
        <w:rPr>
          <w:i/>
        </w:rPr>
        <w:t>100</w:t>
      </w:r>
      <w:r>
        <w:rPr>
          <w:i/>
          <w:spacing w:val="-9"/>
        </w:rPr>
        <w:t> </w:t>
      </w:r>
      <w:r>
        <w:rPr>
          <w:i/>
        </w:rPr>
        <w:t>m</w:t>
      </w:r>
      <w:r>
        <w:rPr>
          <w:i/>
          <w:spacing w:val="-11"/>
        </w:rPr>
        <w:t> </w:t>
      </w:r>
      <w:r>
        <w:rPr>
          <w:i/>
        </w:rPr>
        <w:t>opløsning </w:t>
      </w:r>
      <w:r>
        <w:rPr/>
        <w:t>i</w:t>
      </w:r>
      <w:r>
        <w:rPr>
          <w:spacing w:val="-2"/>
        </w:rPr>
        <w:t> </w:t>
      </w:r>
      <w:r>
        <w:rPr/>
        <w:t>produktionskørsler</w:t>
      </w:r>
    </w:p>
    <w:p>
      <w:pPr>
        <w:pStyle w:val="BodyText"/>
        <w:spacing w:line="288" w:lineRule="auto" w:before="4"/>
        <w:ind w:left="525" w:right="731"/>
        <w:jc w:val="both"/>
      </w:pPr>
      <w:r>
        <w:rPr/>
        <w:t>Der</w:t>
      </w:r>
      <w:r>
        <w:rPr>
          <w:spacing w:val="-5"/>
        </w:rPr>
        <w:t> </w:t>
      </w:r>
      <w:r>
        <w:rPr/>
        <w:t>er</w:t>
      </w:r>
      <w:r>
        <w:rPr>
          <w:spacing w:val="-7"/>
        </w:rPr>
        <w:t> </w:t>
      </w:r>
      <w:r>
        <w:rPr/>
        <w:t>lavet</w:t>
      </w:r>
      <w:r>
        <w:rPr>
          <w:spacing w:val="-5"/>
        </w:rPr>
        <w:t> </w:t>
      </w:r>
      <w:r>
        <w:rPr/>
        <w:t>en</w:t>
      </w:r>
      <w:r>
        <w:rPr>
          <w:spacing w:val="-3"/>
        </w:rPr>
        <w:t> </w:t>
      </w:r>
      <w:r>
        <w:rPr/>
        <w:t>test</w:t>
      </w:r>
      <w:r>
        <w:rPr>
          <w:spacing w:val="-5"/>
        </w:rPr>
        <w:t> </w:t>
      </w:r>
      <w:r>
        <w:rPr/>
        <w:t>af</w:t>
      </w:r>
      <w:r>
        <w:rPr>
          <w:spacing w:val="-5"/>
        </w:rPr>
        <w:t> </w:t>
      </w:r>
      <w:r>
        <w:rPr/>
        <w:t>brug</w:t>
      </w:r>
      <w:r>
        <w:rPr>
          <w:spacing w:val="-4"/>
        </w:rPr>
        <w:t> </w:t>
      </w:r>
      <w:r>
        <w:rPr/>
        <w:t>af</w:t>
      </w:r>
      <w:r>
        <w:rPr>
          <w:spacing w:val="-2"/>
        </w:rPr>
        <w:t> </w:t>
      </w:r>
      <w:r>
        <w:rPr/>
        <w:t>optimerede</w:t>
      </w:r>
      <w:r>
        <w:rPr>
          <w:spacing w:val="-6"/>
        </w:rPr>
        <w:t> </w:t>
      </w:r>
      <w:r>
        <w:rPr/>
        <w:t>parametre</w:t>
      </w:r>
      <w:r>
        <w:rPr>
          <w:spacing w:val="-4"/>
        </w:rPr>
        <w:t> </w:t>
      </w:r>
      <w:r>
        <w:rPr/>
        <w:t>fra</w:t>
      </w:r>
      <w:r>
        <w:rPr>
          <w:spacing w:val="-4"/>
        </w:rPr>
        <w:t> </w:t>
      </w:r>
      <w:r>
        <w:rPr/>
        <w:t>500</w:t>
      </w:r>
      <w:r>
        <w:rPr>
          <w:spacing w:val="-6"/>
        </w:rPr>
        <w:t> </w:t>
      </w:r>
      <w:r>
        <w:rPr/>
        <w:t>m</w:t>
      </w:r>
      <w:r>
        <w:rPr>
          <w:spacing w:val="-5"/>
        </w:rPr>
        <w:t> </w:t>
      </w:r>
      <w:r>
        <w:rPr/>
        <w:t>model</w:t>
      </w:r>
      <w:r>
        <w:rPr>
          <w:spacing w:val="-3"/>
        </w:rPr>
        <w:t> </w:t>
      </w:r>
      <w:r>
        <w:rPr/>
        <w:t>i</w:t>
      </w:r>
      <w:r>
        <w:rPr>
          <w:spacing w:val="-3"/>
        </w:rPr>
        <w:t> </w:t>
      </w:r>
      <w:r>
        <w:rPr/>
        <w:t>100</w:t>
      </w:r>
      <w:r>
        <w:rPr>
          <w:spacing w:val="-7"/>
        </w:rPr>
        <w:t> </w:t>
      </w:r>
      <w:r>
        <w:rPr/>
        <w:t>m</w:t>
      </w:r>
      <w:r>
        <w:rPr>
          <w:spacing w:val="-4"/>
        </w:rPr>
        <w:t> </w:t>
      </w:r>
      <w:r>
        <w:rPr/>
        <w:t>model.</w:t>
      </w:r>
      <w:r>
        <w:rPr>
          <w:spacing w:val="-5"/>
        </w:rPr>
        <w:t> </w:t>
      </w:r>
      <w:r>
        <w:rPr/>
        <w:t>Testen har vist, at flertallet af parametre vil kunne kalibreres i 500 m, mens et par parametre fx drændybde er skalaafhængig, og skal kalibreres i 100 </w:t>
      </w:r>
      <w:r>
        <w:rPr>
          <w:spacing w:val="2"/>
        </w:rPr>
        <w:t>m. </w:t>
      </w:r>
      <w:r>
        <w:rPr/>
        <w:t>Ved at kalibrere grundvand og vandbalance</w:t>
      </w:r>
      <w:r>
        <w:rPr>
          <w:spacing w:val="-11"/>
        </w:rPr>
        <w:t> </w:t>
      </w:r>
      <w:r>
        <w:rPr/>
        <w:t>med</w:t>
      </w:r>
      <w:r>
        <w:rPr>
          <w:spacing w:val="-10"/>
        </w:rPr>
        <w:t> </w:t>
      </w:r>
      <w:r>
        <w:rPr/>
        <w:t>500</w:t>
      </w:r>
      <w:r>
        <w:rPr>
          <w:spacing w:val="-9"/>
        </w:rPr>
        <w:t> </w:t>
      </w:r>
      <w:r>
        <w:rPr/>
        <w:t>m</w:t>
      </w:r>
      <w:r>
        <w:rPr>
          <w:spacing w:val="-12"/>
        </w:rPr>
        <w:t> </w:t>
      </w:r>
      <w:r>
        <w:rPr/>
        <w:t>model</w:t>
      </w:r>
      <w:r>
        <w:rPr>
          <w:spacing w:val="-9"/>
        </w:rPr>
        <w:t> </w:t>
      </w:r>
      <w:r>
        <w:rPr/>
        <w:t>er</w:t>
      </w:r>
      <w:r>
        <w:rPr>
          <w:spacing w:val="-10"/>
        </w:rPr>
        <w:t> </w:t>
      </w:r>
      <w:r>
        <w:rPr/>
        <w:t>det</w:t>
      </w:r>
      <w:r>
        <w:rPr>
          <w:spacing w:val="-12"/>
        </w:rPr>
        <w:t> </w:t>
      </w:r>
      <w:r>
        <w:rPr/>
        <w:t>muligt</w:t>
      </w:r>
      <w:r>
        <w:rPr>
          <w:spacing w:val="-11"/>
        </w:rPr>
        <w:t> </w:t>
      </w:r>
      <w:r>
        <w:rPr/>
        <w:t>at</w:t>
      </w:r>
      <w:r>
        <w:rPr>
          <w:spacing w:val="-11"/>
        </w:rPr>
        <w:t> </w:t>
      </w:r>
      <w:r>
        <w:rPr/>
        <w:t>reducere</w:t>
      </w:r>
      <w:r>
        <w:rPr>
          <w:spacing w:val="-11"/>
        </w:rPr>
        <w:t> </w:t>
      </w:r>
      <w:r>
        <w:rPr/>
        <w:t>beregningstiden</w:t>
      </w:r>
      <w:r>
        <w:rPr>
          <w:spacing w:val="-9"/>
        </w:rPr>
        <w:t> </w:t>
      </w:r>
      <w:r>
        <w:rPr/>
        <w:t>for</w:t>
      </w:r>
      <w:r>
        <w:rPr>
          <w:spacing w:val="-10"/>
        </w:rPr>
        <w:t> </w:t>
      </w:r>
      <w:r>
        <w:rPr/>
        <w:t>en</w:t>
      </w:r>
      <w:r>
        <w:rPr>
          <w:spacing w:val="-10"/>
        </w:rPr>
        <w:t> </w:t>
      </w:r>
      <w:r>
        <w:rPr/>
        <w:t>kalibrerings- kørsel</w:t>
      </w:r>
      <w:r>
        <w:rPr>
          <w:spacing w:val="-3"/>
        </w:rPr>
        <w:t> </w:t>
      </w:r>
      <w:r>
        <w:rPr/>
        <w:t>for</w:t>
      </w:r>
      <w:r>
        <w:rPr>
          <w:spacing w:val="-4"/>
        </w:rPr>
        <w:t> </w:t>
      </w:r>
      <w:r>
        <w:rPr/>
        <w:t>perioden</w:t>
      </w:r>
      <w:r>
        <w:rPr>
          <w:spacing w:val="-3"/>
        </w:rPr>
        <w:t> </w:t>
      </w:r>
      <w:r>
        <w:rPr/>
        <w:t>2000-2008</w:t>
      </w:r>
      <w:r>
        <w:rPr>
          <w:spacing w:val="-6"/>
        </w:rPr>
        <w:t> </w:t>
      </w:r>
      <w:r>
        <w:rPr/>
        <w:t>fra</w:t>
      </w:r>
      <w:r>
        <w:rPr>
          <w:spacing w:val="-4"/>
        </w:rPr>
        <w:t> </w:t>
      </w:r>
      <w:r>
        <w:rPr/>
        <w:t>6-7</w:t>
      </w:r>
      <w:r>
        <w:rPr>
          <w:spacing w:val="-4"/>
        </w:rPr>
        <w:t> </w:t>
      </w:r>
      <w:r>
        <w:rPr/>
        <w:t>timer</w:t>
      </w:r>
      <w:r>
        <w:rPr>
          <w:spacing w:val="-4"/>
        </w:rPr>
        <w:t> </w:t>
      </w:r>
      <w:r>
        <w:rPr/>
        <w:t>til</w:t>
      </w:r>
      <w:r>
        <w:rPr>
          <w:spacing w:val="-3"/>
        </w:rPr>
        <w:t> </w:t>
      </w:r>
      <w:r>
        <w:rPr/>
        <w:t>15</w:t>
      </w:r>
      <w:r>
        <w:rPr>
          <w:spacing w:val="-6"/>
        </w:rPr>
        <w:t> </w:t>
      </w:r>
      <w:r>
        <w:rPr/>
        <w:t>min</w:t>
      </w:r>
      <w:r>
        <w:rPr>
          <w:spacing w:val="-6"/>
        </w:rPr>
        <w:t> </w:t>
      </w:r>
      <w:r>
        <w:rPr/>
        <w:t>(der</w:t>
      </w:r>
      <w:r>
        <w:rPr>
          <w:spacing w:val="-4"/>
        </w:rPr>
        <w:t> </w:t>
      </w:r>
      <w:r>
        <w:rPr/>
        <w:t>laves</w:t>
      </w:r>
      <w:r>
        <w:rPr>
          <w:spacing w:val="-4"/>
        </w:rPr>
        <w:t> </w:t>
      </w:r>
      <w:r>
        <w:rPr/>
        <w:t>et</w:t>
      </w:r>
      <w:r>
        <w:rPr>
          <w:spacing w:val="-5"/>
        </w:rPr>
        <w:t> </w:t>
      </w:r>
      <w:r>
        <w:rPr/>
        <w:t>stort</w:t>
      </w:r>
      <w:r>
        <w:rPr>
          <w:spacing w:val="-5"/>
        </w:rPr>
        <w:t> </w:t>
      </w:r>
      <w:r>
        <w:rPr/>
        <w:t>antal</w:t>
      </w:r>
      <w:r>
        <w:rPr>
          <w:spacing w:val="-5"/>
        </w:rPr>
        <w:t> </w:t>
      </w:r>
      <w:r>
        <w:rPr/>
        <w:t>kørsler</w:t>
      </w:r>
      <w:r>
        <w:rPr>
          <w:spacing w:val="-4"/>
        </w:rPr>
        <w:t> </w:t>
      </w:r>
      <w:r>
        <w:rPr/>
        <w:t>i</w:t>
      </w:r>
      <w:r>
        <w:rPr>
          <w:spacing w:val="-5"/>
        </w:rPr>
        <w:t> </w:t>
      </w:r>
      <w:r>
        <w:rPr/>
        <w:t>forbin- delse med en invers kalibrering i forhold til pejlinger, afstrømninger, vandbalancer mm. og derfor</w:t>
      </w:r>
      <w:r>
        <w:rPr>
          <w:spacing w:val="-15"/>
        </w:rPr>
        <w:t> </w:t>
      </w:r>
      <w:r>
        <w:rPr/>
        <w:t>er</w:t>
      </w:r>
      <w:r>
        <w:rPr>
          <w:spacing w:val="-14"/>
        </w:rPr>
        <w:t> </w:t>
      </w:r>
      <w:r>
        <w:rPr/>
        <w:t>beregningstiden</w:t>
      </w:r>
      <w:r>
        <w:rPr>
          <w:spacing w:val="-15"/>
        </w:rPr>
        <w:t> </w:t>
      </w:r>
      <w:r>
        <w:rPr/>
        <w:t>vigtig).</w:t>
      </w:r>
      <w:r>
        <w:rPr>
          <w:spacing w:val="-15"/>
        </w:rPr>
        <w:t> </w:t>
      </w:r>
      <w:r>
        <w:rPr/>
        <w:t>Kombineret</w:t>
      </w:r>
      <w:r>
        <w:rPr>
          <w:spacing w:val="-14"/>
        </w:rPr>
        <w:t> </w:t>
      </w:r>
      <w:r>
        <w:rPr/>
        <w:t>brug</w:t>
      </w:r>
      <w:r>
        <w:rPr>
          <w:spacing w:val="-14"/>
        </w:rPr>
        <w:t> </w:t>
      </w:r>
      <w:r>
        <w:rPr/>
        <w:t>af</w:t>
      </w:r>
      <w:r>
        <w:rPr>
          <w:spacing w:val="-14"/>
        </w:rPr>
        <w:t> </w:t>
      </w:r>
      <w:r>
        <w:rPr/>
        <w:t>500</w:t>
      </w:r>
      <w:r>
        <w:rPr>
          <w:spacing w:val="-15"/>
        </w:rPr>
        <w:t> </w:t>
      </w:r>
      <w:r>
        <w:rPr/>
        <w:t>m</w:t>
      </w:r>
      <w:r>
        <w:rPr>
          <w:spacing w:val="-14"/>
        </w:rPr>
        <w:t> </w:t>
      </w:r>
      <w:r>
        <w:rPr/>
        <w:t>og</w:t>
      </w:r>
      <w:r>
        <w:rPr>
          <w:spacing w:val="-13"/>
        </w:rPr>
        <w:t> </w:t>
      </w:r>
      <w:r>
        <w:rPr/>
        <w:t>100</w:t>
      </w:r>
      <w:r>
        <w:rPr>
          <w:spacing w:val="-15"/>
        </w:rPr>
        <w:t> </w:t>
      </w:r>
      <w:r>
        <w:rPr/>
        <w:t>m</w:t>
      </w:r>
      <w:r>
        <w:rPr>
          <w:spacing w:val="-15"/>
        </w:rPr>
        <w:t> </w:t>
      </w:r>
      <w:r>
        <w:rPr/>
        <w:t>model</w:t>
      </w:r>
      <w:r>
        <w:rPr>
          <w:spacing w:val="-12"/>
        </w:rPr>
        <w:t> </w:t>
      </w:r>
      <w:r>
        <w:rPr/>
        <w:t>har</w:t>
      </w:r>
      <w:r>
        <w:rPr>
          <w:spacing w:val="-14"/>
        </w:rPr>
        <w:t> </w:t>
      </w:r>
      <w:r>
        <w:rPr/>
        <w:t>givet</w:t>
      </w:r>
      <w:r>
        <w:rPr>
          <w:spacing w:val="-14"/>
        </w:rPr>
        <w:t> </w:t>
      </w:r>
      <w:r>
        <w:rPr/>
        <w:t>fordele, fx har 500 m model med fordel kunnet anvendes til systematisk sammenligning af kalibre- ringsmetoder.</w:t>
      </w:r>
      <w:r>
        <w:rPr>
          <w:spacing w:val="-8"/>
        </w:rPr>
        <w:t> </w:t>
      </w:r>
      <w:r>
        <w:rPr/>
        <w:t>Efterfølgende</w:t>
      </w:r>
      <w:r>
        <w:rPr>
          <w:spacing w:val="-6"/>
        </w:rPr>
        <w:t> </w:t>
      </w:r>
      <w:r>
        <w:rPr/>
        <w:t>blev</w:t>
      </w:r>
      <w:r>
        <w:rPr>
          <w:spacing w:val="-8"/>
        </w:rPr>
        <w:t> </w:t>
      </w:r>
      <w:r>
        <w:rPr/>
        <w:t>100</w:t>
      </w:r>
      <w:r>
        <w:rPr>
          <w:spacing w:val="-7"/>
        </w:rPr>
        <w:t> </w:t>
      </w:r>
      <w:r>
        <w:rPr/>
        <w:t>m</w:t>
      </w:r>
      <w:r>
        <w:rPr>
          <w:spacing w:val="-7"/>
        </w:rPr>
        <w:t> </w:t>
      </w:r>
      <w:r>
        <w:rPr/>
        <w:t>modellen</w:t>
      </w:r>
      <w:r>
        <w:rPr>
          <w:spacing w:val="-8"/>
        </w:rPr>
        <w:t> </w:t>
      </w:r>
      <w:r>
        <w:rPr/>
        <w:t>kalibreret</w:t>
      </w:r>
      <w:r>
        <w:rPr>
          <w:spacing w:val="-9"/>
        </w:rPr>
        <w:t> </w:t>
      </w:r>
      <w:r>
        <w:rPr/>
        <w:t>med</w:t>
      </w:r>
      <w:r>
        <w:rPr>
          <w:spacing w:val="-7"/>
        </w:rPr>
        <w:t> </w:t>
      </w:r>
      <w:r>
        <w:rPr/>
        <w:t>den</w:t>
      </w:r>
      <w:r>
        <w:rPr>
          <w:spacing w:val="-8"/>
        </w:rPr>
        <w:t> </w:t>
      </w:r>
      <w:r>
        <w:rPr/>
        <w:t>mest</w:t>
      </w:r>
      <w:r>
        <w:rPr>
          <w:spacing w:val="-7"/>
        </w:rPr>
        <w:t> </w:t>
      </w:r>
      <w:r>
        <w:rPr/>
        <w:t>optimale</w:t>
      </w:r>
      <w:r>
        <w:rPr>
          <w:spacing w:val="-6"/>
        </w:rPr>
        <w:t> </w:t>
      </w:r>
      <w:r>
        <w:rPr/>
        <w:t>metodik identificeret på basis af den systematiske sammenligning af metodikker med 500 m model- len.</w:t>
      </w:r>
    </w:p>
    <w:p>
      <w:pPr>
        <w:pStyle w:val="BodyText"/>
        <w:spacing w:before="2"/>
        <w:rPr>
          <w:sz w:val="25"/>
        </w:rPr>
      </w:pPr>
    </w:p>
    <w:p>
      <w:pPr>
        <w:pStyle w:val="Heading2"/>
        <w:numPr>
          <w:ilvl w:val="1"/>
          <w:numId w:val="4"/>
        </w:numPr>
        <w:tabs>
          <w:tab w:pos="1142" w:val="left" w:leader="none"/>
        </w:tabs>
        <w:spacing w:line="240" w:lineRule="auto" w:before="0" w:after="0"/>
        <w:ind w:left="1142" w:right="0" w:hanging="617"/>
        <w:jc w:val="both"/>
      </w:pPr>
      <w:bookmarkStart w:name="_bookmark7" w:id="14"/>
      <w:bookmarkEnd w:id="14"/>
      <w:r>
        <w:rPr>
          <w:b w:val="0"/>
        </w:rPr>
      </w:r>
      <w:bookmarkStart w:name="_bookmark7" w:id="15"/>
      <w:bookmarkEnd w:id="15"/>
      <w:r>
        <w:rPr/>
        <w:t>A</w:t>
      </w:r>
      <w:r>
        <w:rPr/>
        <w:t>nvendelsespotentiale samt fordele og</w:t>
      </w:r>
      <w:r>
        <w:rPr>
          <w:spacing w:val="-2"/>
        </w:rPr>
        <w:t> </w:t>
      </w:r>
      <w:r>
        <w:rPr/>
        <w:t>ulemper</w:t>
      </w:r>
    </w:p>
    <w:p>
      <w:pPr>
        <w:pStyle w:val="BodyText"/>
        <w:spacing w:line="288" w:lineRule="auto" w:before="241"/>
        <w:ind w:left="525" w:right="731"/>
        <w:jc w:val="both"/>
      </w:pPr>
      <w:r>
        <w:rPr/>
        <w:t>Anvendelsespotentialer for landsdækkende modelberegninger til brug for planlægning blev diskuteret</w:t>
      </w:r>
      <w:r>
        <w:rPr>
          <w:spacing w:val="-11"/>
        </w:rPr>
        <w:t> </w:t>
      </w:r>
      <w:r>
        <w:rPr/>
        <w:t>på</w:t>
      </w:r>
      <w:r>
        <w:rPr>
          <w:spacing w:val="-8"/>
        </w:rPr>
        <w:t> </w:t>
      </w:r>
      <w:r>
        <w:rPr/>
        <w:t>projektmøder.</w:t>
      </w:r>
      <w:r>
        <w:rPr>
          <w:spacing w:val="-10"/>
        </w:rPr>
        <w:t> </w:t>
      </w:r>
      <w:r>
        <w:rPr/>
        <w:t>I</w:t>
      </w:r>
      <w:r>
        <w:rPr>
          <w:spacing w:val="-7"/>
        </w:rPr>
        <w:t> </w:t>
      </w:r>
      <w:r>
        <w:rPr/>
        <w:t>kapitel</w:t>
      </w:r>
      <w:r>
        <w:rPr>
          <w:spacing w:val="-7"/>
        </w:rPr>
        <w:t> </w:t>
      </w:r>
      <w:r>
        <w:rPr/>
        <w:t>8</w:t>
      </w:r>
      <w:r>
        <w:rPr>
          <w:spacing w:val="-8"/>
        </w:rPr>
        <w:t> </w:t>
      </w:r>
      <w:r>
        <w:rPr/>
        <w:t>præsenteres</w:t>
      </w:r>
      <w:r>
        <w:rPr>
          <w:spacing w:val="-8"/>
        </w:rPr>
        <w:t> </w:t>
      </w:r>
      <w:r>
        <w:rPr/>
        <w:t>fire</w:t>
      </w:r>
      <w:r>
        <w:rPr>
          <w:spacing w:val="-8"/>
        </w:rPr>
        <w:t> </w:t>
      </w:r>
      <w:r>
        <w:rPr/>
        <w:t>forskellige</w:t>
      </w:r>
      <w:r>
        <w:rPr>
          <w:spacing w:val="-8"/>
        </w:rPr>
        <w:t> </w:t>
      </w:r>
      <w:r>
        <w:rPr/>
        <w:t>løsningsscenarier</w:t>
      </w:r>
      <w:r>
        <w:rPr>
          <w:spacing w:val="-9"/>
        </w:rPr>
        <w:t> </w:t>
      </w:r>
      <w:r>
        <w:rPr/>
        <w:t>baseret på</w:t>
      </w:r>
      <w:r>
        <w:rPr>
          <w:spacing w:val="-13"/>
        </w:rPr>
        <w:t> </w:t>
      </w:r>
      <w:r>
        <w:rPr/>
        <w:t>hhv.</w:t>
      </w:r>
      <w:r>
        <w:rPr>
          <w:spacing w:val="-14"/>
        </w:rPr>
        <w:t> </w:t>
      </w:r>
      <w:r>
        <w:rPr/>
        <w:t>den</w:t>
      </w:r>
      <w:r>
        <w:rPr>
          <w:spacing w:val="-12"/>
        </w:rPr>
        <w:t> </w:t>
      </w:r>
      <w:r>
        <w:rPr/>
        <w:t>eksisterende</w:t>
      </w:r>
      <w:r>
        <w:rPr>
          <w:spacing w:val="-13"/>
        </w:rPr>
        <w:t> </w:t>
      </w:r>
      <w:r>
        <w:rPr/>
        <w:t>500</w:t>
      </w:r>
      <w:r>
        <w:rPr>
          <w:spacing w:val="-12"/>
        </w:rPr>
        <w:t> </w:t>
      </w:r>
      <w:r>
        <w:rPr/>
        <w:t>m</w:t>
      </w:r>
      <w:r>
        <w:rPr>
          <w:spacing w:val="-13"/>
        </w:rPr>
        <w:t> </w:t>
      </w:r>
      <w:r>
        <w:rPr/>
        <w:t>DK-model</w:t>
      </w:r>
      <w:r>
        <w:rPr>
          <w:spacing w:val="-12"/>
        </w:rPr>
        <w:t> </w:t>
      </w:r>
      <w:r>
        <w:rPr/>
        <w:t>(baseline),</w:t>
      </w:r>
      <w:r>
        <w:rPr>
          <w:spacing w:val="-13"/>
        </w:rPr>
        <w:t> </w:t>
      </w:r>
      <w:r>
        <w:rPr/>
        <w:t>en</w:t>
      </w:r>
      <w:r>
        <w:rPr>
          <w:spacing w:val="-13"/>
        </w:rPr>
        <w:t> </w:t>
      </w:r>
      <w:r>
        <w:rPr/>
        <w:t>forbedret</w:t>
      </w:r>
      <w:r>
        <w:rPr>
          <w:spacing w:val="-13"/>
        </w:rPr>
        <w:t> </w:t>
      </w:r>
      <w:r>
        <w:rPr/>
        <w:t>500</w:t>
      </w:r>
      <w:r>
        <w:rPr>
          <w:spacing w:val="-13"/>
        </w:rPr>
        <w:t> </w:t>
      </w:r>
      <w:r>
        <w:rPr/>
        <w:t>m</w:t>
      </w:r>
      <w:r>
        <w:rPr>
          <w:spacing w:val="-14"/>
        </w:rPr>
        <w:t> </w:t>
      </w:r>
      <w:r>
        <w:rPr/>
        <w:t>DK-model</w:t>
      </w:r>
      <w:r>
        <w:rPr>
          <w:spacing w:val="-10"/>
        </w:rPr>
        <w:t> </w:t>
      </w:r>
      <w:r>
        <w:rPr/>
        <w:t>(løsning I), transformering til en 100 m DK-model (løsning II), transformering til en 100 m DK-model med</w:t>
      </w:r>
      <w:r>
        <w:rPr>
          <w:spacing w:val="-9"/>
        </w:rPr>
        <w:t> </w:t>
      </w:r>
      <w:r>
        <w:rPr/>
        <w:t>fuld</w:t>
      </w:r>
      <w:r>
        <w:rPr>
          <w:spacing w:val="-9"/>
        </w:rPr>
        <w:t> </w:t>
      </w:r>
      <w:r>
        <w:rPr/>
        <w:t>hydrodynamisk</w:t>
      </w:r>
      <w:r>
        <w:rPr>
          <w:spacing w:val="-9"/>
        </w:rPr>
        <w:t> </w:t>
      </w:r>
      <w:r>
        <w:rPr/>
        <w:t>MIKE</w:t>
      </w:r>
      <w:r>
        <w:rPr>
          <w:spacing w:val="-9"/>
        </w:rPr>
        <w:t> </w:t>
      </w:r>
      <w:r>
        <w:rPr/>
        <w:t>HYDRO</w:t>
      </w:r>
      <w:r>
        <w:rPr>
          <w:spacing w:val="-9"/>
        </w:rPr>
        <w:t> </w:t>
      </w:r>
      <w:r>
        <w:rPr/>
        <w:t>River</w:t>
      </w:r>
      <w:r>
        <w:rPr>
          <w:spacing w:val="-10"/>
        </w:rPr>
        <w:t> </w:t>
      </w:r>
      <w:r>
        <w:rPr/>
        <w:t>løsning</w:t>
      </w:r>
      <w:r>
        <w:rPr>
          <w:spacing w:val="-8"/>
        </w:rPr>
        <w:t> </w:t>
      </w:r>
      <w:r>
        <w:rPr/>
        <w:t>(Løsning</w:t>
      </w:r>
      <w:r>
        <w:rPr>
          <w:spacing w:val="-9"/>
        </w:rPr>
        <w:t> </w:t>
      </w:r>
      <w:r>
        <w:rPr/>
        <w:t>III)</w:t>
      </w:r>
      <w:r>
        <w:rPr>
          <w:spacing w:val="-9"/>
        </w:rPr>
        <w:t> </w:t>
      </w:r>
      <w:r>
        <w:rPr/>
        <w:t>og</w:t>
      </w:r>
      <w:r>
        <w:rPr>
          <w:spacing w:val="-9"/>
        </w:rPr>
        <w:t> </w:t>
      </w:r>
      <w:r>
        <w:rPr/>
        <w:t>kombination</w:t>
      </w:r>
      <w:r>
        <w:rPr>
          <w:spacing w:val="-9"/>
        </w:rPr>
        <w:t> </w:t>
      </w:r>
      <w:r>
        <w:rPr/>
        <w:t>af</w:t>
      </w:r>
      <w:r>
        <w:rPr>
          <w:spacing w:val="-7"/>
        </w:rPr>
        <w:t> </w:t>
      </w:r>
      <w:r>
        <w:rPr/>
        <w:t>løsning I og II, dvs. kalibrering med 500 m model og efterfølgende modelkørsler i 100 m DK-model (Løsning IV). Se også </w:t>
      </w:r>
      <w:hyperlink w:history="true" w:anchor="_bookmark8">
        <w:r>
          <w:rPr/>
          <w:t>tabel 2 </w:t>
        </w:r>
      </w:hyperlink>
      <w:r>
        <w:rPr/>
        <w:t>der viser nøjagtigheder og kørselstider og </w:t>
      </w:r>
      <w:hyperlink w:history="true" w:anchor="_bookmark13">
        <w:r>
          <w:rPr/>
          <w:t>tabel 3</w:t>
        </w:r>
      </w:hyperlink>
      <w:hyperlink w:history="true" w:anchor="_bookmark13">
        <w:r>
          <w:rPr/>
          <w:t>Tabel 3 </w:t>
        </w:r>
      </w:hyperlink>
      <w:r>
        <w:rPr/>
        <w:t>der vurderer anvendelsespotentialer for de fire</w:t>
      </w:r>
      <w:r>
        <w:rPr>
          <w:spacing w:val="-9"/>
        </w:rPr>
        <w:t> </w:t>
      </w:r>
      <w:r>
        <w:rPr/>
        <w:t>løsningsmodeller:</w:t>
      </w:r>
    </w:p>
    <w:p>
      <w:pPr>
        <w:pStyle w:val="ListParagraph"/>
        <w:numPr>
          <w:ilvl w:val="2"/>
          <w:numId w:val="4"/>
        </w:numPr>
        <w:tabs>
          <w:tab w:pos="1245" w:val="left" w:leader="none"/>
          <w:tab w:pos="1246" w:val="left" w:leader="none"/>
        </w:tabs>
        <w:spacing w:line="271" w:lineRule="auto" w:before="3" w:after="0"/>
        <w:ind w:left="1245" w:right="901" w:hanging="360"/>
        <w:jc w:val="left"/>
        <w:rPr>
          <w:sz w:val="20"/>
        </w:rPr>
      </w:pPr>
      <w:r>
        <w:rPr>
          <w:sz w:val="20"/>
        </w:rPr>
        <w:t>Baseline: Anvendelse af den eksisterende DK-model 500 m koncept uden transforma- tion.</w:t>
      </w:r>
    </w:p>
    <w:p>
      <w:pPr>
        <w:pStyle w:val="ListParagraph"/>
        <w:numPr>
          <w:ilvl w:val="2"/>
          <w:numId w:val="4"/>
        </w:numPr>
        <w:tabs>
          <w:tab w:pos="1245" w:val="left" w:leader="none"/>
          <w:tab w:pos="1246" w:val="left" w:leader="none"/>
        </w:tabs>
        <w:spacing w:line="276" w:lineRule="auto" w:before="6" w:after="0"/>
        <w:ind w:left="1245" w:right="751" w:hanging="360"/>
        <w:jc w:val="left"/>
        <w:rPr>
          <w:sz w:val="20"/>
        </w:rPr>
      </w:pPr>
      <w:r>
        <w:rPr>
          <w:sz w:val="20"/>
        </w:rPr>
        <w:t>Løsning I: Anvendelse af forbedret DK-model 500 m. Modelforbedringen inkluderer nye metoder til bedre modellering af terrænnært grundvand (inkl. distribueret dræn og ny kalibreringsmetode)). Den eksisterende vandløbsmodel i DK-model anvendes til bereg- ning af vandløbsafstrømning. Efterfølgende nedskalering af simuleret dybde til grund- vandsspejlet fra 500 m til 100 m opløsning. Der er fri adgang til eksterne beregningsmo- duler, der er udviklet i projektet, således at brugerne selv kan anvende beregnet af- strømning (tværsnitsprofiler, bygværker og evt. havvandstand) til vandstandsberegning og oversvømmelseskortlægning, hvor der er behov. Beregnet vandløbsafstrømning fra DK-modellen kan også anvendes i mere avancerede vandstands- og oversvømmelses- modeller.</w:t>
      </w:r>
    </w:p>
    <w:p>
      <w:pPr>
        <w:pStyle w:val="ListParagraph"/>
        <w:numPr>
          <w:ilvl w:val="2"/>
          <w:numId w:val="4"/>
        </w:numPr>
        <w:tabs>
          <w:tab w:pos="1245" w:val="left" w:leader="none"/>
          <w:tab w:pos="1246" w:val="left" w:leader="none"/>
        </w:tabs>
        <w:spacing w:line="276" w:lineRule="auto" w:before="0" w:after="0"/>
        <w:ind w:left="1245" w:right="757" w:hanging="360"/>
        <w:jc w:val="left"/>
        <w:rPr>
          <w:sz w:val="20"/>
        </w:rPr>
      </w:pPr>
      <w:r>
        <w:rPr>
          <w:sz w:val="20"/>
        </w:rPr>
        <w:t>Løsning II: Anvendelse af den forbedrede DK-model 100 m. Modelforbedringen inklude- rer nye metoder til bedre modellering af terrænnært grundvand (inkl. distribuerede dræn og ny kalibreringsmetode). Efterfølgende nedskalering af simuleret dybde til grund- vandsspejlet fra fx 100 m til fx 10 m opløsning. Der anvendes en ny vandløbsgeometri (forbedret ’riverline’ og flere små vandløb i DK-modellen til beregning af vandløbsaf- strømning). Den ny ’riverline’ er kompatibel med Danmarks Højdemodel. Der er fri ad- gang til eksterne beregningsmodeller, der er udviklet i projektet, således at</w:t>
      </w:r>
      <w:r>
        <w:rPr>
          <w:spacing w:val="-17"/>
          <w:sz w:val="20"/>
        </w:rPr>
        <w:t> </w:t>
      </w:r>
      <w:r>
        <w:rPr>
          <w:sz w:val="20"/>
        </w:rPr>
        <w:t>brugerne</w:t>
      </w:r>
    </w:p>
    <w:p>
      <w:pPr>
        <w:spacing w:after="0" w:line="276" w:lineRule="auto"/>
        <w:jc w:val="left"/>
        <w:rPr>
          <w:sz w:val="20"/>
        </w:rPr>
        <w:sectPr>
          <w:pgSz w:w="11910" w:h="16850"/>
          <w:pgMar w:header="0" w:footer="857" w:top="1340" w:bottom="1120" w:left="1460" w:right="680"/>
        </w:sectPr>
      </w:pPr>
    </w:p>
    <w:p>
      <w:pPr>
        <w:spacing w:line="276" w:lineRule="auto" w:before="77"/>
        <w:ind w:left="1245" w:right="794" w:firstLine="0"/>
        <w:jc w:val="both"/>
        <w:rPr>
          <w:sz w:val="20"/>
        </w:rPr>
      </w:pPr>
      <w:r>
        <w:rPr>
          <w:sz w:val="20"/>
        </w:rPr>
        <w:t>selv kan anvende beregnet vandløbsafstrømning fra DK-modellen med supplerende lo- kale vandløbsdata (tværprofiler, bygværker og evt. havvandstand) til vandstandsbereg- ning og oversvømmelseskortlægning. Beregnet vandløbsafstrømning fra DK-model kan også anvendes i mere avancerede vandstands- og oversvømmelsesmodeller.</w:t>
      </w:r>
    </w:p>
    <w:p>
      <w:pPr>
        <w:pStyle w:val="ListParagraph"/>
        <w:numPr>
          <w:ilvl w:val="2"/>
          <w:numId w:val="4"/>
        </w:numPr>
        <w:tabs>
          <w:tab w:pos="1245" w:val="left" w:leader="none"/>
          <w:tab w:pos="1246" w:val="left" w:leader="none"/>
        </w:tabs>
        <w:spacing w:line="276" w:lineRule="auto" w:before="2" w:after="0"/>
        <w:ind w:left="1245" w:right="736" w:hanging="360"/>
        <w:jc w:val="left"/>
        <w:rPr>
          <w:sz w:val="20"/>
        </w:rPr>
      </w:pPr>
      <w:r>
        <w:rPr>
          <w:sz w:val="20"/>
        </w:rPr>
        <w:t>Løsning III: Anvendelse af forbedret DK-model i 100 m opløsning med avanceret vand- løbsmodel til vandstandsberegning med anvendelse af fuld hydrodynamisk vandløbs- model ud fra faktisk opmålte tværsnitsprofiler jf. koncept udviklet for Storå og Odense Å, samt kalibrering af hydrodynamiske parametre mod vandstand i vandløb. Efterfølgende nedskalering af terrænnært grundvand fra 100 m til fx 10 m. Modelforbedring inkluderer nye metoder til bedre modellering af terrænnært grundvand (inkl. distribuerede dræn og ny kalibreringsmetode). Vandstandsberegninger anvendes til kortlægning af oversvøm- melser fra vandløb på landsdækkende</w:t>
      </w:r>
      <w:r>
        <w:rPr>
          <w:spacing w:val="-4"/>
          <w:sz w:val="20"/>
        </w:rPr>
        <w:t> </w:t>
      </w:r>
      <w:r>
        <w:rPr>
          <w:sz w:val="20"/>
        </w:rPr>
        <w:t>skala.</w:t>
      </w:r>
    </w:p>
    <w:p>
      <w:pPr>
        <w:pStyle w:val="ListParagraph"/>
        <w:numPr>
          <w:ilvl w:val="2"/>
          <w:numId w:val="4"/>
        </w:numPr>
        <w:tabs>
          <w:tab w:pos="1245" w:val="left" w:leader="none"/>
          <w:tab w:pos="1246" w:val="left" w:leader="none"/>
        </w:tabs>
        <w:spacing w:line="276" w:lineRule="auto" w:before="0" w:after="0"/>
        <w:ind w:left="1245" w:right="741" w:hanging="360"/>
        <w:jc w:val="left"/>
        <w:rPr>
          <w:sz w:val="20"/>
        </w:rPr>
      </w:pPr>
      <w:r>
        <w:rPr>
          <w:sz w:val="20"/>
        </w:rPr>
        <w:t>Løsning IV: Kombination af løsning I og II. Anvendelse af en forbedret DK-model 500 m til grundvands- og vandbalance kalibrering. Modelforbedring inkluderer nye metoder til bedre modellering af terrænnært grundvand (inkl. distribuerede dræn og ny kalibrerings- metode). Opsætning af DK-modellen i 100 m opløsning med forbedret og udbygget vandløbsmodel opsætning som er mere kompatibel i forhold til Danmarks højdemodel (forbedret riverline og udbygning af vandløbsnetværk med små vandløb). Overførsel og/eller nedskalering af modelparametre fra 500 m til 100 m, produktionskørsler i 100 m grid. Mulighed for nedskalering af simuleret dybde til grundvandsspejlet fra fx 100 m til 10 m grid. Der er fri adgang til eksterne beregningsmodeller, der er udviklet i projektet, således at brugerne selv kan anvende beregnet vandløbsafstrømning fra DK-modellen med supplerende lokale vandløbsdata (tværprofiler, bygværker og evt. havvandstand) til vandstandsberegning og oversvømmelseskortlægning. Hvor der er behov. Beregnet vandløbsafstrømning fra DK-modellen kan også anvendes i mere avancerede vands- tands- og oversvømmelsesmodeller. Evt. mulighed for landsdækkende beregninger af oversvømmelser med eksterne moduler såfremt tværprofil data kan indlæses fra fælles database relateret til ’riverline’ kompatibel med udbygget 100 m</w:t>
      </w:r>
      <w:r>
        <w:rPr>
          <w:spacing w:val="-7"/>
          <w:sz w:val="20"/>
        </w:rPr>
        <w:t> </w:t>
      </w:r>
      <w:r>
        <w:rPr>
          <w:sz w:val="20"/>
        </w:rPr>
        <w:t>DK-model.</w:t>
      </w:r>
    </w:p>
    <w:p>
      <w:pPr>
        <w:pStyle w:val="BodyText"/>
        <w:rPr>
          <w:sz w:val="20"/>
        </w:rPr>
      </w:pPr>
    </w:p>
    <w:p>
      <w:pPr>
        <w:pStyle w:val="BodyText"/>
        <w:spacing w:line="276" w:lineRule="auto"/>
        <w:ind w:left="525" w:right="728"/>
        <w:jc w:val="both"/>
      </w:pPr>
      <w:r>
        <w:rPr/>
        <w:t>I </w:t>
      </w:r>
      <w:hyperlink w:history="true" w:anchor="_bookmark8">
        <w:r>
          <w:rPr/>
          <w:t>tabel 2 </w:t>
        </w:r>
      </w:hyperlink>
      <w:r>
        <w:rPr/>
        <w:t>er vist en beregning af opnået nøjagtighed for kalibreringsperioden for de fire for- skellige løsningsforslag (I-IV). Der er vist nøjagtighed på dybde til terrænnært grundvand, nøjagtighed på simuleret vandføring samt kørselstid. Løsningerne I-IV giver omtrent</w:t>
      </w:r>
      <w:r>
        <w:rPr>
          <w:spacing w:val="-42"/>
        </w:rPr>
        <w:t> </w:t>
      </w:r>
      <w:r>
        <w:rPr/>
        <w:t>samme performance</w:t>
      </w:r>
      <w:r>
        <w:rPr>
          <w:spacing w:val="-7"/>
        </w:rPr>
        <w:t> </w:t>
      </w:r>
      <w:r>
        <w:rPr/>
        <w:t>kvantitativt</w:t>
      </w:r>
      <w:r>
        <w:rPr>
          <w:spacing w:val="-5"/>
        </w:rPr>
        <w:t> </w:t>
      </w:r>
      <w:r>
        <w:rPr/>
        <w:t>vurderet</w:t>
      </w:r>
      <w:r>
        <w:rPr>
          <w:spacing w:val="-8"/>
        </w:rPr>
        <w:t> </w:t>
      </w:r>
      <w:r>
        <w:rPr/>
        <w:t>i</w:t>
      </w:r>
      <w:r>
        <w:rPr>
          <w:spacing w:val="-5"/>
        </w:rPr>
        <w:t> </w:t>
      </w:r>
      <w:r>
        <w:rPr/>
        <w:t>forhold</w:t>
      </w:r>
      <w:r>
        <w:rPr>
          <w:spacing w:val="-7"/>
        </w:rPr>
        <w:t> </w:t>
      </w:r>
      <w:r>
        <w:rPr/>
        <w:t>til</w:t>
      </w:r>
      <w:r>
        <w:rPr>
          <w:spacing w:val="-5"/>
        </w:rPr>
        <w:t> </w:t>
      </w:r>
      <w:r>
        <w:rPr/>
        <w:t>pejleobservationer</w:t>
      </w:r>
      <w:r>
        <w:rPr>
          <w:spacing w:val="-4"/>
        </w:rPr>
        <w:t> </w:t>
      </w:r>
      <w:r>
        <w:rPr/>
        <w:t>men</w:t>
      </w:r>
      <w:r>
        <w:rPr>
          <w:spacing w:val="-6"/>
        </w:rPr>
        <w:t> </w:t>
      </w:r>
      <w:r>
        <w:rPr/>
        <w:t>Løsning</w:t>
      </w:r>
      <w:r>
        <w:rPr>
          <w:spacing w:val="-6"/>
        </w:rPr>
        <w:t> </w:t>
      </w:r>
      <w:r>
        <w:rPr/>
        <w:t>I</w:t>
      </w:r>
      <w:r>
        <w:rPr>
          <w:spacing w:val="-6"/>
        </w:rPr>
        <w:t> </w:t>
      </w:r>
      <w:r>
        <w:rPr/>
        <w:t>vurderes</w:t>
      </w:r>
      <w:r>
        <w:rPr>
          <w:spacing w:val="-6"/>
        </w:rPr>
        <w:t> </w:t>
      </w:r>
      <w:r>
        <w:rPr/>
        <w:t>ikke anvendelig til nedskalering til 10 m. Løsning II og III giver desuden forbedret performance i forhold til simuleret afstrømning i Storå, i forhold til løsning I og IV. Der ses en meget væ- sentlig forøgelse af kørselstider fra Løsning I og IV (ca. 15 min), hvor 500 m modellen an- vendes til grundvands- og vandbalance kalibrering, til løsning II med kalibrering af 100 m modellen (6.5-7.5 timer) og videre til løsning III, hvor fuld hydrodynamisk model anvendes (60-100 timer). Sidstnævnte kan evt. halveres med brug af lidt simplere løsningsmetode i vandløbsmodellen.</w:t>
      </w:r>
      <w:r>
        <w:rPr>
          <w:spacing w:val="-7"/>
        </w:rPr>
        <w:t> </w:t>
      </w:r>
      <w:r>
        <w:rPr/>
        <w:t>Resultaterne</w:t>
      </w:r>
      <w:r>
        <w:rPr>
          <w:spacing w:val="-6"/>
        </w:rPr>
        <w:t> </w:t>
      </w:r>
      <w:r>
        <w:rPr/>
        <w:t>med</w:t>
      </w:r>
      <w:r>
        <w:rPr>
          <w:spacing w:val="-6"/>
        </w:rPr>
        <w:t> </w:t>
      </w:r>
      <w:r>
        <w:rPr/>
        <w:t>Løsning</w:t>
      </w:r>
      <w:r>
        <w:rPr>
          <w:spacing w:val="-5"/>
        </w:rPr>
        <w:t> </w:t>
      </w:r>
      <w:r>
        <w:rPr/>
        <w:t>IV</w:t>
      </w:r>
      <w:r>
        <w:rPr>
          <w:spacing w:val="-3"/>
        </w:rPr>
        <w:t> </w:t>
      </w:r>
      <w:r>
        <w:rPr/>
        <w:t>åbner</w:t>
      </w:r>
      <w:r>
        <w:rPr>
          <w:spacing w:val="-6"/>
        </w:rPr>
        <w:t> </w:t>
      </w:r>
      <w:r>
        <w:rPr/>
        <w:t>op</w:t>
      </w:r>
      <w:r>
        <w:rPr>
          <w:spacing w:val="-7"/>
        </w:rPr>
        <w:t> </w:t>
      </w:r>
      <w:r>
        <w:rPr/>
        <w:t>for</w:t>
      </w:r>
      <w:r>
        <w:rPr>
          <w:spacing w:val="-8"/>
        </w:rPr>
        <w:t> </w:t>
      </w:r>
      <w:r>
        <w:rPr/>
        <w:t>muligheden</w:t>
      </w:r>
      <w:r>
        <w:rPr>
          <w:spacing w:val="-5"/>
        </w:rPr>
        <w:t> </w:t>
      </w:r>
      <w:r>
        <w:rPr/>
        <w:t>af</w:t>
      </w:r>
      <w:r>
        <w:rPr>
          <w:spacing w:val="-4"/>
        </w:rPr>
        <w:t> </w:t>
      </w:r>
      <w:r>
        <w:rPr/>
        <w:t>at</w:t>
      </w:r>
      <w:r>
        <w:rPr>
          <w:spacing w:val="-7"/>
        </w:rPr>
        <w:t> </w:t>
      </w:r>
      <w:r>
        <w:rPr/>
        <w:t>overføre</w:t>
      </w:r>
      <w:r>
        <w:rPr>
          <w:spacing w:val="-5"/>
        </w:rPr>
        <w:t> </w:t>
      </w:r>
      <w:r>
        <w:rPr/>
        <w:t>pa- rametre</w:t>
      </w:r>
      <w:r>
        <w:rPr>
          <w:spacing w:val="-8"/>
        </w:rPr>
        <w:t> </w:t>
      </w:r>
      <w:r>
        <w:rPr/>
        <w:t>mellem</w:t>
      </w:r>
      <w:r>
        <w:rPr>
          <w:spacing w:val="-7"/>
        </w:rPr>
        <w:t> </w:t>
      </w:r>
      <w:r>
        <w:rPr/>
        <w:t>skalaer</w:t>
      </w:r>
      <w:r>
        <w:rPr>
          <w:spacing w:val="-8"/>
        </w:rPr>
        <w:t> </w:t>
      </w:r>
      <w:r>
        <w:rPr/>
        <w:t>(samt</w:t>
      </w:r>
      <w:r>
        <w:rPr>
          <w:spacing w:val="-12"/>
        </w:rPr>
        <w:t> </w:t>
      </w:r>
      <w:r>
        <w:rPr/>
        <w:t>konsistente</w:t>
      </w:r>
      <w:r>
        <w:rPr>
          <w:spacing w:val="-7"/>
        </w:rPr>
        <w:t> </w:t>
      </w:r>
      <w:r>
        <w:rPr/>
        <w:t>randbetingelser</w:t>
      </w:r>
      <w:r>
        <w:rPr>
          <w:spacing w:val="-9"/>
        </w:rPr>
        <w:t> </w:t>
      </w:r>
      <w:r>
        <w:rPr/>
        <w:t>til</w:t>
      </w:r>
      <w:r>
        <w:rPr>
          <w:spacing w:val="-8"/>
        </w:rPr>
        <w:t> </w:t>
      </w:r>
      <w:r>
        <w:rPr/>
        <w:t>100</w:t>
      </w:r>
      <w:r>
        <w:rPr>
          <w:spacing w:val="-8"/>
        </w:rPr>
        <w:t> </w:t>
      </w:r>
      <w:r>
        <w:rPr/>
        <w:t>m</w:t>
      </w:r>
      <w:r>
        <w:rPr>
          <w:spacing w:val="-9"/>
        </w:rPr>
        <w:t> </w:t>
      </w:r>
      <w:r>
        <w:rPr/>
        <w:t>modeller),</w:t>
      </w:r>
      <w:r>
        <w:rPr>
          <w:spacing w:val="-8"/>
        </w:rPr>
        <w:t> </w:t>
      </w:r>
      <w:r>
        <w:rPr/>
        <w:t>hvilket</w:t>
      </w:r>
      <w:r>
        <w:rPr>
          <w:spacing w:val="-9"/>
        </w:rPr>
        <w:t> </w:t>
      </w:r>
      <w:r>
        <w:rPr/>
        <w:t>vil</w:t>
      </w:r>
      <w:r>
        <w:rPr>
          <w:spacing w:val="-8"/>
        </w:rPr>
        <w:t> </w:t>
      </w:r>
      <w:r>
        <w:rPr/>
        <w:t>mu- liggøre en landsdækkende model i 100 m opløsning med en nøjagtighed som er sammen- lignelig med dels 500 m modellen samt lokal modeller kalibreret i 100 m opløsning. Det vil være muligt at lave landsdækkende screening af risiko for oversvømmelser fra grundvand og vandløb med Løsning IV og anvendelse af eksternt modul, såfremt fysiske vandløbsdata samles</w:t>
      </w:r>
      <w:r>
        <w:rPr>
          <w:spacing w:val="-9"/>
        </w:rPr>
        <w:t> </w:t>
      </w:r>
      <w:r>
        <w:rPr/>
        <w:t>i</w:t>
      </w:r>
      <w:r>
        <w:rPr>
          <w:spacing w:val="-9"/>
        </w:rPr>
        <w:t> </w:t>
      </w:r>
      <w:r>
        <w:rPr/>
        <w:t>en</w:t>
      </w:r>
      <w:r>
        <w:rPr>
          <w:spacing w:val="-9"/>
        </w:rPr>
        <w:t> </w:t>
      </w:r>
      <w:r>
        <w:rPr/>
        <w:t>fælles</w:t>
      </w:r>
      <w:r>
        <w:rPr>
          <w:spacing w:val="-9"/>
        </w:rPr>
        <w:t> </w:t>
      </w:r>
      <w:r>
        <w:rPr/>
        <w:t>database,</w:t>
      </w:r>
      <w:r>
        <w:rPr>
          <w:spacing w:val="-8"/>
        </w:rPr>
        <w:t> </w:t>
      </w:r>
      <w:r>
        <w:rPr/>
        <w:t>organiseret</w:t>
      </w:r>
      <w:r>
        <w:rPr>
          <w:spacing w:val="-10"/>
        </w:rPr>
        <w:t> </w:t>
      </w:r>
      <w:r>
        <w:rPr/>
        <w:t>i</w:t>
      </w:r>
      <w:r>
        <w:rPr>
          <w:spacing w:val="-9"/>
        </w:rPr>
        <w:t> </w:t>
      </w:r>
      <w:r>
        <w:rPr/>
        <w:t>forhold</w:t>
      </w:r>
      <w:r>
        <w:rPr>
          <w:spacing w:val="-9"/>
        </w:rPr>
        <w:t> </w:t>
      </w:r>
      <w:r>
        <w:rPr/>
        <w:t>til</w:t>
      </w:r>
      <w:r>
        <w:rPr>
          <w:spacing w:val="-11"/>
        </w:rPr>
        <w:t> </w:t>
      </w:r>
      <w:r>
        <w:rPr/>
        <w:t>ny</w:t>
      </w:r>
      <w:r>
        <w:rPr>
          <w:spacing w:val="-12"/>
        </w:rPr>
        <w:t> </w:t>
      </w:r>
      <w:r>
        <w:rPr/>
        <w:t>’riverline’</w:t>
      </w:r>
      <w:r>
        <w:rPr>
          <w:spacing w:val="-6"/>
        </w:rPr>
        <w:t> </w:t>
      </w:r>
      <w:r>
        <w:rPr/>
        <w:t>der</w:t>
      </w:r>
      <w:r>
        <w:rPr>
          <w:spacing w:val="-10"/>
        </w:rPr>
        <w:t> </w:t>
      </w:r>
      <w:r>
        <w:rPr/>
        <w:t>er</w:t>
      </w:r>
      <w:r>
        <w:rPr>
          <w:spacing w:val="-12"/>
        </w:rPr>
        <w:t> </w:t>
      </w:r>
      <w:r>
        <w:rPr/>
        <w:t>kompatibel</w:t>
      </w:r>
      <w:r>
        <w:rPr>
          <w:spacing w:val="-11"/>
        </w:rPr>
        <w:t> </w:t>
      </w:r>
      <w:r>
        <w:rPr/>
        <w:t>med</w:t>
      </w:r>
      <w:r>
        <w:rPr>
          <w:spacing w:val="-11"/>
        </w:rPr>
        <w:t> </w:t>
      </w:r>
      <w:r>
        <w:rPr/>
        <w:t>Dan- marks Højdemodel (og ’riverline’ i udbygget 100 m</w:t>
      </w:r>
      <w:r>
        <w:rPr>
          <w:spacing w:val="-8"/>
        </w:rPr>
        <w:t> </w:t>
      </w:r>
      <w:r>
        <w:rPr/>
        <w:t>DK-model).</w:t>
      </w:r>
    </w:p>
    <w:p>
      <w:pPr>
        <w:spacing w:after="0" w:line="276" w:lineRule="auto"/>
        <w:jc w:val="both"/>
        <w:sectPr>
          <w:pgSz w:w="11910" w:h="16850"/>
          <w:pgMar w:header="0" w:footer="857" w:top="1340" w:bottom="1120" w:left="1460" w:right="680"/>
        </w:sectPr>
      </w:pPr>
    </w:p>
    <w:p>
      <w:pPr>
        <w:spacing w:before="36"/>
        <w:ind w:left="525" w:right="910" w:firstLine="0"/>
        <w:jc w:val="both"/>
        <w:rPr>
          <w:rFonts w:ascii="Calibri" w:hAnsi="Calibri"/>
          <w:i/>
          <w:sz w:val="18"/>
        </w:rPr>
      </w:pPr>
      <w:bookmarkStart w:name="_bookmark8" w:id="16"/>
      <w:bookmarkEnd w:id="16"/>
      <w:r>
        <w:rPr/>
      </w:r>
      <w:r>
        <w:rPr>
          <w:rFonts w:ascii="Calibri" w:hAnsi="Calibri"/>
          <w:i/>
          <w:color w:val="44536A"/>
          <w:sz w:val="18"/>
        </w:rPr>
        <w:t>Tabel 2 Beregnet performance af løsningsscenarier for Storå/Odense Å for modelleret dybde til terrænnært grund- </w:t>
      </w:r>
      <w:r>
        <w:rPr>
          <w:rFonts w:ascii="Calibri" w:hAnsi="Calibri"/>
          <w:i/>
          <w:color w:val="44536A"/>
          <w:sz w:val="18"/>
        </w:rPr>
        <w:t>vand ”middel absolut fejl, opfyldt for 90 % af terrænnære pejlinger” og afstrømningsdynamik i vandløb for kalibre- ringsperioden 2000-2008 samt kørselstider ved fire løsningsmodeller</w:t>
      </w:r>
    </w:p>
    <w:p>
      <w:pPr>
        <w:pStyle w:val="BodyText"/>
        <w:spacing w:before="6"/>
        <w:rPr>
          <w:rFonts w:ascii="Calibri"/>
          <w:i/>
          <w:sz w:val="16"/>
        </w:r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9"/>
        <w:gridCol w:w="2410"/>
        <w:gridCol w:w="3401"/>
        <w:gridCol w:w="1702"/>
      </w:tblGrid>
      <w:tr>
        <w:trPr>
          <w:trHeight w:val="3614" w:hRule="atLeast"/>
        </w:trPr>
        <w:tc>
          <w:tcPr>
            <w:tcW w:w="989" w:type="dxa"/>
          </w:tcPr>
          <w:p>
            <w:pPr>
              <w:pStyle w:val="TableParagraph"/>
              <w:spacing w:line="239" w:lineRule="exact"/>
              <w:ind w:left="107"/>
              <w:jc w:val="left"/>
              <w:rPr>
                <w:sz w:val="21"/>
              </w:rPr>
            </w:pPr>
            <w:r>
              <w:rPr>
                <w:sz w:val="21"/>
              </w:rPr>
              <w:t>Løsning</w:t>
            </w:r>
          </w:p>
        </w:tc>
        <w:tc>
          <w:tcPr>
            <w:tcW w:w="2410" w:type="dxa"/>
          </w:tcPr>
          <w:p>
            <w:pPr>
              <w:pStyle w:val="TableParagraph"/>
              <w:spacing w:line="229" w:lineRule="exact"/>
              <w:ind w:left="107"/>
              <w:jc w:val="left"/>
              <w:rPr>
                <w:sz w:val="20"/>
              </w:rPr>
            </w:pPr>
            <w:r>
              <w:rPr>
                <w:sz w:val="20"/>
              </w:rPr>
              <w:t>Nøjagtighed</w:t>
            </w:r>
          </w:p>
          <w:p>
            <w:pPr>
              <w:pStyle w:val="TableParagraph"/>
              <w:spacing w:line="285" w:lineRule="auto" w:before="46"/>
              <w:ind w:left="107"/>
              <w:jc w:val="left"/>
              <w:rPr>
                <w:i/>
                <w:sz w:val="20"/>
              </w:rPr>
            </w:pPr>
            <w:r>
              <w:rPr>
                <w:sz w:val="20"/>
              </w:rPr>
              <w:t>på dybde til terrænnært grundvand opnået for </w:t>
            </w:r>
            <w:r>
              <w:rPr>
                <w:i/>
                <w:sz w:val="20"/>
              </w:rPr>
              <w:t>kalibreringsperioden</w:t>
            </w:r>
          </w:p>
          <w:p>
            <w:pPr>
              <w:pStyle w:val="TableParagraph"/>
              <w:spacing w:line="288" w:lineRule="auto" w:before="197"/>
              <w:ind w:left="107" w:right="93"/>
              <w:jc w:val="left"/>
              <w:rPr>
                <w:sz w:val="14"/>
              </w:rPr>
            </w:pPr>
            <w:r>
              <w:rPr>
                <w:position w:val="1"/>
                <w:sz w:val="14"/>
              </w:rPr>
              <w:t>MAE</w:t>
            </w:r>
            <w:r>
              <w:rPr>
                <w:sz w:val="9"/>
              </w:rPr>
              <w:t>90Q </w:t>
            </w:r>
            <w:r>
              <w:rPr>
                <w:position w:val="1"/>
                <w:sz w:val="14"/>
              </w:rPr>
              <w:t>tn som er et mål for denne </w:t>
            </w:r>
            <w:r>
              <w:rPr>
                <w:sz w:val="14"/>
              </w:rPr>
              <w:t>gennemsnitlige, absolutte afvigelse mellem modelleret og observeret dybde til terrænnært grundvands- spejl, der kan opfyldes for mindst 90 % af observationerne.</w:t>
            </w:r>
          </w:p>
          <w:p>
            <w:pPr>
              <w:pStyle w:val="TableParagraph"/>
              <w:spacing w:before="9"/>
              <w:jc w:val="left"/>
              <w:rPr>
                <w:rFonts w:ascii="Calibri"/>
                <w:i/>
                <w:sz w:val="22"/>
              </w:rPr>
            </w:pPr>
          </w:p>
          <w:p>
            <w:pPr>
              <w:pStyle w:val="TableParagraph"/>
              <w:spacing w:line="288" w:lineRule="auto"/>
              <w:ind w:left="997" w:right="398" w:hanging="572"/>
              <w:jc w:val="left"/>
              <w:rPr>
                <w:sz w:val="20"/>
              </w:rPr>
            </w:pPr>
            <w:r>
              <w:rPr>
                <w:sz w:val="20"/>
              </w:rPr>
              <w:t>(Storå/Odense Å) ( m )</w:t>
            </w:r>
          </w:p>
        </w:tc>
        <w:tc>
          <w:tcPr>
            <w:tcW w:w="3401" w:type="dxa"/>
          </w:tcPr>
          <w:p>
            <w:pPr>
              <w:pStyle w:val="TableParagraph"/>
              <w:spacing w:line="285" w:lineRule="auto"/>
              <w:ind w:left="107" w:right="307"/>
              <w:jc w:val="left"/>
              <w:rPr>
                <w:i/>
                <w:sz w:val="20"/>
              </w:rPr>
            </w:pPr>
            <w:r>
              <w:rPr>
                <w:sz w:val="20"/>
              </w:rPr>
              <w:t>Nøjagtighed på simuleret vandfø- ring for </w:t>
            </w:r>
            <w:r>
              <w:rPr>
                <w:i/>
                <w:sz w:val="20"/>
              </w:rPr>
              <w:t>kalibreringsperiode</w:t>
            </w:r>
          </w:p>
          <w:p>
            <w:pPr>
              <w:pStyle w:val="TableParagraph"/>
              <w:jc w:val="left"/>
              <w:rPr>
                <w:rFonts w:ascii="Calibri"/>
                <w:i/>
                <w:sz w:val="22"/>
              </w:rPr>
            </w:pPr>
          </w:p>
          <w:p>
            <w:pPr>
              <w:pStyle w:val="TableParagraph"/>
              <w:jc w:val="left"/>
              <w:rPr>
                <w:rFonts w:ascii="Calibri"/>
                <w:i/>
                <w:sz w:val="22"/>
              </w:rPr>
            </w:pPr>
          </w:p>
          <w:p>
            <w:pPr>
              <w:pStyle w:val="TableParagraph"/>
              <w:spacing w:before="6"/>
              <w:jc w:val="left"/>
              <w:rPr>
                <w:rFonts w:ascii="Calibri"/>
                <w:i/>
                <w:sz w:val="19"/>
              </w:rPr>
            </w:pPr>
          </w:p>
          <w:p>
            <w:pPr>
              <w:pStyle w:val="TableParagraph"/>
              <w:spacing w:line="288" w:lineRule="auto"/>
              <w:ind w:left="107" w:right="36"/>
              <w:jc w:val="left"/>
              <w:rPr>
                <w:sz w:val="14"/>
              </w:rPr>
            </w:pPr>
            <w:r>
              <w:rPr>
                <w:sz w:val="14"/>
              </w:rPr>
              <w:t>Vandføringskriterium der udtrykker modellens evne til at simulere dynamikken i afstrømningen baseret på Nash Sutcliffe NSE værdien. Højere NSE værdi kan forventes for store oplande med stor årstidsva- riation. Skal helst være større end 0.55 for Storå og</w:t>
            </w:r>
          </w:p>
          <w:p>
            <w:pPr>
              <w:pStyle w:val="TableParagraph"/>
              <w:spacing w:line="160" w:lineRule="exact"/>
              <w:ind w:left="107"/>
              <w:jc w:val="left"/>
              <w:rPr>
                <w:sz w:val="14"/>
              </w:rPr>
            </w:pPr>
            <w:r>
              <w:rPr>
                <w:sz w:val="14"/>
              </w:rPr>
              <w:t>0.70 for Odense å for screeningsmodel.</w:t>
            </w:r>
          </w:p>
          <w:p>
            <w:pPr>
              <w:pStyle w:val="TableParagraph"/>
              <w:jc w:val="left"/>
              <w:rPr>
                <w:rFonts w:ascii="Calibri"/>
                <w:i/>
                <w:sz w:val="16"/>
              </w:rPr>
            </w:pPr>
          </w:p>
          <w:p>
            <w:pPr>
              <w:pStyle w:val="TableParagraph"/>
              <w:spacing w:line="288" w:lineRule="auto" w:before="116"/>
              <w:ind w:left="940" w:right="878" w:hanging="8"/>
              <w:jc w:val="left"/>
              <w:rPr>
                <w:sz w:val="20"/>
              </w:rPr>
            </w:pPr>
            <w:r>
              <w:rPr>
                <w:sz w:val="20"/>
              </w:rPr>
              <w:t>(Storå/Odense å) ( dimensionsløs )</w:t>
            </w:r>
          </w:p>
        </w:tc>
        <w:tc>
          <w:tcPr>
            <w:tcW w:w="1702" w:type="dxa"/>
          </w:tcPr>
          <w:p>
            <w:pPr>
              <w:pStyle w:val="TableParagraph"/>
              <w:spacing w:line="285" w:lineRule="auto"/>
              <w:ind w:left="107" w:right="127"/>
              <w:jc w:val="left"/>
              <w:rPr>
                <w:i/>
                <w:sz w:val="20"/>
              </w:rPr>
            </w:pPr>
            <w:r>
              <w:rPr>
                <w:sz w:val="20"/>
              </w:rPr>
              <w:t>Kørselstider </w:t>
            </w:r>
            <w:r>
              <w:rPr>
                <w:i/>
                <w:w w:val="95"/>
                <w:sz w:val="20"/>
              </w:rPr>
              <w:t>Kalibreringsperi- </w:t>
            </w:r>
            <w:r>
              <w:rPr>
                <w:i/>
                <w:sz w:val="20"/>
              </w:rPr>
              <w:t>ode:</w:t>
            </w:r>
            <w:r>
              <w:rPr>
                <w:i/>
                <w:spacing w:val="-2"/>
                <w:sz w:val="20"/>
              </w:rPr>
              <w:t> </w:t>
            </w:r>
            <w:r>
              <w:rPr>
                <w:i/>
                <w:sz w:val="20"/>
              </w:rPr>
              <w:t>2000-2008</w:t>
            </w:r>
          </w:p>
          <w:p>
            <w:pPr>
              <w:pStyle w:val="TableParagraph"/>
              <w:jc w:val="left"/>
              <w:rPr>
                <w:rFonts w:ascii="Calibri"/>
                <w:i/>
                <w:sz w:val="22"/>
              </w:rPr>
            </w:pPr>
          </w:p>
          <w:p>
            <w:pPr>
              <w:pStyle w:val="TableParagraph"/>
              <w:spacing w:before="9"/>
              <w:jc w:val="left"/>
              <w:rPr>
                <w:rFonts w:ascii="Calibri"/>
                <w:i/>
                <w:sz w:val="16"/>
              </w:rPr>
            </w:pPr>
          </w:p>
          <w:p>
            <w:pPr>
              <w:pStyle w:val="TableParagraph"/>
              <w:spacing w:line="288" w:lineRule="auto"/>
              <w:ind w:left="107" w:right="122"/>
              <w:jc w:val="left"/>
              <w:rPr>
                <w:sz w:val="14"/>
              </w:rPr>
            </w:pPr>
            <w:r>
              <w:rPr>
                <w:sz w:val="14"/>
              </w:rPr>
              <w:t>Kørselstiden er den tid det tager at køre en modelkørsel for</w:t>
            </w:r>
            <w:r>
              <w:rPr>
                <w:spacing w:val="-12"/>
                <w:sz w:val="14"/>
              </w:rPr>
              <w:t> </w:t>
            </w:r>
            <w:r>
              <w:rPr>
                <w:sz w:val="14"/>
              </w:rPr>
              <w:t>kalibre- ringsperioden med op til 24 timers tidsskridt i grundvandsmodellen. Tidsskridtet for vand- løbsmodellen er væ- sentlig mindre (fuld dy- namisk løsning: 10-20 sekunder og</w:t>
            </w:r>
            <w:r>
              <w:rPr>
                <w:spacing w:val="-3"/>
                <w:sz w:val="14"/>
              </w:rPr>
              <w:t> </w:t>
            </w:r>
            <w:r>
              <w:rPr>
                <w:sz w:val="14"/>
              </w:rPr>
              <w:t>”routing”:</w:t>
            </w:r>
          </w:p>
          <w:p>
            <w:pPr>
              <w:pStyle w:val="TableParagraph"/>
              <w:spacing w:before="2"/>
              <w:ind w:left="107"/>
              <w:jc w:val="left"/>
              <w:rPr>
                <w:sz w:val="14"/>
              </w:rPr>
            </w:pPr>
            <w:r>
              <w:rPr>
                <w:sz w:val="14"/>
              </w:rPr>
              <w:t>12 timer)</w:t>
            </w:r>
          </w:p>
        </w:tc>
      </w:tr>
      <w:tr>
        <w:trPr>
          <w:trHeight w:val="290" w:hRule="atLeast"/>
        </w:trPr>
        <w:tc>
          <w:tcPr>
            <w:tcW w:w="989" w:type="dxa"/>
          </w:tcPr>
          <w:p>
            <w:pPr>
              <w:pStyle w:val="TableParagraph"/>
              <w:spacing w:line="241" w:lineRule="exact"/>
              <w:ind w:left="107"/>
              <w:jc w:val="left"/>
              <w:rPr>
                <w:sz w:val="21"/>
              </w:rPr>
            </w:pPr>
            <w:r>
              <w:rPr>
                <w:w w:val="100"/>
                <w:sz w:val="21"/>
              </w:rPr>
              <w:t>I</w:t>
            </w:r>
          </w:p>
        </w:tc>
        <w:tc>
          <w:tcPr>
            <w:tcW w:w="2410" w:type="dxa"/>
          </w:tcPr>
          <w:p>
            <w:pPr>
              <w:pStyle w:val="TableParagraph"/>
              <w:spacing w:before="2"/>
              <w:ind w:left="876" w:right="872"/>
              <w:rPr>
                <w:sz w:val="20"/>
              </w:rPr>
            </w:pPr>
            <w:r>
              <w:rPr>
                <w:sz w:val="20"/>
              </w:rPr>
              <w:t>1.2/1.9</w:t>
            </w:r>
          </w:p>
        </w:tc>
        <w:tc>
          <w:tcPr>
            <w:tcW w:w="3401" w:type="dxa"/>
          </w:tcPr>
          <w:p>
            <w:pPr>
              <w:pStyle w:val="TableParagraph"/>
              <w:spacing w:before="2"/>
              <w:ind w:left="1262" w:right="1253"/>
              <w:rPr>
                <w:sz w:val="20"/>
              </w:rPr>
            </w:pPr>
            <w:r>
              <w:rPr>
                <w:sz w:val="20"/>
              </w:rPr>
              <w:t>0.64/0.78</w:t>
            </w:r>
          </w:p>
        </w:tc>
        <w:tc>
          <w:tcPr>
            <w:tcW w:w="1702" w:type="dxa"/>
          </w:tcPr>
          <w:p>
            <w:pPr>
              <w:pStyle w:val="TableParagraph"/>
              <w:spacing w:before="2"/>
              <w:ind w:left="267" w:right="260"/>
              <w:rPr>
                <w:sz w:val="20"/>
              </w:rPr>
            </w:pPr>
            <w:r>
              <w:rPr>
                <w:sz w:val="20"/>
              </w:rPr>
              <w:t>15 min</w:t>
            </w:r>
          </w:p>
        </w:tc>
      </w:tr>
      <w:tr>
        <w:trPr>
          <w:trHeight w:val="551" w:hRule="atLeast"/>
        </w:trPr>
        <w:tc>
          <w:tcPr>
            <w:tcW w:w="989" w:type="dxa"/>
          </w:tcPr>
          <w:p>
            <w:pPr>
              <w:pStyle w:val="TableParagraph"/>
              <w:spacing w:line="239" w:lineRule="exact"/>
              <w:ind w:left="107"/>
              <w:jc w:val="left"/>
              <w:rPr>
                <w:sz w:val="21"/>
              </w:rPr>
            </w:pPr>
            <w:r>
              <w:rPr>
                <w:sz w:val="21"/>
              </w:rPr>
              <w:t>II</w:t>
            </w:r>
          </w:p>
        </w:tc>
        <w:tc>
          <w:tcPr>
            <w:tcW w:w="2410" w:type="dxa"/>
          </w:tcPr>
          <w:p>
            <w:pPr>
              <w:pStyle w:val="TableParagraph"/>
              <w:spacing w:line="229" w:lineRule="exact"/>
              <w:ind w:left="876" w:right="872"/>
              <w:rPr>
                <w:sz w:val="20"/>
              </w:rPr>
            </w:pPr>
            <w:r>
              <w:rPr>
                <w:sz w:val="20"/>
              </w:rPr>
              <w:t>1.1/2.0</w:t>
            </w:r>
          </w:p>
        </w:tc>
        <w:tc>
          <w:tcPr>
            <w:tcW w:w="3401" w:type="dxa"/>
          </w:tcPr>
          <w:p>
            <w:pPr>
              <w:pStyle w:val="TableParagraph"/>
              <w:spacing w:line="229" w:lineRule="exact"/>
              <w:ind w:left="1262" w:right="1253"/>
              <w:rPr>
                <w:sz w:val="20"/>
              </w:rPr>
            </w:pPr>
            <w:r>
              <w:rPr>
                <w:sz w:val="20"/>
              </w:rPr>
              <w:t>0.75/0.78</w:t>
            </w:r>
          </w:p>
        </w:tc>
        <w:tc>
          <w:tcPr>
            <w:tcW w:w="1702" w:type="dxa"/>
          </w:tcPr>
          <w:p>
            <w:pPr>
              <w:pStyle w:val="TableParagraph"/>
              <w:spacing w:line="229" w:lineRule="exact"/>
              <w:ind w:left="267" w:right="261"/>
              <w:rPr>
                <w:sz w:val="20"/>
              </w:rPr>
            </w:pPr>
            <w:r>
              <w:rPr>
                <w:sz w:val="20"/>
              </w:rPr>
              <w:t>6.5-7.5 timer</w:t>
            </w:r>
          </w:p>
        </w:tc>
      </w:tr>
      <w:tr>
        <w:trPr>
          <w:trHeight w:val="290" w:hRule="atLeast"/>
        </w:trPr>
        <w:tc>
          <w:tcPr>
            <w:tcW w:w="989" w:type="dxa"/>
          </w:tcPr>
          <w:p>
            <w:pPr>
              <w:pStyle w:val="TableParagraph"/>
              <w:spacing w:line="241" w:lineRule="exact"/>
              <w:ind w:left="107"/>
              <w:jc w:val="left"/>
              <w:rPr>
                <w:sz w:val="21"/>
              </w:rPr>
            </w:pPr>
            <w:r>
              <w:rPr>
                <w:sz w:val="21"/>
              </w:rPr>
              <w:t>III</w:t>
            </w:r>
          </w:p>
        </w:tc>
        <w:tc>
          <w:tcPr>
            <w:tcW w:w="2410" w:type="dxa"/>
          </w:tcPr>
          <w:p>
            <w:pPr>
              <w:pStyle w:val="TableParagraph"/>
              <w:spacing w:before="2"/>
              <w:ind w:left="876" w:right="872"/>
              <w:rPr>
                <w:sz w:val="20"/>
              </w:rPr>
            </w:pPr>
            <w:r>
              <w:rPr>
                <w:sz w:val="20"/>
              </w:rPr>
              <w:t>1.1/2.0</w:t>
            </w:r>
          </w:p>
        </w:tc>
        <w:tc>
          <w:tcPr>
            <w:tcW w:w="3401" w:type="dxa"/>
          </w:tcPr>
          <w:p>
            <w:pPr>
              <w:pStyle w:val="TableParagraph"/>
              <w:spacing w:before="2"/>
              <w:ind w:left="1262" w:right="1253"/>
              <w:rPr>
                <w:sz w:val="20"/>
              </w:rPr>
            </w:pPr>
            <w:r>
              <w:rPr>
                <w:sz w:val="20"/>
              </w:rPr>
              <w:t>0.75/0.78</w:t>
            </w:r>
          </w:p>
        </w:tc>
        <w:tc>
          <w:tcPr>
            <w:tcW w:w="1702" w:type="dxa"/>
          </w:tcPr>
          <w:p>
            <w:pPr>
              <w:pStyle w:val="TableParagraph"/>
              <w:spacing w:before="2"/>
              <w:ind w:left="267" w:right="261"/>
              <w:rPr>
                <w:sz w:val="20"/>
              </w:rPr>
            </w:pPr>
            <w:r>
              <w:rPr>
                <w:sz w:val="20"/>
              </w:rPr>
              <w:t>60-100 timer</w:t>
            </w:r>
          </w:p>
        </w:tc>
      </w:tr>
      <w:tr>
        <w:trPr>
          <w:trHeight w:val="290" w:hRule="atLeast"/>
        </w:trPr>
        <w:tc>
          <w:tcPr>
            <w:tcW w:w="989" w:type="dxa"/>
          </w:tcPr>
          <w:p>
            <w:pPr>
              <w:pStyle w:val="TableParagraph"/>
              <w:spacing w:line="239" w:lineRule="exact"/>
              <w:ind w:left="107"/>
              <w:jc w:val="left"/>
              <w:rPr>
                <w:sz w:val="21"/>
              </w:rPr>
            </w:pPr>
            <w:r>
              <w:rPr>
                <w:sz w:val="21"/>
              </w:rPr>
              <w:t>IV</w:t>
            </w:r>
          </w:p>
        </w:tc>
        <w:tc>
          <w:tcPr>
            <w:tcW w:w="2410" w:type="dxa"/>
          </w:tcPr>
          <w:p>
            <w:pPr>
              <w:pStyle w:val="TableParagraph"/>
              <w:spacing w:line="229" w:lineRule="exact"/>
              <w:ind w:left="876" w:right="872"/>
              <w:rPr>
                <w:sz w:val="20"/>
              </w:rPr>
            </w:pPr>
            <w:r>
              <w:rPr>
                <w:sz w:val="20"/>
              </w:rPr>
              <w:t>1.2/2.2</w:t>
            </w:r>
          </w:p>
        </w:tc>
        <w:tc>
          <w:tcPr>
            <w:tcW w:w="3401" w:type="dxa"/>
          </w:tcPr>
          <w:p>
            <w:pPr>
              <w:pStyle w:val="TableParagraph"/>
              <w:spacing w:line="229" w:lineRule="exact"/>
              <w:ind w:left="1262" w:right="1253"/>
              <w:rPr>
                <w:sz w:val="20"/>
              </w:rPr>
            </w:pPr>
            <w:r>
              <w:rPr>
                <w:sz w:val="20"/>
              </w:rPr>
              <w:t>0.63/0.74</w:t>
            </w:r>
          </w:p>
        </w:tc>
        <w:tc>
          <w:tcPr>
            <w:tcW w:w="1702" w:type="dxa"/>
          </w:tcPr>
          <w:p>
            <w:pPr>
              <w:pStyle w:val="TableParagraph"/>
              <w:spacing w:line="229" w:lineRule="exact"/>
              <w:ind w:left="267" w:right="260"/>
              <w:rPr>
                <w:sz w:val="20"/>
              </w:rPr>
            </w:pPr>
            <w:r>
              <w:rPr>
                <w:sz w:val="20"/>
              </w:rPr>
              <w:t>15 min</w:t>
            </w:r>
          </w:p>
        </w:tc>
      </w:tr>
    </w:tbl>
    <w:p>
      <w:pPr>
        <w:pStyle w:val="BodyText"/>
        <w:rPr>
          <w:rFonts w:ascii="Calibri"/>
          <w:i/>
          <w:sz w:val="18"/>
        </w:rPr>
      </w:pPr>
    </w:p>
    <w:p>
      <w:pPr>
        <w:pStyle w:val="BodyText"/>
        <w:spacing w:before="6"/>
        <w:rPr>
          <w:rFonts w:ascii="Calibri"/>
          <w:i/>
        </w:rPr>
      </w:pPr>
    </w:p>
    <w:p>
      <w:pPr>
        <w:pStyle w:val="BodyText"/>
        <w:spacing w:line="285" w:lineRule="auto"/>
        <w:ind w:left="525" w:right="733"/>
        <w:jc w:val="both"/>
      </w:pPr>
      <w:hyperlink w:history="true" w:anchor="_bookmark9">
        <w:r>
          <w:rPr/>
          <w:t>Figur</w:t>
        </w:r>
        <w:r>
          <w:rPr>
            <w:spacing w:val="-5"/>
          </w:rPr>
          <w:t> </w:t>
        </w:r>
        <w:r>
          <w:rPr/>
          <w:t>1</w:t>
        </w:r>
        <w:r>
          <w:rPr>
            <w:spacing w:val="-3"/>
          </w:rPr>
          <w:t> </w:t>
        </w:r>
      </w:hyperlink>
      <w:r>
        <w:rPr/>
        <w:t>-</w:t>
      </w:r>
      <w:r>
        <w:rPr>
          <w:spacing w:val="-4"/>
        </w:rPr>
        <w:t> </w:t>
      </w:r>
      <w:r>
        <w:rPr/>
        <w:t>4</w:t>
      </w:r>
      <w:r>
        <w:rPr>
          <w:spacing w:val="-3"/>
        </w:rPr>
        <w:t> </w:t>
      </w:r>
      <w:r>
        <w:rPr/>
        <w:t>nedenfor</w:t>
      </w:r>
      <w:r>
        <w:rPr>
          <w:spacing w:val="-4"/>
        </w:rPr>
        <w:t> </w:t>
      </w:r>
      <w:r>
        <w:rPr/>
        <w:t>illustrerer</w:t>
      </w:r>
      <w:r>
        <w:rPr>
          <w:spacing w:val="-5"/>
        </w:rPr>
        <w:t> </w:t>
      </w:r>
      <w:r>
        <w:rPr/>
        <w:t>eksempler</w:t>
      </w:r>
      <w:r>
        <w:rPr>
          <w:spacing w:val="-5"/>
        </w:rPr>
        <w:t> </w:t>
      </w:r>
      <w:r>
        <w:rPr/>
        <w:t>på</w:t>
      </w:r>
      <w:r>
        <w:rPr>
          <w:spacing w:val="-6"/>
        </w:rPr>
        <w:t> </w:t>
      </w:r>
      <w:r>
        <w:rPr/>
        <w:t>kort,</w:t>
      </w:r>
      <w:r>
        <w:rPr>
          <w:spacing w:val="-5"/>
        </w:rPr>
        <w:t> </w:t>
      </w:r>
      <w:r>
        <w:rPr/>
        <w:t>som</w:t>
      </w:r>
      <w:r>
        <w:rPr>
          <w:spacing w:val="-5"/>
        </w:rPr>
        <w:t> </w:t>
      </w:r>
      <w:r>
        <w:rPr/>
        <w:t>man</w:t>
      </w:r>
      <w:r>
        <w:rPr>
          <w:spacing w:val="-6"/>
        </w:rPr>
        <w:t> </w:t>
      </w:r>
      <w:r>
        <w:rPr/>
        <w:t>med</w:t>
      </w:r>
      <w:r>
        <w:rPr>
          <w:spacing w:val="-3"/>
        </w:rPr>
        <w:t> </w:t>
      </w:r>
      <w:r>
        <w:rPr/>
        <w:t>de</w:t>
      </w:r>
      <w:r>
        <w:rPr>
          <w:spacing w:val="-5"/>
        </w:rPr>
        <w:t> </w:t>
      </w:r>
      <w:r>
        <w:rPr/>
        <w:t>fire</w:t>
      </w:r>
      <w:r>
        <w:rPr>
          <w:spacing w:val="-4"/>
        </w:rPr>
        <w:t> </w:t>
      </w:r>
      <w:r>
        <w:rPr/>
        <w:t>løsningsscenarier</w:t>
      </w:r>
      <w:r>
        <w:rPr>
          <w:spacing w:val="-2"/>
        </w:rPr>
        <w:t> </w:t>
      </w:r>
      <w:r>
        <w:rPr/>
        <w:t>vil kunne producere. Samtlige resultater fremgår og er visualiseret i kapitel</w:t>
      </w:r>
      <w:r>
        <w:rPr>
          <w:spacing w:val="-14"/>
        </w:rPr>
        <w:t> </w:t>
      </w:r>
      <w:hyperlink w:history="true" w:anchor="_bookmark88">
        <w:r>
          <w:rPr/>
          <w:t>7</w:t>
        </w:r>
      </w:hyperlink>
      <w:r>
        <w:rPr/>
        <w:t>.</w:t>
      </w:r>
    </w:p>
    <w:p>
      <w:pPr>
        <w:pStyle w:val="BodyText"/>
        <w:spacing w:before="7"/>
        <w:rPr>
          <w:sz w:val="25"/>
        </w:rPr>
      </w:pPr>
    </w:p>
    <w:p>
      <w:pPr>
        <w:pStyle w:val="BodyText"/>
        <w:spacing w:line="288" w:lineRule="auto"/>
        <w:ind w:left="525" w:right="731"/>
        <w:jc w:val="both"/>
      </w:pPr>
      <w:r>
        <w:rPr/>
        <w:t>Dybden</w:t>
      </w:r>
      <w:r>
        <w:rPr>
          <w:spacing w:val="-8"/>
        </w:rPr>
        <w:t> </w:t>
      </w:r>
      <w:r>
        <w:rPr/>
        <w:t>til</w:t>
      </w:r>
      <w:r>
        <w:rPr>
          <w:spacing w:val="-6"/>
        </w:rPr>
        <w:t> </w:t>
      </w:r>
      <w:r>
        <w:rPr/>
        <w:t>grundvandsspejl</w:t>
      </w:r>
      <w:r>
        <w:rPr>
          <w:spacing w:val="-6"/>
        </w:rPr>
        <w:t> </w:t>
      </w:r>
      <w:r>
        <w:rPr/>
        <w:t>og</w:t>
      </w:r>
      <w:r>
        <w:rPr>
          <w:spacing w:val="-4"/>
        </w:rPr>
        <w:t> </w:t>
      </w:r>
      <w:r>
        <w:rPr/>
        <w:t>sandsynlighed</w:t>
      </w:r>
      <w:r>
        <w:rPr>
          <w:spacing w:val="-9"/>
        </w:rPr>
        <w:t> </w:t>
      </w:r>
      <w:r>
        <w:rPr/>
        <w:t>for</w:t>
      </w:r>
      <w:r>
        <w:rPr>
          <w:spacing w:val="-7"/>
        </w:rPr>
        <w:t> </w:t>
      </w:r>
      <w:r>
        <w:rPr/>
        <w:t>overskridelse</w:t>
      </w:r>
      <w:r>
        <w:rPr>
          <w:spacing w:val="-7"/>
        </w:rPr>
        <w:t> </w:t>
      </w:r>
      <w:r>
        <w:rPr/>
        <w:t>i</w:t>
      </w:r>
      <w:r>
        <w:rPr>
          <w:spacing w:val="-9"/>
        </w:rPr>
        <w:t> </w:t>
      </w:r>
      <w:r>
        <w:rPr/>
        <w:t>forhold</w:t>
      </w:r>
      <w:r>
        <w:rPr>
          <w:spacing w:val="-7"/>
        </w:rPr>
        <w:t> </w:t>
      </w:r>
      <w:r>
        <w:rPr/>
        <w:t>til</w:t>
      </w:r>
      <w:r>
        <w:rPr>
          <w:spacing w:val="-9"/>
        </w:rPr>
        <w:t> </w:t>
      </w:r>
      <w:r>
        <w:rPr/>
        <w:t>dybde</w:t>
      </w:r>
      <w:r>
        <w:rPr>
          <w:spacing w:val="-9"/>
        </w:rPr>
        <w:t> </w:t>
      </w:r>
      <w:r>
        <w:rPr/>
        <w:t>mindre</w:t>
      </w:r>
      <w:r>
        <w:rPr>
          <w:spacing w:val="-7"/>
        </w:rPr>
        <w:t> </w:t>
      </w:r>
      <w:r>
        <w:rPr/>
        <w:t>end 1 m (middel for en 20-årig periode, </w:t>
      </w:r>
      <w:hyperlink w:history="true" w:anchor="_bookmark9">
        <w:r>
          <w:rPr/>
          <w:t>Figur 1</w:t>
        </w:r>
      </w:hyperlink>
      <w:r>
        <w:rPr/>
        <w:t>-2), er her vist for resultater produceret fra grund- vandsmodel i 100 m opløsning (svarende til detaljeringsgrad for løsning</w:t>
      </w:r>
      <w:r>
        <w:rPr>
          <w:spacing w:val="-13"/>
        </w:rPr>
        <w:t> </w:t>
      </w:r>
      <w:r>
        <w:rPr/>
        <w:t>II-IV).</w:t>
      </w:r>
    </w:p>
    <w:p>
      <w:pPr>
        <w:pStyle w:val="BodyText"/>
        <w:spacing w:before="2"/>
        <w:rPr>
          <w:sz w:val="25"/>
        </w:rPr>
      </w:pPr>
    </w:p>
    <w:p>
      <w:pPr>
        <w:pStyle w:val="BodyText"/>
        <w:spacing w:line="288" w:lineRule="auto"/>
        <w:ind w:left="525" w:right="732"/>
        <w:jc w:val="both"/>
      </w:pPr>
      <w:hyperlink w:history="true" w:anchor="_bookmark10">
        <w:r>
          <w:rPr/>
          <w:t>Figur</w:t>
        </w:r>
        <w:r>
          <w:rPr>
            <w:spacing w:val="-11"/>
          </w:rPr>
          <w:t> </w:t>
        </w:r>
        <w:r>
          <w:rPr/>
          <w:t>3</w:t>
        </w:r>
        <w:r>
          <w:rPr>
            <w:spacing w:val="-10"/>
          </w:rPr>
          <w:t> </w:t>
        </w:r>
      </w:hyperlink>
      <w:r>
        <w:rPr/>
        <w:t>viser</w:t>
      </w:r>
      <w:r>
        <w:rPr>
          <w:spacing w:val="-10"/>
        </w:rPr>
        <w:t> </w:t>
      </w:r>
      <w:r>
        <w:rPr/>
        <w:t>eksempler</w:t>
      </w:r>
      <w:r>
        <w:rPr>
          <w:spacing w:val="-9"/>
        </w:rPr>
        <w:t> </w:t>
      </w:r>
      <w:r>
        <w:rPr/>
        <w:t>på</w:t>
      </w:r>
      <w:r>
        <w:rPr>
          <w:spacing w:val="-12"/>
        </w:rPr>
        <w:t> </w:t>
      </w:r>
      <w:r>
        <w:rPr/>
        <w:t>zoom</w:t>
      </w:r>
      <w:r>
        <w:rPr>
          <w:spacing w:val="-11"/>
        </w:rPr>
        <w:t> </w:t>
      </w:r>
      <w:r>
        <w:rPr/>
        <w:t>af</w:t>
      </w:r>
      <w:r>
        <w:rPr>
          <w:spacing w:val="-12"/>
        </w:rPr>
        <w:t> </w:t>
      </w:r>
      <w:r>
        <w:rPr/>
        <w:t>dybde</w:t>
      </w:r>
      <w:r>
        <w:rPr>
          <w:spacing w:val="-9"/>
        </w:rPr>
        <w:t> </w:t>
      </w:r>
      <w:r>
        <w:rPr/>
        <w:t>til</w:t>
      </w:r>
      <w:r>
        <w:rPr>
          <w:spacing w:val="-10"/>
        </w:rPr>
        <w:t> </w:t>
      </w:r>
      <w:r>
        <w:rPr/>
        <w:t>grundvandsspejl</w:t>
      </w:r>
      <w:r>
        <w:rPr>
          <w:spacing w:val="-9"/>
        </w:rPr>
        <w:t> </w:t>
      </w:r>
      <w:r>
        <w:rPr/>
        <w:t>sammenlignet</w:t>
      </w:r>
      <w:r>
        <w:rPr>
          <w:spacing w:val="-14"/>
        </w:rPr>
        <w:t> </w:t>
      </w:r>
      <w:r>
        <w:rPr/>
        <w:t>med</w:t>
      </w:r>
      <w:r>
        <w:rPr>
          <w:spacing w:val="-10"/>
        </w:rPr>
        <w:t> </w:t>
      </w:r>
      <w:r>
        <w:rPr/>
        <w:t>satellitdata med</w:t>
      </w:r>
      <w:r>
        <w:rPr>
          <w:spacing w:val="-6"/>
        </w:rPr>
        <w:t> </w:t>
      </w:r>
      <w:r>
        <w:rPr/>
        <w:t>100</w:t>
      </w:r>
      <w:r>
        <w:rPr>
          <w:spacing w:val="-8"/>
        </w:rPr>
        <w:t> </w:t>
      </w:r>
      <w:r>
        <w:rPr/>
        <w:t>m</w:t>
      </w:r>
      <w:r>
        <w:rPr>
          <w:spacing w:val="-7"/>
        </w:rPr>
        <w:t> </w:t>
      </w:r>
      <w:r>
        <w:rPr/>
        <w:t>model</w:t>
      </w:r>
      <w:r>
        <w:rPr>
          <w:spacing w:val="-5"/>
        </w:rPr>
        <w:t> </w:t>
      </w:r>
      <w:r>
        <w:rPr/>
        <w:t>(Løsning</w:t>
      </w:r>
      <w:r>
        <w:rPr>
          <w:spacing w:val="-6"/>
        </w:rPr>
        <w:t> </w:t>
      </w:r>
      <w:r>
        <w:rPr/>
        <w:t>II-IV),</w:t>
      </w:r>
      <w:r>
        <w:rPr>
          <w:spacing w:val="-6"/>
        </w:rPr>
        <w:t> </w:t>
      </w:r>
      <w:r>
        <w:rPr/>
        <w:t>samt</w:t>
      </w:r>
      <w:r>
        <w:rPr>
          <w:spacing w:val="-7"/>
        </w:rPr>
        <w:t> </w:t>
      </w:r>
      <w:r>
        <w:rPr/>
        <w:t>efterfølgende</w:t>
      </w:r>
      <w:r>
        <w:rPr>
          <w:spacing w:val="-6"/>
        </w:rPr>
        <w:t> </w:t>
      </w:r>
      <w:r>
        <w:rPr/>
        <w:t>nedskalering</w:t>
      </w:r>
      <w:r>
        <w:rPr>
          <w:spacing w:val="-6"/>
        </w:rPr>
        <w:t> </w:t>
      </w:r>
      <w:r>
        <w:rPr/>
        <w:t>til</w:t>
      </w:r>
      <w:r>
        <w:rPr>
          <w:spacing w:val="-5"/>
        </w:rPr>
        <w:t> </w:t>
      </w:r>
      <w:r>
        <w:rPr/>
        <w:t>10</w:t>
      </w:r>
      <w:r>
        <w:rPr>
          <w:spacing w:val="-8"/>
        </w:rPr>
        <w:t> </w:t>
      </w:r>
      <w:r>
        <w:rPr/>
        <w:t>m,</w:t>
      </w:r>
      <w:r>
        <w:rPr>
          <w:spacing w:val="-6"/>
        </w:rPr>
        <w:t> </w:t>
      </w:r>
      <w:r>
        <w:rPr/>
        <w:t>som</w:t>
      </w:r>
      <w:r>
        <w:rPr>
          <w:spacing w:val="-4"/>
        </w:rPr>
        <w:t> </w:t>
      </w:r>
      <w:r>
        <w:rPr/>
        <w:t>vist</w:t>
      </w:r>
      <w:r>
        <w:rPr>
          <w:spacing w:val="-7"/>
        </w:rPr>
        <w:t> </w:t>
      </w:r>
      <w:r>
        <w:rPr/>
        <w:t>nederst til højre, der giver en mere troværdig kortlægning (uden at den nødvendigvis er mere</w:t>
      </w:r>
      <w:r>
        <w:rPr>
          <w:spacing w:val="-31"/>
        </w:rPr>
        <w:t> </w:t>
      </w:r>
      <w:r>
        <w:rPr/>
        <w:t>rigtig).</w:t>
      </w:r>
    </w:p>
    <w:p>
      <w:pPr>
        <w:spacing w:after="0" w:line="288" w:lineRule="auto"/>
        <w:jc w:val="both"/>
        <w:sectPr>
          <w:pgSz w:w="11910" w:h="16850"/>
          <w:pgMar w:header="0" w:footer="857" w:top="1380" w:bottom="1120" w:left="1460" w:right="680"/>
        </w:sectPr>
      </w:pPr>
    </w:p>
    <w:p>
      <w:pPr>
        <w:pStyle w:val="BodyText"/>
        <w:ind w:left="638"/>
        <w:rPr>
          <w:sz w:val="20"/>
        </w:rPr>
      </w:pPr>
      <w:r>
        <w:rPr>
          <w:sz w:val="20"/>
        </w:rPr>
        <w:drawing>
          <wp:inline distT="0" distB="0" distL="0" distR="0">
            <wp:extent cx="5301088" cy="3724655"/>
            <wp:effectExtent l="0" t="0" r="0" b="0"/>
            <wp:docPr id="15" name="image8.jpeg" descr=""/>
            <wp:cNvGraphicFramePr>
              <a:graphicFrameLocks noChangeAspect="1"/>
            </wp:cNvGraphicFramePr>
            <a:graphic>
              <a:graphicData uri="http://schemas.openxmlformats.org/drawingml/2006/picture">
                <pic:pic>
                  <pic:nvPicPr>
                    <pic:cNvPr id="16" name="image8.jpeg"/>
                    <pic:cNvPicPr/>
                  </pic:nvPicPr>
                  <pic:blipFill>
                    <a:blip r:embed="rId14" cstate="print"/>
                    <a:stretch>
                      <a:fillRect/>
                    </a:stretch>
                  </pic:blipFill>
                  <pic:spPr>
                    <a:xfrm>
                      <a:off x="0" y="0"/>
                      <a:ext cx="5301088" cy="3724655"/>
                    </a:xfrm>
                    <a:prstGeom prst="rect">
                      <a:avLst/>
                    </a:prstGeom>
                  </pic:spPr>
                </pic:pic>
              </a:graphicData>
            </a:graphic>
          </wp:inline>
        </w:drawing>
      </w:r>
      <w:r>
        <w:rPr>
          <w:sz w:val="20"/>
        </w:rPr>
      </w:r>
    </w:p>
    <w:p>
      <w:pPr>
        <w:pStyle w:val="BodyText"/>
        <w:rPr>
          <w:sz w:val="9"/>
        </w:rPr>
      </w:pPr>
    </w:p>
    <w:p>
      <w:pPr>
        <w:spacing w:before="64"/>
        <w:ind w:left="525" w:right="0" w:firstLine="0"/>
        <w:jc w:val="left"/>
        <w:rPr>
          <w:rFonts w:ascii="Calibri" w:hAnsi="Calibri"/>
          <w:i/>
          <w:sz w:val="18"/>
        </w:rPr>
      </w:pPr>
      <w:bookmarkStart w:name="_bookmark9" w:id="17"/>
      <w:bookmarkEnd w:id="17"/>
      <w:r>
        <w:rPr/>
      </w:r>
      <w:r>
        <w:rPr>
          <w:rFonts w:ascii="Calibri" w:hAnsi="Calibri"/>
          <w:i/>
          <w:color w:val="44536A"/>
          <w:sz w:val="18"/>
        </w:rPr>
        <w:t>Figur 1 Middel terrænnær grundvandsdybde (afstand til grundvandsspejl) for 20 årig periode (1996-2015)</w:t>
      </w:r>
    </w:p>
    <w:p>
      <w:pPr>
        <w:pStyle w:val="BodyText"/>
        <w:spacing w:before="6"/>
        <w:rPr>
          <w:rFonts w:ascii="Calibri"/>
          <w:i/>
          <w:sz w:val="22"/>
        </w:rPr>
      </w:pPr>
      <w:r>
        <w:rPr/>
        <w:drawing>
          <wp:anchor distT="0" distB="0" distL="0" distR="0" allowOverlap="1" layoutInCell="1" locked="0" behindDoc="0" simplePos="0" relativeHeight="7">
            <wp:simplePos x="0" y="0"/>
            <wp:positionH relativeFrom="page">
              <wp:posOffset>1333875</wp:posOffset>
            </wp:positionH>
            <wp:positionV relativeFrom="paragraph">
              <wp:posOffset>199139</wp:posOffset>
            </wp:positionV>
            <wp:extent cx="5338680" cy="3730752"/>
            <wp:effectExtent l="0" t="0" r="0" b="0"/>
            <wp:wrapTopAndBottom/>
            <wp:docPr id="17" name="image9.jpeg" descr=""/>
            <wp:cNvGraphicFramePr>
              <a:graphicFrameLocks noChangeAspect="1"/>
            </wp:cNvGraphicFramePr>
            <a:graphic>
              <a:graphicData uri="http://schemas.openxmlformats.org/drawingml/2006/picture">
                <pic:pic>
                  <pic:nvPicPr>
                    <pic:cNvPr id="18" name="image9.jpeg"/>
                    <pic:cNvPicPr/>
                  </pic:nvPicPr>
                  <pic:blipFill>
                    <a:blip r:embed="rId15" cstate="print"/>
                    <a:stretch>
                      <a:fillRect/>
                    </a:stretch>
                  </pic:blipFill>
                  <pic:spPr>
                    <a:xfrm>
                      <a:off x="0" y="0"/>
                      <a:ext cx="5338680" cy="3730752"/>
                    </a:xfrm>
                    <a:prstGeom prst="rect">
                      <a:avLst/>
                    </a:prstGeom>
                  </pic:spPr>
                </pic:pic>
              </a:graphicData>
            </a:graphic>
          </wp:anchor>
        </w:drawing>
      </w:r>
    </w:p>
    <w:p>
      <w:pPr>
        <w:spacing w:before="158"/>
        <w:ind w:left="525" w:right="845" w:firstLine="0"/>
        <w:jc w:val="left"/>
        <w:rPr>
          <w:rFonts w:ascii="Calibri" w:hAnsi="Calibri"/>
          <w:i/>
          <w:sz w:val="18"/>
        </w:rPr>
      </w:pPr>
      <w:r>
        <w:rPr>
          <w:rFonts w:ascii="Calibri" w:hAnsi="Calibri"/>
          <w:i/>
          <w:color w:val="44536A"/>
          <w:sz w:val="18"/>
        </w:rPr>
        <w:t>Figur 2 Overskridelsessandsynlighed for &lt;1 m dybde til grundvandsspejlet (dvs. % sandsynlighed for at grundvandet </w:t>
      </w:r>
      <w:r>
        <w:rPr>
          <w:rFonts w:ascii="Calibri" w:hAnsi="Calibri"/>
          <w:i/>
          <w:color w:val="44536A"/>
          <w:sz w:val="18"/>
        </w:rPr>
        <w:t>står mindre end en meter under terræn) for året (ud fra simulererede data for 1996-2015)</w:t>
      </w:r>
    </w:p>
    <w:p>
      <w:pPr>
        <w:spacing w:after="0"/>
        <w:jc w:val="left"/>
        <w:rPr>
          <w:rFonts w:ascii="Calibri" w:hAnsi="Calibri"/>
          <w:sz w:val="18"/>
        </w:rPr>
        <w:sectPr>
          <w:pgSz w:w="11910" w:h="16850"/>
          <w:pgMar w:header="0" w:footer="857" w:top="1540" w:bottom="1120" w:left="1460" w:right="680"/>
        </w:sectPr>
      </w:pPr>
    </w:p>
    <w:p>
      <w:pPr>
        <w:pStyle w:val="BodyText"/>
        <w:ind w:left="583"/>
        <w:rPr>
          <w:rFonts w:ascii="Calibri"/>
          <w:sz w:val="20"/>
        </w:rPr>
      </w:pPr>
      <w:r>
        <w:rPr>
          <w:rFonts w:ascii="Calibri"/>
          <w:sz w:val="20"/>
        </w:rPr>
        <w:drawing>
          <wp:inline distT="0" distB="0" distL="0" distR="0">
            <wp:extent cx="5373093" cy="3164204"/>
            <wp:effectExtent l="0" t="0" r="0" b="0"/>
            <wp:docPr id="19" name="image10.jpeg" descr=""/>
            <wp:cNvGraphicFramePr>
              <a:graphicFrameLocks noChangeAspect="1"/>
            </wp:cNvGraphicFramePr>
            <a:graphic>
              <a:graphicData uri="http://schemas.openxmlformats.org/drawingml/2006/picture">
                <pic:pic>
                  <pic:nvPicPr>
                    <pic:cNvPr id="20" name="image10.jpeg"/>
                    <pic:cNvPicPr/>
                  </pic:nvPicPr>
                  <pic:blipFill>
                    <a:blip r:embed="rId16" cstate="print"/>
                    <a:stretch>
                      <a:fillRect/>
                    </a:stretch>
                  </pic:blipFill>
                  <pic:spPr>
                    <a:xfrm>
                      <a:off x="0" y="0"/>
                      <a:ext cx="5373093" cy="3164204"/>
                    </a:xfrm>
                    <a:prstGeom prst="rect">
                      <a:avLst/>
                    </a:prstGeom>
                  </pic:spPr>
                </pic:pic>
              </a:graphicData>
            </a:graphic>
          </wp:inline>
        </w:drawing>
      </w:r>
      <w:r>
        <w:rPr>
          <w:rFonts w:ascii="Calibri"/>
          <w:sz w:val="20"/>
        </w:rPr>
      </w:r>
    </w:p>
    <w:p>
      <w:pPr>
        <w:spacing w:before="86"/>
        <w:ind w:left="525" w:right="790" w:firstLine="0"/>
        <w:jc w:val="both"/>
        <w:rPr>
          <w:rFonts w:ascii="Calibri" w:hAnsi="Calibri"/>
          <w:i/>
          <w:sz w:val="18"/>
        </w:rPr>
      </w:pPr>
      <w:bookmarkStart w:name="_bookmark10" w:id="18"/>
      <w:bookmarkEnd w:id="18"/>
      <w:r>
        <w:rPr/>
      </w:r>
      <w:r>
        <w:rPr>
          <w:rFonts w:ascii="Calibri" w:hAnsi="Calibri"/>
          <w:i/>
          <w:color w:val="44536A"/>
          <w:sz w:val="18"/>
        </w:rPr>
        <w:t>Figur 3 ZOOM 1. Simuleret afstand til grundvandsspejl med 100 m model (venstre) og nedskaleret fra 100 m model </w:t>
      </w:r>
      <w:r>
        <w:rPr>
          <w:rFonts w:ascii="Calibri" w:hAnsi="Calibri"/>
          <w:i/>
          <w:color w:val="44536A"/>
          <w:sz w:val="18"/>
        </w:rPr>
        <w:t>(højre) og sammenlignet med observationer af DHI GRAS for 9. december 2015 hændelse. Nedre del af Storå (Vemb)</w:t>
      </w:r>
    </w:p>
    <w:p>
      <w:pPr>
        <w:pStyle w:val="BodyText"/>
        <w:spacing w:before="1"/>
        <w:rPr>
          <w:rFonts w:ascii="Calibri"/>
          <w:i/>
          <w:sz w:val="16"/>
        </w:rPr>
      </w:pPr>
    </w:p>
    <w:p>
      <w:pPr>
        <w:pStyle w:val="BodyText"/>
        <w:spacing w:line="288" w:lineRule="auto" w:before="1"/>
        <w:ind w:left="525" w:right="730"/>
        <w:jc w:val="both"/>
      </w:pPr>
      <w:hyperlink w:history="true" w:anchor="_bookmark11">
        <w:r>
          <w:rPr/>
          <w:t>Figur 4 </w:t>
        </w:r>
      </w:hyperlink>
      <w:r>
        <w:rPr/>
        <w:t>viser udbredelse af vand på terræn med udgangspunkt i beregnede vandstande fra fra DK-model og MIKE HYDRO River HD, i figuren til venstre, eller stationær HYMOD løs- ning, i figuren til højre, jf. Løsning II og IV. I begge tilfælde er udbredelse af vand på terræn ud fra beregnede vandstande i vandløb vurderet ved hjælp af COWI tool.</w:t>
      </w:r>
    </w:p>
    <w:p>
      <w:pPr>
        <w:pStyle w:val="BodyText"/>
        <w:ind w:left="525"/>
        <w:rPr>
          <w:sz w:val="20"/>
        </w:rPr>
      </w:pPr>
      <w:r>
        <w:rPr>
          <w:sz w:val="20"/>
        </w:rPr>
        <w:drawing>
          <wp:inline distT="0" distB="0" distL="0" distR="0">
            <wp:extent cx="5308791" cy="3202876"/>
            <wp:effectExtent l="0" t="0" r="0" b="0"/>
            <wp:docPr id="21" name="image11.jpeg" descr=""/>
            <wp:cNvGraphicFramePr>
              <a:graphicFrameLocks noChangeAspect="1"/>
            </wp:cNvGraphicFramePr>
            <a:graphic>
              <a:graphicData uri="http://schemas.openxmlformats.org/drawingml/2006/picture">
                <pic:pic>
                  <pic:nvPicPr>
                    <pic:cNvPr id="22" name="image11.jpeg"/>
                    <pic:cNvPicPr/>
                  </pic:nvPicPr>
                  <pic:blipFill>
                    <a:blip r:embed="rId17" cstate="print"/>
                    <a:stretch>
                      <a:fillRect/>
                    </a:stretch>
                  </pic:blipFill>
                  <pic:spPr>
                    <a:xfrm>
                      <a:off x="0" y="0"/>
                      <a:ext cx="5308791" cy="3202876"/>
                    </a:xfrm>
                    <a:prstGeom prst="rect">
                      <a:avLst/>
                    </a:prstGeom>
                  </pic:spPr>
                </pic:pic>
              </a:graphicData>
            </a:graphic>
          </wp:inline>
        </w:drawing>
      </w:r>
      <w:r>
        <w:rPr>
          <w:sz w:val="20"/>
        </w:rPr>
      </w:r>
    </w:p>
    <w:p>
      <w:pPr>
        <w:spacing w:before="107"/>
        <w:ind w:left="525" w:right="943" w:firstLine="0"/>
        <w:jc w:val="left"/>
        <w:rPr>
          <w:rFonts w:ascii="Calibri" w:hAnsi="Calibri"/>
          <w:i/>
          <w:sz w:val="18"/>
        </w:rPr>
      </w:pPr>
      <w:bookmarkStart w:name="_bookmark11" w:id="19"/>
      <w:bookmarkEnd w:id="19"/>
      <w:r>
        <w:rPr/>
      </w:r>
      <w:r>
        <w:rPr>
          <w:rFonts w:ascii="Calibri" w:hAnsi="Calibri"/>
          <w:i/>
          <w:color w:val="44536A"/>
          <w:sz w:val="18"/>
        </w:rPr>
        <w:t>Figur 4 Zoom 1. Udbredelse af vand på terræn estimeret vha. COWI GIS tool for hhv. Hydrodynamisk løsning (ven- </w:t>
      </w:r>
      <w:r>
        <w:rPr>
          <w:rFonts w:ascii="Calibri" w:hAnsi="Calibri"/>
          <w:i/>
          <w:color w:val="44536A"/>
          <w:sz w:val="18"/>
        </w:rPr>
        <w:t>stre) og Hydroinform eksternt vandstandsmodul (højre). I midten er vist registreret oversvømmelse jf. satellitdata.</w:t>
      </w:r>
    </w:p>
    <w:p>
      <w:pPr>
        <w:pStyle w:val="BodyText"/>
        <w:rPr>
          <w:rFonts w:ascii="Calibri"/>
          <w:i/>
          <w:sz w:val="16"/>
        </w:rPr>
      </w:pPr>
    </w:p>
    <w:p>
      <w:pPr>
        <w:pStyle w:val="BodyText"/>
        <w:spacing w:line="288" w:lineRule="auto"/>
        <w:ind w:left="525" w:right="732"/>
        <w:jc w:val="both"/>
      </w:pPr>
      <w:r>
        <w:rPr/>
        <w:t>Projektet har også undersøgt anvendelse af forskellige højdemodeller til oversvømmelses- kortlægning og giver som vist i </w:t>
      </w:r>
      <w:hyperlink w:history="true" w:anchor="_bookmark12">
        <w:r>
          <w:rPr/>
          <w:t>figur 5 </w:t>
        </w:r>
      </w:hyperlink>
      <w:r>
        <w:rPr/>
        <w:t>forskellige områder som sandsynligvis oversvømmes ved</w:t>
      </w:r>
      <w:r>
        <w:rPr>
          <w:spacing w:val="-6"/>
        </w:rPr>
        <w:t> </w:t>
      </w:r>
      <w:r>
        <w:rPr/>
        <w:t>givet</w:t>
      </w:r>
      <w:r>
        <w:rPr>
          <w:spacing w:val="-6"/>
        </w:rPr>
        <w:t> </w:t>
      </w:r>
      <w:r>
        <w:rPr/>
        <w:t>vandstand.</w:t>
      </w:r>
      <w:r>
        <w:rPr>
          <w:spacing w:val="-9"/>
        </w:rPr>
        <w:t> </w:t>
      </w:r>
      <w:r>
        <w:rPr/>
        <w:t>Den</w:t>
      </w:r>
      <w:r>
        <w:rPr>
          <w:spacing w:val="-7"/>
        </w:rPr>
        <w:t> </w:t>
      </w:r>
      <w:r>
        <w:rPr/>
        <w:t>bedste</w:t>
      </w:r>
      <w:r>
        <w:rPr>
          <w:spacing w:val="-9"/>
        </w:rPr>
        <w:t> </w:t>
      </w:r>
      <w:r>
        <w:rPr/>
        <w:t>overensstemmelse</w:t>
      </w:r>
      <w:r>
        <w:rPr>
          <w:spacing w:val="-7"/>
        </w:rPr>
        <w:t> </w:t>
      </w:r>
      <w:r>
        <w:rPr/>
        <w:t>med</w:t>
      </w:r>
      <w:r>
        <w:rPr>
          <w:spacing w:val="-5"/>
        </w:rPr>
        <w:t> </w:t>
      </w:r>
      <w:r>
        <w:rPr/>
        <w:t>satellitdata</w:t>
      </w:r>
      <w:r>
        <w:rPr>
          <w:spacing w:val="-6"/>
        </w:rPr>
        <w:t> </w:t>
      </w:r>
      <w:r>
        <w:rPr/>
        <w:t>opnås</w:t>
      </w:r>
      <w:r>
        <w:rPr>
          <w:spacing w:val="-7"/>
        </w:rPr>
        <w:t> </w:t>
      </w:r>
      <w:r>
        <w:rPr/>
        <w:t>med</w:t>
      </w:r>
      <w:r>
        <w:rPr>
          <w:spacing w:val="-6"/>
        </w:rPr>
        <w:t> </w:t>
      </w:r>
      <w:r>
        <w:rPr/>
        <w:t>brug</w:t>
      </w:r>
      <w:r>
        <w:rPr>
          <w:spacing w:val="-8"/>
        </w:rPr>
        <w:t> </w:t>
      </w:r>
      <w:r>
        <w:rPr/>
        <w:t>af</w:t>
      </w:r>
      <w:r>
        <w:rPr>
          <w:spacing w:val="-6"/>
        </w:rPr>
        <w:t> </w:t>
      </w:r>
      <w:r>
        <w:rPr/>
        <w:t>0,4</w:t>
      </w:r>
    </w:p>
    <w:p>
      <w:pPr>
        <w:spacing w:after="0" w:line="288" w:lineRule="auto"/>
        <w:jc w:val="both"/>
        <w:sectPr>
          <w:pgSz w:w="11910" w:h="16850"/>
          <w:pgMar w:header="0" w:footer="857" w:top="1480" w:bottom="1120" w:left="1460" w:right="680"/>
        </w:sectPr>
      </w:pPr>
    </w:p>
    <w:p>
      <w:pPr>
        <w:pStyle w:val="BodyText"/>
        <w:spacing w:line="288" w:lineRule="auto" w:before="75"/>
        <w:ind w:left="525" w:right="733"/>
        <w:jc w:val="both"/>
      </w:pPr>
      <w:r>
        <w:rPr/>
        <w:t>m</w:t>
      </w:r>
      <w:r>
        <w:rPr>
          <w:spacing w:val="-6"/>
        </w:rPr>
        <w:t> </w:t>
      </w:r>
      <w:r>
        <w:rPr/>
        <w:t>versionen</w:t>
      </w:r>
      <w:r>
        <w:rPr>
          <w:spacing w:val="-6"/>
        </w:rPr>
        <w:t> </w:t>
      </w:r>
      <w:r>
        <w:rPr/>
        <w:t>af</w:t>
      </w:r>
      <w:r>
        <w:rPr>
          <w:spacing w:val="-7"/>
        </w:rPr>
        <w:t> </w:t>
      </w:r>
      <w:r>
        <w:rPr/>
        <w:t>Danmarks</w:t>
      </w:r>
      <w:r>
        <w:rPr>
          <w:spacing w:val="-8"/>
        </w:rPr>
        <w:t> </w:t>
      </w:r>
      <w:r>
        <w:rPr/>
        <w:t>Højdemodel,</w:t>
      </w:r>
      <w:r>
        <w:rPr>
          <w:spacing w:val="-9"/>
        </w:rPr>
        <w:t> </w:t>
      </w:r>
      <w:r>
        <w:rPr/>
        <w:t>men</w:t>
      </w:r>
      <w:r>
        <w:rPr>
          <w:spacing w:val="-7"/>
        </w:rPr>
        <w:t> </w:t>
      </w:r>
      <w:r>
        <w:rPr/>
        <w:t>det</w:t>
      </w:r>
      <w:r>
        <w:rPr>
          <w:spacing w:val="-7"/>
        </w:rPr>
        <w:t> </w:t>
      </w:r>
      <w:r>
        <w:rPr/>
        <w:t>var</w:t>
      </w:r>
      <w:r>
        <w:rPr>
          <w:spacing w:val="-7"/>
        </w:rPr>
        <w:t> </w:t>
      </w:r>
      <w:r>
        <w:rPr/>
        <w:t>kun</w:t>
      </w:r>
      <w:r>
        <w:rPr>
          <w:spacing w:val="-8"/>
        </w:rPr>
        <w:t> </w:t>
      </w:r>
      <w:r>
        <w:rPr/>
        <w:t>muligt</w:t>
      </w:r>
      <w:r>
        <w:rPr>
          <w:spacing w:val="-7"/>
        </w:rPr>
        <w:t> </w:t>
      </w:r>
      <w:r>
        <w:rPr/>
        <w:t>at</w:t>
      </w:r>
      <w:r>
        <w:rPr>
          <w:spacing w:val="-8"/>
        </w:rPr>
        <w:t> </w:t>
      </w:r>
      <w:r>
        <w:rPr/>
        <w:t>anvende</w:t>
      </w:r>
      <w:r>
        <w:rPr>
          <w:spacing w:val="-8"/>
        </w:rPr>
        <w:t> </w:t>
      </w:r>
      <w:r>
        <w:rPr/>
        <w:t>den</w:t>
      </w:r>
      <w:r>
        <w:rPr>
          <w:spacing w:val="-8"/>
        </w:rPr>
        <w:t> </w:t>
      </w:r>
      <w:r>
        <w:rPr/>
        <w:t>aggregerede 1,6</w:t>
      </w:r>
      <w:r>
        <w:rPr>
          <w:spacing w:val="-12"/>
        </w:rPr>
        <w:t> </w:t>
      </w:r>
      <w:r>
        <w:rPr/>
        <w:t>m</w:t>
      </w:r>
      <w:r>
        <w:rPr>
          <w:spacing w:val="-9"/>
        </w:rPr>
        <w:t> </w:t>
      </w:r>
      <w:r>
        <w:rPr/>
        <w:t>version</w:t>
      </w:r>
      <w:r>
        <w:rPr>
          <w:spacing w:val="-10"/>
        </w:rPr>
        <w:t> </w:t>
      </w:r>
      <w:r>
        <w:rPr/>
        <w:t>til</w:t>
      </w:r>
      <w:r>
        <w:rPr>
          <w:spacing w:val="-10"/>
        </w:rPr>
        <w:t> </w:t>
      </w:r>
      <w:r>
        <w:rPr/>
        <w:t>udbredelse</w:t>
      </w:r>
      <w:r>
        <w:rPr>
          <w:spacing w:val="-11"/>
        </w:rPr>
        <w:t> </w:t>
      </w:r>
      <w:r>
        <w:rPr/>
        <w:t>af</w:t>
      </w:r>
      <w:r>
        <w:rPr>
          <w:spacing w:val="-10"/>
        </w:rPr>
        <w:t> </w:t>
      </w:r>
      <w:r>
        <w:rPr/>
        <w:t>vand</w:t>
      </w:r>
      <w:r>
        <w:rPr>
          <w:spacing w:val="-10"/>
        </w:rPr>
        <w:t> </w:t>
      </w:r>
      <w:r>
        <w:rPr/>
        <w:t>i</w:t>
      </w:r>
      <w:r>
        <w:rPr>
          <w:spacing w:val="-10"/>
        </w:rPr>
        <w:t> </w:t>
      </w:r>
      <w:r>
        <w:rPr/>
        <w:t>terræn</w:t>
      </w:r>
      <w:r>
        <w:rPr>
          <w:spacing w:val="-12"/>
        </w:rPr>
        <w:t> </w:t>
      </w:r>
      <w:r>
        <w:rPr/>
        <w:t>med</w:t>
      </w:r>
      <w:r>
        <w:rPr>
          <w:spacing w:val="-10"/>
        </w:rPr>
        <w:t> </w:t>
      </w:r>
      <w:r>
        <w:rPr/>
        <w:t>det</w:t>
      </w:r>
      <w:r>
        <w:rPr>
          <w:spacing w:val="-12"/>
        </w:rPr>
        <w:t> </w:t>
      </w:r>
      <w:r>
        <w:rPr/>
        <w:t>eksterne</w:t>
      </w:r>
      <w:r>
        <w:rPr>
          <w:spacing w:val="-13"/>
        </w:rPr>
        <w:t> </w:t>
      </w:r>
      <w:r>
        <w:rPr/>
        <w:t>COWI</w:t>
      </w:r>
      <w:r>
        <w:rPr>
          <w:spacing w:val="-17"/>
        </w:rPr>
        <w:t> </w:t>
      </w:r>
      <w:r>
        <w:rPr/>
        <w:t>modul</w:t>
      </w:r>
      <w:r>
        <w:rPr>
          <w:spacing w:val="-12"/>
        </w:rPr>
        <w:t> </w:t>
      </w:r>
      <w:r>
        <w:rPr/>
        <w:t>for</w:t>
      </w:r>
      <w:r>
        <w:rPr>
          <w:spacing w:val="-14"/>
        </w:rPr>
        <w:t> </w:t>
      </w:r>
      <w:r>
        <w:rPr/>
        <w:t>hele</w:t>
      </w:r>
      <w:r>
        <w:rPr>
          <w:spacing w:val="-11"/>
        </w:rPr>
        <w:t> </w:t>
      </w:r>
      <w:r>
        <w:rPr/>
        <w:t>oplandet til Storå.</w:t>
      </w:r>
    </w:p>
    <w:p>
      <w:pPr>
        <w:pStyle w:val="BodyText"/>
        <w:spacing w:before="11"/>
        <w:rPr>
          <w:sz w:val="10"/>
        </w:rPr>
      </w:pPr>
      <w:r>
        <w:rPr/>
        <w:drawing>
          <wp:anchor distT="0" distB="0" distL="0" distR="0" allowOverlap="1" layoutInCell="1" locked="0" behindDoc="0" simplePos="0" relativeHeight="8">
            <wp:simplePos x="0" y="0"/>
            <wp:positionH relativeFrom="page">
              <wp:posOffset>1260475</wp:posOffset>
            </wp:positionH>
            <wp:positionV relativeFrom="paragraph">
              <wp:posOffset>104888</wp:posOffset>
            </wp:positionV>
            <wp:extent cx="5008995" cy="3450431"/>
            <wp:effectExtent l="0" t="0" r="0" b="0"/>
            <wp:wrapTopAndBottom/>
            <wp:docPr id="23" name="image12.jpeg" descr=""/>
            <wp:cNvGraphicFramePr>
              <a:graphicFrameLocks noChangeAspect="1"/>
            </wp:cNvGraphicFramePr>
            <a:graphic>
              <a:graphicData uri="http://schemas.openxmlformats.org/drawingml/2006/picture">
                <pic:pic>
                  <pic:nvPicPr>
                    <pic:cNvPr id="24" name="image12.jpeg"/>
                    <pic:cNvPicPr/>
                  </pic:nvPicPr>
                  <pic:blipFill>
                    <a:blip r:embed="rId18" cstate="print"/>
                    <a:stretch>
                      <a:fillRect/>
                    </a:stretch>
                  </pic:blipFill>
                  <pic:spPr>
                    <a:xfrm>
                      <a:off x="0" y="0"/>
                      <a:ext cx="5008995" cy="3450431"/>
                    </a:xfrm>
                    <a:prstGeom prst="rect">
                      <a:avLst/>
                    </a:prstGeom>
                  </pic:spPr>
                </pic:pic>
              </a:graphicData>
            </a:graphic>
          </wp:anchor>
        </w:drawing>
      </w:r>
    </w:p>
    <w:p>
      <w:pPr>
        <w:spacing w:before="64"/>
        <w:ind w:left="525" w:right="0" w:firstLine="0"/>
        <w:jc w:val="left"/>
        <w:rPr>
          <w:rFonts w:ascii="Calibri" w:hAnsi="Calibri"/>
          <w:i/>
          <w:sz w:val="18"/>
        </w:rPr>
      </w:pPr>
      <w:bookmarkStart w:name="_bookmark12" w:id="20"/>
      <w:bookmarkEnd w:id="20"/>
      <w:r>
        <w:rPr/>
      </w:r>
      <w:r>
        <w:rPr>
          <w:rFonts w:ascii="Calibri" w:hAnsi="Calibri"/>
          <w:i/>
          <w:color w:val="44536A"/>
          <w:sz w:val="18"/>
        </w:rPr>
        <w:t>Figur 5 Sammenligning af udbredelse af vand på terræn i nedre del af Storå for DHM 0,4 m, 1,6 m og 10 m.</w:t>
      </w:r>
    </w:p>
    <w:p>
      <w:pPr>
        <w:pStyle w:val="BodyText"/>
        <w:spacing w:before="1"/>
        <w:rPr>
          <w:rFonts w:ascii="Calibri"/>
          <w:i/>
          <w:sz w:val="16"/>
        </w:rPr>
      </w:pPr>
    </w:p>
    <w:p>
      <w:pPr>
        <w:pStyle w:val="BodyText"/>
        <w:spacing w:line="288" w:lineRule="auto"/>
        <w:ind w:left="525" w:right="656"/>
      </w:pPr>
      <w:r>
        <w:rPr/>
        <w:t>Det</w:t>
      </w:r>
      <w:r>
        <w:rPr>
          <w:spacing w:val="-15"/>
        </w:rPr>
        <w:t> </w:t>
      </w:r>
      <w:r>
        <w:rPr/>
        <w:t>er</w:t>
      </w:r>
      <w:r>
        <w:rPr>
          <w:spacing w:val="-16"/>
        </w:rPr>
        <w:t> </w:t>
      </w:r>
      <w:r>
        <w:rPr/>
        <w:t>endvidere</w:t>
      </w:r>
      <w:r>
        <w:rPr>
          <w:spacing w:val="-14"/>
        </w:rPr>
        <w:t> </w:t>
      </w:r>
      <w:r>
        <w:rPr/>
        <w:t>også</w:t>
      </w:r>
      <w:r>
        <w:rPr>
          <w:spacing w:val="-16"/>
        </w:rPr>
        <w:t> </w:t>
      </w:r>
      <w:r>
        <w:rPr/>
        <w:t>undersøgt,</w:t>
      </w:r>
      <w:r>
        <w:rPr>
          <w:spacing w:val="-14"/>
        </w:rPr>
        <w:t> </w:t>
      </w:r>
      <w:r>
        <w:rPr/>
        <w:t>hvor</w:t>
      </w:r>
      <w:r>
        <w:rPr>
          <w:spacing w:val="-14"/>
        </w:rPr>
        <w:t> </w:t>
      </w:r>
      <w:r>
        <w:rPr/>
        <w:t>stor</w:t>
      </w:r>
      <w:r>
        <w:rPr>
          <w:spacing w:val="-15"/>
        </w:rPr>
        <w:t> </w:t>
      </w:r>
      <w:r>
        <w:rPr/>
        <w:t>effekt</w:t>
      </w:r>
      <w:r>
        <w:rPr>
          <w:spacing w:val="-14"/>
        </w:rPr>
        <w:t> </w:t>
      </w:r>
      <w:r>
        <w:rPr/>
        <w:t>en</w:t>
      </w:r>
      <w:r>
        <w:rPr>
          <w:spacing w:val="-14"/>
        </w:rPr>
        <w:t> </w:t>
      </w:r>
      <w:r>
        <w:rPr/>
        <w:t>simuleret</w:t>
      </w:r>
      <w:r>
        <w:rPr>
          <w:spacing w:val="-15"/>
        </w:rPr>
        <w:t> </w:t>
      </w:r>
      <w:r>
        <w:rPr/>
        <w:t>vandstand</w:t>
      </w:r>
      <w:r>
        <w:rPr>
          <w:spacing w:val="-16"/>
        </w:rPr>
        <w:t> </w:t>
      </w:r>
      <w:r>
        <w:rPr/>
        <w:t>har</w:t>
      </w:r>
      <w:r>
        <w:rPr>
          <w:spacing w:val="-14"/>
        </w:rPr>
        <w:t> </w:t>
      </w:r>
      <w:r>
        <w:rPr/>
        <w:t>på</w:t>
      </w:r>
      <w:r>
        <w:rPr>
          <w:spacing w:val="-13"/>
        </w:rPr>
        <w:t> </w:t>
      </w:r>
      <w:r>
        <w:rPr/>
        <w:t>udbredelsen af sandsynlig oversvømmelse, se figur</w:t>
      </w:r>
      <w:r>
        <w:rPr>
          <w:spacing w:val="-9"/>
        </w:rPr>
        <w:t> </w:t>
      </w:r>
      <w:r>
        <w:rPr/>
        <w:t>6.</w:t>
      </w:r>
    </w:p>
    <w:p>
      <w:pPr>
        <w:pStyle w:val="BodyText"/>
        <w:spacing w:before="10"/>
        <w:rPr>
          <w:sz w:val="10"/>
        </w:rPr>
      </w:pPr>
      <w:r>
        <w:rPr/>
        <w:drawing>
          <wp:anchor distT="0" distB="0" distL="0" distR="0" allowOverlap="1" layoutInCell="1" locked="0" behindDoc="0" simplePos="0" relativeHeight="9">
            <wp:simplePos x="0" y="0"/>
            <wp:positionH relativeFrom="page">
              <wp:posOffset>1260475</wp:posOffset>
            </wp:positionH>
            <wp:positionV relativeFrom="paragraph">
              <wp:posOffset>104736</wp:posOffset>
            </wp:positionV>
            <wp:extent cx="5006732" cy="3463290"/>
            <wp:effectExtent l="0" t="0" r="0" b="0"/>
            <wp:wrapTopAndBottom/>
            <wp:docPr id="25" name="image13.jpeg" descr=""/>
            <wp:cNvGraphicFramePr>
              <a:graphicFrameLocks noChangeAspect="1"/>
            </wp:cNvGraphicFramePr>
            <a:graphic>
              <a:graphicData uri="http://schemas.openxmlformats.org/drawingml/2006/picture">
                <pic:pic>
                  <pic:nvPicPr>
                    <pic:cNvPr id="26" name="image13.jpeg"/>
                    <pic:cNvPicPr/>
                  </pic:nvPicPr>
                  <pic:blipFill>
                    <a:blip r:embed="rId19" cstate="print"/>
                    <a:stretch>
                      <a:fillRect/>
                    </a:stretch>
                  </pic:blipFill>
                  <pic:spPr>
                    <a:xfrm>
                      <a:off x="0" y="0"/>
                      <a:ext cx="5006732" cy="3463290"/>
                    </a:xfrm>
                    <a:prstGeom prst="rect">
                      <a:avLst/>
                    </a:prstGeom>
                  </pic:spPr>
                </pic:pic>
              </a:graphicData>
            </a:graphic>
          </wp:anchor>
        </w:drawing>
      </w:r>
    </w:p>
    <w:p>
      <w:pPr>
        <w:spacing w:before="15"/>
        <w:ind w:left="525" w:right="939" w:firstLine="0"/>
        <w:jc w:val="left"/>
        <w:rPr>
          <w:rFonts w:ascii="Calibri" w:hAnsi="Calibri"/>
          <w:i/>
          <w:sz w:val="18"/>
        </w:rPr>
      </w:pPr>
      <w:r>
        <w:rPr>
          <w:rFonts w:ascii="Calibri" w:hAnsi="Calibri"/>
          <w:i/>
          <w:color w:val="44536A"/>
          <w:sz w:val="18"/>
        </w:rPr>
        <w:t>Figur 6 Simuleret vandstand med DK-model og MIKE HYDRO River, hvor 0.2 og 0.5m er lagt til og udbredt på DHM </w:t>
      </w:r>
      <w:r>
        <w:rPr>
          <w:rFonts w:ascii="Calibri" w:hAnsi="Calibri"/>
          <w:i/>
          <w:color w:val="44536A"/>
          <w:sz w:val="18"/>
        </w:rPr>
        <w:t>1,6 m opløsning.</w:t>
      </w:r>
    </w:p>
    <w:p>
      <w:pPr>
        <w:spacing w:after="0"/>
        <w:jc w:val="left"/>
        <w:rPr>
          <w:rFonts w:ascii="Calibri" w:hAnsi="Calibri"/>
          <w:sz w:val="18"/>
        </w:rPr>
        <w:sectPr>
          <w:pgSz w:w="11910" w:h="16850"/>
          <w:pgMar w:header="0" w:footer="857" w:top="1340" w:bottom="1120" w:left="1460" w:right="680"/>
        </w:sectPr>
      </w:pPr>
    </w:p>
    <w:p>
      <w:pPr>
        <w:pStyle w:val="BodyText"/>
        <w:spacing w:before="72"/>
        <w:ind w:left="525"/>
      </w:pPr>
      <w:r>
        <w:rPr/>
        <w:t>I </w:t>
      </w:r>
      <w:hyperlink w:history="true" w:anchor="_bookmark13">
        <w:r>
          <w:rPr/>
          <w:t>tabel 3 </w:t>
        </w:r>
      </w:hyperlink>
      <w:r>
        <w:rPr/>
        <w:t>er anvendelsespotentialer relateret til løsninger og succeskriterier.</w:t>
      </w:r>
    </w:p>
    <w:p>
      <w:pPr>
        <w:pStyle w:val="BodyText"/>
        <w:spacing w:before="8"/>
        <w:rPr>
          <w:sz w:val="24"/>
        </w:rPr>
      </w:pPr>
    </w:p>
    <w:p>
      <w:pPr>
        <w:spacing w:before="0"/>
        <w:ind w:left="525" w:right="0" w:firstLine="0"/>
        <w:jc w:val="left"/>
        <w:rPr>
          <w:rFonts w:ascii="Calibri" w:hAnsi="Calibri"/>
          <w:i/>
          <w:sz w:val="18"/>
        </w:rPr>
      </w:pPr>
      <w:bookmarkStart w:name="_bookmark13" w:id="21"/>
      <w:bookmarkEnd w:id="21"/>
      <w:r>
        <w:rPr/>
      </w:r>
      <w:r>
        <w:rPr>
          <w:rFonts w:ascii="Calibri" w:hAnsi="Calibri"/>
          <w:i/>
          <w:color w:val="44536A"/>
          <w:sz w:val="18"/>
        </w:rPr>
        <w:t>Tabel 3 Relatering af anvendelsespotentiale, løsninger og succeskriterier</w:t>
      </w:r>
    </w:p>
    <w:p>
      <w:pPr>
        <w:pStyle w:val="BodyText"/>
        <w:spacing w:before="3" w:after="1"/>
        <w:rPr>
          <w:rFonts w:ascii="Calibri"/>
          <w:i/>
          <w:sz w:val="16"/>
        </w:r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55"/>
        <w:gridCol w:w="2127"/>
        <w:gridCol w:w="4813"/>
      </w:tblGrid>
      <w:tr>
        <w:trPr>
          <w:trHeight w:val="290" w:hRule="atLeast"/>
        </w:trPr>
        <w:tc>
          <w:tcPr>
            <w:tcW w:w="1555" w:type="dxa"/>
          </w:tcPr>
          <w:p>
            <w:pPr>
              <w:pStyle w:val="TableParagraph"/>
              <w:spacing w:line="239" w:lineRule="exact"/>
              <w:ind w:left="107"/>
              <w:jc w:val="left"/>
              <w:rPr>
                <w:b/>
                <w:sz w:val="21"/>
              </w:rPr>
            </w:pPr>
            <w:r>
              <w:rPr>
                <w:b/>
                <w:sz w:val="21"/>
              </w:rPr>
              <w:t>Mål</w:t>
            </w:r>
          </w:p>
        </w:tc>
        <w:tc>
          <w:tcPr>
            <w:tcW w:w="2127" w:type="dxa"/>
          </w:tcPr>
          <w:p>
            <w:pPr>
              <w:pStyle w:val="TableParagraph"/>
              <w:spacing w:line="239" w:lineRule="exact"/>
              <w:ind w:left="107"/>
              <w:jc w:val="left"/>
              <w:rPr>
                <w:b/>
                <w:sz w:val="21"/>
              </w:rPr>
            </w:pPr>
            <w:r>
              <w:rPr>
                <w:b/>
                <w:sz w:val="21"/>
              </w:rPr>
              <w:t>Hvorfor</w:t>
            </w:r>
          </w:p>
        </w:tc>
        <w:tc>
          <w:tcPr>
            <w:tcW w:w="4813" w:type="dxa"/>
          </w:tcPr>
          <w:p>
            <w:pPr>
              <w:pStyle w:val="TableParagraph"/>
              <w:spacing w:line="239" w:lineRule="exact"/>
              <w:ind w:left="107"/>
              <w:jc w:val="left"/>
              <w:rPr>
                <w:b/>
                <w:sz w:val="21"/>
              </w:rPr>
            </w:pPr>
            <w:r>
              <w:rPr>
                <w:b/>
                <w:sz w:val="21"/>
              </w:rPr>
              <w:t>Løsningsmodel og succeskriterium</w:t>
            </w:r>
          </w:p>
        </w:tc>
      </w:tr>
      <w:tr>
        <w:trPr>
          <w:trHeight w:val="9190" w:hRule="atLeast"/>
        </w:trPr>
        <w:tc>
          <w:tcPr>
            <w:tcW w:w="1555" w:type="dxa"/>
          </w:tcPr>
          <w:p>
            <w:pPr>
              <w:pStyle w:val="TableParagraph"/>
              <w:spacing w:line="288" w:lineRule="auto"/>
              <w:ind w:left="107" w:right="97"/>
              <w:jc w:val="left"/>
              <w:rPr>
                <w:sz w:val="18"/>
              </w:rPr>
            </w:pPr>
            <w:r>
              <w:rPr>
                <w:sz w:val="18"/>
              </w:rPr>
              <w:t>Projektet skal udvikle metode til bedre model- lering af terræn- nært grundvand, vandstand i vandløb og kort- lægning af vand på terræn.</w:t>
            </w:r>
          </w:p>
        </w:tc>
        <w:tc>
          <w:tcPr>
            <w:tcW w:w="2127" w:type="dxa"/>
          </w:tcPr>
          <w:p>
            <w:pPr>
              <w:pStyle w:val="TableParagraph"/>
              <w:spacing w:line="288" w:lineRule="auto"/>
              <w:ind w:left="107" w:right="119"/>
              <w:jc w:val="left"/>
              <w:rPr>
                <w:sz w:val="18"/>
              </w:rPr>
            </w:pPr>
            <w:r>
              <w:rPr>
                <w:sz w:val="18"/>
              </w:rPr>
              <w:t>Vigtigt med et scree- ningsværktøj for at vide hvor højt grundvandet står og hvor meget vand, der er i vandlø- bet, for at skabe data- baseret viden om hvor- dan man bedst muligt kommer af med over- skydende vand, f.eks. i forbindelse med eks- tremregn.</w:t>
            </w:r>
          </w:p>
          <w:p>
            <w:pPr>
              <w:pStyle w:val="TableParagraph"/>
              <w:spacing w:before="5"/>
              <w:jc w:val="left"/>
              <w:rPr>
                <w:rFonts w:ascii="Calibri"/>
                <w:i/>
                <w:sz w:val="20"/>
              </w:rPr>
            </w:pPr>
          </w:p>
          <w:p>
            <w:pPr>
              <w:pStyle w:val="TableParagraph"/>
              <w:spacing w:line="288" w:lineRule="auto"/>
              <w:ind w:left="107" w:right="108"/>
              <w:jc w:val="left"/>
              <w:rPr>
                <w:sz w:val="18"/>
              </w:rPr>
            </w:pPr>
            <w:r>
              <w:rPr>
                <w:sz w:val="18"/>
              </w:rPr>
              <w:t>Vigtigt at visualisere oversvømmelsesrisiko fra vandløb og grund- vand til brug for vands- tandsregulering, klima- tilpasning og varsling af oversvømmelse</w:t>
            </w:r>
          </w:p>
        </w:tc>
        <w:tc>
          <w:tcPr>
            <w:tcW w:w="4813" w:type="dxa"/>
          </w:tcPr>
          <w:p>
            <w:pPr>
              <w:pStyle w:val="TableParagraph"/>
              <w:spacing w:line="288" w:lineRule="auto"/>
              <w:ind w:left="107" w:right="233"/>
              <w:jc w:val="left"/>
              <w:rPr>
                <w:sz w:val="18"/>
              </w:rPr>
            </w:pPr>
            <w:r>
              <w:rPr>
                <w:sz w:val="18"/>
              </w:rPr>
              <w:t>De tre løsninger vil alle hver for sig kunne give overblik over de hydrologiske forhold, såvel for grundvand som vandløb og til screening af vandlidende arealer og over- svømmelsesrisiko.</w:t>
            </w:r>
          </w:p>
          <w:p>
            <w:pPr>
              <w:pStyle w:val="TableParagraph"/>
              <w:spacing w:before="4"/>
              <w:jc w:val="left"/>
              <w:rPr>
                <w:rFonts w:ascii="Calibri"/>
                <w:i/>
                <w:sz w:val="20"/>
              </w:rPr>
            </w:pPr>
          </w:p>
          <w:p>
            <w:pPr>
              <w:pStyle w:val="TableParagraph"/>
              <w:spacing w:line="288" w:lineRule="auto"/>
              <w:ind w:left="107" w:right="143"/>
              <w:jc w:val="left"/>
              <w:rPr>
                <w:sz w:val="18"/>
              </w:rPr>
            </w:pPr>
            <w:r>
              <w:rPr>
                <w:sz w:val="18"/>
              </w:rPr>
              <w:t>Løsning I vil give nedskaleret terrænnære grundvands- kort i 100 m grid, mens Løsning II, III og IV vil kunne give nedskalerede terrænnære grundvandskort i 10 m grid, hvilket kan være i brugernes interesse.</w:t>
            </w:r>
          </w:p>
          <w:p>
            <w:pPr>
              <w:pStyle w:val="TableParagraph"/>
              <w:spacing w:before="3"/>
              <w:jc w:val="left"/>
              <w:rPr>
                <w:rFonts w:ascii="Calibri"/>
                <w:i/>
                <w:sz w:val="20"/>
              </w:rPr>
            </w:pPr>
          </w:p>
          <w:p>
            <w:pPr>
              <w:pStyle w:val="TableParagraph"/>
              <w:spacing w:line="288" w:lineRule="auto"/>
              <w:ind w:left="107"/>
              <w:jc w:val="left"/>
              <w:rPr>
                <w:sz w:val="18"/>
              </w:rPr>
            </w:pPr>
            <w:r>
              <w:rPr>
                <w:sz w:val="18"/>
              </w:rPr>
              <w:t>Løsning II og IV kræver at brugerne benytter modelbe- regninger fra DK-modellen som input til eksterne bereg- ningsmoduler, og det kan være en barriere, såfremt bru- gere ikke er vant til at ”programmere python scripts”.</w:t>
            </w:r>
          </w:p>
          <w:p>
            <w:pPr>
              <w:pStyle w:val="TableParagraph"/>
              <w:spacing w:line="288" w:lineRule="auto" w:before="1"/>
              <w:ind w:left="107" w:right="103"/>
              <w:jc w:val="left"/>
              <w:rPr>
                <w:sz w:val="18"/>
              </w:rPr>
            </w:pPr>
            <w:r>
              <w:rPr>
                <w:sz w:val="18"/>
              </w:rPr>
              <w:t>Scripts fra evt. beregnede landsdækkende oversvømmel- seskort kan evt. lette implementeringen, og landsdæk- kende kort med oversvømmelsesrisiko kan indgå i Løs- ning IV forudsat tværprofiler og øvrige fysiske vandløbs- data let kan hentes fra fælles database.</w:t>
            </w:r>
          </w:p>
          <w:p>
            <w:pPr>
              <w:pStyle w:val="TableParagraph"/>
              <w:spacing w:before="4"/>
              <w:jc w:val="left"/>
              <w:rPr>
                <w:rFonts w:ascii="Calibri"/>
                <w:i/>
                <w:sz w:val="20"/>
              </w:rPr>
            </w:pPr>
          </w:p>
          <w:p>
            <w:pPr>
              <w:pStyle w:val="TableParagraph"/>
              <w:spacing w:line="288" w:lineRule="auto"/>
              <w:ind w:left="107" w:right="163"/>
              <w:jc w:val="left"/>
              <w:rPr>
                <w:sz w:val="18"/>
              </w:rPr>
            </w:pPr>
            <w:r>
              <w:rPr>
                <w:sz w:val="18"/>
              </w:rPr>
              <w:t>Ingen af løsningerne er præcise nok til at kunne anven- des direkte som styrings- og prognoseværktøj i et lokalt opland f.eks. styring af klimasikringsanlæg, men de kan alle levere modelberegninger (randbetingelser) til videre- udvikling af lokale hydrologiske modeller.</w:t>
            </w:r>
          </w:p>
          <w:p>
            <w:pPr>
              <w:pStyle w:val="TableParagraph"/>
              <w:spacing w:before="5"/>
              <w:jc w:val="left"/>
              <w:rPr>
                <w:rFonts w:ascii="Calibri"/>
                <w:i/>
                <w:sz w:val="20"/>
              </w:rPr>
            </w:pPr>
          </w:p>
          <w:p>
            <w:pPr>
              <w:pStyle w:val="TableParagraph"/>
              <w:spacing w:line="288" w:lineRule="auto"/>
              <w:ind w:left="107" w:right="94"/>
              <w:jc w:val="left"/>
              <w:rPr>
                <w:sz w:val="18"/>
              </w:rPr>
            </w:pPr>
            <w:r>
              <w:rPr>
                <w:sz w:val="18"/>
              </w:rPr>
              <w:t>Løsning I til III har stigende kompleksitet og stigende om- kostninger forbundet med udvikling af landsdækkende modelopsætninger. Løsning IV kombinerer løsning I og II og optimerer kalibrering og simulering. Til gengæld kræ- ver Løsning I til III en faldende grad af efterbearbejdning (anvendelse af eksterne moduler) af brugerne til over- svømmelseskortlægning. Evt. kan der i Løsning IV foreta- ges landsdækkende oversvømmelseskortlægning med vandløbsdata indlæst fra fælles database. Se yderligere beskrivelse af fordele, ulemper, omkostninger og gevin-</w:t>
            </w:r>
          </w:p>
          <w:p>
            <w:pPr>
              <w:pStyle w:val="TableParagraph"/>
              <w:ind w:left="107"/>
              <w:jc w:val="left"/>
              <w:rPr>
                <w:sz w:val="18"/>
              </w:rPr>
            </w:pPr>
            <w:r>
              <w:rPr>
                <w:sz w:val="18"/>
              </w:rPr>
              <w:t>ster for de tre løsninger i </w:t>
            </w:r>
            <w:hyperlink w:history="true" w:anchor="_bookmark13">
              <w:r>
                <w:rPr>
                  <w:sz w:val="18"/>
                </w:rPr>
                <w:t>tabel 3.</w:t>
              </w:r>
            </w:hyperlink>
          </w:p>
        </w:tc>
      </w:tr>
      <w:tr>
        <w:trPr>
          <w:trHeight w:val="3230" w:hRule="atLeast"/>
        </w:trPr>
        <w:tc>
          <w:tcPr>
            <w:tcW w:w="1555" w:type="dxa"/>
          </w:tcPr>
          <w:p>
            <w:pPr>
              <w:pStyle w:val="TableParagraph"/>
              <w:spacing w:line="288" w:lineRule="auto"/>
              <w:ind w:left="107" w:right="87"/>
              <w:jc w:val="left"/>
              <w:rPr>
                <w:sz w:val="18"/>
              </w:rPr>
            </w:pPr>
            <w:r>
              <w:rPr>
                <w:sz w:val="18"/>
              </w:rPr>
              <w:t>Delmål 1: Projektet skal le- vere bedre me- tode til modelle- ring af terræn- nært grundvand</w:t>
            </w:r>
          </w:p>
        </w:tc>
        <w:tc>
          <w:tcPr>
            <w:tcW w:w="2127" w:type="dxa"/>
          </w:tcPr>
          <w:p>
            <w:pPr>
              <w:pStyle w:val="TableParagraph"/>
              <w:spacing w:line="288" w:lineRule="auto"/>
              <w:ind w:left="107" w:right="99"/>
              <w:jc w:val="left"/>
              <w:rPr>
                <w:sz w:val="18"/>
              </w:rPr>
            </w:pPr>
            <w:r>
              <w:rPr>
                <w:sz w:val="18"/>
              </w:rPr>
              <w:t>Viden om ændringer i det terrænnære grund- vand er vigtigt til brug for by- og infrastruktur- planlægning, kloakre- novering og klimatilpas- ning (LAR, nedsivning, dræning).</w:t>
            </w:r>
          </w:p>
          <w:p>
            <w:pPr>
              <w:pStyle w:val="TableParagraph"/>
              <w:spacing w:before="5"/>
              <w:jc w:val="left"/>
              <w:rPr>
                <w:rFonts w:ascii="Calibri"/>
                <w:i/>
                <w:sz w:val="20"/>
              </w:rPr>
            </w:pPr>
          </w:p>
          <w:p>
            <w:pPr>
              <w:pStyle w:val="TableParagraph"/>
              <w:spacing w:line="288" w:lineRule="auto"/>
              <w:ind w:left="107" w:right="146"/>
              <w:jc w:val="both"/>
              <w:rPr>
                <w:sz w:val="18"/>
              </w:rPr>
            </w:pPr>
            <w:r>
              <w:rPr>
                <w:sz w:val="18"/>
              </w:rPr>
              <w:t>I områder med behov for meget præcise be- regninger af terrænnær</w:t>
            </w:r>
          </w:p>
        </w:tc>
        <w:tc>
          <w:tcPr>
            <w:tcW w:w="4813" w:type="dxa"/>
          </w:tcPr>
          <w:p>
            <w:pPr>
              <w:pStyle w:val="TableParagraph"/>
              <w:spacing w:line="288" w:lineRule="auto"/>
              <w:ind w:left="107" w:right="103"/>
              <w:jc w:val="left"/>
              <w:rPr>
                <w:sz w:val="18"/>
              </w:rPr>
            </w:pPr>
            <w:r>
              <w:rPr>
                <w:sz w:val="18"/>
              </w:rPr>
              <w:t>De fire løsninger vil alle hver for sig kunne beskrive dyb- den af det terrænnære grundvand for 90 % af observatio- nerne med nøjagtighed på 1.0-2.0 m i gennemsnit for kvalitetssikrede observationsdata, samt levere en kalibre- ringsmetodik, der ville kunne fungere på landsdækkende skala, til effektiv anvendelse af terrænnære grundvands- data i hydrologisk modellering.</w:t>
            </w:r>
          </w:p>
          <w:p>
            <w:pPr>
              <w:pStyle w:val="TableParagraph"/>
              <w:spacing w:before="3"/>
              <w:jc w:val="left"/>
              <w:rPr>
                <w:rFonts w:ascii="Calibri"/>
                <w:i/>
                <w:sz w:val="20"/>
              </w:rPr>
            </w:pPr>
          </w:p>
          <w:p>
            <w:pPr>
              <w:pStyle w:val="TableParagraph"/>
              <w:spacing w:line="288" w:lineRule="auto" w:before="1"/>
              <w:ind w:left="107" w:right="143"/>
              <w:jc w:val="left"/>
              <w:rPr>
                <w:sz w:val="18"/>
              </w:rPr>
            </w:pPr>
            <w:r>
              <w:rPr>
                <w:sz w:val="18"/>
              </w:rPr>
              <w:t>Løsning I vil give nedskaleret terrænnære grundvands- kort i 100 m grid, mens Løsning II, III og IV vil kunne give nedskalerede terrænnære grundvandskort i 10 m grid, hvilket kan være i brugernes interesse.</w:t>
            </w:r>
          </w:p>
        </w:tc>
      </w:tr>
    </w:tbl>
    <w:p>
      <w:pPr>
        <w:spacing w:after="0" w:line="288" w:lineRule="auto"/>
        <w:jc w:val="left"/>
        <w:rPr>
          <w:sz w:val="18"/>
        </w:rPr>
        <w:sectPr>
          <w:pgSz w:w="11910" w:h="16850"/>
          <w:pgMar w:header="0" w:footer="857" w:top="1340" w:bottom="1120" w:left="1460" w:right="680"/>
        </w:sect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55"/>
        <w:gridCol w:w="2127"/>
        <w:gridCol w:w="4813"/>
      </w:tblGrid>
      <w:tr>
        <w:trPr>
          <w:trHeight w:val="6209" w:hRule="atLeast"/>
        </w:trPr>
        <w:tc>
          <w:tcPr>
            <w:tcW w:w="1555" w:type="dxa"/>
          </w:tcPr>
          <w:p>
            <w:pPr>
              <w:pStyle w:val="TableParagraph"/>
              <w:jc w:val="left"/>
              <w:rPr>
                <w:rFonts w:ascii="Times New Roman"/>
                <w:sz w:val="18"/>
              </w:rPr>
            </w:pPr>
          </w:p>
        </w:tc>
        <w:tc>
          <w:tcPr>
            <w:tcW w:w="2127" w:type="dxa"/>
          </w:tcPr>
          <w:p>
            <w:pPr>
              <w:pStyle w:val="TableParagraph"/>
              <w:spacing w:line="288" w:lineRule="auto"/>
              <w:ind w:left="107" w:right="175"/>
              <w:jc w:val="left"/>
              <w:rPr>
                <w:sz w:val="18"/>
              </w:rPr>
            </w:pPr>
            <w:r>
              <w:rPr>
                <w:sz w:val="18"/>
              </w:rPr>
              <w:t>dybde, bør der overve- jes brug af lokale hy- drologiske modeller, f.eks. med udgangs- punkt i beregninger (randbetingelser, f.eks. gradient- eller trykni- veau randbetingelse) fra DK-modellen til de- tailmodelleringsformål.</w:t>
            </w:r>
          </w:p>
        </w:tc>
        <w:tc>
          <w:tcPr>
            <w:tcW w:w="4813" w:type="dxa"/>
          </w:tcPr>
          <w:p>
            <w:pPr>
              <w:pStyle w:val="TableParagraph"/>
              <w:spacing w:line="288" w:lineRule="auto"/>
              <w:ind w:left="107" w:right="183"/>
              <w:jc w:val="left"/>
              <w:rPr>
                <w:sz w:val="18"/>
              </w:rPr>
            </w:pPr>
            <w:r>
              <w:rPr>
                <w:sz w:val="18"/>
              </w:rPr>
              <w:t>De fire løsninger kan alle simulere fluktuationer i dybden til grundvandsspejlet og dermed ændringer i dybden af det terrænnære grundvand som følge af nedbørs- og kli- mapåvirkning.</w:t>
            </w:r>
          </w:p>
          <w:p>
            <w:pPr>
              <w:pStyle w:val="TableParagraph"/>
              <w:jc w:val="left"/>
              <w:rPr>
                <w:rFonts w:ascii="Calibri"/>
                <w:i/>
                <w:sz w:val="20"/>
              </w:rPr>
            </w:pPr>
          </w:p>
          <w:p>
            <w:pPr>
              <w:pStyle w:val="TableParagraph"/>
              <w:spacing w:line="288" w:lineRule="auto"/>
              <w:ind w:left="107" w:right="83"/>
              <w:jc w:val="left"/>
              <w:rPr>
                <w:sz w:val="18"/>
              </w:rPr>
            </w:pPr>
            <w:r>
              <w:rPr>
                <w:sz w:val="18"/>
              </w:rPr>
              <w:t>Løsning II, III og IV kan alle give detaljerede kort (ned- skaleret til 10 m grid) der kan anvendes til sammenligning med fotos, satellitdata (fx Sentinel-I og -II) og kort over vådområder, i forhold til erfaringer med hvor det terræn- nære grundvand står højt (f.eks. for et givent tidspunkt med en konkret oversvømmelseshændelse eller for gi- vent gentagelseshyppighed fx en 2., 10. eller 100. års hændelse). Løsning I kan kun nedskalere dybden fra 500 m til 100 m og kan derfor ikke bruges til mere detaljerede sammenligninger med erfaringer.</w:t>
            </w:r>
          </w:p>
          <w:p>
            <w:pPr>
              <w:pStyle w:val="TableParagraph"/>
              <w:spacing w:line="288" w:lineRule="auto"/>
              <w:ind w:left="107" w:right="123"/>
              <w:jc w:val="left"/>
              <w:rPr>
                <w:sz w:val="18"/>
              </w:rPr>
            </w:pPr>
            <w:r>
              <w:rPr>
                <w:sz w:val="18"/>
              </w:rPr>
              <w:t>Løsning II, III og IV kan alle vise hvor dybden til grund- vandsspejlet er inden for f.eks. 0.5 m under terræn (i for- hold til et 10 m grid). Løsning I kan gøre det i forhold til et 100 m grid.</w:t>
            </w:r>
          </w:p>
          <w:p>
            <w:pPr>
              <w:pStyle w:val="TableParagraph"/>
              <w:spacing w:before="6"/>
              <w:jc w:val="left"/>
              <w:rPr>
                <w:rFonts w:ascii="Calibri"/>
                <w:i/>
                <w:sz w:val="20"/>
              </w:rPr>
            </w:pPr>
          </w:p>
          <w:p>
            <w:pPr>
              <w:pStyle w:val="TableParagraph"/>
              <w:spacing w:line="288" w:lineRule="auto"/>
              <w:ind w:left="107" w:right="93"/>
              <w:jc w:val="left"/>
              <w:rPr>
                <w:sz w:val="18"/>
              </w:rPr>
            </w:pPr>
            <w:r>
              <w:rPr>
                <w:sz w:val="18"/>
              </w:rPr>
              <w:t>De fire løsninger opfylder således ikke alle ønsker til mo- dellering af terrænnært grundvand. Kapitel 8 diskuterer anvendelsen af terrænnære grundvandsdata med henblik på yderligere forbedring af nøjagtighed for såvel pejleob-</w:t>
            </w:r>
          </w:p>
          <w:p>
            <w:pPr>
              <w:pStyle w:val="TableParagraph"/>
              <w:ind w:left="107"/>
              <w:jc w:val="left"/>
              <w:rPr>
                <w:sz w:val="18"/>
              </w:rPr>
            </w:pPr>
            <w:r>
              <w:rPr>
                <w:sz w:val="18"/>
              </w:rPr>
              <w:t>servationer som modelleret terrænnært grundvand.</w:t>
            </w:r>
          </w:p>
        </w:tc>
      </w:tr>
      <w:tr>
        <w:trPr>
          <w:trHeight w:val="7452" w:hRule="atLeast"/>
        </w:trPr>
        <w:tc>
          <w:tcPr>
            <w:tcW w:w="1555" w:type="dxa"/>
          </w:tcPr>
          <w:p>
            <w:pPr>
              <w:pStyle w:val="TableParagraph"/>
              <w:spacing w:line="288" w:lineRule="auto"/>
              <w:ind w:left="107" w:right="87"/>
              <w:jc w:val="left"/>
              <w:rPr>
                <w:sz w:val="18"/>
              </w:rPr>
            </w:pPr>
            <w:r>
              <w:rPr>
                <w:sz w:val="18"/>
              </w:rPr>
              <w:t>Delmål 2: Projektet skal le- vere bedre me- tode til modelle- ring af vand- stand i vandløb</w:t>
            </w:r>
          </w:p>
        </w:tc>
        <w:tc>
          <w:tcPr>
            <w:tcW w:w="2127" w:type="dxa"/>
          </w:tcPr>
          <w:p>
            <w:pPr>
              <w:pStyle w:val="TableParagraph"/>
              <w:spacing w:line="288" w:lineRule="auto"/>
              <w:ind w:left="107" w:right="99"/>
              <w:jc w:val="left"/>
              <w:rPr>
                <w:sz w:val="18"/>
              </w:rPr>
            </w:pPr>
            <w:r>
              <w:rPr>
                <w:sz w:val="18"/>
              </w:rPr>
              <w:t>Viden om vandstand er vigtigt til løbende vand- løbsforvaltning og regu- lering. Ekstremvandfø- ringer og ekstremvand- stande er specielt vig- tigt til brug for langsig- tet planlægning og kli- matilpasning.</w:t>
            </w:r>
          </w:p>
          <w:p>
            <w:pPr>
              <w:pStyle w:val="TableParagraph"/>
              <w:spacing w:before="1"/>
              <w:jc w:val="left"/>
              <w:rPr>
                <w:rFonts w:ascii="Calibri"/>
                <w:i/>
                <w:sz w:val="20"/>
              </w:rPr>
            </w:pPr>
          </w:p>
          <w:p>
            <w:pPr>
              <w:pStyle w:val="TableParagraph"/>
              <w:spacing w:line="288" w:lineRule="auto"/>
              <w:ind w:left="107" w:right="118"/>
              <w:jc w:val="left"/>
              <w:rPr>
                <w:sz w:val="18"/>
              </w:rPr>
            </w:pPr>
            <w:r>
              <w:rPr>
                <w:sz w:val="18"/>
              </w:rPr>
              <w:t>I områder med behov for meget præcise be- regninger af vandstand og vandføring, bør der overvejes anvendelse af mere detaljerede hy- drauliske modeller, f.eks. med udgangs- punkt i vandføringsbe- regninger (flowrandbe- tingelser) fra DK-mo- dellen til detailmodelle- ring og vurdering af ekstrem vandstande for udvalgte strækninger</w:t>
            </w:r>
          </w:p>
        </w:tc>
        <w:tc>
          <w:tcPr>
            <w:tcW w:w="4813" w:type="dxa"/>
          </w:tcPr>
          <w:p>
            <w:pPr>
              <w:pStyle w:val="TableParagraph"/>
              <w:spacing w:line="288" w:lineRule="auto"/>
              <w:ind w:left="107" w:right="113"/>
              <w:jc w:val="left"/>
              <w:rPr>
                <w:sz w:val="18"/>
              </w:rPr>
            </w:pPr>
            <w:r>
              <w:rPr>
                <w:sz w:val="18"/>
              </w:rPr>
              <w:t>De fire løsninger kan bidrage til modellering af vandstand i vandløb. Løsning III og IV kan bidrage til landsdæk- kende modellering af vandspejl, der kan indgå i vurdering af oversvømmelser fra vandløb. Løsning IV under forud- sætning af at fysiske vandløbsdata incl. tværprofiler mm. kan hentes fra fælles database. Løsning I kan (udeluk- kende) bidrage med vandføringsdata som input til eks- ternt vandstandsmodul. Løsning II med mere detaljerede vandføringsdata.</w:t>
            </w:r>
          </w:p>
          <w:p>
            <w:pPr>
              <w:pStyle w:val="TableParagraph"/>
              <w:spacing w:before="1"/>
              <w:jc w:val="left"/>
              <w:rPr>
                <w:rFonts w:ascii="Calibri"/>
                <w:i/>
                <w:sz w:val="20"/>
              </w:rPr>
            </w:pPr>
          </w:p>
          <w:p>
            <w:pPr>
              <w:pStyle w:val="TableParagraph"/>
              <w:spacing w:line="290" w:lineRule="auto"/>
              <w:ind w:left="107" w:right="163"/>
              <w:jc w:val="left"/>
              <w:rPr>
                <w:sz w:val="18"/>
              </w:rPr>
            </w:pPr>
            <w:r>
              <w:rPr>
                <w:sz w:val="18"/>
              </w:rPr>
              <w:t>Løsninger III og IV kan begge bidrage til landsdækkende modellering af vandstand i vandløb med nøjagtighed på</w:t>
            </w:r>
          </w:p>
          <w:p>
            <w:pPr>
              <w:pStyle w:val="TableParagraph"/>
              <w:spacing w:line="288" w:lineRule="auto"/>
              <w:ind w:left="107" w:right="123"/>
              <w:jc w:val="left"/>
              <w:rPr>
                <w:sz w:val="18"/>
              </w:rPr>
            </w:pPr>
            <w:r>
              <w:rPr>
                <w:sz w:val="18"/>
              </w:rPr>
              <w:t>0.2 m i gennemsnit til screeningsformål. Løsning I og II kan bidrage, såfremt eksternt vandstandsmodul bringes i spil, men det vil formentlig ikke ske landsdækkende, men kun for problemstrækninger, og det vil kræve ekstra ar- bejde (ressourcer) af slutbrugere.</w:t>
            </w:r>
          </w:p>
          <w:p>
            <w:pPr>
              <w:pStyle w:val="TableParagraph"/>
              <w:jc w:val="left"/>
              <w:rPr>
                <w:rFonts w:ascii="Calibri"/>
                <w:i/>
                <w:sz w:val="20"/>
              </w:rPr>
            </w:pPr>
          </w:p>
          <w:p>
            <w:pPr>
              <w:pStyle w:val="TableParagraph"/>
              <w:spacing w:line="288" w:lineRule="auto"/>
              <w:ind w:left="107" w:right="94"/>
              <w:jc w:val="left"/>
              <w:rPr>
                <w:sz w:val="18"/>
              </w:rPr>
            </w:pPr>
            <w:r>
              <w:rPr>
                <w:sz w:val="18"/>
              </w:rPr>
              <w:t>Løsning I-IV kan alle bidrage til modellering af ekstrem årsvandføringer med rimelig nøjagtighed i større vandløb, mens Løsning II-IV vil give forbedrede beregninger også i mindre vandløb.</w:t>
            </w:r>
          </w:p>
          <w:p>
            <w:pPr>
              <w:pStyle w:val="TableParagraph"/>
              <w:spacing w:before="6"/>
              <w:jc w:val="left"/>
              <w:rPr>
                <w:rFonts w:ascii="Calibri"/>
                <w:i/>
                <w:sz w:val="20"/>
              </w:rPr>
            </w:pPr>
          </w:p>
          <w:p>
            <w:pPr>
              <w:pStyle w:val="TableParagraph"/>
              <w:spacing w:line="288" w:lineRule="auto" w:before="1"/>
              <w:ind w:left="107" w:right="103"/>
              <w:jc w:val="left"/>
              <w:rPr>
                <w:sz w:val="18"/>
              </w:rPr>
            </w:pPr>
            <w:r>
              <w:rPr>
                <w:sz w:val="18"/>
              </w:rPr>
              <w:t>Alle løsninger giver mulighed for at metoden kan anven- des på landsdækkende skala til brug for screening og ge- nerering af flowrandbetingelser til anvendelse i mere de- taljerede hydrauliske modeller, der fungerer på stræk- ningsskala. Løsning I vil ikke sikre en kompatibel ’river- line’ i forhold til fælles fysisk vandløbsdatabase og Dan-</w:t>
            </w:r>
          </w:p>
          <w:p>
            <w:pPr>
              <w:pStyle w:val="TableParagraph"/>
              <w:ind w:left="107"/>
              <w:jc w:val="left"/>
              <w:rPr>
                <w:sz w:val="18"/>
              </w:rPr>
            </w:pPr>
            <w:r>
              <w:rPr>
                <w:sz w:val="18"/>
              </w:rPr>
              <w:t>marks Højdemodel, men det vil Løsning II-IV.</w:t>
            </w:r>
          </w:p>
        </w:tc>
      </w:tr>
    </w:tbl>
    <w:p>
      <w:pPr>
        <w:spacing w:after="0"/>
        <w:jc w:val="left"/>
        <w:rPr>
          <w:sz w:val="18"/>
        </w:rPr>
        <w:sectPr>
          <w:pgSz w:w="11910" w:h="16850"/>
          <w:pgMar w:header="0" w:footer="857" w:top="1420" w:bottom="1040" w:left="1460" w:right="680"/>
        </w:sect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55"/>
        <w:gridCol w:w="2127"/>
        <w:gridCol w:w="4813"/>
      </w:tblGrid>
      <w:tr>
        <w:trPr>
          <w:trHeight w:val="2731" w:hRule="atLeast"/>
        </w:trPr>
        <w:tc>
          <w:tcPr>
            <w:tcW w:w="1555" w:type="dxa"/>
          </w:tcPr>
          <w:p>
            <w:pPr>
              <w:pStyle w:val="TableParagraph"/>
              <w:jc w:val="left"/>
              <w:rPr>
                <w:rFonts w:ascii="Times New Roman"/>
                <w:sz w:val="18"/>
              </w:rPr>
            </w:pPr>
          </w:p>
        </w:tc>
        <w:tc>
          <w:tcPr>
            <w:tcW w:w="2127" w:type="dxa"/>
          </w:tcPr>
          <w:p>
            <w:pPr>
              <w:pStyle w:val="TableParagraph"/>
              <w:jc w:val="left"/>
              <w:rPr>
                <w:rFonts w:ascii="Times New Roman"/>
                <w:sz w:val="18"/>
              </w:rPr>
            </w:pPr>
          </w:p>
        </w:tc>
        <w:tc>
          <w:tcPr>
            <w:tcW w:w="4813" w:type="dxa"/>
          </w:tcPr>
          <w:p>
            <w:pPr>
              <w:pStyle w:val="TableParagraph"/>
              <w:jc w:val="left"/>
              <w:rPr>
                <w:rFonts w:ascii="Calibri"/>
                <w:i/>
                <w:sz w:val="20"/>
              </w:rPr>
            </w:pPr>
          </w:p>
          <w:p>
            <w:pPr>
              <w:pStyle w:val="TableParagraph"/>
              <w:spacing w:line="288" w:lineRule="auto"/>
              <w:ind w:left="107" w:right="133"/>
              <w:jc w:val="left"/>
              <w:rPr>
                <w:sz w:val="18"/>
              </w:rPr>
            </w:pPr>
            <w:r>
              <w:rPr>
                <w:sz w:val="18"/>
              </w:rPr>
              <w:t>Løsning III vil sikre at der etableres et landsdækkende vandløbssetup i MIKE HYDRO river, der giver mulighed for dynamisk simulering af vandspejl (med udgangspunkt i vandspejlsvariationer ved udløb i havet/i fjorde fx for nedre strækninger af vandløb for stormflodssituationer. Det vil ikke være muligt i Løsning II og IV, idet disse løs- ninger er baseret på ”stationære løsninger” med det eks- terne modul, hvor f.eks. variationer i vandstanden i havet eller fjorden i forbindelse med stormflodshændelser, for-</w:t>
            </w:r>
          </w:p>
          <w:p>
            <w:pPr>
              <w:pStyle w:val="TableParagraph"/>
              <w:spacing w:before="1"/>
              <w:ind w:left="107"/>
              <w:jc w:val="left"/>
              <w:rPr>
                <w:sz w:val="18"/>
              </w:rPr>
            </w:pPr>
            <w:r>
              <w:rPr>
                <w:sz w:val="18"/>
              </w:rPr>
              <w:t>udsætter en fuld hydrodynamisk løsning .</w:t>
            </w:r>
          </w:p>
        </w:tc>
      </w:tr>
      <w:tr>
        <w:trPr>
          <w:trHeight w:val="7356" w:hRule="atLeast"/>
        </w:trPr>
        <w:tc>
          <w:tcPr>
            <w:tcW w:w="1555" w:type="dxa"/>
          </w:tcPr>
          <w:p>
            <w:pPr>
              <w:pStyle w:val="TableParagraph"/>
              <w:spacing w:line="288" w:lineRule="auto"/>
              <w:ind w:left="107" w:right="104"/>
              <w:jc w:val="left"/>
              <w:rPr>
                <w:sz w:val="18"/>
              </w:rPr>
            </w:pPr>
            <w:r>
              <w:rPr>
                <w:sz w:val="18"/>
              </w:rPr>
              <w:t>Delmål 3: Projektet skal le- vere bedre me- tode til kortlæg- ning af vand på terræn ved at kombinere vandstands- beregninger for vandløb og grundvand og terrændata fra Danmarks Høj- demodel</w:t>
            </w:r>
          </w:p>
        </w:tc>
        <w:tc>
          <w:tcPr>
            <w:tcW w:w="2127" w:type="dxa"/>
          </w:tcPr>
          <w:p>
            <w:pPr>
              <w:pStyle w:val="TableParagraph"/>
              <w:spacing w:line="288" w:lineRule="auto"/>
              <w:ind w:left="107" w:right="123"/>
              <w:jc w:val="left"/>
              <w:rPr>
                <w:sz w:val="18"/>
              </w:rPr>
            </w:pPr>
            <w:r>
              <w:rPr>
                <w:sz w:val="18"/>
              </w:rPr>
              <w:t>Viden om oversvøm- melsesrisici fra vandløb og grundvand er vigtigt til brug for løbende vandstands- regulering, klimatilpasning og vars- ling.</w:t>
            </w:r>
          </w:p>
        </w:tc>
        <w:tc>
          <w:tcPr>
            <w:tcW w:w="4813" w:type="dxa"/>
          </w:tcPr>
          <w:p>
            <w:pPr>
              <w:pStyle w:val="TableParagraph"/>
              <w:spacing w:line="288" w:lineRule="auto" w:before="159"/>
              <w:ind w:left="107" w:right="194"/>
              <w:jc w:val="left"/>
              <w:rPr>
                <w:sz w:val="18"/>
              </w:rPr>
            </w:pPr>
            <w:r>
              <w:rPr>
                <w:sz w:val="18"/>
              </w:rPr>
              <w:t>De fire løsninger vil alle hver for sig kunne: vise hvor der er stor sandsynlighed for oversvømmelser fra vandløb, samt vise hvor der inden for et 100 m grid er stor sand- synlighed for vandlidende arealer eller vand på terræn.</w:t>
            </w:r>
          </w:p>
          <w:p>
            <w:pPr>
              <w:pStyle w:val="TableParagraph"/>
              <w:spacing w:before="7"/>
              <w:jc w:val="left"/>
              <w:rPr>
                <w:rFonts w:ascii="Calibri"/>
                <w:i/>
                <w:sz w:val="19"/>
              </w:rPr>
            </w:pPr>
          </w:p>
          <w:p>
            <w:pPr>
              <w:pStyle w:val="TableParagraph"/>
              <w:spacing w:line="288" w:lineRule="auto"/>
              <w:ind w:left="107" w:right="83"/>
              <w:jc w:val="left"/>
              <w:rPr>
                <w:sz w:val="18"/>
              </w:rPr>
            </w:pPr>
            <w:r>
              <w:rPr>
                <w:sz w:val="18"/>
              </w:rPr>
              <w:t>Løsning II, III og IV har en større detaljeringsgrad for kort- lægning af dybde til terrænnært grundvand, der virker re- alistisk (sammenligning med satellitdata, fotos og vådom- råde kort).</w:t>
            </w:r>
          </w:p>
          <w:p>
            <w:pPr>
              <w:pStyle w:val="TableParagraph"/>
              <w:spacing w:before="5"/>
              <w:jc w:val="left"/>
              <w:rPr>
                <w:rFonts w:ascii="Calibri"/>
                <w:i/>
                <w:sz w:val="20"/>
              </w:rPr>
            </w:pPr>
          </w:p>
          <w:p>
            <w:pPr>
              <w:pStyle w:val="TableParagraph"/>
              <w:spacing w:line="288" w:lineRule="auto"/>
              <w:ind w:left="107" w:right="113"/>
              <w:jc w:val="left"/>
              <w:rPr>
                <w:sz w:val="18"/>
              </w:rPr>
            </w:pPr>
            <w:r>
              <w:rPr>
                <w:sz w:val="18"/>
              </w:rPr>
              <w:t>Løsning III indbefatter en kalibrering af Manningtal i for- hold til vandstandstidsserier med vandføringsmålestatio- ner. Det vil løsning II og IV også kunne indeholde, men denne kalibrering skal i såfald ske eksternt. Der vil i Løs- ning II og IV ikke foreligget en landsdækkende MIKE HY- DRO vandløbsmodel, der kan ligge til grund for udtræk af fysiske vandløbsdata, vandstande mm. til brug for eks- terne vandstandsmodul. Løsning II lægger op til at slut- brugere selv skal udtrække vandføringer og anvende ’scripts’ til eksterne vandstandsmodul, for strækninger hvor der er problemer med oversvømmelser fra vandløb. Og dette kan udgøre en barriere for brugere der ikke er erfarne med ”python programmering”.</w:t>
            </w:r>
          </w:p>
          <w:p>
            <w:pPr>
              <w:pStyle w:val="TableParagraph"/>
              <w:spacing w:before="5"/>
              <w:jc w:val="left"/>
              <w:rPr>
                <w:rFonts w:ascii="Calibri"/>
                <w:i/>
                <w:sz w:val="20"/>
              </w:rPr>
            </w:pPr>
          </w:p>
          <w:p>
            <w:pPr>
              <w:pStyle w:val="TableParagraph"/>
              <w:spacing w:line="288" w:lineRule="auto"/>
              <w:ind w:left="107" w:right="133"/>
              <w:jc w:val="left"/>
              <w:rPr>
                <w:sz w:val="18"/>
              </w:rPr>
            </w:pPr>
            <w:r>
              <w:rPr>
                <w:sz w:val="18"/>
              </w:rPr>
              <w:t>Ved løsning IV hvor kørselstider optimeres er det muligt at lave landsdækkende oversvømmelses risiko beregnin- ger forudsat fysiske data let kan hentes fra fælles data- base.</w:t>
            </w:r>
          </w:p>
        </w:tc>
      </w:tr>
    </w:tbl>
    <w:p>
      <w:pPr>
        <w:spacing w:after="0" w:line="288" w:lineRule="auto"/>
        <w:jc w:val="left"/>
        <w:rPr>
          <w:sz w:val="18"/>
        </w:rPr>
        <w:sectPr>
          <w:pgSz w:w="11910" w:h="16850"/>
          <w:pgMar w:header="0" w:footer="857" w:top="1420" w:bottom="1040" w:left="1460" w:right="680"/>
        </w:sectPr>
      </w:pPr>
    </w:p>
    <w:p>
      <w:pPr>
        <w:pStyle w:val="BodyText"/>
        <w:spacing w:before="4"/>
        <w:rPr>
          <w:rFonts w:ascii="Times New Roman"/>
          <w:sz w:val="17"/>
        </w:rPr>
      </w:pPr>
    </w:p>
    <w:p>
      <w:pPr>
        <w:spacing w:after="0"/>
        <w:rPr>
          <w:rFonts w:ascii="Times New Roman"/>
          <w:sz w:val="17"/>
        </w:rPr>
        <w:sectPr>
          <w:pgSz w:w="11910" w:h="16850"/>
          <w:pgMar w:header="0" w:footer="857" w:top="1600" w:bottom="1040" w:left="1460" w:right="680"/>
        </w:sectPr>
      </w:pPr>
    </w:p>
    <w:p>
      <w:pPr>
        <w:pStyle w:val="Heading1"/>
        <w:tabs>
          <w:tab w:pos="1091" w:val="left" w:leader="none"/>
        </w:tabs>
        <w:ind w:left="525" w:firstLine="0"/>
      </w:pPr>
      <w:bookmarkStart w:name="_bookmark14" w:id="22"/>
      <w:bookmarkEnd w:id="22"/>
      <w:r>
        <w:rPr>
          <w:b w:val="0"/>
        </w:rPr>
      </w:r>
      <w:r>
        <w:rPr/>
        <w:t>3.</w:t>
        <w:tab/>
        <w:t>Problemstilling</w:t>
      </w:r>
    </w:p>
    <w:p>
      <w:pPr>
        <w:pStyle w:val="BodyText"/>
        <w:spacing w:before="290"/>
        <w:ind w:left="525"/>
      </w:pPr>
      <w:r>
        <w:rPr/>
        <w:t>I følgende kapitler beskrives projektets formål, delmål, hypoteser og anvendelsespotentialer.</w:t>
      </w:r>
    </w:p>
    <w:p>
      <w:pPr>
        <w:pStyle w:val="BodyText"/>
        <w:spacing w:before="6"/>
        <w:rPr>
          <w:sz w:val="29"/>
        </w:rPr>
      </w:pPr>
    </w:p>
    <w:p>
      <w:pPr>
        <w:pStyle w:val="BodyText"/>
        <w:spacing w:line="288" w:lineRule="auto"/>
        <w:ind w:left="525" w:right="734"/>
        <w:jc w:val="both"/>
      </w:pPr>
      <w:r>
        <w:rPr/>
        <w:t>Terrænnært</w:t>
      </w:r>
      <w:r>
        <w:rPr>
          <w:spacing w:val="-7"/>
        </w:rPr>
        <w:t> </w:t>
      </w:r>
      <w:r>
        <w:rPr/>
        <w:t>grundvand</w:t>
      </w:r>
      <w:r>
        <w:rPr>
          <w:spacing w:val="-6"/>
        </w:rPr>
        <w:t> </w:t>
      </w:r>
      <w:r>
        <w:rPr/>
        <w:t>er</w:t>
      </w:r>
      <w:r>
        <w:rPr>
          <w:spacing w:val="-8"/>
        </w:rPr>
        <w:t> </w:t>
      </w:r>
      <w:r>
        <w:rPr/>
        <w:t>defineret</w:t>
      </w:r>
      <w:r>
        <w:rPr>
          <w:spacing w:val="-7"/>
        </w:rPr>
        <w:t> </w:t>
      </w:r>
      <w:r>
        <w:rPr/>
        <w:t>i</w:t>
      </w:r>
      <w:r>
        <w:rPr>
          <w:spacing w:val="-5"/>
        </w:rPr>
        <w:t> </w:t>
      </w:r>
      <w:r>
        <w:rPr/>
        <w:t>forbindelse</w:t>
      </w:r>
      <w:r>
        <w:rPr>
          <w:spacing w:val="-7"/>
        </w:rPr>
        <w:t> </w:t>
      </w:r>
      <w:r>
        <w:rPr/>
        <w:t>med</w:t>
      </w:r>
      <w:r>
        <w:rPr>
          <w:spacing w:val="-6"/>
        </w:rPr>
        <w:t> </w:t>
      </w:r>
      <w:r>
        <w:rPr/>
        <w:t>en</w:t>
      </w:r>
      <w:r>
        <w:rPr>
          <w:spacing w:val="-5"/>
        </w:rPr>
        <w:t> </w:t>
      </w:r>
      <w:r>
        <w:rPr/>
        <w:t>minianalyse</w:t>
      </w:r>
      <w:r>
        <w:rPr>
          <w:spacing w:val="-6"/>
        </w:rPr>
        <w:t> </w:t>
      </w:r>
      <w:r>
        <w:rPr/>
        <w:t>i</w:t>
      </w:r>
      <w:r>
        <w:rPr>
          <w:spacing w:val="-5"/>
        </w:rPr>
        <w:t> </w:t>
      </w:r>
      <w:r>
        <w:rPr/>
        <w:t>projektforberedelses- fasen: ”Terrænnært grundvand defineres som det første frie grundvandspejl man støder på fra oven”. Der vil være umættet zone under evt. hængende vandspejl, men i praksis er det svært at adskille denne afvigelse, og som princip bør de hængende vandspejl indgå i det terrænnære grundvand, da de selvstændigt kan medføre stigende grundvandstand. I daglig tale med en bred betegnelse ’grundvandsspejlet’ (kilde Torben Sonnenborg,</w:t>
      </w:r>
      <w:r>
        <w:rPr>
          <w:spacing w:val="-26"/>
        </w:rPr>
        <w:t> </w:t>
      </w:r>
      <w:r>
        <w:rPr/>
        <w:t>GEUS).</w:t>
      </w:r>
    </w:p>
    <w:p>
      <w:pPr>
        <w:pStyle w:val="BodyText"/>
        <w:spacing w:before="2"/>
        <w:rPr>
          <w:sz w:val="25"/>
        </w:rPr>
      </w:pPr>
    </w:p>
    <w:p>
      <w:pPr>
        <w:pStyle w:val="BodyText"/>
        <w:ind w:left="525"/>
      </w:pPr>
      <w:r>
        <w:rPr/>
        <w:t>Der er store samfundsmæssige omkostninger forbundet med oversvømmelser:</w:t>
      </w:r>
    </w:p>
    <w:p>
      <w:pPr>
        <w:pStyle w:val="ListParagraph"/>
        <w:numPr>
          <w:ilvl w:val="0"/>
          <w:numId w:val="5"/>
        </w:numPr>
        <w:tabs>
          <w:tab w:pos="885" w:val="left" w:leader="none"/>
          <w:tab w:pos="886" w:val="left" w:leader="none"/>
        </w:tabs>
        <w:spacing w:line="240" w:lineRule="auto" w:before="37" w:after="0"/>
        <w:ind w:left="885" w:right="0" w:hanging="360"/>
        <w:jc w:val="left"/>
        <w:rPr>
          <w:sz w:val="21"/>
        </w:rPr>
      </w:pPr>
      <w:r>
        <w:rPr>
          <w:sz w:val="21"/>
        </w:rPr>
        <w:t>Skybrudsskader i København 2011 for 6.2 mia.</w:t>
      </w:r>
      <w:r>
        <w:rPr>
          <w:spacing w:val="-10"/>
          <w:sz w:val="21"/>
        </w:rPr>
        <w:t> </w:t>
      </w:r>
      <w:r>
        <w:rPr>
          <w:sz w:val="21"/>
        </w:rPr>
        <w:t>kr</w:t>
      </w:r>
    </w:p>
    <w:p>
      <w:pPr>
        <w:pStyle w:val="ListParagraph"/>
        <w:numPr>
          <w:ilvl w:val="0"/>
          <w:numId w:val="5"/>
        </w:numPr>
        <w:tabs>
          <w:tab w:pos="885" w:val="left" w:leader="none"/>
          <w:tab w:pos="886" w:val="left" w:leader="none"/>
        </w:tabs>
        <w:spacing w:line="240" w:lineRule="auto" w:before="34" w:after="0"/>
        <w:ind w:left="885" w:right="0" w:hanging="360"/>
        <w:jc w:val="left"/>
        <w:rPr>
          <w:sz w:val="21"/>
        </w:rPr>
      </w:pPr>
      <w:r>
        <w:rPr>
          <w:sz w:val="21"/>
        </w:rPr>
        <w:t>Stormen Bodil i 2013 kostede Stormrådet 800 mio.</w:t>
      </w:r>
      <w:r>
        <w:rPr>
          <w:spacing w:val="-18"/>
          <w:sz w:val="21"/>
        </w:rPr>
        <w:t> </w:t>
      </w:r>
      <w:r>
        <w:rPr>
          <w:sz w:val="21"/>
        </w:rPr>
        <w:t>kr</w:t>
      </w:r>
    </w:p>
    <w:p>
      <w:pPr>
        <w:pStyle w:val="ListParagraph"/>
        <w:numPr>
          <w:ilvl w:val="0"/>
          <w:numId w:val="5"/>
        </w:numPr>
        <w:tabs>
          <w:tab w:pos="885" w:val="left" w:leader="none"/>
          <w:tab w:pos="886" w:val="left" w:leader="none"/>
        </w:tabs>
        <w:spacing w:line="240" w:lineRule="auto" w:before="36" w:after="0"/>
        <w:ind w:left="885" w:right="0" w:hanging="360"/>
        <w:jc w:val="left"/>
        <w:rPr>
          <w:sz w:val="21"/>
        </w:rPr>
      </w:pPr>
      <w:r>
        <w:rPr>
          <w:sz w:val="21"/>
        </w:rPr>
        <w:t>Stigende grundvand er et problem for boligejere og koster landbruget</w:t>
      </w:r>
      <w:r>
        <w:rPr>
          <w:spacing w:val="-20"/>
          <w:sz w:val="21"/>
        </w:rPr>
        <w:t> </w:t>
      </w:r>
      <w:r>
        <w:rPr>
          <w:sz w:val="21"/>
        </w:rPr>
        <w:t>milliarder</w:t>
      </w:r>
    </w:p>
    <w:p>
      <w:pPr>
        <w:pStyle w:val="ListParagraph"/>
        <w:numPr>
          <w:ilvl w:val="0"/>
          <w:numId w:val="5"/>
        </w:numPr>
        <w:tabs>
          <w:tab w:pos="885" w:val="left" w:leader="none"/>
          <w:tab w:pos="886" w:val="left" w:leader="none"/>
        </w:tabs>
        <w:spacing w:line="240" w:lineRule="auto" w:before="35" w:after="0"/>
        <w:ind w:left="885" w:right="0" w:hanging="360"/>
        <w:jc w:val="left"/>
        <w:rPr>
          <w:sz w:val="21"/>
        </w:rPr>
      </w:pPr>
      <w:r>
        <w:rPr>
          <w:sz w:val="21"/>
        </w:rPr>
        <w:t>Tabt arbejdstid pga. oversvømmede veje og</w:t>
      </w:r>
      <w:r>
        <w:rPr>
          <w:spacing w:val="-9"/>
          <w:sz w:val="21"/>
        </w:rPr>
        <w:t> </w:t>
      </w:r>
      <w:r>
        <w:rPr>
          <w:sz w:val="21"/>
        </w:rPr>
        <w:t>bygninger</w:t>
      </w:r>
    </w:p>
    <w:p>
      <w:pPr>
        <w:pStyle w:val="ListParagraph"/>
        <w:numPr>
          <w:ilvl w:val="0"/>
          <w:numId w:val="5"/>
        </w:numPr>
        <w:tabs>
          <w:tab w:pos="885" w:val="left" w:leader="none"/>
          <w:tab w:pos="886" w:val="left" w:leader="none"/>
        </w:tabs>
        <w:spacing w:line="240" w:lineRule="auto" w:before="33" w:after="0"/>
        <w:ind w:left="885" w:right="0" w:hanging="360"/>
        <w:jc w:val="left"/>
        <w:rPr>
          <w:sz w:val="21"/>
        </w:rPr>
      </w:pPr>
      <w:r>
        <w:rPr>
          <w:sz w:val="21"/>
        </w:rPr>
        <w:t>Omkostninger i forbindelse med beredskabsindsatser</w:t>
      </w:r>
      <w:r>
        <w:rPr>
          <w:spacing w:val="-9"/>
          <w:sz w:val="21"/>
        </w:rPr>
        <w:t> </w:t>
      </w:r>
      <w:r>
        <w:rPr>
          <w:sz w:val="21"/>
        </w:rPr>
        <w:t>stigende</w:t>
      </w:r>
    </w:p>
    <w:p>
      <w:pPr>
        <w:pStyle w:val="ListParagraph"/>
        <w:numPr>
          <w:ilvl w:val="0"/>
          <w:numId w:val="5"/>
        </w:numPr>
        <w:tabs>
          <w:tab w:pos="885" w:val="left" w:leader="none"/>
          <w:tab w:pos="886" w:val="left" w:leader="none"/>
        </w:tabs>
        <w:spacing w:line="240" w:lineRule="auto" w:before="36" w:after="0"/>
        <w:ind w:left="885" w:right="0" w:hanging="360"/>
        <w:jc w:val="left"/>
        <w:rPr>
          <w:sz w:val="21"/>
        </w:rPr>
      </w:pPr>
      <w:r>
        <w:rPr>
          <w:sz w:val="21"/>
        </w:rPr>
        <w:t>Risici for sundhed/helbred/forurening, sikkerhed og tab af</w:t>
      </w:r>
      <w:r>
        <w:rPr>
          <w:spacing w:val="-10"/>
          <w:sz w:val="21"/>
        </w:rPr>
        <w:t> </w:t>
      </w:r>
      <w:r>
        <w:rPr>
          <w:sz w:val="21"/>
        </w:rPr>
        <w:t>liv</w:t>
      </w:r>
    </w:p>
    <w:p>
      <w:pPr>
        <w:pStyle w:val="BodyText"/>
        <w:rPr>
          <w:sz w:val="27"/>
        </w:rPr>
      </w:pPr>
    </w:p>
    <w:p>
      <w:pPr>
        <w:pStyle w:val="BodyText"/>
        <w:spacing w:line="276" w:lineRule="auto" w:before="1"/>
        <w:ind w:left="525" w:right="1088"/>
      </w:pPr>
      <w:r>
        <w:rPr/>
        <w:t>Foretagne analyser af problematikken med klimaændringer og effekter på hydrologi og grundvand (Henriksen et al. 2012/2013/2014) peger på at disse samfundsmæssige om- kostninger i 2050 og 2100 yderligere vil vokse:</w:t>
      </w:r>
    </w:p>
    <w:p>
      <w:pPr>
        <w:pStyle w:val="ListParagraph"/>
        <w:numPr>
          <w:ilvl w:val="0"/>
          <w:numId w:val="5"/>
        </w:numPr>
        <w:tabs>
          <w:tab w:pos="885" w:val="left" w:leader="none"/>
          <w:tab w:pos="886" w:val="left" w:leader="none"/>
        </w:tabs>
        <w:spacing w:line="273" w:lineRule="auto" w:before="0" w:after="0"/>
        <w:ind w:left="885" w:right="1133" w:hanging="360"/>
        <w:jc w:val="left"/>
        <w:rPr>
          <w:sz w:val="21"/>
        </w:rPr>
      </w:pPr>
      <w:r>
        <w:rPr>
          <w:sz w:val="21"/>
        </w:rPr>
        <w:t>Vådere om vinteren og mere ekstremt vejr medfører større grundvandsdannelse og øget terrænnær</w:t>
      </w:r>
      <w:r>
        <w:rPr>
          <w:spacing w:val="-5"/>
          <w:sz w:val="21"/>
        </w:rPr>
        <w:t> </w:t>
      </w:r>
      <w:r>
        <w:rPr>
          <w:sz w:val="21"/>
        </w:rPr>
        <w:t>grundvandsstand</w:t>
      </w:r>
    </w:p>
    <w:p>
      <w:pPr>
        <w:pStyle w:val="ListParagraph"/>
        <w:numPr>
          <w:ilvl w:val="0"/>
          <w:numId w:val="5"/>
        </w:numPr>
        <w:tabs>
          <w:tab w:pos="885" w:val="left" w:leader="none"/>
          <w:tab w:pos="886" w:val="left" w:leader="none"/>
        </w:tabs>
        <w:spacing w:line="271" w:lineRule="auto" w:before="2" w:after="0"/>
        <w:ind w:left="885" w:right="763" w:hanging="360"/>
        <w:jc w:val="left"/>
        <w:rPr>
          <w:sz w:val="21"/>
        </w:rPr>
      </w:pPr>
      <w:r>
        <w:rPr>
          <w:sz w:val="21"/>
        </w:rPr>
        <w:t>Øget middel vinterafstrømning (25-50%) medfører øget vandspejl i vandløb, opstuvning i dræn og hyppigere problemer med terrænnært grundvand langs</w:t>
      </w:r>
      <w:r>
        <w:rPr>
          <w:spacing w:val="-11"/>
          <w:sz w:val="21"/>
        </w:rPr>
        <w:t> </w:t>
      </w:r>
      <w:r>
        <w:rPr>
          <w:sz w:val="21"/>
        </w:rPr>
        <w:t>vandløb</w:t>
      </w:r>
    </w:p>
    <w:p>
      <w:pPr>
        <w:pStyle w:val="ListParagraph"/>
        <w:numPr>
          <w:ilvl w:val="0"/>
          <w:numId w:val="5"/>
        </w:numPr>
        <w:tabs>
          <w:tab w:pos="885" w:val="left" w:leader="none"/>
          <w:tab w:pos="886" w:val="left" w:leader="none"/>
        </w:tabs>
        <w:spacing w:line="273" w:lineRule="auto" w:before="6" w:after="0"/>
        <w:ind w:left="885" w:right="754" w:hanging="360"/>
        <w:jc w:val="left"/>
        <w:rPr>
          <w:sz w:val="21"/>
        </w:rPr>
      </w:pPr>
      <w:r>
        <w:rPr>
          <w:sz w:val="21"/>
        </w:rPr>
        <w:t>Øget ekstrem-afstrømning (10-100%) medfører øgede problemer med oversvømmelser fra vandløb og øget terrænnært grundvandspejl</w:t>
      </w:r>
      <w:r>
        <w:rPr>
          <w:spacing w:val="-8"/>
          <w:sz w:val="21"/>
        </w:rPr>
        <w:t> </w:t>
      </w:r>
      <w:r>
        <w:rPr>
          <w:sz w:val="21"/>
        </w:rPr>
        <w:t>(extremhændelser)</w:t>
      </w:r>
    </w:p>
    <w:p>
      <w:pPr>
        <w:pStyle w:val="ListParagraph"/>
        <w:numPr>
          <w:ilvl w:val="0"/>
          <w:numId w:val="5"/>
        </w:numPr>
        <w:tabs>
          <w:tab w:pos="885" w:val="left" w:leader="none"/>
          <w:tab w:pos="886" w:val="left" w:leader="none"/>
        </w:tabs>
        <w:spacing w:line="273" w:lineRule="auto" w:before="0" w:after="0"/>
        <w:ind w:left="885" w:right="859" w:hanging="360"/>
        <w:jc w:val="left"/>
        <w:rPr>
          <w:sz w:val="21"/>
        </w:rPr>
      </w:pPr>
      <w:r>
        <w:rPr>
          <w:sz w:val="21"/>
        </w:rPr>
        <w:t>Højt terrænnært grundvand ved skybrud som følge af begrænset infiltrationskapacitet i visse områder (”hængende</w:t>
      </w:r>
      <w:r>
        <w:rPr>
          <w:spacing w:val="-5"/>
          <w:sz w:val="21"/>
        </w:rPr>
        <w:t> </w:t>
      </w:r>
      <w:r>
        <w:rPr>
          <w:sz w:val="21"/>
        </w:rPr>
        <w:t>vandspejl”)</w:t>
      </w:r>
    </w:p>
    <w:p>
      <w:pPr>
        <w:pStyle w:val="ListParagraph"/>
        <w:numPr>
          <w:ilvl w:val="0"/>
          <w:numId w:val="5"/>
        </w:numPr>
        <w:tabs>
          <w:tab w:pos="885" w:val="left" w:leader="none"/>
          <w:tab w:pos="886" w:val="left" w:leader="none"/>
        </w:tabs>
        <w:spacing w:line="271" w:lineRule="auto" w:before="3" w:after="0"/>
        <w:ind w:left="885" w:right="1209" w:hanging="360"/>
        <w:jc w:val="left"/>
        <w:rPr>
          <w:sz w:val="21"/>
        </w:rPr>
      </w:pPr>
      <w:r>
        <w:rPr>
          <w:sz w:val="21"/>
        </w:rPr>
        <w:t>Stormflodshændelser og havstigninger kan give øgede problemer med terrænnært grundvand</w:t>
      </w:r>
    </w:p>
    <w:p>
      <w:pPr>
        <w:pStyle w:val="ListParagraph"/>
        <w:numPr>
          <w:ilvl w:val="0"/>
          <w:numId w:val="5"/>
        </w:numPr>
        <w:tabs>
          <w:tab w:pos="885" w:val="left" w:leader="none"/>
          <w:tab w:pos="886" w:val="left" w:leader="none"/>
        </w:tabs>
        <w:spacing w:line="273" w:lineRule="auto" w:before="5" w:after="0"/>
        <w:ind w:left="885" w:right="746" w:hanging="360"/>
        <w:jc w:val="left"/>
        <w:rPr>
          <w:sz w:val="21"/>
        </w:rPr>
      </w:pPr>
      <w:r>
        <w:rPr>
          <w:sz w:val="21"/>
        </w:rPr>
        <w:t>Tørke kan give et fald i grundvandsspejlet (tør klimamodel og øget fordampning giver et fald i grundvandstanden på mellem 0-1 m for mere en 85 % af landet, jf. Henriksen et al.</w:t>
      </w:r>
      <w:r>
        <w:rPr>
          <w:spacing w:val="-2"/>
          <w:sz w:val="21"/>
        </w:rPr>
        <w:t> </w:t>
      </w:r>
      <w:r>
        <w:rPr>
          <w:sz w:val="21"/>
        </w:rPr>
        <w:t>2012).</w:t>
      </w:r>
    </w:p>
    <w:p>
      <w:pPr>
        <w:pStyle w:val="BodyText"/>
        <w:spacing w:before="5"/>
        <w:rPr>
          <w:sz w:val="25"/>
        </w:rPr>
      </w:pPr>
    </w:p>
    <w:p>
      <w:pPr>
        <w:pStyle w:val="Heading2"/>
        <w:numPr>
          <w:ilvl w:val="1"/>
          <w:numId w:val="6"/>
        </w:numPr>
        <w:tabs>
          <w:tab w:pos="1141" w:val="left" w:leader="none"/>
          <w:tab w:pos="1142" w:val="left" w:leader="none"/>
        </w:tabs>
        <w:spacing w:line="240" w:lineRule="auto" w:before="0" w:after="0"/>
        <w:ind w:left="1142" w:right="0" w:hanging="617"/>
        <w:jc w:val="left"/>
      </w:pPr>
      <w:bookmarkStart w:name="_bookmark15" w:id="23"/>
      <w:bookmarkEnd w:id="23"/>
      <w:r>
        <w:rPr>
          <w:b w:val="0"/>
        </w:rPr>
      </w:r>
      <w:bookmarkStart w:name="_bookmark15" w:id="24"/>
      <w:bookmarkEnd w:id="24"/>
      <w:r>
        <w:rPr/>
        <w:t>D</w:t>
      </w:r>
      <w:r>
        <w:rPr/>
        <w:t>elmål og</w:t>
      </w:r>
      <w:r>
        <w:rPr>
          <w:spacing w:val="-1"/>
        </w:rPr>
        <w:t> </w:t>
      </w:r>
      <w:r>
        <w:rPr/>
        <w:t>hypoteser</w:t>
      </w:r>
    </w:p>
    <w:p>
      <w:pPr>
        <w:pStyle w:val="BodyText"/>
        <w:spacing w:before="210"/>
        <w:ind w:left="525"/>
      </w:pPr>
      <w:r>
        <w:rPr/>
        <w:t>Projektets overordnede mål er bedre modellering af oversvømmelser med DK-model, se </w:t>
      </w:r>
      <w:hyperlink w:history="true" w:anchor="_bookmark16">
        <w:r>
          <w:rPr/>
          <w:t>figur</w:t>
        </w:r>
      </w:hyperlink>
    </w:p>
    <w:p>
      <w:pPr>
        <w:pStyle w:val="ListParagraph"/>
        <w:numPr>
          <w:ilvl w:val="0"/>
          <w:numId w:val="7"/>
        </w:numPr>
        <w:tabs>
          <w:tab w:pos="766" w:val="left" w:leader="none"/>
        </w:tabs>
        <w:spacing w:line="288" w:lineRule="auto" w:before="49" w:after="0"/>
        <w:ind w:left="525" w:right="733" w:firstLine="0"/>
        <w:jc w:val="both"/>
        <w:rPr>
          <w:sz w:val="21"/>
        </w:rPr>
      </w:pPr>
      <w:r>
        <w:rPr>
          <w:sz w:val="21"/>
        </w:rPr>
        <w:t>Udvikling af metoder til 1) bedre modellering af terrænnært grundvand og 2) modellering af vandstand i vandløb er to vigtige delmål. Projektets overordnede mål og delmål vurderes ud fra tre</w:t>
      </w:r>
      <w:r>
        <w:rPr>
          <w:spacing w:val="-3"/>
          <w:sz w:val="21"/>
        </w:rPr>
        <w:t> </w:t>
      </w:r>
      <w:r>
        <w:rPr>
          <w:sz w:val="21"/>
        </w:rPr>
        <w:t>hypoteser:</w:t>
      </w:r>
    </w:p>
    <w:p>
      <w:pPr>
        <w:pStyle w:val="ListParagraph"/>
        <w:numPr>
          <w:ilvl w:val="1"/>
          <w:numId w:val="7"/>
        </w:numPr>
        <w:tabs>
          <w:tab w:pos="1341" w:val="left" w:leader="none"/>
          <w:tab w:pos="1342" w:val="left" w:leader="none"/>
        </w:tabs>
        <w:spacing w:line="292" w:lineRule="auto" w:before="52" w:after="0"/>
        <w:ind w:left="1341" w:right="911" w:hanging="456"/>
        <w:jc w:val="left"/>
        <w:rPr>
          <w:sz w:val="20"/>
        </w:rPr>
      </w:pPr>
      <w:r>
        <w:rPr>
          <w:sz w:val="20"/>
        </w:rPr>
        <w:t>H0: Anvendelse af nye data og metoder i DK-modellen vil give bedre modellering af oversvømmelse. Resultater er evalueret med anvendelse af hændelsesdata for over- svømmelser.</w:t>
      </w:r>
    </w:p>
    <w:p>
      <w:pPr>
        <w:pStyle w:val="ListParagraph"/>
        <w:numPr>
          <w:ilvl w:val="1"/>
          <w:numId w:val="7"/>
        </w:numPr>
        <w:tabs>
          <w:tab w:pos="1341" w:val="left" w:leader="none"/>
          <w:tab w:pos="1342" w:val="left" w:leader="none"/>
        </w:tabs>
        <w:spacing w:line="292" w:lineRule="auto" w:before="0" w:after="0"/>
        <w:ind w:left="1341" w:right="1099" w:hanging="456"/>
        <w:jc w:val="left"/>
        <w:rPr>
          <w:sz w:val="20"/>
        </w:rPr>
      </w:pPr>
      <w:r>
        <w:rPr>
          <w:sz w:val="20"/>
        </w:rPr>
        <w:t>H1: Brug af flere pejledata om det terrænnære grundvand samt DHM-afledte vand- standskoter i DK-modellen muliggør bedre modelberegninger af den</w:t>
      </w:r>
      <w:r>
        <w:rPr>
          <w:spacing w:val="-11"/>
          <w:sz w:val="20"/>
        </w:rPr>
        <w:t> </w:t>
      </w:r>
      <w:r>
        <w:rPr>
          <w:sz w:val="20"/>
        </w:rPr>
        <w:t>terrænnære</w:t>
      </w:r>
    </w:p>
    <w:p>
      <w:pPr>
        <w:spacing w:after="0" w:line="292" w:lineRule="auto"/>
        <w:jc w:val="left"/>
        <w:rPr>
          <w:sz w:val="20"/>
        </w:rPr>
        <w:sectPr>
          <w:pgSz w:w="11910" w:h="16850"/>
          <w:pgMar w:header="0" w:footer="857" w:top="1340" w:bottom="1040" w:left="1460" w:right="680"/>
        </w:sectPr>
      </w:pPr>
    </w:p>
    <w:p>
      <w:pPr>
        <w:spacing w:line="292" w:lineRule="auto" w:before="65"/>
        <w:ind w:left="1341" w:right="871" w:firstLine="0"/>
        <w:jc w:val="left"/>
        <w:rPr>
          <w:sz w:val="20"/>
        </w:rPr>
      </w:pPr>
      <w:r>
        <w:rPr>
          <w:sz w:val="20"/>
        </w:rPr>
        <w:t>grundvandstand. Resultater er evalueret med anvendelse af uafhængige terrænnære grundvandsdata.</w:t>
      </w:r>
    </w:p>
    <w:p>
      <w:pPr>
        <w:pStyle w:val="ListParagraph"/>
        <w:numPr>
          <w:ilvl w:val="1"/>
          <w:numId w:val="7"/>
        </w:numPr>
        <w:tabs>
          <w:tab w:pos="1341" w:val="left" w:leader="none"/>
          <w:tab w:pos="1342" w:val="left" w:leader="none"/>
        </w:tabs>
        <w:spacing w:line="292" w:lineRule="auto" w:before="1" w:after="0"/>
        <w:ind w:left="1341" w:right="743" w:hanging="456"/>
        <w:jc w:val="left"/>
        <w:rPr>
          <w:sz w:val="20"/>
        </w:rPr>
      </w:pPr>
      <w:r>
        <w:rPr>
          <w:sz w:val="20"/>
        </w:rPr>
        <w:t>H2: Brug af data om havvandstand og bygværker i DK-modellen muliggør bedre mo- delberegninger af vandstand i vandløb. Resultater er evalueret med anvendelse af uaf- hængige vandstandsdata.</w:t>
      </w:r>
    </w:p>
    <w:p>
      <w:pPr>
        <w:pStyle w:val="BodyText"/>
        <w:spacing w:before="3"/>
        <w:rPr>
          <w:sz w:val="17"/>
        </w:rPr>
      </w:pPr>
      <w:r>
        <w:rPr/>
        <w:drawing>
          <wp:anchor distT="0" distB="0" distL="0" distR="0" allowOverlap="1" layoutInCell="1" locked="0" behindDoc="0" simplePos="0" relativeHeight="10">
            <wp:simplePos x="0" y="0"/>
            <wp:positionH relativeFrom="page">
              <wp:posOffset>1260475</wp:posOffset>
            </wp:positionH>
            <wp:positionV relativeFrom="paragraph">
              <wp:posOffset>151205</wp:posOffset>
            </wp:positionV>
            <wp:extent cx="5394396" cy="3034665"/>
            <wp:effectExtent l="0" t="0" r="0" b="0"/>
            <wp:wrapTopAndBottom/>
            <wp:docPr id="27" name="image14.jpeg" descr=""/>
            <wp:cNvGraphicFramePr>
              <a:graphicFrameLocks noChangeAspect="1"/>
            </wp:cNvGraphicFramePr>
            <a:graphic>
              <a:graphicData uri="http://schemas.openxmlformats.org/drawingml/2006/picture">
                <pic:pic>
                  <pic:nvPicPr>
                    <pic:cNvPr id="28" name="image14.jpeg"/>
                    <pic:cNvPicPr/>
                  </pic:nvPicPr>
                  <pic:blipFill>
                    <a:blip r:embed="rId20" cstate="print"/>
                    <a:stretch>
                      <a:fillRect/>
                    </a:stretch>
                  </pic:blipFill>
                  <pic:spPr>
                    <a:xfrm>
                      <a:off x="0" y="0"/>
                      <a:ext cx="5394396" cy="3034665"/>
                    </a:xfrm>
                    <a:prstGeom prst="rect">
                      <a:avLst/>
                    </a:prstGeom>
                  </pic:spPr>
                </pic:pic>
              </a:graphicData>
            </a:graphic>
          </wp:anchor>
        </w:drawing>
      </w:r>
    </w:p>
    <w:p>
      <w:pPr>
        <w:spacing w:before="26"/>
        <w:ind w:left="525" w:right="740" w:firstLine="0"/>
        <w:jc w:val="left"/>
        <w:rPr>
          <w:rFonts w:ascii="Calibri" w:hAnsi="Calibri"/>
          <w:i/>
          <w:sz w:val="18"/>
        </w:rPr>
      </w:pPr>
      <w:bookmarkStart w:name="_bookmark16" w:id="25"/>
      <w:bookmarkEnd w:id="25"/>
      <w:r>
        <w:rPr/>
      </w:r>
      <w:r>
        <w:rPr>
          <w:rFonts w:ascii="Calibri" w:hAnsi="Calibri"/>
          <w:i/>
          <w:color w:val="44536A"/>
          <w:sz w:val="18"/>
        </w:rPr>
        <w:t>Figur 7 Projektets overordnede mål og delmål. Samfundsmålet er bedre vandforvaltning, klimatilpasning og varsling. </w:t>
      </w:r>
      <w:r>
        <w:rPr>
          <w:rFonts w:ascii="Calibri" w:hAnsi="Calibri"/>
          <w:i/>
          <w:color w:val="44536A"/>
          <w:sz w:val="18"/>
        </w:rPr>
        <w:t>Projektmålet er bedre modellering af oversvømmelser (udbredelse af vand på terræn), som forudsætter dels model- lering af terrænnært grundvand og dels modellering af vandstand i vandløb.</w:t>
      </w:r>
    </w:p>
    <w:p>
      <w:pPr>
        <w:pStyle w:val="BodyText"/>
        <w:rPr>
          <w:rFonts w:ascii="Calibri"/>
          <w:i/>
          <w:sz w:val="18"/>
        </w:rPr>
      </w:pPr>
    </w:p>
    <w:p>
      <w:pPr>
        <w:pStyle w:val="BodyText"/>
        <w:spacing w:before="11"/>
        <w:rPr>
          <w:rFonts w:ascii="Calibri"/>
          <w:i/>
          <w:sz w:val="17"/>
        </w:rPr>
      </w:pPr>
    </w:p>
    <w:p>
      <w:pPr>
        <w:pStyle w:val="Heading5"/>
        <w:jc w:val="both"/>
        <w:rPr>
          <w:i/>
        </w:rPr>
      </w:pPr>
      <w:r>
        <w:rPr>
          <w:i/>
        </w:rPr>
        <w:t>Projektets fem delmål og succeskriterier</w:t>
      </w:r>
    </w:p>
    <w:p>
      <w:pPr>
        <w:pStyle w:val="ListParagraph"/>
        <w:numPr>
          <w:ilvl w:val="1"/>
          <w:numId w:val="7"/>
        </w:numPr>
        <w:tabs>
          <w:tab w:pos="1341" w:val="left" w:leader="none"/>
          <w:tab w:pos="1342" w:val="left" w:leader="none"/>
        </w:tabs>
        <w:spacing w:line="240" w:lineRule="auto" w:before="99" w:after="0"/>
        <w:ind w:left="1341" w:right="0" w:hanging="456"/>
        <w:jc w:val="left"/>
        <w:rPr>
          <w:sz w:val="20"/>
        </w:rPr>
      </w:pPr>
      <w:r>
        <w:rPr>
          <w:sz w:val="20"/>
        </w:rPr>
        <w:t>indhentning af nye datatyper</w:t>
      </w:r>
    </w:p>
    <w:p>
      <w:pPr>
        <w:pStyle w:val="ListParagraph"/>
        <w:numPr>
          <w:ilvl w:val="1"/>
          <w:numId w:val="7"/>
        </w:numPr>
        <w:tabs>
          <w:tab w:pos="1341" w:val="left" w:leader="none"/>
          <w:tab w:pos="1342" w:val="left" w:leader="none"/>
        </w:tabs>
        <w:spacing w:line="240" w:lineRule="auto" w:before="51" w:after="0"/>
        <w:ind w:left="1341" w:right="0" w:hanging="456"/>
        <w:jc w:val="left"/>
        <w:rPr>
          <w:sz w:val="20"/>
        </w:rPr>
      </w:pPr>
      <w:r>
        <w:rPr>
          <w:sz w:val="20"/>
        </w:rPr>
        <w:t>modelopsætning og</w:t>
      </w:r>
      <w:r>
        <w:rPr>
          <w:spacing w:val="-1"/>
          <w:sz w:val="20"/>
        </w:rPr>
        <w:t> </w:t>
      </w:r>
      <w:r>
        <w:rPr>
          <w:sz w:val="20"/>
        </w:rPr>
        <w:t>kalibrering</w:t>
      </w:r>
    </w:p>
    <w:p>
      <w:pPr>
        <w:pStyle w:val="ListParagraph"/>
        <w:numPr>
          <w:ilvl w:val="1"/>
          <w:numId w:val="7"/>
        </w:numPr>
        <w:tabs>
          <w:tab w:pos="1341" w:val="left" w:leader="none"/>
          <w:tab w:pos="1342" w:val="left" w:leader="none"/>
        </w:tabs>
        <w:spacing w:line="240" w:lineRule="auto" w:before="51" w:after="0"/>
        <w:ind w:left="1341" w:right="0" w:hanging="456"/>
        <w:jc w:val="left"/>
        <w:rPr>
          <w:sz w:val="20"/>
        </w:rPr>
      </w:pPr>
      <w:r>
        <w:rPr>
          <w:sz w:val="20"/>
        </w:rPr>
        <w:t>udvikling af metode til nedskalering fra 500</w:t>
      </w:r>
      <w:r>
        <w:rPr>
          <w:spacing w:val="-1"/>
          <w:sz w:val="20"/>
        </w:rPr>
        <w:t> </w:t>
      </w:r>
      <w:r>
        <w:rPr>
          <w:sz w:val="20"/>
        </w:rPr>
        <w:t>m</w:t>
      </w:r>
    </w:p>
    <w:p>
      <w:pPr>
        <w:pStyle w:val="ListParagraph"/>
        <w:numPr>
          <w:ilvl w:val="1"/>
          <w:numId w:val="7"/>
        </w:numPr>
        <w:tabs>
          <w:tab w:pos="1341" w:val="left" w:leader="none"/>
          <w:tab w:pos="1342" w:val="left" w:leader="none"/>
        </w:tabs>
        <w:spacing w:line="240" w:lineRule="auto" w:before="48" w:after="0"/>
        <w:ind w:left="1341" w:right="0" w:hanging="456"/>
        <w:jc w:val="left"/>
        <w:rPr>
          <w:sz w:val="20"/>
        </w:rPr>
      </w:pPr>
      <w:r>
        <w:rPr>
          <w:sz w:val="20"/>
        </w:rPr>
        <w:t>modellering af terrænnært grundvand (100 m) og vandstand i</w:t>
      </w:r>
      <w:r>
        <w:rPr>
          <w:spacing w:val="-5"/>
          <w:sz w:val="20"/>
        </w:rPr>
        <w:t> </w:t>
      </w:r>
      <w:r>
        <w:rPr>
          <w:sz w:val="20"/>
        </w:rPr>
        <w:t>vandløb</w:t>
      </w:r>
    </w:p>
    <w:p>
      <w:pPr>
        <w:pStyle w:val="ListParagraph"/>
        <w:numPr>
          <w:ilvl w:val="1"/>
          <w:numId w:val="7"/>
        </w:numPr>
        <w:tabs>
          <w:tab w:pos="1341" w:val="left" w:leader="none"/>
          <w:tab w:pos="1342" w:val="left" w:leader="none"/>
        </w:tabs>
        <w:spacing w:line="240" w:lineRule="auto" w:before="51" w:after="0"/>
        <w:ind w:left="1341" w:right="0" w:hanging="456"/>
        <w:jc w:val="left"/>
        <w:rPr>
          <w:sz w:val="20"/>
        </w:rPr>
      </w:pPr>
      <w:r>
        <w:rPr>
          <w:sz w:val="20"/>
        </w:rPr>
        <w:t>modellering af oversvømmelse (vand på</w:t>
      </w:r>
      <w:r>
        <w:rPr>
          <w:spacing w:val="1"/>
          <w:sz w:val="20"/>
        </w:rPr>
        <w:t> </w:t>
      </w:r>
      <w:r>
        <w:rPr>
          <w:sz w:val="20"/>
        </w:rPr>
        <w:t>terræn)</w:t>
      </w:r>
    </w:p>
    <w:p>
      <w:pPr>
        <w:pStyle w:val="BodyText"/>
        <w:spacing w:before="1"/>
        <w:rPr>
          <w:sz w:val="25"/>
        </w:rPr>
      </w:pPr>
    </w:p>
    <w:p>
      <w:pPr>
        <w:pStyle w:val="BodyText"/>
        <w:spacing w:line="288" w:lineRule="auto"/>
        <w:ind w:left="525" w:right="731"/>
        <w:jc w:val="both"/>
      </w:pPr>
      <w:r>
        <w:rPr/>
        <w:t>Succeskriteriet er, at der udvikles metoder til bedre modellering af terrænnært grundvand, vandstand</w:t>
      </w:r>
      <w:r>
        <w:rPr>
          <w:spacing w:val="-12"/>
        </w:rPr>
        <w:t> </w:t>
      </w:r>
      <w:r>
        <w:rPr/>
        <w:t>i</w:t>
      </w:r>
      <w:r>
        <w:rPr>
          <w:spacing w:val="-8"/>
        </w:rPr>
        <w:t> </w:t>
      </w:r>
      <w:r>
        <w:rPr/>
        <w:t>vandløb</w:t>
      </w:r>
      <w:r>
        <w:rPr>
          <w:spacing w:val="-9"/>
        </w:rPr>
        <w:t> </w:t>
      </w:r>
      <w:r>
        <w:rPr/>
        <w:t>og</w:t>
      </w:r>
      <w:r>
        <w:rPr>
          <w:spacing w:val="-10"/>
        </w:rPr>
        <w:t> </w:t>
      </w:r>
      <w:r>
        <w:rPr/>
        <w:t>oversvømmelser</w:t>
      </w:r>
      <w:r>
        <w:rPr>
          <w:spacing w:val="-11"/>
        </w:rPr>
        <w:t> </w:t>
      </w:r>
      <w:r>
        <w:rPr/>
        <w:t>med</w:t>
      </w:r>
      <w:r>
        <w:rPr>
          <w:spacing w:val="-12"/>
        </w:rPr>
        <w:t> </w:t>
      </w:r>
      <w:r>
        <w:rPr/>
        <w:t>DK-modellen,</w:t>
      </w:r>
      <w:r>
        <w:rPr>
          <w:spacing w:val="-9"/>
        </w:rPr>
        <w:t> </w:t>
      </w:r>
      <w:r>
        <w:rPr/>
        <w:t>der</w:t>
      </w:r>
      <w:r>
        <w:rPr>
          <w:spacing w:val="-9"/>
        </w:rPr>
        <w:t> </w:t>
      </w:r>
      <w:r>
        <w:rPr/>
        <w:t>vil</w:t>
      </w:r>
      <w:r>
        <w:rPr>
          <w:spacing w:val="-11"/>
        </w:rPr>
        <w:t> </w:t>
      </w:r>
      <w:r>
        <w:rPr/>
        <w:t>kunne</w:t>
      </w:r>
      <w:r>
        <w:rPr>
          <w:spacing w:val="-10"/>
        </w:rPr>
        <w:t> </w:t>
      </w:r>
      <w:r>
        <w:rPr/>
        <w:t>anvendes</w:t>
      </w:r>
      <w:r>
        <w:rPr>
          <w:spacing w:val="-8"/>
        </w:rPr>
        <w:t> </w:t>
      </w:r>
      <w:r>
        <w:rPr/>
        <w:t>til</w:t>
      </w:r>
      <w:r>
        <w:rPr>
          <w:spacing w:val="-11"/>
        </w:rPr>
        <w:t> </w:t>
      </w:r>
      <w:r>
        <w:rPr/>
        <w:t>bedre planlægning, vandforvaltning og klimatilpasning. Der findes ikke i dag specifikke anbefalede kvantitative nøjagtighedskriterier for modellering af terrænnært grundvand og oversvøm- melse i DK-modellen, og der er behov for at opstille kriterier for modelperformance for såvel middelforhold (fx årstidsvariationen i middeldybden til terrænnært grundvand eller middel- vandstanden i vandløb) som for hændelser (fx timing eller udbredelse af vand på terræn, eller den mindste dybde til terrænnært grundvandsspejl eller den højeste vandspejlskote i vandløb (fx svarende til års max</w:t>
      </w:r>
      <w:r>
        <w:rPr>
          <w:spacing w:val="-6"/>
        </w:rPr>
        <w:t> </w:t>
      </w:r>
      <w:r>
        <w:rPr/>
        <w:t>afstrømning).</w:t>
      </w:r>
    </w:p>
    <w:p>
      <w:pPr>
        <w:pStyle w:val="BodyText"/>
        <w:spacing w:before="2"/>
        <w:rPr>
          <w:sz w:val="25"/>
        </w:rPr>
      </w:pPr>
    </w:p>
    <w:p>
      <w:pPr>
        <w:pStyle w:val="BodyText"/>
        <w:spacing w:line="288" w:lineRule="auto"/>
        <w:ind w:left="525" w:right="737"/>
        <w:jc w:val="both"/>
      </w:pPr>
      <w:r>
        <w:rPr/>
        <w:t>For at udgå udvikling af unødig kompliceret model lægges der vægt på såvel avancerede modelløsninger som udvikling af simplere metoder (eksterne moduler) med henblik på opti- mering af såvel nøjagtighed som beregningstid (ressourceforbrug).</w:t>
      </w:r>
    </w:p>
    <w:p>
      <w:pPr>
        <w:spacing w:after="0" w:line="288" w:lineRule="auto"/>
        <w:jc w:val="both"/>
        <w:sectPr>
          <w:pgSz w:w="11910" w:h="16850"/>
          <w:pgMar w:header="0" w:footer="857" w:top="1400" w:bottom="1120" w:left="1460" w:right="680"/>
        </w:sectPr>
      </w:pPr>
    </w:p>
    <w:p>
      <w:pPr>
        <w:pStyle w:val="Heading2"/>
        <w:numPr>
          <w:ilvl w:val="1"/>
          <w:numId w:val="6"/>
        </w:numPr>
        <w:tabs>
          <w:tab w:pos="1141" w:val="left" w:leader="none"/>
          <w:tab w:pos="1142" w:val="left" w:leader="none"/>
        </w:tabs>
        <w:spacing w:line="240" w:lineRule="auto" w:before="74" w:after="0"/>
        <w:ind w:left="1142" w:right="0" w:hanging="617"/>
        <w:jc w:val="left"/>
      </w:pPr>
      <w:bookmarkStart w:name="_bookmark17" w:id="26"/>
      <w:bookmarkEnd w:id="26"/>
      <w:r>
        <w:rPr>
          <w:b w:val="0"/>
        </w:rPr>
      </w:r>
      <w:bookmarkStart w:name="_bookmark17" w:id="27"/>
      <w:bookmarkEnd w:id="27"/>
      <w:r>
        <w:rPr/>
        <w:t>F</w:t>
      </w:r>
      <w:r>
        <w:rPr/>
        <w:t>ormål</w:t>
      </w:r>
    </w:p>
    <w:p>
      <w:pPr>
        <w:pStyle w:val="BodyText"/>
        <w:spacing w:line="276" w:lineRule="auto" w:before="241"/>
        <w:ind w:left="525" w:right="936"/>
        <w:jc w:val="both"/>
      </w:pPr>
      <w:r>
        <w:rPr/>
        <w:t>Formålet med projektet er at udvikle metoder til bedre modellering af oversvømmelser fra terrænnært grundvand og vandløb med anvendelse af DK-modellen. Dette indebærer ud- vikling af metoder til:</w:t>
      </w:r>
    </w:p>
    <w:p>
      <w:pPr>
        <w:pStyle w:val="ListParagraph"/>
        <w:numPr>
          <w:ilvl w:val="2"/>
          <w:numId w:val="6"/>
        </w:numPr>
        <w:tabs>
          <w:tab w:pos="1341" w:val="left" w:leader="none"/>
          <w:tab w:pos="1342" w:val="left" w:leader="none"/>
        </w:tabs>
        <w:spacing w:line="240" w:lineRule="auto" w:before="2" w:after="0"/>
        <w:ind w:left="1341" w:right="896" w:hanging="456"/>
        <w:jc w:val="left"/>
        <w:rPr>
          <w:sz w:val="20"/>
        </w:rPr>
      </w:pPr>
      <w:r>
        <w:rPr>
          <w:sz w:val="20"/>
        </w:rPr>
        <w:t>bedre modelbaserede beregninger af terrænnært grundvand (100 m grid) og over- svømmelse fra </w:t>
      </w:r>
      <w:r>
        <w:rPr>
          <w:i/>
          <w:sz w:val="20"/>
        </w:rPr>
        <w:t>grundvand</w:t>
      </w:r>
      <w:r>
        <w:rPr>
          <w:sz w:val="20"/>
        </w:rPr>
        <w:t>. Der vil i denne del blive benyttet flere data om det </w:t>
      </w:r>
      <w:r>
        <w:rPr>
          <w:i/>
          <w:sz w:val="20"/>
        </w:rPr>
        <w:t>terræn- </w:t>
      </w:r>
      <w:r>
        <w:rPr>
          <w:i/>
          <w:sz w:val="20"/>
        </w:rPr>
        <w:t>nære grundvand</w:t>
      </w:r>
      <w:r>
        <w:rPr>
          <w:sz w:val="20"/>
        </w:rPr>
        <w:t>, end der ellers benyttes i DK-modellen,</w:t>
      </w:r>
      <w:r>
        <w:rPr>
          <w:spacing w:val="-7"/>
          <w:sz w:val="20"/>
        </w:rPr>
        <w:t> </w:t>
      </w:r>
      <w:r>
        <w:rPr>
          <w:sz w:val="20"/>
        </w:rPr>
        <w:t>og</w:t>
      </w:r>
    </w:p>
    <w:p>
      <w:pPr>
        <w:pStyle w:val="ListParagraph"/>
        <w:numPr>
          <w:ilvl w:val="2"/>
          <w:numId w:val="6"/>
        </w:numPr>
        <w:tabs>
          <w:tab w:pos="1341" w:val="left" w:leader="none"/>
          <w:tab w:pos="1342" w:val="left" w:leader="none"/>
        </w:tabs>
        <w:spacing w:line="240" w:lineRule="auto" w:before="0" w:after="0"/>
        <w:ind w:left="1341" w:right="812" w:hanging="456"/>
        <w:jc w:val="left"/>
        <w:rPr>
          <w:sz w:val="20"/>
        </w:rPr>
      </w:pPr>
      <w:r>
        <w:rPr>
          <w:sz w:val="20"/>
        </w:rPr>
        <w:t>modelbaserede beregninger af vandspejlshældning, vandstand og oversvømmelse</w:t>
      </w:r>
      <w:r>
        <w:rPr>
          <w:spacing w:val="-24"/>
          <w:sz w:val="20"/>
        </w:rPr>
        <w:t> </w:t>
      </w:r>
      <w:r>
        <w:rPr>
          <w:sz w:val="20"/>
        </w:rPr>
        <w:t>fra </w:t>
      </w:r>
      <w:r>
        <w:rPr>
          <w:i/>
          <w:sz w:val="20"/>
        </w:rPr>
        <w:t>vandløb. </w:t>
      </w:r>
      <w:r>
        <w:rPr>
          <w:sz w:val="20"/>
        </w:rPr>
        <w:t>Der vil i denne del blive benyttet data om </w:t>
      </w:r>
      <w:r>
        <w:rPr>
          <w:i/>
          <w:sz w:val="20"/>
        </w:rPr>
        <w:t>havvandstand </w:t>
      </w:r>
      <w:r>
        <w:rPr>
          <w:sz w:val="20"/>
        </w:rPr>
        <w:t>og </w:t>
      </w:r>
      <w:r>
        <w:rPr>
          <w:i/>
          <w:sz w:val="20"/>
        </w:rPr>
        <w:t>bygværker ved </w:t>
      </w:r>
      <w:r>
        <w:rPr>
          <w:i/>
          <w:sz w:val="20"/>
        </w:rPr>
        <w:t>vandløb</w:t>
      </w:r>
      <w:r>
        <w:rPr>
          <w:sz w:val="20"/>
        </w:rPr>
        <w:t>, hvilket ikke benyttes i DK-modellen</w:t>
      </w:r>
      <w:r>
        <w:rPr>
          <w:spacing w:val="-7"/>
          <w:sz w:val="20"/>
        </w:rPr>
        <w:t> </w:t>
      </w:r>
      <w:r>
        <w:rPr>
          <w:sz w:val="20"/>
        </w:rPr>
        <w:t>idag.</w:t>
      </w:r>
    </w:p>
    <w:p>
      <w:pPr>
        <w:pStyle w:val="BodyText"/>
        <w:spacing w:before="7"/>
        <w:rPr>
          <w:sz w:val="20"/>
        </w:rPr>
      </w:pPr>
    </w:p>
    <w:p>
      <w:pPr>
        <w:pStyle w:val="BodyText"/>
        <w:spacing w:line="276" w:lineRule="auto" w:before="1"/>
        <w:ind w:left="525" w:right="833"/>
      </w:pPr>
      <w:r>
        <w:rPr/>
        <w:t>Projektet leverer hermed en metode til integreret modellering af oversvømmelse fra grund- vand og vandløb (det frie vandspejl).</w:t>
      </w:r>
    </w:p>
    <w:p>
      <w:pPr>
        <w:pStyle w:val="BodyText"/>
        <w:spacing w:before="9"/>
        <w:rPr>
          <w:sz w:val="20"/>
        </w:rPr>
      </w:pPr>
    </w:p>
    <w:p>
      <w:pPr>
        <w:pStyle w:val="BodyText"/>
        <w:spacing w:line="276" w:lineRule="auto"/>
        <w:ind w:left="525" w:right="750"/>
      </w:pPr>
      <w:r>
        <w:rPr/>
        <w:t>Projektet imødekommer behov, der har været udtrykt af kommuner og vandforsyninger for landsdækkende modelberegnede kort over terrænnært grundvand i 100 m grid til admini- stration af klimatilpasning og spildevand. Regionerne har udtrykt tilsvarende behov i forhold til regionale initiativer omkring klimatilpasning og lokale risikovurderinger af jord- og grund- vandsforureninger. Der efterspørges specifikt landsdækkende kort for terrænnært grund- vand i nutid og fremtid. Derudover har der i bruger-workshops under FODS 6.1 været bred efterspørgsel på bedre adgang til data om overfladevand (gerne i realtid) til bedre håndte- ring af oversvømmelser.</w:t>
      </w:r>
    </w:p>
    <w:p>
      <w:pPr>
        <w:pStyle w:val="BodyText"/>
        <w:spacing w:before="11"/>
        <w:rPr>
          <w:sz w:val="20"/>
        </w:rPr>
      </w:pPr>
    </w:p>
    <w:p>
      <w:pPr>
        <w:pStyle w:val="BodyText"/>
        <w:spacing w:line="276" w:lineRule="auto"/>
        <w:ind w:left="525" w:right="774"/>
      </w:pPr>
      <w:r>
        <w:rPr/>
        <w:t>En implementering af den forbedrede DK-model ligger uden for rammerne af dette projekt, men udviklingen bidrager til det strategiske mål om senere at kunne udvikle et landsdæk- kende </w:t>
      </w:r>
      <w:r>
        <w:rPr>
          <w:i/>
        </w:rPr>
        <w:t>Hydrologisk Informations- og Prognose </w:t>
      </w:r>
      <w:r>
        <w:rPr/>
        <w:t>system (HIP), der vil kunne levere hydrologi- ske data, modelberegninger (historisk og realtid), samt prognoser. Muligheder for udvikling af HIP vil blive nærmere analyseret i 2018 (se information på sdfe.dk\tkv).</w:t>
      </w:r>
    </w:p>
    <w:p>
      <w:pPr>
        <w:pStyle w:val="BodyText"/>
        <w:spacing w:before="10"/>
        <w:rPr>
          <w:sz w:val="20"/>
        </w:rPr>
      </w:pPr>
    </w:p>
    <w:p>
      <w:pPr>
        <w:pStyle w:val="Heading2"/>
        <w:numPr>
          <w:ilvl w:val="1"/>
          <w:numId w:val="6"/>
        </w:numPr>
        <w:tabs>
          <w:tab w:pos="1141" w:val="left" w:leader="none"/>
          <w:tab w:pos="1142" w:val="left" w:leader="none"/>
        </w:tabs>
        <w:spacing w:line="240" w:lineRule="auto" w:before="1" w:after="0"/>
        <w:ind w:left="1142" w:right="0" w:hanging="617"/>
        <w:jc w:val="left"/>
      </w:pPr>
      <w:bookmarkStart w:name="_bookmark18" w:id="28"/>
      <w:bookmarkEnd w:id="28"/>
      <w:r>
        <w:rPr>
          <w:b w:val="0"/>
        </w:rPr>
      </w:r>
      <w:bookmarkStart w:name="_bookmark18" w:id="29"/>
      <w:bookmarkEnd w:id="29"/>
      <w:r>
        <w:rPr/>
        <w:t>D</w:t>
      </w:r>
      <w:r>
        <w:rPr/>
        <w:t>en fremtidige</w:t>
      </w:r>
      <w:r>
        <w:rPr>
          <w:spacing w:val="-4"/>
        </w:rPr>
        <w:t> </w:t>
      </w:r>
      <w:r>
        <w:rPr/>
        <w:t>situation</w:t>
      </w:r>
    </w:p>
    <w:p>
      <w:pPr>
        <w:pStyle w:val="BodyText"/>
        <w:spacing w:line="276" w:lineRule="auto" w:before="240"/>
        <w:ind w:left="525" w:right="747"/>
        <w:jc w:val="both"/>
      </w:pPr>
      <w:r>
        <w:rPr/>
        <w:t>Adgang til bedre og mere detaljerede landsdækkende modelberegninger med DK-modellen vil understøtte samarbejder om vandforvaltning, klimatilpasning og risikohåndtering af over- svømmelser fra grundvand og vandløb på tværs af administrative grænser og sektorer.</w:t>
      </w:r>
    </w:p>
    <w:p>
      <w:pPr>
        <w:pStyle w:val="BodyText"/>
        <w:spacing w:line="276" w:lineRule="auto"/>
        <w:ind w:left="525" w:right="937"/>
      </w:pPr>
      <w:r>
        <w:rPr/>
        <w:t>Dette er specielt vigtigt i Danmark, fordi ansvaret for vandforvaltning og klimatilpasning er lokalt forankret i de 98 kommuner.</w:t>
      </w:r>
    </w:p>
    <w:p>
      <w:pPr>
        <w:pStyle w:val="BodyText"/>
        <w:spacing w:before="9"/>
        <w:rPr>
          <w:sz w:val="20"/>
        </w:rPr>
      </w:pPr>
    </w:p>
    <w:p>
      <w:pPr>
        <w:pStyle w:val="BodyText"/>
        <w:spacing w:line="276" w:lineRule="auto"/>
        <w:ind w:left="525" w:right="749"/>
      </w:pPr>
      <w:r>
        <w:rPr/>
        <w:t>En senere landsdækkende implementering af løsningen (uden for dette projekt) forventes især at bidrage med forbedrede modelberegninger og kortlægning til brug for vandforvalt- ning og planlægning, herunder klimatilpasning og risikohåndtering af oversvømmelser. Der er i tiltagende grad fare og risiko for oversvømmelser overalt i Danmark - fra skybrud, kob- let regn, stormflod og stigende grundvand. Metoderne vil specifikt kunne bruges til bedre screening af fare for oversvømmelser (nutid og fremtid) fra grundvand og vandløb. Herved fås et bedre beslutningsgrundlag forud for beslutning om detailstudier for at undgå at bygge nye bygninger og infrastruktur i områder, der er truet af oversvømmelse grundet klimafor- andringer. Derudover vil borgere få øget opmærksomhed om de hydrologiske forhold og dermed bedre mulighed for at samarbejde lokalt om at undgå skader fra oversvømmelser, f.eks. ved at foreslå egnede vandparkeringspladser. Offentlige og private virksomheder som BaneDanmark, Vejdirektoratet, beredskabstjenester og forsikringsselskaber vil</w:t>
      </w:r>
      <w:r>
        <w:rPr>
          <w:spacing w:val="-22"/>
        </w:rPr>
        <w:t> </w:t>
      </w:r>
      <w:r>
        <w:rPr/>
        <w:t>også</w:t>
      </w:r>
    </w:p>
    <w:p>
      <w:pPr>
        <w:spacing w:after="0" w:line="276" w:lineRule="auto"/>
        <w:sectPr>
          <w:pgSz w:w="11910" w:h="16850"/>
          <w:pgMar w:header="0" w:footer="857" w:top="1340" w:bottom="1120" w:left="1460" w:right="680"/>
        </w:sectPr>
      </w:pPr>
    </w:p>
    <w:p>
      <w:pPr>
        <w:pStyle w:val="BodyText"/>
        <w:spacing w:line="276" w:lineRule="auto" w:before="75"/>
        <w:ind w:left="525" w:right="890"/>
      </w:pPr>
      <w:r>
        <w:rPr/>
        <w:t>kunne have gavn af landsdækkende hydrologiske modelberegninger, og rådgivende virk- somheder vil kunne kombinere sådanne modelberegninger med lokale data til udvikling af mere detaljerede lokale løsninger og beslutningsstøttesystemer.</w:t>
      </w:r>
    </w:p>
    <w:p>
      <w:pPr>
        <w:pStyle w:val="BodyText"/>
        <w:spacing w:before="10"/>
        <w:rPr>
          <w:sz w:val="20"/>
        </w:rPr>
      </w:pPr>
    </w:p>
    <w:p>
      <w:pPr>
        <w:pStyle w:val="BodyText"/>
        <w:spacing w:line="276" w:lineRule="auto"/>
        <w:ind w:left="525" w:right="762"/>
      </w:pPr>
      <w:r>
        <w:rPr/>
        <w:t>Projektets gennemførelse bidrager til kvalitetsløft af DK-modellen, og de udviklede metoder vil kunne anvendes af GEUS til det videre arbejde med DK-modellen. Metoderne vil blive beskrevet og gjort tilgængelige for alle, der arbejder med landsdækkende hydrologisk mo- dellering. En senere implementering af metoderne i DK-modellen vil kunne levere lands- dækkende modelberegninger for terrænnært grundvand (100 m grid) og vandløb (ca.</w:t>
      </w:r>
    </w:p>
    <w:p>
      <w:pPr>
        <w:pStyle w:val="BodyText"/>
        <w:spacing w:line="276" w:lineRule="auto"/>
        <w:ind w:left="525" w:right="878"/>
      </w:pPr>
      <w:r>
        <w:rPr/>
        <w:t>30.000 vandløbsberegningspunkter), hvilket vil skabe sammenhæng mellem fragmente- rede målinger, der er spredt fordelt i tid og sted, ligesom forventede effekter af klimaforan- dringer vil kunne beregnes. Projektet leverer desuden open source og kortlægningsmodu- ler og en nedskaleringsmetode, der vil kunne anvendes af alle til nedskalering af terræn- nært grundvand fra en skala til en anden (f.eks. fra 500 m til finere grid).</w:t>
      </w:r>
    </w:p>
    <w:p>
      <w:pPr>
        <w:pStyle w:val="BodyText"/>
        <w:spacing w:before="9"/>
        <w:rPr>
          <w:sz w:val="20"/>
        </w:rPr>
      </w:pPr>
    </w:p>
    <w:p>
      <w:pPr>
        <w:pStyle w:val="Heading2"/>
        <w:numPr>
          <w:ilvl w:val="1"/>
          <w:numId w:val="6"/>
        </w:numPr>
        <w:tabs>
          <w:tab w:pos="1141" w:val="left" w:leader="none"/>
          <w:tab w:pos="1142" w:val="left" w:leader="none"/>
        </w:tabs>
        <w:spacing w:line="240" w:lineRule="auto" w:before="0" w:after="0"/>
        <w:ind w:left="1142" w:right="0" w:hanging="617"/>
        <w:jc w:val="left"/>
      </w:pPr>
      <w:bookmarkStart w:name="_bookmark19" w:id="30"/>
      <w:bookmarkEnd w:id="30"/>
      <w:r>
        <w:rPr>
          <w:b w:val="0"/>
        </w:rPr>
      </w:r>
      <w:bookmarkStart w:name="_bookmark19" w:id="31"/>
      <w:bookmarkEnd w:id="31"/>
      <w:r>
        <w:rPr/>
        <w:t>A</w:t>
      </w:r>
      <w:r>
        <w:rPr/>
        <w:t>nvendelsespotentialer og</w:t>
      </w:r>
      <w:r>
        <w:rPr>
          <w:spacing w:val="-5"/>
        </w:rPr>
        <w:t> </w:t>
      </w:r>
      <w:r>
        <w:rPr/>
        <w:t>success-/nøjagtighedskriterier</w:t>
      </w:r>
    </w:p>
    <w:p>
      <w:pPr>
        <w:spacing w:line="276" w:lineRule="auto" w:before="241"/>
        <w:ind w:left="525" w:right="732" w:firstLine="0"/>
        <w:jc w:val="both"/>
        <w:rPr>
          <w:sz w:val="21"/>
        </w:rPr>
      </w:pPr>
      <w:r>
        <w:rPr>
          <w:sz w:val="21"/>
        </w:rPr>
        <w:t>På interessentgruppemøde i efteråret 2017 blev der givet udtryk for, at modellen </w:t>
      </w:r>
      <w:r>
        <w:rPr>
          <w:i/>
          <w:sz w:val="21"/>
        </w:rPr>
        <w:t>skal kunne </w:t>
      </w:r>
      <w:r>
        <w:rPr>
          <w:i/>
          <w:sz w:val="21"/>
        </w:rPr>
        <w:t>simulere de nuværende forhold, altså kvalitativt skal kunne beskrive, hvor man har erfaring med,</w:t>
      </w:r>
      <w:r>
        <w:rPr>
          <w:i/>
          <w:spacing w:val="-14"/>
          <w:sz w:val="21"/>
        </w:rPr>
        <w:t> </w:t>
      </w:r>
      <w:r>
        <w:rPr>
          <w:i/>
          <w:sz w:val="21"/>
        </w:rPr>
        <w:t>at</w:t>
      </w:r>
      <w:r>
        <w:rPr>
          <w:i/>
          <w:spacing w:val="-11"/>
          <w:sz w:val="21"/>
        </w:rPr>
        <w:t> </w:t>
      </w:r>
      <w:r>
        <w:rPr>
          <w:i/>
          <w:sz w:val="21"/>
        </w:rPr>
        <w:t>det</w:t>
      </w:r>
      <w:r>
        <w:rPr>
          <w:i/>
          <w:spacing w:val="-13"/>
          <w:sz w:val="21"/>
        </w:rPr>
        <w:t> </w:t>
      </w:r>
      <w:r>
        <w:rPr>
          <w:i/>
          <w:sz w:val="21"/>
        </w:rPr>
        <w:t>terrænnære</w:t>
      </w:r>
      <w:r>
        <w:rPr>
          <w:i/>
          <w:spacing w:val="-12"/>
          <w:sz w:val="21"/>
        </w:rPr>
        <w:t> </w:t>
      </w:r>
      <w:r>
        <w:rPr>
          <w:i/>
          <w:sz w:val="21"/>
        </w:rPr>
        <w:t>grundvand</w:t>
      </w:r>
      <w:r>
        <w:rPr>
          <w:i/>
          <w:spacing w:val="-12"/>
          <w:sz w:val="21"/>
        </w:rPr>
        <w:t> </w:t>
      </w:r>
      <w:r>
        <w:rPr>
          <w:i/>
          <w:sz w:val="21"/>
        </w:rPr>
        <w:t>står</w:t>
      </w:r>
      <w:r>
        <w:rPr>
          <w:i/>
          <w:spacing w:val="-14"/>
          <w:sz w:val="21"/>
        </w:rPr>
        <w:t> </w:t>
      </w:r>
      <w:r>
        <w:rPr>
          <w:i/>
          <w:sz w:val="21"/>
        </w:rPr>
        <w:t>højt</w:t>
      </w:r>
      <w:r>
        <w:rPr>
          <w:sz w:val="21"/>
        </w:rPr>
        <w:t>,</w:t>
      </w:r>
      <w:r>
        <w:rPr>
          <w:spacing w:val="-13"/>
          <w:sz w:val="21"/>
        </w:rPr>
        <w:t> </w:t>
      </w:r>
      <w:r>
        <w:rPr>
          <w:sz w:val="21"/>
        </w:rPr>
        <w:t>og</w:t>
      </w:r>
      <w:r>
        <w:rPr>
          <w:spacing w:val="-12"/>
          <w:sz w:val="21"/>
        </w:rPr>
        <w:t> </w:t>
      </w:r>
      <w:r>
        <w:rPr>
          <w:sz w:val="21"/>
        </w:rPr>
        <w:t>hvor</w:t>
      </w:r>
      <w:r>
        <w:rPr>
          <w:spacing w:val="-8"/>
          <w:sz w:val="21"/>
        </w:rPr>
        <w:t> </w:t>
      </w:r>
      <w:r>
        <w:rPr>
          <w:sz w:val="21"/>
        </w:rPr>
        <w:t>der</w:t>
      </w:r>
      <w:r>
        <w:rPr>
          <w:spacing w:val="-13"/>
          <w:sz w:val="21"/>
        </w:rPr>
        <w:t> </w:t>
      </w:r>
      <w:r>
        <w:rPr>
          <w:sz w:val="21"/>
        </w:rPr>
        <w:t>er</w:t>
      </w:r>
      <w:r>
        <w:rPr>
          <w:spacing w:val="-14"/>
          <w:sz w:val="21"/>
        </w:rPr>
        <w:t> </w:t>
      </w:r>
      <w:r>
        <w:rPr>
          <w:sz w:val="21"/>
        </w:rPr>
        <w:t>småsøer</w:t>
      </w:r>
      <w:r>
        <w:rPr>
          <w:spacing w:val="-15"/>
          <w:sz w:val="21"/>
        </w:rPr>
        <w:t> </w:t>
      </w:r>
      <w:r>
        <w:rPr>
          <w:sz w:val="21"/>
        </w:rPr>
        <w:t>mm.</w:t>
      </w:r>
      <w:r>
        <w:rPr>
          <w:spacing w:val="-13"/>
          <w:sz w:val="21"/>
        </w:rPr>
        <w:t> </w:t>
      </w:r>
      <w:r>
        <w:rPr>
          <w:sz w:val="21"/>
        </w:rPr>
        <w:t>Der</w:t>
      </w:r>
      <w:r>
        <w:rPr>
          <w:spacing w:val="-13"/>
          <w:sz w:val="21"/>
        </w:rPr>
        <w:t> </w:t>
      </w:r>
      <w:r>
        <w:rPr>
          <w:sz w:val="21"/>
        </w:rPr>
        <w:t>blev</w:t>
      </w:r>
      <w:r>
        <w:rPr>
          <w:spacing w:val="-12"/>
          <w:sz w:val="21"/>
        </w:rPr>
        <w:t> </w:t>
      </w:r>
      <w:r>
        <w:rPr>
          <w:sz w:val="21"/>
        </w:rPr>
        <w:t>yderligere udtrykt ønsker til kvantitative kriterier for beskrivelsen af </w:t>
      </w:r>
      <w:r>
        <w:rPr>
          <w:i/>
          <w:sz w:val="21"/>
        </w:rPr>
        <w:t>beliggenheden af det terrænnære </w:t>
      </w:r>
      <w:r>
        <w:rPr>
          <w:i/>
          <w:sz w:val="21"/>
        </w:rPr>
        <w:t>grundvand</w:t>
      </w:r>
      <w:r>
        <w:rPr>
          <w:i/>
          <w:spacing w:val="-10"/>
          <w:sz w:val="21"/>
        </w:rPr>
        <w:t> </w:t>
      </w:r>
      <w:r>
        <w:rPr>
          <w:i/>
          <w:sz w:val="21"/>
        </w:rPr>
        <w:t>med</w:t>
      </w:r>
      <w:r>
        <w:rPr>
          <w:i/>
          <w:spacing w:val="-9"/>
          <w:sz w:val="21"/>
        </w:rPr>
        <w:t> </w:t>
      </w:r>
      <w:r>
        <w:rPr>
          <w:i/>
          <w:sz w:val="21"/>
        </w:rPr>
        <w:t>en</w:t>
      </w:r>
      <w:r>
        <w:rPr>
          <w:i/>
          <w:spacing w:val="-11"/>
          <w:sz w:val="21"/>
        </w:rPr>
        <w:t> </w:t>
      </w:r>
      <w:r>
        <w:rPr>
          <w:i/>
          <w:sz w:val="21"/>
        </w:rPr>
        <w:t>nøjagtighed</w:t>
      </w:r>
      <w:r>
        <w:rPr>
          <w:i/>
          <w:spacing w:val="-10"/>
          <w:sz w:val="21"/>
        </w:rPr>
        <w:t> </w:t>
      </w:r>
      <w:r>
        <w:rPr>
          <w:i/>
          <w:sz w:val="21"/>
        </w:rPr>
        <w:t>på</w:t>
      </w:r>
      <w:r>
        <w:rPr>
          <w:i/>
          <w:spacing w:val="-9"/>
          <w:sz w:val="21"/>
        </w:rPr>
        <w:t> </w:t>
      </w:r>
      <w:r>
        <w:rPr>
          <w:i/>
          <w:sz w:val="21"/>
        </w:rPr>
        <w:t>0,5-1,0</w:t>
      </w:r>
      <w:r>
        <w:rPr>
          <w:i/>
          <w:spacing w:val="-11"/>
          <w:sz w:val="21"/>
        </w:rPr>
        <w:t> </w:t>
      </w:r>
      <w:r>
        <w:rPr>
          <w:i/>
          <w:sz w:val="21"/>
        </w:rPr>
        <w:t>m</w:t>
      </w:r>
      <w:r>
        <w:rPr>
          <w:i/>
          <w:spacing w:val="-13"/>
          <w:sz w:val="21"/>
        </w:rPr>
        <w:t> </w:t>
      </w:r>
      <w:r>
        <w:rPr>
          <w:sz w:val="21"/>
        </w:rPr>
        <w:t>i</w:t>
      </w:r>
      <w:r>
        <w:rPr>
          <w:spacing w:val="-10"/>
          <w:sz w:val="21"/>
        </w:rPr>
        <w:t> </w:t>
      </w:r>
      <w:r>
        <w:rPr>
          <w:sz w:val="21"/>
        </w:rPr>
        <w:t>gennemsnit.</w:t>
      </w:r>
      <w:r>
        <w:rPr>
          <w:spacing w:val="-11"/>
          <w:sz w:val="21"/>
        </w:rPr>
        <w:t> </w:t>
      </w:r>
      <w:r>
        <w:rPr>
          <w:sz w:val="21"/>
        </w:rPr>
        <w:t>Der</w:t>
      </w:r>
      <w:r>
        <w:rPr>
          <w:spacing w:val="-11"/>
          <w:sz w:val="21"/>
        </w:rPr>
        <w:t> </w:t>
      </w:r>
      <w:r>
        <w:rPr>
          <w:sz w:val="21"/>
        </w:rPr>
        <w:t>var</w:t>
      </w:r>
      <w:r>
        <w:rPr>
          <w:spacing w:val="-10"/>
          <w:sz w:val="21"/>
        </w:rPr>
        <w:t> </w:t>
      </w:r>
      <w:r>
        <w:rPr>
          <w:sz w:val="21"/>
        </w:rPr>
        <w:t>ønske</w:t>
      </w:r>
      <w:r>
        <w:rPr>
          <w:spacing w:val="-11"/>
          <w:sz w:val="21"/>
        </w:rPr>
        <w:t> </w:t>
      </w:r>
      <w:r>
        <w:rPr>
          <w:sz w:val="21"/>
        </w:rPr>
        <w:t>om</w:t>
      </w:r>
      <w:r>
        <w:rPr>
          <w:spacing w:val="-8"/>
          <w:sz w:val="21"/>
        </w:rPr>
        <w:t> </w:t>
      </w:r>
      <w:r>
        <w:rPr>
          <w:sz w:val="21"/>
        </w:rPr>
        <w:t>en</w:t>
      </w:r>
      <w:r>
        <w:rPr>
          <w:spacing w:val="-8"/>
          <w:sz w:val="21"/>
        </w:rPr>
        <w:t> </w:t>
      </w:r>
      <w:r>
        <w:rPr>
          <w:i/>
          <w:sz w:val="21"/>
        </w:rPr>
        <w:t>nøjagtighed </w:t>
      </w:r>
      <w:r>
        <w:rPr>
          <w:i/>
          <w:sz w:val="21"/>
        </w:rPr>
        <w:t>på simuleringen af vandstanden i vandløb på 0,2 m </w:t>
      </w:r>
      <w:r>
        <w:rPr>
          <w:sz w:val="21"/>
        </w:rPr>
        <w:t>i gennemsnit. </w:t>
      </w:r>
      <w:r>
        <w:rPr>
          <w:i/>
          <w:sz w:val="21"/>
        </w:rPr>
        <w:t>Vand på terræn skulle </w:t>
      </w:r>
      <w:r>
        <w:rPr>
          <w:i/>
          <w:sz w:val="21"/>
        </w:rPr>
        <w:t>kvalitativt kunne afgrænses </w:t>
      </w:r>
      <w:r>
        <w:rPr>
          <w:sz w:val="21"/>
        </w:rPr>
        <w:t>som en beskrivelse af de områder hvor dybden til grundvands- spejlet står enten over eller mindre end ½ m under terræn, og hvor der inden for et 100 m grid er stor sandsynlighed for vandlidende arealer eller vand på</w:t>
      </w:r>
      <w:r>
        <w:rPr>
          <w:spacing w:val="-16"/>
          <w:sz w:val="21"/>
        </w:rPr>
        <w:t> </w:t>
      </w:r>
      <w:r>
        <w:rPr>
          <w:sz w:val="21"/>
        </w:rPr>
        <w:t>terræn.</w:t>
      </w:r>
    </w:p>
    <w:p>
      <w:pPr>
        <w:pStyle w:val="BodyText"/>
      </w:pPr>
    </w:p>
    <w:p>
      <w:pPr>
        <w:pStyle w:val="BodyText"/>
        <w:spacing w:line="276" w:lineRule="auto"/>
        <w:ind w:left="525" w:right="730"/>
        <w:jc w:val="both"/>
      </w:pPr>
      <w:r>
        <w:rPr/>
        <w:t>Anvendelsespotentialer</w:t>
      </w:r>
      <w:r>
        <w:rPr>
          <w:spacing w:val="-16"/>
        </w:rPr>
        <w:t> </w:t>
      </w:r>
      <w:r>
        <w:rPr/>
        <w:t>for</w:t>
      </w:r>
      <w:r>
        <w:rPr>
          <w:spacing w:val="-16"/>
        </w:rPr>
        <w:t> </w:t>
      </w:r>
      <w:r>
        <w:rPr/>
        <w:t>landsdækkende</w:t>
      </w:r>
      <w:r>
        <w:rPr>
          <w:spacing w:val="-16"/>
        </w:rPr>
        <w:t> </w:t>
      </w:r>
      <w:r>
        <w:rPr/>
        <w:t>modelberegninger</w:t>
      </w:r>
      <w:r>
        <w:rPr>
          <w:spacing w:val="-16"/>
        </w:rPr>
        <w:t> </w:t>
      </w:r>
      <w:r>
        <w:rPr/>
        <w:t>til</w:t>
      </w:r>
      <w:r>
        <w:rPr>
          <w:spacing w:val="-14"/>
        </w:rPr>
        <w:t> </w:t>
      </w:r>
      <w:r>
        <w:rPr/>
        <w:t>brug</w:t>
      </w:r>
      <w:r>
        <w:rPr>
          <w:spacing w:val="-16"/>
        </w:rPr>
        <w:t> </w:t>
      </w:r>
      <w:r>
        <w:rPr/>
        <w:t>for</w:t>
      </w:r>
      <w:r>
        <w:rPr>
          <w:spacing w:val="-15"/>
        </w:rPr>
        <w:t> </w:t>
      </w:r>
      <w:r>
        <w:rPr/>
        <w:t>planlægning</w:t>
      </w:r>
      <w:r>
        <w:rPr>
          <w:spacing w:val="-15"/>
        </w:rPr>
        <w:t> </w:t>
      </w:r>
      <w:r>
        <w:rPr/>
        <w:t>er</w:t>
      </w:r>
      <w:r>
        <w:rPr>
          <w:spacing w:val="-15"/>
        </w:rPr>
        <w:t> </w:t>
      </w:r>
      <w:r>
        <w:rPr/>
        <w:t>ble- vet yderligere diskuteret på projektmøder, efter at de første modelresultater var blevet pro- duceret i projektet for at oversætte kvalitative ønsker til nøjagtighed til både kvalitative og kvantitative</w:t>
      </w:r>
      <w:r>
        <w:rPr>
          <w:spacing w:val="-8"/>
        </w:rPr>
        <w:t> </w:t>
      </w:r>
      <w:r>
        <w:rPr/>
        <w:t>kriterier</w:t>
      </w:r>
      <w:r>
        <w:rPr>
          <w:spacing w:val="-9"/>
        </w:rPr>
        <w:t> </w:t>
      </w:r>
      <w:r>
        <w:rPr/>
        <w:t>(f.eks.</w:t>
      </w:r>
      <w:r>
        <w:rPr>
          <w:spacing w:val="-12"/>
        </w:rPr>
        <w:t> </w:t>
      </w:r>
      <w:r>
        <w:rPr/>
        <w:t>i</w:t>
      </w:r>
      <w:r>
        <w:rPr>
          <w:spacing w:val="-8"/>
        </w:rPr>
        <w:t> </w:t>
      </w:r>
      <w:r>
        <w:rPr/>
        <w:t>forhold</w:t>
      </w:r>
      <w:r>
        <w:rPr>
          <w:spacing w:val="-8"/>
        </w:rPr>
        <w:t> </w:t>
      </w:r>
      <w:r>
        <w:rPr/>
        <w:t>til</w:t>
      </w:r>
      <w:r>
        <w:rPr>
          <w:spacing w:val="-10"/>
        </w:rPr>
        <w:t> </w:t>
      </w:r>
      <w:r>
        <w:rPr/>
        <w:t>middelfejl,</w:t>
      </w:r>
      <w:r>
        <w:rPr>
          <w:spacing w:val="-9"/>
        </w:rPr>
        <w:t> </w:t>
      </w:r>
      <w:r>
        <w:rPr/>
        <w:t>max</w:t>
      </w:r>
      <w:r>
        <w:rPr>
          <w:spacing w:val="-11"/>
        </w:rPr>
        <w:t> </w:t>
      </w:r>
      <w:r>
        <w:rPr/>
        <w:t>absolut</w:t>
      </w:r>
      <w:r>
        <w:rPr>
          <w:spacing w:val="-9"/>
        </w:rPr>
        <w:t> </w:t>
      </w:r>
      <w:r>
        <w:rPr/>
        <w:t>fejl</w:t>
      </w:r>
      <w:r>
        <w:rPr>
          <w:spacing w:val="-8"/>
        </w:rPr>
        <w:t> </w:t>
      </w:r>
      <w:r>
        <w:rPr/>
        <w:t>og/eller</w:t>
      </w:r>
      <w:r>
        <w:rPr>
          <w:spacing w:val="-11"/>
        </w:rPr>
        <w:t> </w:t>
      </w:r>
      <w:r>
        <w:rPr/>
        <w:t>RMSE</w:t>
      </w:r>
      <w:r>
        <w:rPr>
          <w:spacing w:val="-10"/>
        </w:rPr>
        <w:t> </w:t>
      </w:r>
      <w:r>
        <w:rPr/>
        <w:t>på</w:t>
      </w:r>
      <w:r>
        <w:rPr>
          <w:spacing w:val="-8"/>
        </w:rPr>
        <w:t> </w:t>
      </w:r>
      <w:r>
        <w:rPr/>
        <w:t>simuleret vandstand). Processen for præcisering af succeskriterier er beskrevet i et internt notat fra d. 15/5 2018 (Notat om succeskriterier for FODS 6.1 projektet ”Udvikling af metode til bedre modellering af oversvømmelse med DK-modellen”) og opsummeres i </w:t>
      </w:r>
      <w:hyperlink w:history="true" w:anchor="_bookmark20">
        <w:r>
          <w:rPr/>
          <w:t>tabel</w:t>
        </w:r>
        <w:r>
          <w:rPr>
            <w:spacing w:val="-15"/>
          </w:rPr>
          <w:t> </w:t>
        </w:r>
        <w:r>
          <w:rPr/>
          <w:t>4</w:t>
        </w:r>
      </w:hyperlink>
      <w:r>
        <w:rPr/>
        <w:t>.</w:t>
      </w:r>
    </w:p>
    <w:p>
      <w:pPr>
        <w:pStyle w:val="BodyText"/>
        <w:spacing w:before="3"/>
      </w:pPr>
    </w:p>
    <w:p>
      <w:pPr>
        <w:spacing w:before="0"/>
        <w:ind w:left="525" w:right="0" w:firstLine="0"/>
        <w:jc w:val="left"/>
        <w:rPr>
          <w:rFonts w:ascii="Calibri" w:hAnsi="Calibri"/>
          <w:i/>
          <w:sz w:val="18"/>
        </w:rPr>
      </w:pPr>
      <w:bookmarkStart w:name="_bookmark20" w:id="32"/>
      <w:bookmarkEnd w:id="32"/>
      <w:r>
        <w:rPr/>
      </w:r>
      <w:r>
        <w:rPr>
          <w:rFonts w:ascii="Calibri" w:hAnsi="Calibri"/>
          <w:i/>
          <w:color w:val="44536A"/>
          <w:sz w:val="18"/>
        </w:rPr>
        <w:t>Tabel 4 Præcisering af succeskriterier for mål og delmål</w:t>
      </w:r>
    </w:p>
    <w:p>
      <w:pPr>
        <w:pStyle w:val="BodyText"/>
        <w:spacing w:before="1"/>
        <w:rPr>
          <w:rFonts w:ascii="Calibri"/>
          <w:i/>
          <w:sz w:val="16"/>
        </w:r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97"/>
        <w:gridCol w:w="2977"/>
        <w:gridCol w:w="3822"/>
      </w:tblGrid>
      <w:tr>
        <w:trPr>
          <w:trHeight w:val="249" w:hRule="atLeast"/>
        </w:trPr>
        <w:tc>
          <w:tcPr>
            <w:tcW w:w="1697" w:type="dxa"/>
          </w:tcPr>
          <w:p>
            <w:pPr>
              <w:pStyle w:val="TableParagraph"/>
              <w:spacing w:line="204" w:lineRule="exact"/>
              <w:ind w:left="107"/>
              <w:jc w:val="left"/>
              <w:rPr>
                <w:b/>
                <w:sz w:val="18"/>
              </w:rPr>
            </w:pPr>
            <w:r>
              <w:rPr>
                <w:b/>
                <w:sz w:val="18"/>
              </w:rPr>
              <w:t>Mål</w:t>
            </w:r>
          </w:p>
        </w:tc>
        <w:tc>
          <w:tcPr>
            <w:tcW w:w="2977" w:type="dxa"/>
          </w:tcPr>
          <w:p>
            <w:pPr>
              <w:pStyle w:val="TableParagraph"/>
              <w:spacing w:line="204" w:lineRule="exact"/>
              <w:ind w:left="107"/>
              <w:jc w:val="left"/>
              <w:rPr>
                <w:b/>
                <w:sz w:val="18"/>
              </w:rPr>
            </w:pPr>
            <w:r>
              <w:rPr>
                <w:b/>
                <w:sz w:val="18"/>
              </w:rPr>
              <w:t>Hvorfor</w:t>
            </w:r>
          </w:p>
        </w:tc>
        <w:tc>
          <w:tcPr>
            <w:tcW w:w="3822" w:type="dxa"/>
          </w:tcPr>
          <w:p>
            <w:pPr>
              <w:pStyle w:val="TableParagraph"/>
              <w:spacing w:line="204" w:lineRule="exact"/>
              <w:ind w:left="107"/>
              <w:jc w:val="left"/>
              <w:rPr>
                <w:b/>
                <w:sz w:val="18"/>
              </w:rPr>
            </w:pPr>
            <w:r>
              <w:rPr>
                <w:b/>
                <w:sz w:val="18"/>
              </w:rPr>
              <w:t>Succeskriterium/nøjagtighedskriterier</w:t>
            </w:r>
          </w:p>
        </w:tc>
      </w:tr>
      <w:tr>
        <w:trPr>
          <w:trHeight w:val="3230" w:hRule="atLeast"/>
        </w:trPr>
        <w:tc>
          <w:tcPr>
            <w:tcW w:w="1697" w:type="dxa"/>
          </w:tcPr>
          <w:p>
            <w:pPr>
              <w:pStyle w:val="TableParagraph"/>
              <w:spacing w:line="288" w:lineRule="auto"/>
              <w:ind w:left="107" w:right="89"/>
              <w:jc w:val="left"/>
              <w:rPr>
                <w:sz w:val="18"/>
              </w:rPr>
            </w:pPr>
            <w:r>
              <w:rPr>
                <w:sz w:val="18"/>
              </w:rPr>
              <w:t>Projektet skal ud- vikle metode til bedre modellering af terrænnært grundvand, vand- stand i vandløb og kortlægning af vand på terræn</w:t>
            </w:r>
          </w:p>
        </w:tc>
        <w:tc>
          <w:tcPr>
            <w:tcW w:w="2977" w:type="dxa"/>
          </w:tcPr>
          <w:p>
            <w:pPr>
              <w:pStyle w:val="TableParagraph"/>
              <w:spacing w:line="288" w:lineRule="auto"/>
              <w:ind w:left="107" w:right="96"/>
              <w:jc w:val="both"/>
              <w:rPr>
                <w:sz w:val="18"/>
              </w:rPr>
            </w:pPr>
            <w:r>
              <w:rPr>
                <w:sz w:val="18"/>
              </w:rPr>
              <w:t>Vigtigt med et screeningsværktøj for at vide hvor højt grundvandet står og hvor meget vand, der er i vandløbet, for at skabe database- ret viden om hvordan man bedst muligt kommer af med oversky- dende vand, f.eks. i forbindelse med ekstremregn.</w:t>
            </w:r>
          </w:p>
          <w:p>
            <w:pPr>
              <w:pStyle w:val="TableParagraph"/>
              <w:spacing w:line="288" w:lineRule="auto"/>
              <w:ind w:left="107" w:right="93"/>
              <w:jc w:val="both"/>
              <w:rPr>
                <w:sz w:val="18"/>
              </w:rPr>
            </w:pPr>
            <w:r>
              <w:rPr>
                <w:sz w:val="18"/>
              </w:rPr>
              <w:t>Vigtigt at visualisere</w:t>
            </w:r>
            <w:r>
              <w:rPr>
                <w:spacing w:val="-38"/>
                <w:sz w:val="18"/>
              </w:rPr>
              <w:t> </w:t>
            </w:r>
            <w:r>
              <w:rPr>
                <w:sz w:val="18"/>
              </w:rPr>
              <w:t>oversvømmel- sesrisiko</w:t>
            </w:r>
            <w:r>
              <w:rPr>
                <w:spacing w:val="-15"/>
                <w:sz w:val="18"/>
              </w:rPr>
              <w:t> </w:t>
            </w:r>
            <w:r>
              <w:rPr>
                <w:sz w:val="18"/>
              </w:rPr>
              <w:t>fra</w:t>
            </w:r>
            <w:r>
              <w:rPr>
                <w:spacing w:val="-13"/>
                <w:sz w:val="18"/>
              </w:rPr>
              <w:t> </w:t>
            </w:r>
            <w:r>
              <w:rPr>
                <w:sz w:val="18"/>
              </w:rPr>
              <w:t>vandløb</w:t>
            </w:r>
            <w:r>
              <w:rPr>
                <w:spacing w:val="-12"/>
                <w:sz w:val="18"/>
              </w:rPr>
              <w:t> </w:t>
            </w:r>
            <w:r>
              <w:rPr>
                <w:sz w:val="18"/>
              </w:rPr>
              <w:t>og</w:t>
            </w:r>
            <w:r>
              <w:rPr>
                <w:spacing w:val="-13"/>
                <w:sz w:val="18"/>
              </w:rPr>
              <w:t> </w:t>
            </w:r>
            <w:r>
              <w:rPr>
                <w:sz w:val="18"/>
              </w:rPr>
              <w:t>grundvand til brug for vandstandsregulering, klimatilpasning og varsling af</w:t>
            </w:r>
            <w:r>
              <w:rPr>
                <w:spacing w:val="-17"/>
                <w:sz w:val="18"/>
              </w:rPr>
              <w:t> </w:t>
            </w:r>
            <w:r>
              <w:rPr>
                <w:sz w:val="18"/>
              </w:rPr>
              <w:t>over-</w:t>
            </w:r>
          </w:p>
          <w:p>
            <w:pPr>
              <w:pStyle w:val="TableParagraph"/>
              <w:ind w:left="107"/>
              <w:jc w:val="both"/>
              <w:rPr>
                <w:sz w:val="18"/>
              </w:rPr>
            </w:pPr>
            <w:r>
              <w:rPr>
                <w:sz w:val="18"/>
              </w:rPr>
              <w:t>svømmelse</w:t>
            </w:r>
          </w:p>
        </w:tc>
        <w:tc>
          <w:tcPr>
            <w:tcW w:w="3822" w:type="dxa"/>
          </w:tcPr>
          <w:p>
            <w:pPr>
              <w:pStyle w:val="TableParagraph"/>
              <w:spacing w:line="288" w:lineRule="auto"/>
              <w:ind w:left="107" w:right="23"/>
              <w:jc w:val="left"/>
              <w:rPr>
                <w:sz w:val="18"/>
              </w:rPr>
            </w:pPr>
            <w:r>
              <w:rPr>
                <w:sz w:val="18"/>
              </w:rPr>
              <w:t>Resultater fra projektet skal samlet kunne: give </w:t>
            </w:r>
            <w:r>
              <w:rPr>
                <w:i/>
                <w:sz w:val="18"/>
              </w:rPr>
              <w:t>overblik over de hydrologiske forhold</w:t>
            </w:r>
            <w:r>
              <w:rPr>
                <w:sz w:val="18"/>
              </w:rPr>
              <w:t>, så- vel for grundvand som vandløb og oversvøm- melsesrisiko</w:t>
            </w:r>
          </w:p>
        </w:tc>
      </w:tr>
    </w:tbl>
    <w:p>
      <w:pPr>
        <w:spacing w:after="0" w:line="288" w:lineRule="auto"/>
        <w:jc w:val="left"/>
        <w:rPr>
          <w:sz w:val="18"/>
        </w:rPr>
        <w:sectPr>
          <w:pgSz w:w="11910" w:h="16850"/>
          <w:pgMar w:header="0" w:footer="857" w:top="1340" w:bottom="1120" w:left="1460" w:right="680"/>
        </w:sect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97"/>
        <w:gridCol w:w="2977"/>
        <w:gridCol w:w="3822"/>
      </w:tblGrid>
      <w:tr>
        <w:trPr>
          <w:trHeight w:val="6955" w:hRule="atLeast"/>
        </w:trPr>
        <w:tc>
          <w:tcPr>
            <w:tcW w:w="1697" w:type="dxa"/>
          </w:tcPr>
          <w:p>
            <w:pPr>
              <w:pStyle w:val="TableParagraph"/>
              <w:spacing w:line="288" w:lineRule="auto"/>
              <w:ind w:left="107" w:right="109"/>
              <w:jc w:val="left"/>
              <w:rPr>
                <w:sz w:val="18"/>
              </w:rPr>
            </w:pPr>
            <w:r>
              <w:rPr>
                <w:i/>
                <w:sz w:val="18"/>
              </w:rPr>
              <w:t>Delmål 1: </w:t>
            </w:r>
            <w:r>
              <w:rPr>
                <w:sz w:val="18"/>
              </w:rPr>
              <w:t>Projektet skal le- vere bedre me- tode til modelle- ring af terrænnært grundvand</w:t>
            </w:r>
          </w:p>
        </w:tc>
        <w:tc>
          <w:tcPr>
            <w:tcW w:w="2977" w:type="dxa"/>
          </w:tcPr>
          <w:p>
            <w:pPr>
              <w:pStyle w:val="TableParagraph"/>
              <w:spacing w:line="288" w:lineRule="auto"/>
              <w:ind w:left="107" w:right="94"/>
              <w:jc w:val="both"/>
              <w:rPr>
                <w:sz w:val="18"/>
              </w:rPr>
            </w:pPr>
            <w:r>
              <w:rPr>
                <w:sz w:val="18"/>
              </w:rPr>
              <w:t>Viden om ændringer i det terræn- nære grundvand er vigtigt til brug for</w:t>
            </w:r>
            <w:r>
              <w:rPr>
                <w:spacing w:val="-14"/>
                <w:sz w:val="18"/>
              </w:rPr>
              <w:t> </w:t>
            </w:r>
            <w:r>
              <w:rPr>
                <w:sz w:val="18"/>
              </w:rPr>
              <w:t>by-</w:t>
            </w:r>
            <w:r>
              <w:rPr>
                <w:spacing w:val="-14"/>
                <w:sz w:val="18"/>
              </w:rPr>
              <w:t> </w:t>
            </w:r>
            <w:r>
              <w:rPr>
                <w:sz w:val="18"/>
              </w:rPr>
              <w:t>og</w:t>
            </w:r>
            <w:r>
              <w:rPr>
                <w:spacing w:val="-13"/>
                <w:sz w:val="18"/>
              </w:rPr>
              <w:t> </w:t>
            </w:r>
            <w:r>
              <w:rPr>
                <w:sz w:val="18"/>
              </w:rPr>
              <w:t>infrastrukturplanlægning, kloakrenovering og klimatilpasning (LAR, nedsivning,</w:t>
            </w:r>
            <w:r>
              <w:rPr>
                <w:spacing w:val="-2"/>
                <w:sz w:val="18"/>
              </w:rPr>
              <w:t> </w:t>
            </w:r>
            <w:r>
              <w:rPr>
                <w:sz w:val="18"/>
              </w:rPr>
              <w:t>dræning).</w:t>
            </w:r>
          </w:p>
          <w:p>
            <w:pPr>
              <w:pStyle w:val="TableParagraph"/>
              <w:spacing w:line="288" w:lineRule="auto"/>
              <w:ind w:left="107" w:right="93"/>
              <w:jc w:val="both"/>
              <w:rPr>
                <w:sz w:val="18"/>
              </w:rPr>
            </w:pPr>
            <w:r>
              <w:rPr>
                <w:sz w:val="18"/>
              </w:rPr>
              <w:t>I områder med behov for meget præcise beregninger af terrænnær dybde, bør der overvejes brug af lokale hydrologiske modeller, f.eks. med udgangspunkt i bereg- ninger (randbetingelser, f.eks. gra- dient- eller trykniveau randbetin- gelse) fra DK-modellen til detail- modelleringsformål.</w:t>
            </w:r>
          </w:p>
        </w:tc>
        <w:tc>
          <w:tcPr>
            <w:tcW w:w="3822" w:type="dxa"/>
          </w:tcPr>
          <w:p>
            <w:pPr>
              <w:pStyle w:val="TableParagraph"/>
              <w:spacing w:line="204" w:lineRule="exact"/>
              <w:ind w:left="107"/>
              <w:jc w:val="both"/>
              <w:rPr>
                <w:sz w:val="18"/>
              </w:rPr>
            </w:pPr>
            <w:r>
              <w:rPr>
                <w:sz w:val="18"/>
              </w:rPr>
              <w:t>Resultater fra projektet skal kunne:</w:t>
            </w:r>
          </w:p>
          <w:p>
            <w:pPr>
              <w:pStyle w:val="TableParagraph"/>
              <w:spacing w:line="288" w:lineRule="auto" w:before="38"/>
              <w:ind w:left="107" w:right="95"/>
              <w:jc w:val="both"/>
              <w:rPr>
                <w:sz w:val="18"/>
              </w:rPr>
            </w:pPr>
            <w:r>
              <w:rPr>
                <w:i/>
                <w:sz w:val="18"/>
              </w:rPr>
              <w:t>-beskrive dybden </w:t>
            </w:r>
            <w:r>
              <w:rPr>
                <w:sz w:val="18"/>
              </w:rPr>
              <w:t>af det terrænnære grund- vand</w:t>
            </w:r>
            <w:r>
              <w:rPr>
                <w:spacing w:val="-10"/>
                <w:sz w:val="18"/>
              </w:rPr>
              <w:t> </w:t>
            </w:r>
            <w:r>
              <w:rPr>
                <w:sz w:val="18"/>
              </w:rPr>
              <w:t>for</w:t>
            </w:r>
            <w:r>
              <w:rPr>
                <w:spacing w:val="-11"/>
                <w:sz w:val="18"/>
              </w:rPr>
              <w:t> </w:t>
            </w:r>
            <w:r>
              <w:rPr>
                <w:sz w:val="18"/>
              </w:rPr>
              <w:t>80-90</w:t>
            </w:r>
            <w:r>
              <w:rPr>
                <w:spacing w:val="-13"/>
                <w:sz w:val="18"/>
              </w:rPr>
              <w:t> </w:t>
            </w:r>
            <w:r>
              <w:rPr>
                <w:sz w:val="18"/>
              </w:rPr>
              <w:t>%</w:t>
            </w:r>
            <w:r>
              <w:rPr>
                <w:spacing w:val="-10"/>
                <w:sz w:val="18"/>
              </w:rPr>
              <w:t> </w:t>
            </w:r>
            <w:r>
              <w:rPr>
                <w:sz w:val="18"/>
              </w:rPr>
              <w:t>af</w:t>
            </w:r>
            <w:r>
              <w:rPr>
                <w:spacing w:val="-12"/>
                <w:sz w:val="18"/>
              </w:rPr>
              <w:t> </w:t>
            </w:r>
            <w:r>
              <w:rPr>
                <w:sz w:val="18"/>
              </w:rPr>
              <w:t>observationerne</w:t>
            </w:r>
            <w:r>
              <w:rPr>
                <w:spacing w:val="-13"/>
                <w:sz w:val="18"/>
              </w:rPr>
              <w:t> </w:t>
            </w:r>
            <w:r>
              <w:rPr>
                <w:sz w:val="18"/>
              </w:rPr>
              <w:t>med</w:t>
            </w:r>
            <w:r>
              <w:rPr>
                <w:spacing w:val="-12"/>
                <w:sz w:val="18"/>
              </w:rPr>
              <w:t> </w:t>
            </w:r>
            <w:r>
              <w:rPr>
                <w:sz w:val="18"/>
              </w:rPr>
              <w:t>nøj- agtighed på 0,5-1,0 m i gennemsnit for kvali- tetssikrede observationsdata, samt levere en kalibreringsmetodik, der ville kunne </w:t>
            </w:r>
            <w:r>
              <w:rPr>
                <w:i/>
                <w:sz w:val="18"/>
              </w:rPr>
              <w:t>fungere </w:t>
            </w:r>
            <w:r>
              <w:rPr>
                <w:i/>
                <w:sz w:val="18"/>
              </w:rPr>
              <w:t>på landsdækkende skala</w:t>
            </w:r>
            <w:r>
              <w:rPr>
                <w:sz w:val="18"/>
              </w:rPr>
              <w:t>, til effektiv anven- delse af terrænnære grundvandsdata i</w:t>
            </w:r>
            <w:r>
              <w:rPr>
                <w:spacing w:val="-33"/>
                <w:sz w:val="18"/>
              </w:rPr>
              <w:t> </w:t>
            </w:r>
            <w:r>
              <w:rPr>
                <w:sz w:val="18"/>
              </w:rPr>
              <w:t>hydro- logisk</w:t>
            </w:r>
            <w:r>
              <w:rPr>
                <w:spacing w:val="-2"/>
                <w:sz w:val="18"/>
              </w:rPr>
              <w:t> </w:t>
            </w:r>
            <w:r>
              <w:rPr>
                <w:sz w:val="18"/>
              </w:rPr>
              <w:t>modellering.</w:t>
            </w:r>
          </w:p>
          <w:p>
            <w:pPr>
              <w:pStyle w:val="TableParagraph"/>
              <w:spacing w:line="290" w:lineRule="auto"/>
              <w:ind w:left="107" w:right="96"/>
              <w:jc w:val="both"/>
              <w:rPr>
                <w:sz w:val="18"/>
              </w:rPr>
            </w:pPr>
            <w:r>
              <w:rPr>
                <w:sz w:val="18"/>
              </w:rPr>
              <w:t>-simulere </w:t>
            </w:r>
            <w:r>
              <w:rPr>
                <w:i/>
                <w:sz w:val="18"/>
              </w:rPr>
              <w:t>tendens til ændringer </w:t>
            </w:r>
            <w:r>
              <w:rPr>
                <w:sz w:val="18"/>
              </w:rPr>
              <w:t>i dybden af det terrænnære grundvand som følge af ned- børs- og klimapåvirkning</w:t>
            </w:r>
          </w:p>
          <w:p>
            <w:pPr>
              <w:pStyle w:val="TableParagraph"/>
              <w:spacing w:line="288" w:lineRule="auto"/>
              <w:ind w:left="107" w:right="96"/>
              <w:jc w:val="both"/>
              <w:rPr>
                <w:sz w:val="18"/>
              </w:rPr>
            </w:pPr>
            <w:r>
              <w:rPr>
                <w:sz w:val="18"/>
              </w:rPr>
              <w:t>-vise </w:t>
            </w:r>
            <w:r>
              <w:rPr>
                <w:i/>
                <w:sz w:val="18"/>
              </w:rPr>
              <w:t>hvor </w:t>
            </w:r>
            <w:r>
              <w:rPr>
                <w:sz w:val="18"/>
              </w:rPr>
              <w:t>der er erfaring med, at det terræn- nære</w:t>
            </w:r>
            <w:r>
              <w:rPr>
                <w:spacing w:val="-7"/>
                <w:sz w:val="18"/>
              </w:rPr>
              <w:t> </w:t>
            </w:r>
            <w:r>
              <w:rPr>
                <w:sz w:val="18"/>
              </w:rPr>
              <w:t>grundvand</w:t>
            </w:r>
            <w:r>
              <w:rPr>
                <w:spacing w:val="-6"/>
                <w:sz w:val="18"/>
              </w:rPr>
              <w:t> </w:t>
            </w:r>
            <w:r>
              <w:rPr>
                <w:sz w:val="18"/>
              </w:rPr>
              <w:t>står</w:t>
            </w:r>
            <w:r>
              <w:rPr>
                <w:spacing w:val="-7"/>
                <w:sz w:val="18"/>
              </w:rPr>
              <w:t> </w:t>
            </w:r>
            <w:r>
              <w:rPr>
                <w:sz w:val="18"/>
              </w:rPr>
              <w:t>højt</w:t>
            </w:r>
            <w:r>
              <w:rPr>
                <w:spacing w:val="-7"/>
                <w:sz w:val="18"/>
              </w:rPr>
              <w:t> </w:t>
            </w:r>
            <w:r>
              <w:rPr>
                <w:sz w:val="18"/>
              </w:rPr>
              <w:t>(f.eks.</w:t>
            </w:r>
            <w:r>
              <w:rPr>
                <w:spacing w:val="-7"/>
                <w:sz w:val="18"/>
              </w:rPr>
              <w:t> </w:t>
            </w:r>
            <w:r>
              <w:rPr>
                <w:sz w:val="18"/>
              </w:rPr>
              <w:t>ved</w:t>
            </w:r>
            <w:r>
              <w:rPr>
                <w:spacing w:val="-6"/>
                <w:sz w:val="18"/>
              </w:rPr>
              <w:t> </w:t>
            </w:r>
            <w:r>
              <w:rPr>
                <w:sz w:val="18"/>
              </w:rPr>
              <w:t>en</w:t>
            </w:r>
            <w:r>
              <w:rPr>
                <w:spacing w:val="-6"/>
                <w:sz w:val="18"/>
              </w:rPr>
              <w:t> </w:t>
            </w:r>
            <w:r>
              <w:rPr>
                <w:sz w:val="18"/>
              </w:rPr>
              <w:t>given gentagelseshyppighed), og hvor der er små- søer mm.,</w:t>
            </w:r>
            <w:r>
              <w:rPr>
                <w:spacing w:val="-3"/>
                <w:sz w:val="18"/>
              </w:rPr>
              <w:t> </w:t>
            </w:r>
            <w:r>
              <w:rPr>
                <w:sz w:val="18"/>
              </w:rPr>
              <w:t>herunder</w:t>
            </w:r>
          </w:p>
          <w:p>
            <w:pPr>
              <w:pStyle w:val="TableParagraph"/>
              <w:spacing w:line="290" w:lineRule="auto"/>
              <w:ind w:left="107" w:right="99"/>
              <w:jc w:val="both"/>
              <w:rPr>
                <w:sz w:val="18"/>
              </w:rPr>
            </w:pPr>
            <w:r>
              <w:rPr>
                <w:sz w:val="18"/>
              </w:rPr>
              <w:t>-vise </w:t>
            </w:r>
            <w:r>
              <w:rPr>
                <w:i/>
                <w:sz w:val="18"/>
              </w:rPr>
              <w:t>hvor </w:t>
            </w:r>
            <w:r>
              <w:rPr>
                <w:sz w:val="18"/>
              </w:rPr>
              <w:t>dybden til grundvandsspejlet er in- den for f.eks. 0,5 m under terræn</w:t>
            </w:r>
          </w:p>
          <w:p>
            <w:pPr>
              <w:pStyle w:val="TableParagraph"/>
              <w:spacing w:line="288" w:lineRule="auto"/>
              <w:ind w:left="107" w:right="97"/>
              <w:jc w:val="both"/>
              <w:rPr>
                <w:sz w:val="18"/>
              </w:rPr>
            </w:pPr>
            <w:r>
              <w:rPr>
                <w:sz w:val="18"/>
              </w:rPr>
              <w:t>-give en </w:t>
            </w:r>
            <w:r>
              <w:rPr>
                <w:i/>
                <w:sz w:val="18"/>
              </w:rPr>
              <w:t>faglig vurdering </w:t>
            </w:r>
            <w:r>
              <w:rPr>
                <w:sz w:val="18"/>
              </w:rPr>
              <w:t>af udfordringer med anvendelse</w:t>
            </w:r>
            <w:r>
              <w:rPr>
                <w:spacing w:val="-16"/>
                <w:sz w:val="18"/>
              </w:rPr>
              <w:t> </w:t>
            </w:r>
            <w:r>
              <w:rPr>
                <w:sz w:val="18"/>
              </w:rPr>
              <w:t>af</w:t>
            </w:r>
            <w:r>
              <w:rPr>
                <w:spacing w:val="-13"/>
                <w:sz w:val="18"/>
              </w:rPr>
              <w:t> </w:t>
            </w:r>
            <w:r>
              <w:rPr>
                <w:sz w:val="18"/>
              </w:rPr>
              <w:t>terrænnære</w:t>
            </w:r>
            <w:r>
              <w:rPr>
                <w:spacing w:val="-12"/>
                <w:sz w:val="18"/>
              </w:rPr>
              <w:t> </w:t>
            </w:r>
            <w:r>
              <w:rPr>
                <w:sz w:val="18"/>
              </w:rPr>
              <w:t>grundvandsdata</w:t>
            </w:r>
            <w:r>
              <w:rPr>
                <w:spacing w:val="-15"/>
                <w:sz w:val="18"/>
              </w:rPr>
              <w:t> </w:t>
            </w:r>
            <w:r>
              <w:rPr>
                <w:sz w:val="18"/>
              </w:rPr>
              <w:t>til hydrologisk modellering af dybden til det ter- rænnære grundvandsspejl på landsdæk- kende skala,</w:t>
            </w:r>
            <w:r>
              <w:rPr>
                <w:spacing w:val="-3"/>
                <w:sz w:val="18"/>
              </w:rPr>
              <w:t> </w:t>
            </w:r>
            <w:r>
              <w:rPr>
                <w:sz w:val="18"/>
              </w:rPr>
              <w:t>samt</w:t>
            </w:r>
          </w:p>
          <w:p>
            <w:pPr>
              <w:pStyle w:val="TableParagraph"/>
              <w:spacing w:line="290" w:lineRule="auto"/>
              <w:ind w:left="107" w:right="98"/>
              <w:jc w:val="both"/>
              <w:rPr>
                <w:sz w:val="18"/>
              </w:rPr>
            </w:pPr>
            <w:r>
              <w:rPr>
                <w:sz w:val="18"/>
              </w:rPr>
              <w:t>-give </w:t>
            </w:r>
            <w:r>
              <w:rPr>
                <w:i/>
                <w:sz w:val="18"/>
              </w:rPr>
              <w:t>forslag </w:t>
            </w:r>
            <w:r>
              <w:rPr>
                <w:sz w:val="18"/>
              </w:rPr>
              <w:t>til hvilke undersøgelser, der kan iværksættes med henblik på yderligere for- bedring</w:t>
            </w:r>
            <w:r>
              <w:rPr>
                <w:spacing w:val="-11"/>
                <w:sz w:val="18"/>
              </w:rPr>
              <w:t> </w:t>
            </w:r>
            <w:r>
              <w:rPr>
                <w:sz w:val="18"/>
              </w:rPr>
              <w:t>af</w:t>
            </w:r>
            <w:r>
              <w:rPr>
                <w:spacing w:val="-15"/>
                <w:sz w:val="18"/>
              </w:rPr>
              <w:t> </w:t>
            </w:r>
            <w:r>
              <w:rPr>
                <w:sz w:val="18"/>
              </w:rPr>
              <w:t>nøjagtighed</w:t>
            </w:r>
            <w:r>
              <w:rPr>
                <w:spacing w:val="-13"/>
                <w:sz w:val="18"/>
              </w:rPr>
              <w:t> </w:t>
            </w:r>
            <w:r>
              <w:rPr>
                <w:sz w:val="18"/>
              </w:rPr>
              <w:t>for</w:t>
            </w:r>
            <w:r>
              <w:rPr>
                <w:spacing w:val="-15"/>
                <w:sz w:val="18"/>
              </w:rPr>
              <w:t> </w:t>
            </w:r>
            <w:r>
              <w:rPr>
                <w:sz w:val="18"/>
              </w:rPr>
              <w:t>såvel</w:t>
            </w:r>
            <w:r>
              <w:rPr>
                <w:spacing w:val="-12"/>
                <w:sz w:val="18"/>
              </w:rPr>
              <w:t> </w:t>
            </w:r>
            <w:r>
              <w:rPr>
                <w:sz w:val="18"/>
              </w:rPr>
              <w:t>pejleobserva- tionsdata som modelleret terrænnært</w:t>
            </w:r>
            <w:r>
              <w:rPr>
                <w:spacing w:val="6"/>
                <w:sz w:val="18"/>
              </w:rPr>
              <w:t> </w:t>
            </w:r>
            <w:r>
              <w:rPr>
                <w:sz w:val="18"/>
              </w:rPr>
              <w:t>grund-</w:t>
            </w:r>
          </w:p>
          <w:p>
            <w:pPr>
              <w:pStyle w:val="TableParagraph"/>
              <w:spacing w:line="201" w:lineRule="exact"/>
              <w:ind w:left="107"/>
              <w:jc w:val="both"/>
              <w:rPr>
                <w:sz w:val="18"/>
              </w:rPr>
            </w:pPr>
            <w:r>
              <w:rPr>
                <w:sz w:val="18"/>
              </w:rPr>
              <w:t>vand.</w:t>
            </w:r>
          </w:p>
        </w:tc>
      </w:tr>
      <w:tr>
        <w:trPr>
          <w:trHeight w:val="3974" w:hRule="atLeast"/>
        </w:trPr>
        <w:tc>
          <w:tcPr>
            <w:tcW w:w="1697" w:type="dxa"/>
          </w:tcPr>
          <w:p>
            <w:pPr>
              <w:pStyle w:val="TableParagraph"/>
              <w:spacing w:line="288" w:lineRule="auto"/>
              <w:ind w:left="107" w:right="106"/>
              <w:jc w:val="left"/>
              <w:rPr>
                <w:sz w:val="18"/>
              </w:rPr>
            </w:pPr>
            <w:r>
              <w:rPr>
                <w:i/>
                <w:sz w:val="18"/>
              </w:rPr>
              <w:t>Delmål 2: </w:t>
            </w:r>
            <w:r>
              <w:rPr>
                <w:sz w:val="18"/>
              </w:rPr>
              <w:t>Projektet skal le- vere bedre me- tode til modelle- ring af vandstand i vandløb</w:t>
            </w:r>
          </w:p>
        </w:tc>
        <w:tc>
          <w:tcPr>
            <w:tcW w:w="2977" w:type="dxa"/>
          </w:tcPr>
          <w:p>
            <w:pPr>
              <w:pStyle w:val="TableParagraph"/>
              <w:spacing w:line="288" w:lineRule="auto"/>
              <w:ind w:left="107" w:right="95"/>
              <w:jc w:val="both"/>
              <w:rPr>
                <w:sz w:val="18"/>
              </w:rPr>
            </w:pPr>
            <w:r>
              <w:rPr>
                <w:sz w:val="18"/>
              </w:rPr>
              <w:t>Viden</w:t>
            </w:r>
            <w:r>
              <w:rPr>
                <w:spacing w:val="-12"/>
                <w:sz w:val="18"/>
              </w:rPr>
              <w:t> </w:t>
            </w:r>
            <w:r>
              <w:rPr>
                <w:sz w:val="18"/>
              </w:rPr>
              <w:t>om</w:t>
            </w:r>
            <w:r>
              <w:rPr>
                <w:spacing w:val="-8"/>
                <w:sz w:val="18"/>
              </w:rPr>
              <w:t> </w:t>
            </w:r>
            <w:r>
              <w:rPr>
                <w:sz w:val="18"/>
              </w:rPr>
              <w:t>vandstand</w:t>
            </w:r>
            <w:r>
              <w:rPr>
                <w:spacing w:val="-11"/>
                <w:sz w:val="18"/>
              </w:rPr>
              <w:t> </w:t>
            </w:r>
            <w:r>
              <w:rPr>
                <w:sz w:val="18"/>
              </w:rPr>
              <w:t>er</w:t>
            </w:r>
            <w:r>
              <w:rPr>
                <w:spacing w:val="-12"/>
                <w:sz w:val="18"/>
              </w:rPr>
              <w:t> </w:t>
            </w:r>
            <w:r>
              <w:rPr>
                <w:sz w:val="18"/>
              </w:rPr>
              <w:t>vigtigt</w:t>
            </w:r>
            <w:r>
              <w:rPr>
                <w:spacing w:val="-11"/>
                <w:sz w:val="18"/>
              </w:rPr>
              <w:t> </w:t>
            </w:r>
            <w:r>
              <w:rPr>
                <w:sz w:val="18"/>
              </w:rPr>
              <w:t>til</w:t>
            </w:r>
            <w:r>
              <w:rPr>
                <w:spacing w:val="-11"/>
                <w:sz w:val="18"/>
              </w:rPr>
              <w:t> </w:t>
            </w:r>
            <w:r>
              <w:rPr>
                <w:sz w:val="18"/>
              </w:rPr>
              <w:t>lø- bende vandløbsforvaltning og re- gulering. Ekstremvandføringer og ekstremvandstande er specielt</w:t>
            </w:r>
            <w:r>
              <w:rPr>
                <w:spacing w:val="-34"/>
                <w:sz w:val="18"/>
              </w:rPr>
              <w:t> </w:t>
            </w:r>
            <w:r>
              <w:rPr>
                <w:sz w:val="18"/>
              </w:rPr>
              <w:t>vig- tigt til brug for langsigtet planlæg- ning og</w:t>
            </w:r>
            <w:r>
              <w:rPr>
                <w:spacing w:val="-5"/>
                <w:sz w:val="18"/>
              </w:rPr>
              <w:t> </w:t>
            </w:r>
            <w:r>
              <w:rPr>
                <w:sz w:val="18"/>
              </w:rPr>
              <w:t>klimatilpasning.</w:t>
            </w:r>
          </w:p>
          <w:p>
            <w:pPr>
              <w:pStyle w:val="TableParagraph"/>
              <w:spacing w:line="288" w:lineRule="auto"/>
              <w:ind w:left="107" w:right="95"/>
              <w:jc w:val="both"/>
              <w:rPr>
                <w:sz w:val="18"/>
              </w:rPr>
            </w:pPr>
            <w:r>
              <w:rPr>
                <w:sz w:val="18"/>
              </w:rPr>
              <w:t>I områder med behov for meget præcise beregninger af vandstand og vandføring, bør der overvejes anvendelse af mere detaljerede hydrauliske modeller, f.eks. med udgangspunkt i vandføringsbereg- ninger (flowrandbetingelser) fra DK-modellen til detailmodellering og vurdering af ekstrem vand-</w:t>
            </w:r>
          </w:p>
          <w:p>
            <w:pPr>
              <w:pStyle w:val="TableParagraph"/>
              <w:spacing w:line="206" w:lineRule="exact"/>
              <w:ind w:left="107"/>
              <w:jc w:val="both"/>
              <w:rPr>
                <w:sz w:val="18"/>
              </w:rPr>
            </w:pPr>
            <w:r>
              <w:rPr>
                <w:sz w:val="18"/>
              </w:rPr>
              <w:t>stande for udvalgte strækninger</w:t>
            </w:r>
          </w:p>
        </w:tc>
        <w:tc>
          <w:tcPr>
            <w:tcW w:w="3822" w:type="dxa"/>
          </w:tcPr>
          <w:p>
            <w:pPr>
              <w:pStyle w:val="TableParagraph"/>
              <w:spacing w:line="204" w:lineRule="exact"/>
              <w:ind w:left="107"/>
              <w:jc w:val="left"/>
              <w:rPr>
                <w:sz w:val="18"/>
              </w:rPr>
            </w:pPr>
            <w:r>
              <w:rPr>
                <w:sz w:val="18"/>
              </w:rPr>
              <w:t>Resultater fra projektet skal kunne:</w:t>
            </w:r>
          </w:p>
          <w:p>
            <w:pPr>
              <w:pStyle w:val="TableParagraph"/>
              <w:spacing w:line="290" w:lineRule="auto" w:before="38"/>
              <w:ind w:left="107" w:right="94"/>
              <w:jc w:val="both"/>
              <w:rPr>
                <w:sz w:val="18"/>
              </w:rPr>
            </w:pPr>
            <w:r>
              <w:rPr>
                <w:i/>
                <w:sz w:val="18"/>
              </w:rPr>
              <w:t>-modellere</w:t>
            </w:r>
            <w:r>
              <w:rPr>
                <w:i/>
                <w:spacing w:val="-15"/>
                <w:sz w:val="18"/>
              </w:rPr>
              <w:t> </w:t>
            </w:r>
            <w:r>
              <w:rPr>
                <w:i/>
                <w:sz w:val="18"/>
              </w:rPr>
              <w:t>vandstand</w:t>
            </w:r>
            <w:r>
              <w:rPr>
                <w:i/>
                <w:spacing w:val="-16"/>
                <w:sz w:val="18"/>
              </w:rPr>
              <w:t> </w:t>
            </w:r>
            <w:r>
              <w:rPr>
                <w:i/>
                <w:sz w:val="18"/>
              </w:rPr>
              <w:t>i</w:t>
            </w:r>
            <w:r>
              <w:rPr>
                <w:i/>
                <w:spacing w:val="-13"/>
                <w:sz w:val="18"/>
              </w:rPr>
              <w:t> </w:t>
            </w:r>
            <w:r>
              <w:rPr>
                <w:i/>
                <w:sz w:val="18"/>
              </w:rPr>
              <w:t>vandløb</w:t>
            </w:r>
            <w:r>
              <w:rPr>
                <w:i/>
                <w:spacing w:val="-11"/>
                <w:sz w:val="18"/>
              </w:rPr>
              <w:t> </w:t>
            </w:r>
            <w:r>
              <w:rPr>
                <w:sz w:val="18"/>
              </w:rPr>
              <w:t>med</w:t>
            </w:r>
            <w:r>
              <w:rPr>
                <w:spacing w:val="-14"/>
                <w:sz w:val="18"/>
              </w:rPr>
              <w:t> </w:t>
            </w:r>
            <w:r>
              <w:rPr>
                <w:sz w:val="18"/>
              </w:rPr>
              <w:t>nøjagtig- hed på 0,2 m i gennemsnit til screeningsfor- mål.</w:t>
            </w:r>
          </w:p>
          <w:p>
            <w:pPr>
              <w:pStyle w:val="TableParagraph"/>
              <w:spacing w:line="290" w:lineRule="auto"/>
              <w:ind w:left="107" w:right="95"/>
              <w:jc w:val="both"/>
              <w:rPr>
                <w:sz w:val="18"/>
              </w:rPr>
            </w:pPr>
            <w:r>
              <w:rPr>
                <w:i/>
                <w:sz w:val="18"/>
              </w:rPr>
              <w:t>-modellere ekstrem årsvandføringer </w:t>
            </w:r>
            <w:r>
              <w:rPr>
                <w:sz w:val="18"/>
              </w:rPr>
              <w:t>med ri- melig pålidelighed,</w:t>
            </w:r>
          </w:p>
          <w:p>
            <w:pPr>
              <w:pStyle w:val="TableParagraph"/>
              <w:spacing w:line="288" w:lineRule="auto"/>
              <w:ind w:left="107" w:right="97"/>
              <w:jc w:val="both"/>
              <w:rPr>
                <w:sz w:val="18"/>
              </w:rPr>
            </w:pPr>
            <w:r>
              <w:rPr>
                <w:sz w:val="18"/>
              </w:rPr>
              <w:t>-give mulighed for at metoden kan anvendes på</w:t>
            </w:r>
            <w:r>
              <w:rPr>
                <w:spacing w:val="-14"/>
                <w:sz w:val="18"/>
              </w:rPr>
              <w:t> </w:t>
            </w:r>
            <w:r>
              <w:rPr>
                <w:i/>
                <w:sz w:val="18"/>
              </w:rPr>
              <w:t>landsdækkende</w:t>
            </w:r>
            <w:r>
              <w:rPr>
                <w:i/>
                <w:spacing w:val="-15"/>
                <w:sz w:val="18"/>
              </w:rPr>
              <w:t> </w:t>
            </w:r>
            <w:r>
              <w:rPr>
                <w:i/>
                <w:sz w:val="18"/>
              </w:rPr>
              <w:t>skala</w:t>
            </w:r>
            <w:r>
              <w:rPr>
                <w:i/>
                <w:spacing w:val="-12"/>
                <w:sz w:val="18"/>
              </w:rPr>
              <w:t> </w:t>
            </w:r>
            <w:r>
              <w:rPr>
                <w:sz w:val="18"/>
              </w:rPr>
              <w:t>til</w:t>
            </w:r>
            <w:r>
              <w:rPr>
                <w:spacing w:val="-14"/>
                <w:sz w:val="18"/>
              </w:rPr>
              <w:t> </w:t>
            </w:r>
            <w:r>
              <w:rPr>
                <w:sz w:val="18"/>
              </w:rPr>
              <w:t>brug</w:t>
            </w:r>
            <w:r>
              <w:rPr>
                <w:spacing w:val="-14"/>
                <w:sz w:val="18"/>
              </w:rPr>
              <w:t> </w:t>
            </w:r>
            <w:r>
              <w:rPr>
                <w:sz w:val="18"/>
              </w:rPr>
              <w:t>for</w:t>
            </w:r>
            <w:r>
              <w:rPr>
                <w:spacing w:val="-15"/>
                <w:sz w:val="18"/>
              </w:rPr>
              <w:t> </w:t>
            </w:r>
            <w:r>
              <w:rPr>
                <w:sz w:val="18"/>
              </w:rPr>
              <w:t>screening og generering af flowrandbetingelser til an- vendelse i mere detaljerede hydrauliske mo- deller, der fungerer på</w:t>
            </w:r>
            <w:r>
              <w:rPr>
                <w:spacing w:val="-10"/>
                <w:sz w:val="18"/>
              </w:rPr>
              <w:t> </w:t>
            </w:r>
            <w:r>
              <w:rPr>
                <w:sz w:val="18"/>
              </w:rPr>
              <w:t>strækningsskala.</w:t>
            </w:r>
          </w:p>
        </w:tc>
      </w:tr>
      <w:tr>
        <w:trPr>
          <w:trHeight w:val="2733" w:hRule="atLeast"/>
        </w:trPr>
        <w:tc>
          <w:tcPr>
            <w:tcW w:w="1697" w:type="dxa"/>
          </w:tcPr>
          <w:p>
            <w:pPr>
              <w:pStyle w:val="TableParagraph"/>
              <w:spacing w:line="288" w:lineRule="auto"/>
              <w:ind w:left="107" w:right="114"/>
              <w:jc w:val="left"/>
              <w:rPr>
                <w:sz w:val="18"/>
              </w:rPr>
            </w:pPr>
            <w:r>
              <w:rPr>
                <w:i/>
                <w:sz w:val="18"/>
              </w:rPr>
              <w:t>Delmål 3: </w:t>
            </w:r>
            <w:r>
              <w:rPr>
                <w:sz w:val="18"/>
              </w:rPr>
              <w:t>Projektet skal le- vere bedre me- tode til kortlæg- ning af vand på terræn ved at kombinere vands- tands-beregninger for vandløb og grundvand og</w:t>
            </w:r>
            <w:r>
              <w:rPr>
                <w:spacing w:val="-5"/>
                <w:sz w:val="18"/>
              </w:rPr>
              <w:t> </w:t>
            </w:r>
            <w:r>
              <w:rPr>
                <w:sz w:val="18"/>
              </w:rPr>
              <w:t>ter-</w:t>
            </w:r>
          </w:p>
          <w:p>
            <w:pPr>
              <w:pStyle w:val="TableParagraph"/>
              <w:ind w:left="107"/>
              <w:jc w:val="left"/>
              <w:rPr>
                <w:sz w:val="18"/>
              </w:rPr>
            </w:pPr>
            <w:r>
              <w:rPr>
                <w:sz w:val="18"/>
              </w:rPr>
              <w:t>rændata fra</w:t>
            </w:r>
            <w:r>
              <w:rPr>
                <w:spacing w:val="-7"/>
                <w:sz w:val="18"/>
              </w:rPr>
              <w:t> </w:t>
            </w:r>
            <w:r>
              <w:rPr>
                <w:sz w:val="18"/>
              </w:rPr>
              <w:t>DHM.</w:t>
            </w:r>
          </w:p>
        </w:tc>
        <w:tc>
          <w:tcPr>
            <w:tcW w:w="2977" w:type="dxa"/>
          </w:tcPr>
          <w:p>
            <w:pPr>
              <w:pStyle w:val="TableParagraph"/>
              <w:spacing w:line="288" w:lineRule="auto"/>
              <w:ind w:left="107" w:right="95"/>
              <w:jc w:val="both"/>
              <w:rPr>
                <w:sz w:val="18"/>
              </w:rPr>
            </w:pPr>
            <w:r>
              <w:rPr>
                <w:sz w:val="18"/>
              </w:rPr>
              <w:t>Viden</w:t>
            </w:r>
            <w:r>
              <w:rPr>
                <w:spacing w:val="-15"/>
                <w:sz w:val="18"/>
              </w:rPr>
              <w:t> </w:t>
            </w:r>
            <w:r>
              <w:rPr>
                <w:sz w:val="18"/>
              </w:rPr>
              <w:t>om</w:t>
            </w:r>
            <w:r>
              <w:rPr>
                <w:spacing w:val="-14"/>
                <w:sz w:val="18"/>
              </w:rPr>
              <w:t> </w:t>
            </w:r>
            <w:r>
              <w:rPr>
                <w:sz w:val="18"/>
              </w:rPr>
              <w:t>oversvømmelsesrisici</w:t>
            </w:r>
            <w:r>
              <w:rPr>
                <w:spacing w:val="-12"/>
                <w:sz w:val="18"/>
              </w:rPr>
              <w:t> </w:t>
            </w:r>
            <w:r>
              <w:rPr>
                <w:sz w:val="18"/>
              </w:rPr>
              <w:t>fra vandløb og grundvand er vigtigt til brug for løbende</w:t>
            </w:r>
            <w:r>
              <w:rPr>
                <w:spacing w:val="-22"/>
                <w:sz w:val="18"/>
              </w:rPr>
              <w:t> </w:t>
            </w:r>
            <w:r>
              <w:rPr>
                <w:sz w:val="18"/>
              </w:rPr>
              <w:t>vandstands-regu- lering, klimatilpasning og</w:t>
            </w:r>
            <w:r>
              <w:rPr>
                <w:spacing w:val="-11"/>
                <w:sz w:val="18"/>
              </w:rPr>
              <w:t> </w:t>
            </w:r>
            <w:r>
              <w:rPr>
                <w:sz w:val="18"/>
              </w:rPr>
              <w:t>varsling.</w:t>
            </w:r>
          </w:p>
        </w:tc>
        <w:tc>
          <w:tcPr>
            <w:tcW w:w="3822" w:type="dxa"/>
          </w:tcPr>
          <w:p>
            <w:pPr>
              <w:pStyle w:val="TableParagraph"/>
              <w:spacing w:line="204" w:lineRule="exact"/>
              <w:ind w:left="107"/>
              <w:jc w:val="left"/>
              <w:rPr>
                <w:sz w:val="18"/>
              </w:rPr>
            </w:pPr>
            <w:r>
              <w:rPr>
                <w:sz w:val="18"/>
              </w:rPr>
              <w:t>Resultater fra projektet skal kunne:</w:t>
            </w:r>
          </w:p>
          <w:p>
            <w:pPr>
              <w:pStyle w:val="TableParagraph"/>
              <w:spacing w:line="290" w:lineRule="auto" w:before="38"/>
              <w:ind w:left="107" w:right="95"/>
              <w:jc w:val="both"/>
              <w:rPr>
                <w:i/>
                <w:sz w:val="18"/>
              </w:rPr>
            </w:pPr>
            <w:r>
              <w:rPr>
                <w:sz w:val="18"/>
              </w:rPr>
              <w:t>-vise hvor der er </w:t>
            </w:r>
            <w:r>
              <w:rPr>
                <w:i/>
                <w:sz w:val="18"/>
              </w:rPr>
              <w:t>stor sandsynlighed for over- </w:t>
            </w:r>
            <w:r>
              <w:rPr>
                <w:i/>
                <w:sz w:val="18"/>
              </w:rPr>
              <w:t>svømmelser fra vandløb</w:t>
            </w:r>
          </w:p>
          <w:p>
            <w:pPr>
              <w:pStyle w:val="TableParagraph"/>
              <w:spacing w:line="288" w:lineRule="auto"/>
              <w:ind w:left="107" w:right="95"/>
              <w:jc w:val="both"/>
              <w:rPr>
                <w:i/>
                <w:sz w:val="18"/>
              </w:rPr>
            </w:pPr>
            <w:r>
              <w:rPr>
                <w:sz w:val="18"/>
              </w:rPr>
              <w:t>-vise hvor der inden for et 100 m grid er </w:t>
            </w:r>
            <w:r>
              <w:rPr>
                <w:i/>
                <w:sz w:val="18"/>
              </w:rPr>
              <w:t>stor </w:t>
            </w:r>
            <w:r>
              <w:rPr>
                <w:i/>
                <w:sz w:val="18"/>
              </w:rPr>
              <w:t>sandsynlighed for vandlidende arealer eller vand på terræn</w:t>
            </w:r>
          </w:p>
        </w:tc>
      </w:tr>
    </w:tbl>
    <w:p>
      <w:pPr>
        <w:spacing w:after="0" w:line="288" w:lineRule="auto"/>
        <w:jc w:val="both"/>
        <w:rPr>
          <w:sz w:val="18"/>
        </w:rPr>
        <w:sectPr>
          <w:pgSz w:w="11910" w:h="16850"/>
          <w:pgMar w:header="0" w:footer="857" w:top="1420" w:bottom="1040" w:left="1460" w:right="680"/>
        </w:sectPr>
      </w:pPr>
    </w:p>
    <w:p>
      <w:pPr>
        <w:pStyle w:val="Heading2"/>
        <w:numPr>
          <w:ilvl w:val="1"/>
          <w:numId w:val="6"/>
        </w:numPr>
        <w:tabs>
          <w:tab w:pos="1141" w:val="left" w:leader="none"/>
          <w:tab w:pos="1142" w:val="left" w:leader="none"/>
        </w:tabs>
        <w:spacing w:line="240" w:lineRule="auto" w:before="74" w:after="0"/>
        <w:ind w:left="1142" w:right="0" w:hanging="617"/>
        <w:jc w:val="left"/>
      </w:pPr>
      <w:bookmarkStart w:name="_bookmark21" w:id="33"/>
      <w:bookmarkEnd w:id="33"/>
      <w:r>
        <w:rPr>
          <w:b w:val="0"/>
        </w:rPr>
      </w:r>
      <w:bookmarkStart w:name="_bookmark21" w:id="34"/>
      <w:bookmarkEnd w:id="34"/>
      <w:r>
        <w:rPr/>
        <w:t>F</w:t>
      </w:r>
      <w:r>
        <w:rPr/>
        <w:t>aktorer og elementer der kvantificeres i</w:t>
      </w:r>
      <w:r>
        <w:rPr>
          <w:spacing w:val="-6"/>
        </w:rPr>
        <w:t> </w:t>
      </w:r>
      <w:r>
        <w:rPr/>
        <w:t>studiet</w:t>
      </w:r>
    </w:p>
    <w:p>
      <w:pPr>
        <w:pStyle w:val="BodyText"/>
        <w:spacing w:line="288" w:lineRule="auto" w:before="241"/>
        <w:ind w:left="525" w:right="732"/>
        <w:jc w:val="both"/>
      </w:pPr>
      <w:r>
        <w:rPr/>
        <w:t>Kvaliteten af nærværende projekts leverancer og hvorvidt de opfylder projektets succeskriti- erier kan delvist evalueres med anvendelse af kvantitative modelnøjagtighedsberegninger. Modelnøjagtighed kan beregnes med anvendelse af forskellige statistiske beregningsmeto- der, såsom root mean square error, Nash-Sutcliffe efficiency, mean annual water balance error, model efficiency m.m. I projektet vælges det at vurdere den statistiske nøjagtighed med flere forskellige beregningsmetoder, når relevant, for at give mulighed for kvantitativ vurdering af den overordnede model performance. Model performance skal yderligere be- skrives</w:t>
      </w:r>
      <w:r>
        <w:rPr>
          <w:spacing w:val="-6"/>
        </w:rPr>
        <w:t> </w:t>
      </w:r>
      <w:r>
        <w:rPr/>
        <w:t>og</w:t>
      </w:r>
      <w:r>
        <w:rPr>
          <w:spacing w:val="-6"/>
        </w:rPr>
        <w:t> </w:t>
      </w:r>
      <w:r>
        <w:rPr/>
        <w:t>vurderes</w:t>
      </w:r>
      <w:r>
        <w:rPr>
          <w:spacing w:val="-6"/>
        </w:rPr>
        <w:t> </w:t>
      </w:r>
      <w:r>
        <w:rPr/>
        <w:t>verbalt</w:t>
      </w:r>
      <w:r>
        <w:rPr>
          <w:spacing w:val="-7"/>
        </w:rPr>
        <w:t> </w:t>
      </w:r>
      <w:r>
        <w:rPr/>
        <w:t>i</w:t>
      </w:r>
      <w:r>
        <w:rPr>
          <w:spacing w:val="-5"/>
        </w:rPr>
        <w:t> </w:t>
      </w:r>
      <w:r>
        <w:rPr/>
        <w:t>forhold</w:t>
      </w:r>
      <w:r>
        <w:rPr>
          <w:spacing w:val="-6"/>
        </w:rPr>
        <w:t> </w:t>
      </w:r>
      <w:r>
        <w:rPr/>
        <w:t>til</w:t>
      </w:r>
      <w:r>
        <w:rPr>
          <w:spacing w:val="-5"/>
        </w:rPr>
        <w:t> </w:t>
      </w:r>
      <w:r>
        <w:rPr/>
        <w:t>de</w:t>
      </w:r>
      <w:r>
        <w:rPr>
          <w:spacing w:val="-6"/>
        </w:rPr>
        <w:t> </w:t>
      </w:r>
      <w:r>
        <w:rPr/>
        <w:t>besluttede</w:t>
      </w:r>
      <w:r>
        <w:rPr>
          <w:spacing w:val="-6"/>
        </w:rPr>
        <w:t> </w:t>
      </w:r>
      <w:r>
        <w:rPr/>
        <w:t>succeskritierier.</w:t>
      </w:r>
      <w:r>
        <w:rPr>
          <w:spacing w:val="-8"/>
        </w:rPr>
        <w:t> </w:t>
      </w:r>
      <w:r>
        <w:rPr/>
        <w:t>Nøjagtighedsberegnin- ger for modellering af terrænnært grundvand anvender en definition af det terrænnære grundvand som værende grundvand i dybden 0-10 m. Følgende faktorer og usikkerhedskil- der</w:t>
      </w:r>
      <w:r>
        <w:rPr>
          <w:spacing w:val="-2"/>
        </w:rPr>
        <w:t> </w:t>
      </w:r>
      <w:r>
        <w:rPr/>
        <w:t>indgår:</w:t>
      </w:r>
    </w:p>
    <w:p>
      <w:pPr>
        <w:pStyle w:val="ListParagraph"/>
        <w:numPr>
          <w:ilvl w:val="2"/>
          <w:numId w:val="6"/>
        </w:numPr>
        <w:tabs>
          <w:tab w:pos="1245" w:val="left" w:leader="none"/>
          <w:tab w:pos="1246" w:val="left" w:leader="none"/>
        </w:tabs>
        <w:spacing w:line="240" w:lineRule="auto" w:before="0" w:after="0"/>
        <w:ind w:left="1245" w:right="0" w:hanging="360"/>
        <w:jc w:val="left"/>
        <w:rPr>
          <w:sz w:val="21"/>
        </w:rPr>
      </w:pPr>
      <w:r>
        <w:rPr>
          <w:sz w:val="21"/>
        </w:rPr>
        <w:t>Modelopløsning (500 m vs 100 m) og</w:t>
      </w:r>
      <w:r>
        <w:rPr>
          <w:spacing w:val="-15"/>
          <w:sz w:val="21"/>
        </w:rPr>
        <w:t> </w:t>
      </w:r>
      <w:r>
        <w:rPr>
          <w:sz w:val="21"/>
        </w:rPr>
        <w:t>kalibreringsmetodik</w:t>
      </w:r>
    </w:p>
    <w:p>
      <w:pPr>
        <w:pStyle w:val="ListParagraph"/>
        <w:numPr>
          <w:ilvl w:val="2"/>
          <w:numId w:val="6"/>
        </w:numPr>
        <w:tabs>
          <w:tab w:pos="1245" w:val="left" w:leader="none"/>
          <w:tab w:pos="1246" w:val="left" w:leader="none"/>
        </w:tabs>
        <w:spacing w:line="288" w:lineRule="auto" w:before="49" w:after="0"/>
        <w:ind w:left="1245" w:right="735" w:hanging="360"/>
        <w:jc w:val="left"/>
        <w:rPr>
          <w:sz w:val="21"/>
        </w:rPr>
      </w:pPr>
      <w:r>
        <w:rPr>
          <w:sz w:val="21"/>
        </w:rPr>
        <w:t>Nedskalering ud fra detaljerede terrændata fra Danmarks Højdemodel (DHM), over- svømmelser fra</w:t>
      </w:r>
      <w:r>
        <w:rPr>
          <w:spacing w:val="-4"/>
          <w:sz w:val="21"/>
        </w:rPr>
        <w:t> </w:t>
      </w:r>
      <w:r>
        <w:rPr>
          <w:sz w:val="21"/>
        </w:rPr>
        <w:t>vandløb</w:t>
      </w:r>
    </w:p>
    <w:p>
      <w:pPr>
        <w:pStyle w:val="ListParagraph"/>
        <w:numPr>
          <w:ilvl w:val="2"/>
          <w:numId w:val="6"/>
        </w:numPr>
        <w:tabs>
          <w:tab w:pos="1245" w:val="left" w:leader="none"/>
          <w:tab w:pos="1246" w:val="left" w:leader="none"/>
        </w:tabs>
        <w:spacing w:line="240" w:lineRule="exact" w:before="0" w:after="0"/>
        <w:ind w:left="1245" w:right="0" w:hanging="360"/>
        <w:jc w:val="left"/>
        <w:rPr>
          <w:sz w:val="21"/>
        </w:rPr>
      </w:pPr>
      <w:r>
        <w:rPr>
          <w:sz w:val="21"/>
        </w:rPr>
        <w:t>Observationer af terrænnært grundvand,</w:t>
      </w:r>
      <w:r>
        <w:rPr>
          <w:spacing w:val="-6"/>
          <w:sz w:val="21"/>
        </w:rPr>
        <w:t> </w:t>
      </w:r>
      <w:r>
        <w:rPr>
          <w:sz w:val="21"/>
        </w:rPr>
        <w:t>JUPITER/Regioner/GEO</w:t>
      </w:r>
    </w:p>
    <w:p>
      <w:pPr>
        <w:pStyle w:val="ListParagraph"/>
        <w:numPr>
          <w:ilvl w:val="2"/>
          <w:numId w:val="6"/>
        </w:numPr>
        <w:tabs>
          <w:tab w:pos="1245" w:val="left" w:leader="none"/>
          <w:tab w:pos="1246" w:val="left" w:leader="none"/>
        </w:tabs>
        <w:spacing w:line="240" w:lineRule="auto" w:before="49" w:after="0"/>
        <w:ind w:left="1245" w:right="0" w:hanging="360"/>
        <w:jc w:val="left"/>
        <w:rPr>
          <w:sz w:val="21"/>
        </w:rPr>
      </w:pPr>
      <w:r>
        <w:rPr>
          <w:sz w:val="21"/>
        </w:rPr>
        <w:t>Evaluering</w:t>
      </w:r>
      <w:r>
        <w:rPr>
          <w:spacing w:val="-12"/>
          <w:sz w:val="21"/>
        </w:rPr>
        <w:t> </w:t>
      </w:r>
      <w:r>
        <w:rPr>
          <w:sz w:val="21"/>
        </w:rPr>
        <w:t>i</w:t>
      </w:r>
      <w:r>
        <w:rPr>
          <w:spacing w:val="-10"/>
          <w:sz w:val="21"/>
        </w:rPr>
        <w:t> </w:t>
      </w:r>
      <w:r>
        <w:rPr>
          <w:sz w:val="21"/>
        </w:rPr>
        <w:t>forhold</w:t>
      </w:r>
      <w:r>
        <w:rPr>
          <w:spacing w:val="-11"/>
          <w:sz w:val="21"/>
        </w:rPr>
        <w:t> </w:t>
      </w:r>
      <w:r>
        <w:rPr>
          <w:sz w:val="21"/>
        </w:rPr>
        <w:t>til</w:t>
      </w:r>
      <w:r>
        <w:rPr>
          <w:spacing w:val="-11"/>
          <w:sz w:val="21"/>
        </w:rPr>
        <w:t> </w:t>
      </w:r>
      <w:r>
        <w:rPr>
          <w:sz w:val="21"/>
        </w:rPr>
        <w:t>remote</w:t>
      </w:r>
      <w:r>
        <w:rPr>
          <w:spacing w:val="-11"/>
          <w:sz w:val="21"/>
        </w:rPr>
        <w:t> </w:t>
      </w:r>
      <w:r>
        <w:rPr>
          <w:sz w:val="21"/>
        </w:rPr>
        <w:t>sensing</w:t>
      </w:r>
      <w:r>
        <w:rPr>
          <w:spacing w:val="-10"/>
          <w:sz w:val="21"/>
        </w:rPr>
        <w:t> </w:t>
      </w:r>
      <w:r>
        <w:rPr>
          <w:sz w:val="21"/>
        </w:rPr>
        <w:t>samt</w:t>
      </w:r>
      <w:r>
        <w:rPr>
          <w:spacing w:val="-13"/>
          <w:sz w:val="21"/>
        </w:rPr>
        <w:t> </w:t>
      </w:r>
      <w:r>
        <w:rPr>
          <w:sz w:val="21"/>
        </w:rPr>
        <w:t>hændelsesdata/fotos</w:t>
      </w:r>
      <w:r>
        <w:rPr>
          <w:spacing w:val="-10"/>
          <w:sz w:val="21"/>
        </w:rPr>
        <w:t> </w:t>
      </w:r>
      <w:r>
        <w:rPr>
          <w:sz w:val="21"/>
        </w:rPr>
        <w:t>af</w:t>
      </w:r>
      <w:r>
        <w:rPr>
          <w:spacing w:val="-10"/>
          <w:sz w:val="21"/>
        </w:rPr>
        <w:t> </w:t>
      </w:r>
      <w:r>
        <w:rPr>
          <w:sz w:val="21"/>
        </w:rPr>
        <w:t>oversvømmelser</w:t>
      </w:r>
    </w:p>
    <w:p>
      <w:pPr>
        <w:pStyle w:val="ListParagraph"/>
        <w:numPr>
          <w:ilvl w:val="2"/>
          <w:numId w:val="6"/>
        </w:numPr>
        <w:tabs>
          <w:tab w:pos="1245" w:val="left" w:leader="none"/>
          <w:tab w:pos="1246" w:val="left" w:leader="none"/>
        </w:tabs>
        <w:spacing w:line="240" w:lineRule="auto" w:before="49" w:after="0"/>
        <w:ind w:left="1245" w:right="0" w:hanging="360"/>
        <w:jc w:val="left"/>
        <w:rPr>
          <w:sz w:val="21"/>
        </w:rPr>
      </w:pPr>
      <w:r>
        <w:rPr>
          <w:sz w:val="21"/>
        </w:rPr>
        <w:t>Modelstruktur: dræn- og vandløbsnetværk,</w:t>
      </w:r>
      <w:r>
        <w:rPr>
          <w:spacing w:val="-9"/>
          <w:sz w:val="21"/>
        </w:rPr>
        <w:t> </w:t>
      </w:r>
      <w:r>
        <w:rPr>
          <w:sz w:val="21"/>
        </w:rPr>
        <w:t>routing/hydrodynamisk</w:t>
      </w:r>
    </w:p>
    <w:p>
      <w:pPr>
        <w:pStyle w:val="BodyText"/>
        <w:spacing w:before="3"/>
        <w:rPr>
          <w:sz w:val="29"/>
        </w:rPr>
      </w:pPr>
    </w:p>
    <w:p>
      <w:pPr>
        <w:pStyle w:val="BodyText"/>
        <w:spacing w:line="288" w:lineRule="auto"/>
        <w:ind w:left="525" w:right="730"/>
        <w:jc w:val="both"/>
      </w:pPr>
      <w:r>
        <w:rPr/>
        <w:t>Klimaeffekter</w:t>
      </w:r>
      <w:r>
        <w:rPr>
          <w:spacing w:val="-10"/>
        </w:rPr>
        <w:t> </w:t>
      </w:r>
      <w:r>
        <w:rPr/>
        <w:t>og</w:t>
      </w:r>
      <w:r>
        <w:rPr>
          <w:spacing w:val="-7"/>
        </w:rPr>
        <w:t> </w:t>
      </w:r>
      <w:r>
        <w:rPr/>
        <w:t>betydning</w:t>
      </w:r>
      <w:r>
        <w:rPr>
          <w:spacing w:val="-7"/>
        </w:rPr>
        <w:t> </w:t>
      </w:r>
      <w:r>
        <w:rPr/>
        <w:t>af</w:t>
      </w:r>
      <w:r>
        <w:rPr>
          <w:spacing w:val="-8"/>
        </w:rPr>
        <w:t> </w:t>
      </w:r>
      <w:r>
        <w:rPr/>
        <w:t>geologisk</w:t>
      </w:r>
      <w:r>
        <w:rPr>
          <w:spacing w:val="-7"/>
        </w:rPr>
        <w:t> </w:t>
      </w:r>
      <w:r>
        <w:rPr/>
        <w:t>model</w:t>
      </w:r>
      <w:r>
        <w:rPr>
          <w:spacing w:val="-8"/>
        </w:rPr>
        <w:t> </w:t>
      </w:r>
      <w:r>
        <w:rPr/>
        <w:t>indgår</w:t>
      </w:r>
      <w:r>
        <w:rPr>
          <w:spacing w:val="-8"/>
        </w:rPr>
        <w:t> </w:t>
      </w:r>
      <w:r>
        <w:rPr/>
        <w:t>ikke</w:t>
      </w:r>
      <w:r>
        <w:rPr>
          <w:spacing w:val="-7"/>
        </w:rPr>
        <w:t> </w:t>
      </w:r>
      <w:r>
        <w:rPr/>
        <w:t>i</w:t>
      </w:r>
      <w:r>
        <w:rPr>
          <w:spacing w:val="-5"/>
        </w:rPr>
        <w:t> </w:t>
      </w:r>
      <w:r>
        <w:rPr/>
        <w:t>analysen</w:t>
      </w:r>
      <w:r>
        <w:rPr>
          <w:spacing w:val="-7"/>
        </w:rPr>
        <w:t> </w:t>
      </w:r>
      <w:r>
        <w:rPr/>
        <w:t>for</w:t>
      </w:r>
      <w:r>
        <w:rPr>
          <w:spacing w:val="-4"/>
        </w:rPr>
        <w:t> </w:t>
      </w:r>
      <w:r>
        <w:rPr/>
        <w:t>Odense</w:t>
      </w:r>
      <w:r>
        <w:rPr>
          <w:spacing w:val="-7"/>
        </w:rPr>
        <w:t> </w:t>
      </w:r>
      <w:r>
        <w:rPr/>
        <w:t>Å</w:t>
      </w:r>
      <w:r>
        <w:rPr>
          <w:spacing w:val="-8"/>
        </w:rPr>
        <w:t> </w:t>
      </w:r>
      <w:r>
        <w:rPr/>
        <w:t>og</w:t>
      </w:r>
      <w:r>
        <w:rPr>
          <w:spacing w:val="-9"/>
        </w:rPr>
        <w:t> </w:t>
      </w:r>
      <w:r>
        <w:rPr/>
        <w:t>Storå. Det gør heller ikke hydrodynamisk modellering af vandets strømning på</w:t>
      </w:r>
      <w:r>
        <w:rPr>
          <w:spacing w:val="-17"/>
        </w:rPr>
        <w:t> </w:t>
      </w:r>
      <w:r>
        <w:rPr/>
        <w:t>terræn.</w:t>
      </w:r>
    </w:p>
    <w:p>
      <w:pPr>
        <w:spacing w:after="0" w:line="288" w:lineRule="auto"/>
        <w:jc w:val="both"/>
        <w:sectPr>
          <w:pgSz w:w="11910" w:h="16850"/>
          <w:pgMar w:header="0" w:footer="857" w:top="1340" w:bottom="1040" w:left="1460" w:right="680"/>
        </w:sectPr>
      </w:pPr>
    </w:p>
    <w:p>
      <w:pPr>
        <w:pStyle w:val="Heading1"/>
        <w:ind w:left="525" w:right="827" w:firstLine="0"/>
        <w:jc w:val="both"/>
      </w:pPr>
      <w:bookmarkStart w:name="_bookmark22" w:id="35"/>
      <w:bookmarkEnd w:id="35"/>
      <w:r>
        <w:rPr>
          <w:b w:val="0"/>
        </w:rPr>
      </w:r>
      <w:r>
        <w:rPr/>
        <w:t>4. Udvidelse af datagrundlag og udvikling af model og eksterne moduler</w:t>
      </w:r>
    </w:p>
    <w:p>
      <w:pPr>
        <w:pStyle w:val="BodyText"/>
        <w:spacing w:line="288" w:lineRule="auto" w:before="243"/>
        <w:ind w:left="525" w:right="734"/>
        <w:jc w:val="both"/>
      </w:pPr>
      <w:r>
        <w:rPr/>
        <w:t>I dette kapitel beskrives tilpasning af DK-modellen, udvidelse af datagrundlag, opdatering </w:t>
      </w:r>
      <w:r>
        <w:rPr>
          <w:spacing w:val="-3"/>
        </w:rPr>
        <w:t>af </w:t>
      </w:r>
      <w:r>
        <w:rPr/>
        <w:t>vandløbs</w:t>
      </w:r>
      <w:r>
        <w:rPr>
          <w:spacing w:val="-14"/>
        </w:rPr>
        <w:t> </w:t>
      </w:r>
      <w:r>
        <w:rPr/>
        <w:t>opsætningen,</w:t>
      </w:r>
      <w:r>
        <w:rPr>
          <w:spacing w:val="-15"/>
        </w:rPr>
        <w:t> </w:t>
      </w:r>
      <w:r>
        <w:rPr/>
        <w:t>samt</w:t>
      </w:r>
      <w:r>
        <w:rPr>
          <w:spacing w:val="-14"/>
        </w:rPr>
        <w:t> </w:t>
      </w:r>
      <w:r>
        <w:rPr/>
        <w:t>udvikling</w:t>
      </w:r>
      <w:r>
        <w:rPr>
          <w:spacing w:val="-14"/>
        </w:rPr>
        <w:t> </w:t>
      </w:r>
      <w:r>
        <w:rPr/>
        <w:t>af</w:t>
      </w:r>
      <w:r>
        <w:rPr>
          <w:spacing w:val="-13"/>
        </w:rPr>
        <w:t> </w:t>
      </w:r>
      <w:r>
        <w:rPr/>
        <w:t>to</w:t>
      </w:r>
      <w:r>
        <w:rPr>
          <w:spacing w:val="-13"/>
        </w:rPr>
        <w:t> </w:t>
      </w:r>
      <w:r>
        <w:rPr/>
        <w:t>eksterne</w:t>
      </w:r>
      <w:r>
        <w:rPr>
          <w:spacing w:val="-14"/>
        </w:rPr>
        <w:t> </w:t>
      </w:r>
      <w:r>
        <w:rPr/>
        <w:t>moduler,</w:t>
      </w:r>
      <w:r>
        <w:rPr>
          <w:spacing w:val="-15"/>
        </w:rPr>
        <w:t> </w:t>
      </w:r>
      <w:r>
        <w:rPr/>
        <w:t>en</w:t>
      </w:r>
      <w:r>
        <w:rPr>
          <w:spacing w:val="-14"/>
        </w:rPr>
        <w:t> </w:t>
      </w:r>
      <w:r>
        <w:rPr/>
        <w:t>for</w:t>
      </w:r>
      <w:r>
        <w:rPr>
          <w:spacing w:val="-15"/>
        </w:rPr>
        <w:t> </w:t>
      </w:r>
      <w:r>
        <w:rPr/>
        <w:t>beregning</w:t>
      </w:r>
      <w:r>
        <w:rPr>
          <w:spacing w:val="-15"/>
        </w:rPr>
        <w:t> </w:t>
      </w:r>
      <w:r>
        <w:rPr/>
        <w:t>af</w:t>
      </w:r>
      <w:r>
        <w:rPr>
          <w:spacing w:val="-13"/>
        </w:rPr>
        <w:t> </w:t>
      </w:r>
      <w:r>
        <w:rPr/>
        <w:t>oversvøm- melse på terræn og en for at beregne vandstanden i</w:t>
      </w:r>
      <w:r>
        <w:rPr>
          <w:spacing w:val="-15"/>
        </w:rPr>
        <w:t> </w:t>
      </w:r>
      <w:r>
        <w:rPr/>
        <w:t>vandløbene.</w:t>
      </w:r>
    </w:p>
    <w:p>
      <w:pPr>
        <w:pStyle w:val="BodyText"/>
        <w:spacing w:before="1"/>
        <w:rPr>
          <w:sz w:val="25"/>
        </w:rPr>
      </w:pPr>
    </w:p>
    <w:p>
      <w:pPr>
        <w:pStyle w:val="Heading2"/>
        <w:numPr>
          <w:ilvl w:val="1"/>
          <w:numId w:val="8"/>
        </w:numPr>
        <w:tabs>
          <w:tab w:pos="1142" w:val="left" w:leader="none"/>
        </w:tabs>
        <w:spacing w:line="240" w:lineRule="auto" w:before="0" w:after="0"/>
        <w:ind w:left="1142" w:right="0" w:hanging="617"/>
        <w:jc w:val="both"/>
      </w:pPr>
      <w:bookmarkStart w:name="_bookmark23" w:id="36"/>
      <w:bookmarkEnd w:id="36"/>
      <w:r>
        <w:rPr>
          <w:b w:val="0"/>
        </w:rPr>
      </w:r>
      <w:bookmarkStart w:name="_bookmark23" w:id="37"/>
      <w:bookmarkEnd w:id="37"/>
      <w:r>
        <w:rPr/>
        <w:t>T</w:t>
      </w:r>
      <w:r>
        <w:rPr/>
        <w:t>ilpasning af konceptuel model</w:t>
      </w:r>
    </w:p>
    <w:p>
      <w:pPr>
        <w:pStyle w:val="BodyText"/>
        <w:spacing w:line="288" w:lineRule="auto" w:before="241"/>
        <w:ind w:left="525" w:right="729"/>
        <w:jc w:val="both"/>
      </w:pPr>
      <w:r>
        <w:rPr/>
        <w:t>DK-Model konceptet er i grove træk et nationalt vandresource model koncept baseret på en række sammenhængende hydrogeologiske model tolkninger for hhv. Jylland, Fyn, Sjælland og</w:t>
      </w:r>
      <w:r>
        <w:rPr>
          <w:spacing w:val="-7"/>
        </w:rPr>
        <w:t> </w:t>
      </w:r>
      <w:r>
        <w:rPr/>
        <w:t>Bornholm</w:t>
      </w:r>
      <w:r>
        <w:rPr>
          <w:spacing w:val="-4"/>
        </w:rPr>
        <w:t> </w:t>
      </w:r>
      <w:r>
        <w:rPr/>
        <w:t>(Højberg</w:t>
      </w:r>
      <w:r>
        <w:rPr>
          <w:spacing w:val="-6"/>
        </w:rPr>
        <w:t> </w:t>
      </w:r>
      <w:r>
        <w:rPr/>
        <w:t>et</w:t>
      </w:r>
      <w:r>
        <w:rPr>
          <w:spacing w:val="-7"/>
        </w:rPr>
        <w:t> </w:t>
      </w:r>
      <w:r>
        <w:rPr/>
        <w:t>al.</w:t>
      </w:r>
      <w:r>
        <w:rPr>
          <w:spacing w:val="-8"/>
        </w:rPr>
        <w:t> </w:t>
      </w:r>
      <w:r>
        <w:rPr/>
        <w:t>2015).</w:t>
      </w:r>
      <w:r>
        <w:rPr>
          <w:spacing w:val="-7"/>
        </w:rPr>
        <w:t> </w:t>
      </w:r>
      <w:r>
        <w:rPr/>
        <w:t>Udover</w:t>
      </w:r>
      <w:r>
        <w:rPr>
          <w:spacing w:val="-7"/>
        </w:rPr>
        <w:t> </w:t>
      </w:r>
      <w:r>
        <w:rPr/>
        <w:t>geologien</w:t>
      </w:r>
      <w:r>
        <w:rPr>
          <w:spacing w:val="-8"/>
        </w:rPr>
        <w:t> </w:t>
      </w:r>
      <w:r>
        <w:rPr/>
        <w:t>er</w:t>
      </w:r>
      <w:r>
        <w:rPr>
          <w:spacing w:val="-7"/>
        </w:rPr>
        <w:t> </w:t>
      </w:r>
      <w:r>
        <w:rPr/>
        <w:t>datagrundlaget</w:t>
      </w:r>
      <w:r>
        <w:rPr>
          <w:spacing w:val="-7"/>
        </w:rPr>
        <w:t> </w:t>
      </w:r>
      <w:r>
        <w:rPr/>
        <w:t>ensartet</w:t>
      </w:r>
      <w:r>
        <w:rPr>
          <w:spacing w:val="-7"/>
        </w:rPr>
        <w:t> </w:t>
      </w:r>
      <w:r>
        <w:rPr/>
        <w:t>på</w:t>
      </w:r>
      <w:r>
        <w:rPr>
          <w:spacing w:val="-6"/>
        </w:rPr>
        <w:t> </w:t>
      </w:r>
      <w:r>
        <w:rPr/>
        <w:t>tværs</w:t>
      </w:r>
      <w:r>
        <w:rPr>
          <w:spacing w:val="-6"/>
        </w:rPr>
        <w:t> </w:t>
      </w:r>
      <w:r>
        <w:rPr/>
        <w:t>af landet og baseret på nationale kortdata for klima, arealanvendelse, jordtyper, grundvands- indvendinger,</w:t>
      </w:r>
      <w:r>
        <w:rPr>
          <w:spacing w:val="-16"/>
        </w:rPr>
        <w:t> </w:t>
      </w:r>
      <w:r>
        <w:rPr/>
        <w:t>vandløbsnetværk</w:t>
      </w:r>
      <w:r>
        <w:rPr>
          <w:spacing w:val="-12"/>
        </w:rPr>
        <w:t> </w:t>
      </w:r>
      <w:r>
        <w:rPr/>
        <w:t>osv.</w:t>
      </w:r>
      <w:r>
        <w:rPr>
          <w:spacing w:val="-15"/>
        </w:rPr>
        <w:t> </w:t>
      </w:r>
      <w:r>
        <w:rPr/>
        <w:t>DK-Modellen</w:t>
      </w:r>
      <w:r>
        <w:rPr>
          <w:spacing w:val="-14"/>
        </w:rPr>
        <w:t> </w:t>
      </w:r>
      <w:r>
        <w:rPr/>
        <w:t>er</w:t>
      </w:r>
      <w:r>
        <w:rPr>
          <w:spacing w:val="-17"/>
        </w:rPr>
        <w:t> </w:t>
      </w:r>
      <w:r>
        <w:rPr/>
        <w:t>baseret</w:t>
      </w:r>
      <w:r>
        <w:rPr>
          <w:spacing w:val="-17"/>
        </w:rPr>
        <w:t> </w:t>
      </w:r>
      <w:r>
        <w:rPr/>
        <w:t>på</w:t>
      </w:r>
      <w:r>
        <w:rPr>
          <w:spacing w:val="-14"/>
        </w:rPr>
        <w:t> </w:t>
      </w:r>
      <w:r>
        <w:rPr/>
        <w:t>en</w:t>
      </w:r>
      <w:r>
        <w:rPr>
          <w:spacing w:val="-17"/>
        </w:rPr>
        <w:t> </w:t>
      </w:r>
      <w:r>
        <w:rPr/>
        <w:t>koblet</w:t>
      </w:r>
      <w:r>
        <w:rPr>
          <w:spacing w:val="-15"/>
        </w:rPr>
        <w:t> </w:t>
      </w:r>
      <w:r>
        <w:rPr/>
        <w:t>MIKE</w:t>
      </w:r>
      <w:r>
        <w:rPr>
          <w:spacing w:val="-16"/>
        </w:rPr>
        <w:t> </w:t>
      </w:r>
      <w:r>
        <w:rPr/>
        <w:t>SHE</w:t>
      </w:r>
      <w:r>
        <w:rPr>
          <w:spacing w:val="-13"/>
        </w:rPr>
        <w:t> </w:t>
      </w:r>
      <w:r>
        <w:rPr/>
        <w:t>–</w:t>
      </w:r>
      <w:r>
        <w:rPr>
          <w:spacing w:val="-14"/>
        </w:rPr>
        <w:t> </w:t>
      </w:r>
      <w:r>
        <w:rPr/>
        <w:t>MIKE 11 model i en 500 m gridopløsning, og er kalibreret udelukkende i forhold til vandføring i vandløb og hydraulisk trykniveau i grundvandet. Det er kendt, at DK-Modellen ikke har haft fokus på hverken terrænnært grundvand (da data for disse er begrænsede i Jupiter-databa- sen)</w:t>
      </w:r>
      <w:r>
        <w:rPr>
          <w:spacing w:val="-5"/>
        </w:rPr>
        <w:t> </w:t>
      </w:r>
      <w:r>
        <w:rPr/>
        <w:t>eller</w:t>
      </w:r>
      <w:r>
        <w:rPr>
          <w:spacing w:val="-4"/>
        </w:rPr>
        <w:t> </w:t>
      </w:r>
      <w:r>
        <w:rPr/>
        <w:t>vandstand</w:t>
      </w:r>
      <w:r>
        <w:rPr>
          <w:spacing w:val="-7"/>
        </w:rPr>
        <w:t> </w:t>
      </w:r>
      <w:r>
        <w:rPr/>
        <w:t>i</w:t>
      </w:r>
      <w:r>
        <w:rPr>
          <w:spacing w:val="-3"/>
        </w:rPr>
        <w:t> </w:t>
      </w:r>
      <w:r>
        <w:rPr/>
        <w:t>vandløb</w:t>
      </w:r>
      <w:r>
        <w:rPr>
          <w:spacing w:val="-5"/>
        </w:rPr>
        <w:t> </w:t>
      </w:r>
      <w:r>
        <w:rPr/>
        <w:t>(da</w:t>
      </w:r>
      <w:r>
        <w:rPr>
          <w:spacing w:val="-3"/>
        </w:rPr>
        <w:t> </w:t>
      </w:r>
      <w:r>
        <w:rPr/>
        <w:t>der</w:t>
      </w:r>
      <w:r>
        <w:rPr>
          <w:spacing w:val="-5"/>
        </w:rPr>
        <w:t> </w:t>
      </w:r>
      <w:r>
        <w:rPr/>
        <w:t>er</w:t>
      </w:r>
      <w:r>
        <w:rPr>
          <w:spacing w:val="-3"/>
        </w:rPr>
        <w:t> </w:t>
      </w:r>
      <w:r>
        <w:rPr/>
        <w:t>anvendt</w:t>
      </w:r>
      <w:r>
        <w:rPr>
          <w:spacing w:val="-5"/>
        </w:rPr>
        <w:t> </w:t>
      </w:r>
      <w:r>
        <w:rPr/>
        <w:t>en</w:t>
      </w:r>
      <w:r>
        <w:rPr>
          <w:spacing w:val="-4"/>
        </w:rPr>
        <w:t> </w:t>
      </w:r>
      <w:r>
        <w:rPr/>
        <w:t>simpel</w:t>
      </w:r>
      <w:r>
        <w:rPr>
          <w:spacing w:val="-4"/>
        </w:rPr>
        <w:t> </w:t>
      </w:r>
      <w:r>
        <w:rPr/>
        <w:t>routing</w:t>
      </w:r>
      <w:r>
        <w:rPr>
          <w:spacing w:val="-2"/>
        </w:rPr>
        <w:t> </w:t>
      </w:r>
      <w:r>
        <w:rPr/>
        <w:t>i</w:t>
      </w:r>
      <w:r>
        <w:rPr>
          <w:spacing w:val="-4"/>
        </w:rPr>
        <w:t> </w:t>
      </w:r>
      <w:r>
        <w:rPr/>
        <w:t>vandløb</w:t>
      </w:r>
      <w:r>
        <w:rPr>
          <w:spacing w:val="-5"/>
        </w:rPr>
        <w:t> </w:t>
      </w:r>
      <w:r>
        <w:rPr/>
        <w:t>med</w:t>
      </w:r>
      <w:r>
        <w:rPr>
          <w:spacing w:val="-5"/>
        </w:rPr>
        <w:t> </w:t>
      </w:r>
      <w:r>
        <w:rPr/>
        <w:t>MIKE11). Desuden indgår detaljerede vandløbstværsnit ikke overalt i vandløbsnetværket og bygvær- ker er bevidst</w:t>
      </w:r>
      <w:r>
        <w:rPr>
          <w:spacing w:val="-6"/>
        </w:rPr>
        <w:t> </w:t>
      </w:r>
      <w:r>
        <w:rPr/>
        <w:t>udeladt.</w:t>
      </w:r>
    </w:p>
    <w:p>
      <w:pPr>
        <w:pStyle w:val="BodyText"/>
        <w:spacing w:before="3"/>
        <w:rPr>
          <w:sz w:val="25"/>
        </w:rPr>
      </w:pPr>
    </w:p>
    <w:p>
      <w:pPr>
        <w:pStyle w:val="BodyText"/>
        <w:spacing w:line="285" w:lineRule="auto"/>
        <w:ind w:left="525" w:right="735"/>
        <w:jc w:val="both"/>
      </w:pPr>
      <w:r>
        <w:rPr/>
        <w:t>For at kunne forbedre simuleringen af terrænnært grundvand og vandstand i vandløb er det nødvendigt</w:t>
      </w:r>
      <w:r>
        <w:rPr>
          <w:spacing w:val="-9"/>
        </w:rPr>
        <w:t> </w:t>
      </w:r>
      <w:r>
        <w:rPr/>
        <w:t>at</w:t>
      </w:r>
      <w:r>
        <w:rPr>
          <w:spacing w:val="-9"/>
        </w:rPr>
        <w:t> </w:t>
      </w:r>
      <w:r>
        <w:rPr/>
        <w:t>tilpasse</w:t>
      </w:r>
      <w:r>
        <w:rPr>
          <w:spacing w:val="-8"/>
        </w:rPr>
        <w:t> </w:t>
      </w:r>
      <w:r>
        <w:rPr/>
        <w:t>DK-Model</w:t>
      </w:r>
      <w:r>
        <w:rPr>
          <w:spacing w:val="-8"/>
        </w:rPr>
        <w:t> </w:t>
      </w:r>
      <w:r>
        <w:rPr/>
        <w:t>konceptet.</w:t>
      </w:r>
      <w:r>
        <w:rPr>
          <w:spacing w:val="-9"/>
        </w:rPr>
        <w:t> </w:t>
      </w:r>
      <w:r>
        <w:rPr/>
        <w:t>De</w:t>
      </w:r>
      <w:r>
        <w:rPr>
          <w:spacing w:val="-8"/>
        </w:rPr>
        <w:t> </w:t>
      </w:r>
      <w:r>
        <w:rPr/>
        <w:t>tilpasninger,</w:t>
      </w:r>
      <w:r>
        <w:rPr>
          <w:spacing w:val="-10"/>
        </w:rPr>
        <w:t> </w:t>
      </w:r>
      <w:r>
        <w:rPr/>
        <w:t>som</w:t>
      </w:r>
      <w:r>
        <w:rPr>
          <w:spacing w:val="-7"/>
        </w:rPr>
        <w:t> </w:t>
      </w:r>
      <w:r>
        <w:rPr/>
        <w:t>er</w:t>
      </w:r>
      <w:r>
        <w:rPr>
          <w:spacing w:val="-9"/>
        </w:rPr>
        <w:t> </w:t>
      </w:r>
      <w:r>
        <w:rPr/>
        <w:t>inkluderet</w:t>
      </w:r>
      <w:r>
        <w:rPr>
          <w:spacing w:val="-10"/>
        </w:rPr>
        <w:t> </w:t>
      </w:r>
      <w:r>
        <w:rPr/>
        <w:t>i</w:t>
      </w:r>
      <w:r>
        <w:rPr>
          <w:spacing w:val="-8"/>
        </w:rPr>
        <w:t> </w:t>
      </w:r>
      <w:r>
        <w:rPr/>
        <w:t>projektet,</w:t>
      </w:r>
      <w:r>
        <w:rPr>
          <w:spacing w:val="-10"/>
        </w:rPr>
        <w:t> </w:t>
      </w:r>
      <w:r>
        <w:rPr/>
        <w:t>er:</w:t>
      </w:r>
    </w:p>
    <w:p>
      <w:pPr>
        <w:pStyle w:val="BodyText"/>
        <w:spacing w:before="6"/>
        <w:rPr>
          <w:sz w:val="24"/>
        </w:rPr>
      </w:pPr>
    </w:p>
    <w:p>
      <w:pPr>
        <w:pStyle w:val="ListParagraph"/>
        <w:numPr>
          <w:ilvl w:val="2"/>
          <w:numId w:val="8"/>
        </w:numPr>
        <w:tabs>
          <w:tab w:pos="1245" w:val="left" w:leader="none"/>
          <w:tab w:pos="1246" w:val="left" w:leader="none"/>
        </w:tabs>
        <w:spacing w:line="240" w:lineRule="auto" w:before="1" w:after="0"/>
        <w:ind w:left="1245" w:right="0" w:hanging="360"/>
        <w:jc w:val="left"/>
        <w:rPr>
          <w:sz w:val="20"/>
        </w:rPr>
      </w:pPr>
      <w:r>
        <w:rPr>
          <w:sz w:val="20"/>
        </w:rPr>
        <w:t>Overgang fra 500 m grid til 100 m</w:t>
      </w:r>
      <w:r>
        <w:rPr>
          <w:spacing w:val="3"/>
          <w:sz w:val="20"/>
        </w:rPr>
        <w:t> </w:t>
      </w:r>
      <w:r>
        <w:rPr>
          <w:sz w:val="20"/>
        </w:rPr>
        <w:t>grid</w:t>
      </w:r>
    </w:p>
    <w:p>
      <w:pPr>
        <w:pStyle w:val="ListParagraph"/>
        <w:numPr>
          <w:ilvl w:val="2"/>
          <w:numId w:val="8"/>
        </w:numPr>
        <w:tabs>
          <w:tab w:pos="1245" w:val="left" w:leader="none"/>
          <w:tab w:pos="1246" w:val="left" w:leader="none"/>
        </w:tabs>
        <w:spacing w:line="288" w:lineRule="auto" w:before="33" w:after="0"/>
        <w:ind w:left="1245" w:right="1051" w:hanging="360"/>
        <w:jc w:val="left"/>
        <w:rPr>
          <w:sz w:val="20"/>
        </w:rPr>
      </w:pPr>
      <w:r>
        <w:rPr>
          <w:sz w:val="20"/>
        </w:rPr>
        <w:t>Indbygning af detaljerede vandløbs tværsnit med brede profiler og bygværker for ho- vedvandløb og havvandstand,</w:t>
      </w:r>
      <w:r>
        <w:rPr>
          <w:spacing w:val="-3"/>
          <w:sz w:val="20"/>
        </w:rPr>
        <w:t> </w:t>
      </w:r>
      <w:r>
        <w:rPr>
          <w:sz w:val="20"/>
        </w:rPr>
        <w:t>samt</w:t>
      </w:r>
    </w:p>
    <w:p>
      <w:pPr>
        <w:pStyle w:val="ListParagraph"/>
        <w:numPr>
          <w:ilvl w:val="2"/>
          <w:numId w:val="8"/>
        </w:numPr>
        <w:tabs>
          <w:tab w:pos="1245" w:val="left" w:leader="none"/>
          <w:tab w:pos="1246" w:val="left" w:leader="none"/>
        </w:tabs>
        <w:spacing w:line="285" w:lineRule="auto" w:before="0" w:after="0"/>
        <w:ind w:left="1245" w:right="850" w:hanging="360"/>
        <w:jc w:val="left"/>
        <w:rPr>
          <w:sz w:val="20"/>
        </w:rPr>
      </w:pPr>
      <w:r>
        <w:rPr>
          <w:sz w:val="20"/>
        </w:rPr>
        <w:t>Overgang fra simpel routing til en fuld hydrodynamisk løsning som tillader beregning af vandstand og opstuvning i</w:t>
      </w:r>
      <w:r>
        <w:rPr>
          <w:spacing w:val="2"/>
          <w:sz w:val="20"/>
        </w:rPr>
        <w:t> </w:t>
      </w:r>
      <w:r>
        <w:rPr>
          <w:sz w:val="20"/>
        </w:rPr>
        <w:t>vandløb</w:t>
      </w:r>
    </w:p>
    <w:p>
      <w:pPr>
        <w:pStyle w:val="BodyText"/>
        <w:spacing w:before="9"/>
        <w:rPr>
          <w:sz w:val="19"/>
        </w:rPr>
      </w:pPr>
    </w:p>
    <w:p>
      <w:pPr>
        <w:pStyle w:val="BodyText"/>
        <w:spacing w:line="288" w:lineRule="auto"/>
        <w:ind w:left="525" w:right="732"/>
        <w:jc w:val="both"/>
      </w:pPr>
      <w:r>
        <w:rPr/>
        <w:t>Det blev fra projektets start besluttet at overgå fra vandløbsberegninger i MIKE 11 til MIKE HYDRO River som er DHI’s nye vandløbsmodel. Dette ville dels betyde hurtigere simule- ringstider, og sikre anvendelse af et værktøj som fremadrettet udvikles hos DHI.</w:t>
      </w:r>
    </w:p>
    <w:p>
      <w:pPr>
        <w:pStyle w:val="BodyText"/>
        <w:spacing w:before="2"/>
        <w:rPr>
          <w:sz w:val="25"/>
        </w:rPr>
      </w:pPr>
    </w:p>
    <w:p>
      <w:pPr>
        <w:pStyle w:val="Heading5"/>
        <w:spacing w:before="1"/>
        <w:jc w:val="both"/>
        <w:rPr>
          <w:i/>
        </w:rPr>
      </w:pPr>
      <w:r>
        <w:rPr>
          <w:i/>
        </w:rPr>
        <w:t>Overgang fra 500 m til 100 m grid</w:t>
      </w:r>
    </w:p>
    <w:p>
      <w:pPr>
        <w:pStyle w:val="BodyText"/>
        <w:spacing w:line="288" w:lineRule="auto" w:before="48"/>
        <w:ind w:left="525" w:right="733"/>
        <w:jc w:val="both"/>
      </w:pPr>
      <w:r>
        <w:rPr/>
        <w:t>Formålet med overgangen fra 500 m til 100 m grid er at forbedre den topografiske repræ- sentation i modellerne, hvilket forventes at have en positiv indvirkning på modellernes per- formance på simuleret trykniveau, særligt det terrænnære grundvand. Desuden vil en finere topografisk opløsning kunne forbedre beskrivelsen af interaktionen mellem grundvand og overfladevand, da grundvandsstanden i de å-nære grid celler forventes at kunne beskrives bedre. Da DK-Modellens hydrogeologiske model allerede er baseret på en tolkning i 100 m grids forbliver den hydrogeologiske model uændret. </w:t>
      </w:r>
      <w:hyperlink w:history="true" w:anchor="_bookmark24">
        <w:r>
          <w:rPr/>
          <w:t>Figur 8 </w:t>
        </w:r>
      </w:hyperlink>
      <w:r>
        <w:rPr/>
        <w:t>og 9 viser modelafgrænsningen af 100 m modellen for Storå (1146 km</w:t>
      </w:r>
      <w:r>
        <w:rPr>
          <w:position w:val="7"/>
          <w:sz w:val="14"/>
        </w:rPr>
        <w:t>2</w:t>
      </w:r>
      <w:r>
        <w:rPr/>
        <w:t>) og Odense Å (1025 km</w:t>
      </w:r>
      <w:r>
        <w:rPr>
          <w:position w:val="7"/>
          <w:sz w:val="14"/>
        </w:rPr>
        <w:t>2</w:t>
      </w:r>
      <w:r>
        <w:rPr/>
        <w:t>).</w:t>
      </w:r>
    </w:p>
    <w:p>
      <w:pPr>
        <w:pStyle w:val="BodyText"/>
        <w:spacing w:before="9"/>
        <w:rPr>
          <w:sz w:val="24"/>
        </w:rPr>
      </w:pPr>
    </w:p>
    <w:p>
      <w:pPr>
        <w:pStyle w:val="BodyText"/>
        <w:spacing w:line="288" w:lineRule="auto"/>
        <w:ind w:left="525" w:right="730"/>
        <w:jc w:val="both"/>
      </w:pPr>
      <w:r>
        <w:rPr/>
        <w:t>Overgangen til 100 m opløsning indebærer dog en række justeringer i model opstillingerne; de væsentligste er skitseret her:</w:t>
      </w:r>
    </w:p>
    <w:p>
      <w:pPr>
        <w:spacing w:after="0" w:line="288" w:lineRule="auto"/>
        <w:jc w:val="both"/>
        <w:sectPr>
          <w:pgSz w:w="11910" w:h="16850"/>
          <w:pgMar w:header="0" w:footer="857" w:top="1340" w:bottom="1120" w:left="1460" w:right="680"/>
        </w:sectPr>
      </w:pPr>
    </w:p>
    <w:p>
      <w:pPr>
        <w:pStyle w:val="ListParagraph"/>
        <w:numPr>
          <w:ilvl w:val="0"/>
          <w:numId w:val="9"/>
        </w:numPr>
        <w:tabs>
          <w:tab w:pos="1246" w:val="left" w:leader="none"/>
        </w:tabs>
        <w:spacing w:line="292" w:lineRule="auto" w:before="65" w:after="0"/>
        <w:ind w:left="1245" w:right="814" w:hanging="360"/>
        <w:jc w:val="left"/>
        <w:rPr>
          <w:sz w:val="20"/>
        </w:rPr>
      </w:pPr>
      <w:r>
        <w:rPr>
          <w:sz w:val="20"/>
        </w:rPr>
        <w:t>Definition af ny modelafgrænsning ud fra 100 m højdemodel for Storå og Odense Å op- landene</w:t>
      </w:r>
    </w:p>
    <w:p>
      <w:pPr>
        <w:pStyle w:val="ListParagraph"/>
        <w:numPr>
          <w:ilvl w:val="0"/>
          <w:numId w:val="9"/>
        </w:numPr>
        <w:tabs>
          <w:tab w:pos="1246" w:val="left" w:leader="none"/>
        </w:tabs>
        <w:spacing w:line="290" w:lineRule="auto" w:before="1" w:after="0"/>
        <w:ind w:left="1245" w:right="771" w:hanging="360"/>
        <w:jc w:val="left"/>
        <w:rPr>
          <w:sz w:val="20"/>
        </w:rPr>
      </w:pPr>
      <w:r>
        <w:rPr>
          <w:sz w:val="20"/>
        </w:rPr>
        <w:t>Ændret modelinput for topografi, Manningtal, drænkoder og drændybde til 100 m opløs- ning</w:t>
      </w:r>
    </w:p>
    <w:p>
      <w:pPr>
        <w:pStyle w:val="ListParagraph"/>
        <w:numPr>
          <w:ilvl w:val="0"/>
          <w:numId w:val="9"/>
        </w:numPr>
        <w:tabs>
          <w:tab w:pos="1246" w:val="left" w:leader="none"/>
        </w:tabs>
        <w:spacing w:line="292" w:lineRule="auto" w:before="2" w:after="0"/>
        <w:ind w:left="1245" w:right="859" w:hanging="360"/>
        <w:jc w:val="left"/>
        <w:rPr>
          <w:sz w:val="20"/>
        </w:rPr>
      </w:pPr>
      <w:r>
        <w:rPr>
          <w:sz w:val="20"/>
        </w:rPr>
        <w:t>Ændrede randbetingelser fra no-flow til gradientbaseret randbetingelser i den mættede zone (SZ) baseret på kalibrerede modeller (DK-Modellen) for større</w:t>
      </w:r>
      <w:r>
        <w:rPr>
          <w:spacing w:val="-11"/>
          <w:sz w:val="20"/>
        </w:rPr>
        <w:t> </w:t>
      </w:r>
      <w:r>
        <w:rPr>
          <w:sz w:val="20"/>
        </w:rPr>
        <w:t>områder</w:t>
      </w:r>
    </w:p>
    <w:p>
      <w:pPr>
        <w:pStyle w:val="ListParagraph"/>
        <w:numPr>
          <w:ilvl w:val="0"/>
          <w:numId w:val="9"/>
        </w:numPr>
        <w:tabs>
          <w:tab w:pos="1246" w:val="left" w:leader="none"/>
        </w:tabs>
        <w:spacing w:line="292" w:lineRule="auto" w:before="0" w:after="0"/>
        <w:ind w:left="1245" w:right="1078" w:hanging="360"/>
        <w:jc w:val="left"/>
        <w:rPr>
          <w:sz w:val="20"/>
        </w:rPr>
      </w:pPr>
      <w:r>
        <w:rPr>
          <w:sz w:val="20"/>
        </w:rPr>
        <w:t>Rekalibrering af modelopsætninger med ændrede skalaafhængige parametre, f.eks. manning-tal for overland flow og</w:t>
      </w:r>
      <w:r>
        <w:rPr>
          <w:spacing w:val="-4"/>
          <w:sz w:val="20"/>
        </w:rPr>
        <w:t> </w:t>
      </w:r>
      <w:r>
        <w:rPr>
          <w:sz w:val="20"/>
        </w:rPr>
        <w:t>drændybde</w:t>
      </w:r>
    </w:p>
    <w:p>
      <w:pPr>
        <w:pStyle w:val="ListParagraph"/>
        <w:numPr>
          <w:ilvl w:val="0"/>
          <w:numId w:val="9"/>
        </w:numPr>
        <w:tabs>
          <w:tab w:pos="1246" w:val="left" w:leader="none"/>
        </w:tabs>
        <w:spacing w:line="290" w:lineRule="auto" w:before="0" w:after="0"/>
        <w:ind w:left="1245" w:right="980" w:hanging="360"/>
        <w:jc w:val="left"/>
        <w:rPr>
          <w:sz w:val="20"/>
        </w:rPr>
      </w:pPr>
      <w:r>
        <w:rPr>
          <w:sz w:val="20"/>
        </w:rPr>
        <w:t>Flytning af filterindtag til mere vandledende geologiske lag for nogle</w:t>
      </w:r>
      <w:r>
        <w:rPr>
          <w:spacing w:val="-33"/>
          <w:sz w:val="20"/>
        </w:rPr>
        <w:t> </w:t>
      </w:r>
      <w:r>
        <w:rPr>
          <w:sz w:val="20"/>
        </w:rPr>
        <w:t>indvindingsborin- ger, som ikke kan supportere den specificerede indvinding som angivet i</w:t>
      </w:r>
      <w:r>
        <w:rPr>
          <w:spacing w:val="-17"/>
          <w:sz w:val="20"/>
        </w:rPr>
        <w:t> </w:t>
      </w:r>
      <w:r>
        <w:rPr>
          <w:sz w:val="20"/>
        </w:rPr>
        <w:t>Jupiter</w:t>
      </w:r>
    </w:p>
    <w:p>
      <w:pPr>
        <w:pStyle w:val="ListParagraph"/>
        <w:numPr>
          <w:ilvl w:val="0"/>
          <w:numId w:val="9"/>
        </w:numPr>
        <w:tabs>
          <w:tab w:pos="1246" w:val="left" w:leader="none"/>
        </w:tabs>
        <w:spacing w:line="292" w:lineRule="auto" w:before="2" w:after="0"/>
        <w:ind w:left="1245" w:right="887" w:hanging="360"/>
        <w:jc w:val="left"/>
        <w:rPr>
          <w:sz w:val="20"/>
        </w:rPr>
      </w:pPr>
      <w:r>
        <w:rPr>
          <w:sz w:val="20"/>
        </w:rPr>
        <w:t>Tilføjelse af en række mindre vandløb, som giver anledning til betydelig overland flow</w:t>
      </w:r>
      <w:r>
        <w:rPr>
          <w:spacing w:val="-26"/>
          <w:sz w:val="20"/>
        </w:rPr>
        <w:t> </w:t>
      </w:r>
      <w:r>
        <w:rPr>
          <w:sz w:val="20"/>
        </w:rPr>
        <w:t>i 100 m grid modellen, samt</w:t>
      </w:r>
    </w:p>
    <w:p>
      <w:pPr>
        <w:pStyle w:val="ListParagraph"/>
        <w:numPr>
          <w:ilvl w:val="0"/>
          <w:numId w:val="9"/>
        </w:numPr>
        <w:tabs>
          <w:tab w:pos="1246" w:val="left" w:leader="none"/>
        </w:tabs>
        <w:spacing w:line="292" w:lineRule="auto" w:before="0" w:after="0"/>
        <w:ind w:left="1245" w:right="981" w:hanging="360"/>
        <w:jc w:val="left"/>
        <w:rPr>
          <w:sz w:val="20"/>
        </w:rPr>
      </w:pPr>
      <w:r>
        <w:rPr>
          <w:sz w:val="20"/>
        </w:rPr>
        <w:t>Tilpasning af vandløbs præcise placering i forhold til Detaljeret Højdemodel og 100 m DK-model</w:t>
      </w:r>
      <w:r>
        <w:rPr>
          <w:spacing w:val="-3"/>
          <w:sz w:val="20"/>
        </w:rPr>
        <w:t> </w:t>
      </w:r>
      <w:r>
        <w:rPr>
          <w:sz w:val="20"/>
        </w:rPr>
        <w:t>vandløbssetup</w:t>
      </w:r>
    </w:p>
    <w:p>
      <w:pPr>
        <w:pStyle w:val="BodyText"/>
        <w:spacing w:before="6"/>
        <w:rPr>
          <w:sz w:val="20"/>
        </w:rPr>
      </w:pPr>
    </w:p>
    <w:p>
      <w:pPr>
        <w:pStyle w:val="BodyText"/>
        <w:spacing w:line="288" w:lineRule="auto"/>
        <w:ind w:left="525" w:right="729"/>
        <w:jc w:val="both"/>
      </w:pPr>
      <w:r>
        <w:rPr/>
        <w:t>Overgangen til 100 m grid har betydet en markant stigning i beregningstiden, udover den forventelige 25 gange (baseret alene på antal modelgrids). Den samlede simuleringstid (1990-2008) for 500 m modellen for Storå var 10 min, mens den tilsvarende for 100 m mo- dellen var 6,5 timer (ca. 40 gange længere). Dette skyldes primært at antallet af SZ-iteratio- ner stiger markant som følge af stejlere gradienter i den mættede zone og mere interaktion mellem SZ og overland flow.</w:t>
      </w:r>
    </w:p>
    <w:p>
      <w:pPr>
        <w:pStyle w:val="BodyText"/>
        <w:spacing w:before="11"/>
      </w:pPr>
      <w:r>
        <w:rPr/>
        <w:drawing>
          <wp:anchor distT="0" distB="0" distL="0" distR="0" allowOverlap="1" layoutInCell="1" locked="0" behindDoc="0" simplePos="0" relativeHeight="11">
            <wp:simplePos x="0" y="0"/>
            <wp:positionH relativeFrom="page">
              <wp:posOffset>1368253</wp:posOffset>
            </wp:positionH>
            <wp:positionV relativeFrom="paragraph">
              <wp:posOffset>185356</wp:posOffset>
            </wp:positionV>
            <wp:extent cx="5518450" cy="3863435"/>
            <wp:effectExtent l="0" t="0" r="0" b="0"/>
            <wp:wrapTopAndBottom/>
            <wp:docPr id="29" name="image15.jpeg" descr=""/>
            <wp:cNvGraphicFramePr>
              <a:graphicFrameLocks noChangeAspect="1"/>
            </wp:cNvGraphicFramePr>
            <a:graphic>
              <a:graphicData uri="http://schemas.openxmlformats.org/drawingml/2006/picture">
                <pic:pic>
                  <pic:nvPicPr>
                    <pic:cNvPr id="30" name="image15.jpeg"/>
                    <pic:cNvPicPr/>
                  </pic:nvPicPr>
                  <pic:blipFill>
                    <a:blip r:embed="rId21" cstate="print"/>
                    <a:stretch>
                      <a:fillRect/>
                    </a:stretch>
                  </pic:blipFill>
                  <pic:spPr>
                    <a:xfrm>
                      <a:off x="0" y="0"/>
                      <a:ext cx="5518450" cy="3863435"/>
                    </a:xfrm>
                    <a:prstGeom prst="rect">
                      <a:avLst/>
                    </a:prstGeom>
                  </pic:spPr>
                </pic:pic>
              </a:graphicData>
            </a:graphic>
          </wp:anchor>
        </w:drawing>
      </w:r>
    </w:p>
    <w:p>
      <w:pPr>
        <w:spacing w:before="39"/>
        <w:ind w:left="525" w:right="0" w:firstLine="0"/>
        <w:jc w:val="both"/>
        <w:rPr>
          <w:rFonts w:ascii="Calibri" w:hAnsi="Calibri"/>
          <w:i/>
          <w:sz w:val="18"/>
        </w:rPr>
      </w:pPr>
      <w:bookmarkStart w:name="_bookmark24" w:id="38"/>
      <w:bookmarkEnd w:id="38"/>
      <w:r>
        <w:rPr/>
      </w:r>
      <w:r>
        <w:rPr>
          <w:rFonts w:ascii="Calibri" w:hAnsi="Calibri"/>
          <w:i/>
          <w:color w:val="44536A"/>
          <w:sz w:val="18"/>
        </w:rPr>
        <w:t>Figur 8 Storå 100 m model inkl. højdemodel.</w:t>
      </w:r>
    </w:p>
    <w:p>
      <w:pPr>
        <w:spacing w:after="0"/>
        <w:jc w:val="both"/>
        <w:rPr>
          <w:rFonts w:ascii="Calibri" w:hAnsi="Calibri"/>
          <w:sz w:val="18"/>
        </w:rPr>
        <w:sectPr>
          <w:pgSz w:w="11910" w:h="16850"/>
          <w:pgMar w:header="0" w:footer="857" w:top="1400" w:bottom="1120" w:left="1460" w:right="680"/>
        </w:sectPr>
      </w:pPr>
    </w:p>
    <w:p>
      <w:pPr>
        <w:pStyle w:val="BodyText"/>
        <w:ind w:left="851"/>
        <w:rPr>
          <w:rFonts w:ascii="Calibri"/>
          <w:sz w:val="20"/>
        </w:rPr>
      </w:pPr>
      <w:r>
        <w:rPr>
          <w:rFonts w:ascii="Calibri"/>
          <w:sz w:val="20"/>
        </w:rPr>
        <w:drawing>
          <wp:inline distT="0" distB="0" distL="0" distR="0">
            <wp:extent cx="4254333" cy="6089904"/>
            <wp:effectExtent l="0" t="0" r="0" b="0"/>
            <wp:docPr id="31" name="image16.jpeg" descr=""/>
            <wp:cNvGraphicFramePr>
              <a:graphicFrameLocks noChangeAspect="1"/>
            </wp:cNvGraphicFramePr>
            <a:graphic>
              <a:graphicData uri="http://schemas.openxmlformats.org/drawingml/2006/picture">
                <pic:pic>
                  <pic:nvPicPr>
                    <pic:cNvPr id="32" name="image16.jpeg"/>
                    <pic:cNvPicPr/>
                  </pic:nvPicPr>
                  <pic:blipFill>
                    <a:blip r:embed="rId22" cstate="print"/>
                    <a:stretch>
                      <a:fillRect/>
                    </a:stretch>
                  </pic:blipFill>
                  <pic:spPr>
                    <a:xfrm>
                      <a:off x="0" y="0"/>
                      <a:ext cx="4254333" cy="6089904"/>
                    </a:xfrm>
                    <a:prstGeom prst="rect">
                      <a:avLst/>
                    </a:prstGeom>
                  </pic:spPr>
                </pic:pic>
              </a:graphicData>
            </a:graphic>
          </wp:inline>
        </w:drawing>
      </w:r>
      <w:r>
        <w:rPr>
          <w:rFonts w:ascii="Calibri"/>
          <w:sz w:val="20"/>
        </w:rPr>
      </w:r>
    </w:p>
    <w:p>
      <w:pPr>
        <w:pStyle w:val="BodyText"/>
        <w:spacing w:before="8"/>
        <w:rPr>
          <w:rFonts w:ascii="Calibri"/>
          <w:i/>
          <w:sz w:val="11"/>
        </w:rPr>
      </w:pPr>
    </w:p>
    <w:p>
      <w:pPr>
        <w:spacing w:before="64"/>
        <w:ind w:left="525" w:right="0" w:firstLine="0"/>
        <w:jc w:val="left"/>
        <w:rPr>
          <w:rFonts w:ascii="Calibri" w:hAnsi="Calibri"/>
          <w:i/>
          <w:sz w:val="18"/>
        </w:rPr>
      </w:pPr>
      <w:r>
        <w:rPr>
          <w:rFonts w:ascii="Calibri" w:hAnsi="Calibri"/>
          <w:i/>
          <w:color w:val="44536A"/>
          <w:sz w:val="18"/>
        </w:rPr>
        <w:t>Figur 9 Odense Å 100 m model inkl. højdemodel.</w:t>
      </w:r>
    </w:p>
    <w:p>
      <w:pPr>
        <w:pStyle w:val="BodyText"/>
        <w:rPr>
          <w:rFonts w:ascii="Calibri"/>
          <w:i/>
          <w:sz w:val="18"/>
        </w:rPr>
      </w:pPr>
    </w:p>
    <w:p>
      <w:pPr>
        <w:pStyle w:val="BodyText"/>
        <w:spacing w:before="10"/>
        <w:rPr>
          <w:rFonts w:ascii="Calibri"/>
          <w:i/>
        </w:rPr>
      </w:pPr>
    </w:p>
    <w:p>
      <w:pPr>
        <w:pStyle w:val="Heading5"/>
        <w:spacing w:line="288" w:lineRule="auto"/>
        <w:ind w:right="733"/>
        <w:jc w:val="both"/>
      </w:pPr>
      <w:r>
        <w:rPr>
          <w:i/>
        </w:rPr>
        <w:t>Justeringer i MIKE HYDRO River i forhold til 100 m opløsning og fuld hydrodynamisk </w:t>
      </w:r>
      <w:r>
        <w:rPr/>
        <w:t>løsning</w:t>
      </w:r>
    </w:p>
    <w:p>
      <w:pPr>
        <w:pStyle w:val="BodyText"/>
        <w:spacing w:line="288" w:lineRule="auto" w:before="2"/>
        <w:ind w:left="525" w:right="730"/>
        <w:jc w:val="both"/>
      </w:pPr>
      <w:r>
        <w:rPr/>
        <w:t>De indledende simuleringer med 100 m modellen viste, at der var et stort behov for at ud- bygge vandløbsnetværket med små vandløb. Disse små vandløb, grøfter og afvandingska- naler var ikke repræsenteret som lavninger i topografien i 500 m modellen, men blev frem- kaldt</w:t>
      </w:r>
      <w:r>
        <w:rPr>
          <w:spacing w:val="-13"/>
        </w:rPr>
        <w:t> </w:t>
      </w:r>
      <w:r>
        <w:rPr/>
        <w:t>i</w:t>
      </w:r>
      <w:r>
        <w:rPr>
          <w:spacing w:val="-8"/>
        </w:rPr>
        <w:t> </w:t>
      </w:r>
      <w:r>
        <w:rPr/>
        <w:t>100</w:t>
      </w:r>
      <w:r>
        <w:rPr>
          <w:spacing w:val="-10"/>
        </w:rPr>
        <w:t> </w:t>
      </w:r>
      <w:r>
        <w:rPr/>
        <w:t>m</w:t>
      </w:r>
      <w:r>
        <w:rPr>
          <w:spacing w:val="-9"/>
        </w:rPr>
        <w:t> </w:t>
      </w:r>
      <w:r>
        <w:rPr/>
        <w:t>modellen</w:t>
      </w:r>
      <w:r>
        <w:rPr>
          <w:spacing w:val="-8"/>
        </w:rPr>
        <w:t> </w:t>
      </w:r>
      <w:r>
        <w:rPr/>
        <w:t>og</w:t>
      </w:r>
      <w:r>
        <w:rPr>
          <w:spacing w:val="-11"/>
        </w:rPr>
        <w:t> </w:t>
      </w:r>
      <w:r>
        <w:rPr/>
        <w:t>resulterede</w:t>
      </w:r>
      <w:r>
        <w:rPr>
          <w:spacing w:val="-10"/>
        </w:rPr>
        <w:t> </w:t>
      </w:r>
      <w:r>
        <w:rPr/>
        <w:t>i</w:t>
      </w:r>
      <w:r>
        <w:rPr>
          <w:spacing w:val="-8"/>
        </w:rPr>
        <w:t> </w:t>
      </w:r>
      <w:r>
        <w:rPr/>
        <w:t>generering</w:t>
      </w:r>
      <w:r>
        <w:rPr>
          <w:spacing w:val="-8"/>
        </w:rPr>
        <w:t> </w:t>
      </w:r>
      <w:r>
        <w:rPr/>
        <w:t>af</w:t>
      </w:r>
      <w:r>
        <w:rPr>
          <w:spacing w:val="-9"/>
        </w:rPr>
        <w:t> </w:t>
      </w:r>
      <w:r>
        <w:rPr/>
        <w:t>store</w:t>
      </w:r>
      <w:r>
        <w:rPr>
          <w:spacing w:val="-11"/>
        </w:rPr>
        <w:t> </w:t>
      </w:r>
      <w:r>
        <w:rPr/>
        <w:t>mængder</w:t>
      </w:r>
      <w:r>
        <w:rPr>
          <w:spacing w:val="-11"/>
        </w:rPr>
        <w:t> </w:t>
      </w:r>
      <w:r>
        <w:rPr/>
        <w:t>overland</w:t>
      </w:r>
      <w:r>
        <w:rPr>
          <w:spacing w:val="-8"/>
        </w:rPr>
        <w:t> </w:t>
      </w:r>
      <w:r>
        <w:rPr/>
        <w:t>flow,</w:t>
      </w:r>
      <w:r>
        <w:rPr>
          <w:spacing w:val="-10"/>
        </w:rPr>
        <w:t> </w:t>
      </w:r>
      <w:r>
        <w:rPr/>
        <w:t>som</w:t>
      </w:r>
      <w:r>
        <w:rPr>
          <w:spacing w:val="-9"/>
        </w:rPr>
        <w:t> </w:t>
      </w:r>
      <w:r>
        <w:rPr/>
        <w:t>ikke var forbundet til vandløbsmodellen. Dette er eksemplificeret i </w:t>
      </w:r>
      <w:hyperlink w:history="true" w:anchor="_bookmark25">
        <w:r>
          <w:rPr/>
          <w:t>figur 10</w:t>
        </w:r>
      </w:hyperlink>
      <w:r>
        <w:rPr/>
        <w:t>, som viser overland flow før og efter tilføjelsen af en opstrøms ende af et vandløb. Det fremgår, at arealet med overland flow (vand på terræn) indskrænkes væsentligt, når der tilføjes nye vandløbsstræk- ninger. </w:t>
      </w:r>
      <w:hyperlink w:history="true" w:anchor="_bookmark26">
        <w:r>
          <w:rPr/>
          <w:t>Figur 11 </w:t>
        </w:r>
      </w:hyperlink>
      <w:r>
        <w:rPr/>
        <w:t>og 12 viser vandløbsopsætningen for Storå og Odense Å med det oprinde- lige vandløbsnetværk og det</w:t>
      </w:r>
      <w:r>
        <w:rPr>
          <w:spacing w:val="-4"/>
        </w:rPr>
        <w:t> </w:t>
      </w:r>
      <w:r>
        <w:rPr/>
        <w:t>udbyggede.</w:t>
      </w:r>
    </w:p>
    <w:p>
      <w:pPr>
        <w:spacing w:after="0" w:line="288" w:lineRule="auto"/>
        <w:jc w:val="both"/>
        <w:sectPr>
          <w:pgSz w:w="11910" w:h="16850"/>
          <w:pgMar w:header="0" w:footer="857" w:top="1420" w:bottom="1120" w:left="1460" w:right="680"/>
        </w:sectPr>
      </w:pPr>
    </w:p>
    <w:p>
      <w:pPr>
        <w:pStyle w:val="BodyText"/>
        <w:rPr>
          <w:sz w:val="20"/>
        </w:rPr>
      </w:pPr>
    </w:p>
    <w:p>
      <w:pPr>
        <w:pStyle w:val="BodyText"/>
        <w:spacing w:before="5" w:after="1"/>
        <w:rPr>
          <w:sz w:val="14"/>
        </w:rPr>
      </w:pPr>
    </w:p>
    <w:p>
      <w:pPr>
        <w:pStyle w:val="BodyText"/>
        <w:ind w:left="525"/>
        <w:rPr>
          <w:sz w:val="20"/>
        </w:rPr>
      </w:pPr>
      <w:r>
        <w:rPr>
          <w:sz w:val="20"/>
        </w:rPr>
        <w:drawing>
          <wp:inline distT="0" distB="0" distL="0" distR="0">
            <wp:extent cx="4856451" cy="3312414"/>
            <wp:effectExtent l="0" t="0" r="0" b="0"/>
            <wp:docPr id="33" name="image17.jpeg" descr=""/>
            <wp:cNvGraphicFramePr>
              <a:graphicFrameLocks noChangeAspect="1"/>
            </wp:cNvGraphicFramePr>
            <a:graphic>
              <a:graphicData uri="http://schemas.openxmlformats.org/drawingml/2006/picture">
                <pic:pic>
                  <pic:nvPicPr>
                    <pic:cNvPr id="34" name="image17.jpeg"/>
                    <pic:cNvPicPr/>
                  </pic:nvPicPr>
                  <pic:blipFill>
                    <a:blip r:embed="rId23" cstate="print"/>
                    <a:stretch>
                      <a:fillRect/>
                    </a:stretch>
                  </pic:blipFill>
                  <pic:spPr>
                    <a:xfrm>
                      <a:off x="0" y="0"/>
                      <a:ext cx="4856451" cy="3312414"/>
                    </a:xfrm>
                    <a:prstGeom prst="rect">
                      <a:avLst/>
                    </a:prstGeom>
                  </pic:spPr>
                </pic:pic>
              </a:graphicData>
            </a:graphic>
          </wp:inline>
        </w:drawing>
      </w:r>
      <w:r>
        <w:rPr>
          <w:sz w:val="20"/>
        </w:rPr>
      </w:r>
    </w:p>
    <w:p>
      <w:pPr>
        <w:spacing w:before="67"/>
        <w:ind w:left="525" w:right="0" w:firstLine="0"/>
        <w:jc w:val="left"/>
        <w:rPr>
          <w:rFonts w:ascii="Calibri" w:hAnsi="Calibri"/>
          <w:i/>
          <w:sz w:val="18"/>
        </w:rPr>
      </w:pPr>
      <w:bookmarkStart w:name="_bookmark25" w:id="39"/>
      <w:bookmarkEnd w:id="39"/>
      <w:r>
        <w:rPr/>
      </w:r>
      <w:r>
        <w:rPr>
          <w:rFonts w:ascii="Calibri" w:hAnsi="Calibri"/>
          <w:i/>
          <w:color w:val="44536A"/>
          <w:sz w:val="18"/>
        </w:rPr>
        <w:t>Figur 10 Eksempel på effekten af tilføjelse af mindre vandløb på simulering af overland flow.</w:t>
      </w:r>
    </w:p>
    <w:p>
      <w:pPr>
        <w:pStyle w:val="BodyText"/>
        <w:rPr>
          <w:rFonts w:ascii="Calibri"/>
          <w:i/>
          <w:sz w:val="20"/>
        </w:rPr>
      </w:pPr>
    </w:p>
    <w:p>
      <w:pPr>
        <w:pStyle w:val="BodyText"/>
        <w:spacing w:before="8"/>
        <w:rPr>
          <w:rFonts w:ascii="Calibri"/>
          <w:i/>
          <w:sz w:val="16"/>
        </w:rPr>
      </w:pPr>
      <w:r>
        <w:rPr/>
        <w:drawing>
          <wp:anchor distT="0" distB="0" distL="0" distR="0" allowOverlap="1" layoutInCell="1" locked="0" behindDoc="0" simplePos="0" relativeHeight="12">
            <wp:simplePos x="0" y="0"/>
            <wp:positionH relativeFrom="page">
              <wp:posOffset>1330094</wp:posOffset>
            </wp:positionH>
            <wp:positionV relativeFrom="paragraph">
              <wp:posOffset>154262</wp:posOffset>
            </wp:positionV>
            <wp:extent cx="4973303" cy="3430714"/>
            <wp:effectExtent l="0" t="0" r="0" b="0"/>
            <wp:wrapTopAndBottom/>
            <wp:docPr id="35" name="image18.jpeg" descr=""/>
            <wp:cNvGraphicFramePr>
              <a:graphicFrameLocks noChangeAspect="1"/>
            </wp:cNvGraphicFramePr>
            <a:graphic>
              <a:graphicData uri="http://schemas.openxmlformats.org/drawingml/2006/picture">
                <pic:pic>
                  <pic:nvPicPr>
                    <pic:cNvPr id="36" name="image18.jpeg"/>
                    <pic:cNvPicPr/>
                  </pic:nvPicPr>
                  <pic:blipFill>
                    <a:blip r:embed="rId24" cstate="print"/>
                    <a:stretch>
                      <a:fillRect/>
                    </a:stretch>
                  </pic:blipFill>
                  <pic:spPr>
                    <a:xfrm>
                      <a:off x="0" y="0"/>
                      <a:ext cx="4973303" cy="3430714"/>
                    </a:xfrm>
                    <a:prstGeom prst="rect">
                      <a:avLst/>
                    </a:prstGeom>
                  </pic:spPr>
                </pic:pic>
              </a:graphicData>
            </a:graphic>
          </wp:anchor>
        </w:drawing>
      </w:r>
    </w:p>
    <w:p>
      <w:pPr>
        <w:spacing w:before="0"/>
        <w:ind w:left="525" w:right="0" w:firstLine="0"/>
        <w:jc w:val="left"/>
        <w:rPr>
          <w:rFonts w:ascii="Calibri" w:hAnsi="Calibri"/>
          <w:i/>
          <w:sz w:val="18"/>
        </w:rPr>
      </w:pPr>
      <w:bookmarkStart w:name="_bookmark26" w:id="40"/>
      <w:bookmarkEnd w:id="40"/>
      <w:r>
        <w:rPr/>
      </w:r>
      <w:r>
        <w:rPr>
          <w:rFonts w:ascii="Calibri" w:hAnsi="Calibri"/>
          <w:i/>
          <w:color w:val="44536A"/>
          <w:sz w:val="18"/>
        </w:rPr>
        <w:t>Figur 11 Storå 100 m model med oprindelige og tilføjede vandløb.</w:t>
      </w:r>
    </w:p>
    <w:p>
      <w:pPr>
        <w:spacing w:after="0"/>
        <w:jc w:val="left"/>
        <w:rPr>
          <w:rFonts w:ascii="Calibri" w:hAnsi="Calibri"/>
          <w:sz w:val="18"/>
        </w:rPr>
        <w:sectPr>
          <w:pgSz w:w="11910" w:h="16850"/>
          <w:pgMar w:header="0" w:footer="857" w:top="1600" w:bottom="1120" w:left="1460" w:right="680"/>
        </w:sectPr>
      </w:pPr>
    </w:p>
    <w:p>
      <w:pPr>
        <w:pStyle w:val="BodyText"/>
        <w:ind w:left="864"/>
        <w:rPr>
          <w:rFonts w:ascii="Calibri"/>
          <w:sz w:val="20"/>
        </w:rPr>
      </w:pPr>
      <w:r>
        <w:rPr>
          <w:rFonts w:ascii="Calibri"/>
          <w:sz w:val="20"/>
        </w:rPr>
        <w:drawing>
          <wp:inline distT="0" distB="0" distL="0" distR="0">
            <wp:extent cx="4488189" cy="6428232"/>
            <wp:effectExtent l="0" t="0" r="0" b="0"/>
            <wp:docPr id="37" name="image19.jpeg" descr=""/>
            <wp:cNvGraphicFramePr>
              <a:graphicFrameLocks noChangeAspect="1"/>
            </wp:cNvGraphicFramePr>
            <a:graphic>
              <a:graphicData uri="http://schemas.openxmlformats.org/drawingml/2006/picture">
                <pic:pic>
                  <pic:nvPicPr>
                    <pic:cNvPr id="38" name="image19.jpeg"/>
                    <pic:cNvPicPr/>
                  </pic:nvPicPr>
                  <pic:blipFill>
                    <a:blip r:embed="rId25" cstate="print"/>
                    <a:stretch>
                      <a:fillRect/>
                    </a:stretch>
                  </pic:blipFill>
                  <pic:spPr>
                    <a:xfrm>
                      <a:off x="0" y="0"/>
                      <a:ext cx="4488189" cy="6428232"/>
                    </a:xfrm>
                    <a:prstGeom prst="rect">
                      <a:avLst/>
                    </a:prstGeom>
                  </pic:spPr>
                </pic:pic>
              </a:graphicData>
            </a:graphic>
          </wp:inline>
        </w:drawing>
      </w:r>
      <w:r>
        <w:rPr>
          <w:rFonts w:ascii="Calibri"/>
          <w:sz w:val="20"/>
        </w:rPr>
      </w:r>
    </w:p>
    <w:p>
      <w:pPr>
        <w:spacing w:before="67"/>
        <w:ind w:left="525" w:right="0" w:firstLine="0"/>
        <w:jc w:val="left"/>
        <w:rPr>
          <w:rFonts w:ascii="Calibri" w:hAnsi="Calibri"/>
          <w:i/>
          <w:sz w:val="18"/>
        </w:rPr>
      </w:pPr>
      <w:r>
        <w:rPr>
          <w:rFonts w:ascii="Calibri" w:hAnsi="Calibri"/>
          <w:i/>
          <w:color w:val="44536A"/>
          <w:sz w:val="18"/>
        </w:rPr>
        <w:t>Figur 12 Odense Å 100 m model med oprindelige og tilføjede vandløb.</w:t>
      </w:r>
    </w:p>
    <w:p>
      <w:pPr>
        <w:pStyle w:val="BodyText"/>
        <w:rPr>
          <w:rFonts w:ascii="Calibri"/>
          <w:i/>
          <w:sz w:val="16"/>
        </w:rPr>
      </w:pPr>
    </w:p>
    <w:p>
      <w:pPr>
        <w:pStyle w:val="BodyText"/>
        <w:spacing w:line="288" w:lineRule="auto"/>
        <w:ind w:left="525" w:right="733"/>
        <w:jc w:val="both"/>
      </w:pPr>
      <w:r>
        <w:rPr/>
        <w:t>En anden væsentlig ændring i vandløbs-setup var behovet for at tilpasse den præcise pla- cering</w:t>
      </w:r>
      <w:r>
        <w:rPr>
          <w:spacing w:val="-4"/>
        </w:rPr>
        <w:t> </w:t>
      </w:r>
      <w:r>
        <w:rPr/>
        <w:t>af</w:t>
      </w:r>
      <w:r>
        <w:rPr>
          <w:spacing w:val="-2"/>
        </w:rPr>
        <w:t> </w:t>
      </w:r>
      <w:r>
        <w:rPr/>
        <w:t>vandløbene</w:t>
      </w:r>
      <w:r>
        <w:rPr>
          <w:spacing w:val="-6"/>
        </w:rPr>
        <w:t> </w:t>
      </w:r>
      <w:r>
        <w:rPr/>
        <w:t>i</w:t>
      </w:r>
      <w:r>
        <w:rPr>
          <w:spacing w:val="-3"/>
        </w:rPr>
        <w:t> </w:t>
      </w:r>
      <w:r>
        <w:rPr/>
        <w:t>forhold</w:t>
      </w:r>
      <w:r>
        <w:rPr>
          <w:spacing w:val="-4"/>
        </w:rPr>
        <w:t> </w:t>
      </w:r>
      <w:r>
        <w:rPr/>
        <w:t>til</w:t>
      </w:r>
      <w:r>
        <w:rPr>
          <w:spacing w:val="-1"/>
        </w:rPr>
        <w:t> </w:t>
      </w:r>
      <w:r>
        <w:rPr/>
        <w:t>Detaljeret</w:t>
      </w:r>
      <w:r>
        <w:rPr>
          <w:spacing w:val="-5"/>
        </w:rPr>
        <w:t> </w:t>
      </w:r>
      <w:r>
        <w:rPr/>
        <w:t>Højdemodel</w:t>
      </w:r>
      <w:r>
        <w:rPr>
          <w:spacing w:val="-3"/>
        </w:rPr>
        <w:t> </w:t>
      </w:r>
      <w:r>
        <w:rPr/>
        <w:t>og</w:t>
      </w:r>
      <w:r>
        <w:rPr>
          <w:spacing w:val="-3"/>
        </w:rPr>
        <w:t> </w:t>
      </w:r>
      <w:r>
        <w:rPr/>
        <w:t>100</w:t>
      </w:r>
      <w:r>
        <w:rPr>
          <w:spacing w:val="-6"/>
        </w:rPr>
        <w:t> </w:t>
      </w:r>
      <w:r>
        <w:rPr/>
        <w:t>m</w:t>
      </w:r>
      <w:r>
        <w:rPr>
          <w:spacing w:val="-4"/>
        </w:rPr>
        <w:t> </w:t>
      </w:r>
      <w:r>
        <w:rPr/>
        <w:t>model</w:t>
      </w:r>
      <w:r>
        <w:rPr>
          <w:spacing w:val="-3"/>
        </w:rPr>
        <w:t> </w:t>
      </w:r>
      <w:r>
        <w:rPr/>
        <w:t>setup.</w:t>
      </w:r>
      <w:r>
        <w:rPr>
          <w:spacing w:val="-5"/>
        </w:rPr>
        <w:t> </w:t>
      </w:r>
      <w:r>
        <w:rPr/>
        <w:t>Et</w:t>
      </w:r>
      <w:r>
        <w:rPr>
          <w:spacing w:val="-5"/>
        </w:rPr>
        <w:t> </w:t>
      </w:r>
      <w:r>
        <w:rPr/>
        <w:t>eksempel på</w:t>
      </w:r>
      <w:r>
        <w:rPr>
          <w:spacing w:val="-4"/>
        </w:rPr>
        <w:t> </w:t>
      </w:r>
      <w:r>
        <w:rPr/>
        <w:t>dette</w:t>
      </w:r>
      <w:r>
        <w:rPr>
          <w:spacing w:val="-6"/>
        </w:rPr>
        <w:t> </w:t>
      </w:r>
      <w:r>
        <w:rPr/>
        <w:t>er</w:t>
      </w:r>
      <w:r>
        <w:rPr>
          <w:spacing w:val="-4"/>
        </w:rPr>
        <w:t> </w:t>
      </w:r>
      <w:r>
        <w:rPr/>
        <w:t>givet</w:t>
      </w:r>
      <w:r>
        <w:rPr>
          <w:spacing w:val="-6"/>
        </w:rPr>
        <w:t> </w:t>
      </w:r>
      <w:r>
        <w:rPr/>
        <w:t>i</w:t>
      </w:r>
      <w:r>
        <w:rPr>
          <w:spacing w:val="-5"/>
        </w:rPr>
        <w:t> </w:t>
      </w:r>
      <w:hyperlink w:history="true" w:anchor="_bookmark27">
        <w:r>
          <w:rPr/>
          <w:t>figur</w:t>
        </w:r>
        <w:r>
          <w:rPr>
            <w:spacing w:val="-6"/>
          </w:rPr>
          <w:t> </w:t>
        </w:r>
        <w:r>
          <w:rPr/>
          <w:t>13</w:t>
        </w:r>
      </w:hyperlink>
      <w:r>
        <w:rPr/>
        <w:t>,</w:t>
      </w:r>
      <w:r>
        <w:rPr>
          <w:spacing w:val="-8"/>
        </w:rPr>
        <w:t> </w:t>
      </w:r>
      <w:r>
        <w:rPr/>
        <w:t>som</w:t>
      </w:r>
      <w:r>
        <w:rPr>
          <w:spacing w:val="-2"/>
        </w:rPr>
        <w:t> </w:t>
      </w:r>
      <w:r>
        <w:rPr/>
        <w:t>illustrerer</w:t>
      </w:r>
      <w:r>
        <w:rPr>
          <w:spacing w:val="-7"/>
        </w:rPr>
        <w:t> </w:t>
      </w:r>
      <w:r>
        <w:rPr/>
        <w:t>hvordan</w:t>
      </w:r>
      <w:r>
        <w:rPr>
          <w:spacing w:val="-5"/>
        </w:rPr>
        <w:t> </w:t>
      </w:r>
      <w:r>
        <w:rPr/>
        <w:t>et</w:t>
      </w:r>
      <w:r>
        <w:rPr>
          <w:spacing w:val="-7"/>
        </w:rPr>
        <w:t> </w:t>
      </w:r>
      <w:r>
        <w:rPr/>
        <w:t>vandløb,</w:t>
      </w:r>
      <w:r>
        <w:rPr>
          <w:spacing w:val="-5"/>
        </w:rPr>
        <w:t> </w:t>
      </w:r>
      <w:r>
        <w:rPr/>
        <w:t>som</w:t>
      </w:r>
      <w:r>
        <w:rPr>
          <w:spacing w:val="-3"/>
        </w:rPr>
        <w:t> </w:t>
      </w:r>
      <w:r>
        <w:rPr/>
        <w:t>var</w:t>
      </w:r>
      <w:r>
        <w:rPr>
          <w:spacing w:val="-4"/>
        </w:rPr>
        <w:t> </w:t>
      </w:r>
      <w:r>
        <w:rPr/>
        <w:t>placeret</w:t>
      </w:r>
      <w:r>
        <w:rPr>
          <w:spacing w:val="-5"/>
        </w:rPr>
        <w:t> </w:t>
      </w:r>
      <w:r>
        <w:rPr/>
        <w:t>tilstrækkeligt nøjagtigt i forhold til en 500 m højdemodel, må flyttes for at være placeret mere korrekt i forhold til en 100 m model setup. En korrekt placering i forhold til Detaljeret Højdemodel og 100 m grid er afgørende både for interaktionen mellem grundvand og overfladevand og for den</w:t>
      </w:r>
      <w:r>
        <w:rPr>
          <w:spacing w:val="-14"/>
        </w:rPr>
        <w:t> </w:t>
      </w:r>
      <w:r>
        <w:rPr/>
        <w:t>senere</w:t>
      </w:r>
      <w:r>
        <w:rPr>
          <w:spacing w:val="-14"/>
        </w:rPr>
        <w:t> </w:t>
      </w:r>
      <w:r>
        <w:rPr/>
        <w:t>udbygning</w:t>
      </w:r>
      <w:r>
        <w:rPr>
          <w:spacing w:val="-14"/>
        </w:rPr>
        <w:t> </w:t>
      </w:r>
      <w:r>
        <w:rPr/>
        <w:t>af</w:t>
      </w:r>
      <w:r>
        <w:rPr>
          <w:spacing w:val="-12"/>
        </w:rPr>
        <w:t> </w:t>
      </w:r>
      <w:r>
        <w:rPr/>
        <w:t>tværsnit</w:t>
      </w:r>
      <w:r>
        <w:rPr>
          <w:spacing w:val="-14"/>
        </w:rPr>
        <w:t> </w:t>
      </w:r>
      <w:r>
        <w:rPr/>
        <w:t>i</w:t>
      </w:r>
      <w:r>
        <w:rPr>
          <w:spacing w:val="-13"/>
        </w:rPr>
        <w:t> </w:t>
      </w:r>
      <w:r>
        <w:rPr/>
        <w:t>forhold</w:t>
      </w:r>
      <w:r>
        <w:rPr>
          <w:spacing w:val="-13"/>
        </w:rPr>
        <w:t> </w:t>
      </w:r>
      <w:r>
        <w:rPr/>
        <w:t>til</w:t>
      </w:r>
      <w:r>
        <w:rPr>
          <w:spacing w:val="-13"/>
        </w:rPr>
        <w:t> </w:t>
      </w:r>
      <w:r>
        <w:rPr/>
        <w:t>den</w:t>
      </w:r>
      <w:r>
        <w:rPr>
          <w:spacing w:val="-13"/>
        </w:rPr>
        <w:t> </w:t>
      </w:r>
      <w:r>
        <w:rPr/>
        <w:t>omkringliggende</w:t>
      </w:r>
      <w:r>
        <w:rPr>
          <w:spacing w:val="-13"/>
        </w:rPr>
        <w:t> </w:t>
      </w:r>
      <w:r>
        <w:rPr/>
        <w:t>topografi.</w:t>
      </w:r>
      <w:r>
        <w:rPr>
          <w:spacing w:val="-15"/>
        </w:rPr>
        <w:t> </w:t>
      </w:r>
      <w:r>
        <w:rPr/>
        <w:t>I</w:t>
      </w:r>
      <w:r>
        <w:rPr>
          <w:spacing w:val="-14"/>
        </w:rPr>
        <w:t> </w:t>
      </w:r>
      <w:r>
        <w:rPr/>
        <w:t>forhold</w:t>
      </w:r>
      <w:r>
        <w:rPr>
          <w:spacing w:val="-13"/>
        </w:rPr>
        <w:t> </w:t>
      </w:r>
      <w:r>
        <w:rPr/>
        <w:t>til</w:t>
      </w:r>
      <w:r>
        <w:rPr>
          <w:spacing w:val="-13"/>
        </w:rPr>
        <w:t> </w:t>
      </w:r>
      <w:r>
        <w:rPr/>
        <w:t>sidst- nævnte er en helt præcis vandløbsplacering i forhold til Danmarks højdemodel (x, y, statio- nering) af afgørende</w:t>
      </w:r>
      <w:r>
        <w:rPr>
          <w:spacing w:val="-3"/>
        </w:rPr>
        <w:t> </w:t>
      </w:r>
      <w:r>
        <w:rPr/>
        <w:t>betydning.</w:t>
      </w:r>
    </w:p>
    <w:p>
      <w:pPr>
        <w:spacing w:after="0" w:line="288" w:lineRule="auto"/>
        <w:jc w:val="both"/>
        <w:sectPr>
          <w:pgSz w:w="11910" w:h="16850"/>
          <w:pgMar w:header="0" w:footer="857" w:top="1420" w:bottom="1120" w:left="1460" w:right="680"/>
        </w:sectPr>
      </w:pPr>
    </w:p>
    <w:p>
      <w:pPr>
        <w:pStyle w:val="BodyText"/>
        <w:ind w:left="515"/>
        <w:rPr>
          <w:sz w:val="20"/>
        </w:rPr>
      </w:pPr>
      <w:r>
        <w:rPr>
          <w:sz w:val="20"/>
        </w:rPr>
        <w:pict>
          <v:group style="width:434.2pt;height:143.1pt;mso-position-horizontal-relative:char;mso-position-vertical-relative:line" coordorigin="0,0" coordsize="8684,2862">
            <v:shape style="position:absolute;left:0;top:0;width:4460;height:2862" type="#_x0000_t75" stroked="false">
              <v:imagedata r:id="rId26" o:title=""/>
            </v:shape>
            <v:shape style="position:absolute;left:4511;top:0;width:4172;height:2862" type="#_x0000_t75" stroked="false">
              <v:imagedata r:id="rId27" o:title=""/>
            </v:shape>
            <v:shape style="position:absolute;left:6362;top:1562;width:450;height:387" coordorigin="6363,1562" coordsize="450,387" path="m6382,1618l6422,1581,6476,1563,6541,1562,6611,1580,6681,1617,6741,1667,6784,1725,6809,1785,6813,1842,6794,1893,6754,1930,6699,1949,6635,1949,6565,1931,6495,1894,6435,1844,6391,1786,6367,1727,6363,1669,6382,1618xe" filled="false" stroked="true" strokeweight="1pt" strokecolor="#ff0000">
              <v:path arrowok="t"/>
              <v:stroke dashstyle="solid"/>
            </v:shape>
          </v:group>
        </w:pict>
      </w:r>
      <w:r>
        <w:rPr>
          <w:sz w:val="20"/>
        </w:rPr>
      </w:r>
    </w:p>
    <w:p>
      <w:pPr>
        <w:spacing w:before="60"/>
        <w:ind w:left="525" w:right="0" w:firstLine="0"/>
        <w:jc w:val="both"/>
        <w:rPr>
          <w:rFonts w:ascii="Calibri" w:hAnsi="Calibri"/>
          <w:i/>
          <w:sz w:val="18"/>
        </w:rPr>
      </w:pPr>
      <w:bookmarkStart w:name="_bookmark27" w:id="41"/>
      <w:bookmarkEnd w:id="41"/>
      <w:r>
        <w:rPr/>
      </w:r>
      <w:r>
        <w:rPr>
          <w:rFonts w:ascii="Calibri" w:hAnsi="Calibri"/>
          <w:i/>
          <w:color w:val="44536A"/>
          <w:sz w:val="18"/>
        </w:rPr>
        <w:t>Figur 13 Eksempel på forfining af vandløbsplacering (initial: stiblet). Venstre panel: 40 cm DEM; højre: 100 m DEM.</w:t>
      </w:r>
    </w:p>
    <w:p>
      <w:pPr>
        <w:pStyle w:val="BodyText"/>
        <w:spacing w:before="1"/>
        <w:rPr>
          <w:rFonts w:ascii="Calibri"/>
          <w:i/>
          <w:sz w:val="16"/>
        </w:rPr>
      </w:pPr>
    </w:p>
    <w:p>
      <w:pPr>
        <w:pStyle w:val="BodyText"/>
        <w:spacing w:line="288" w:lineRule="auto"/>
        <w:ind w:left="525" w:right="733"/>
        <w:jc w:val="both"/>
      </w:pPr>
      <w:r>
        <w:rPr/>
        <w:t>For at muliggøre mere detaljerede simuleringer af vandstande i MIKE HYDRO udbygges tværsnitbeskrivelserne</w:t>
      </w:r>
      <w:r>
        <w:rPr>
          <w:spacing w:val="-14"/>
        </w:rPr>
        <w:t> </w:t>
      </w:r>
      <w:r>
        <w:rPr/>
        <w:t>betydeligt.</w:t>
      </w:r>
      <w:r>
        <w:rPr>
          <w:spacing w:val="-14"/>
        </w:rPr>
        <w:t> </w:t>
      </w:r>
      <w:r>
        <w:rPr/>
        <w:t>Dette</w:t>
      </w:r>
      <w:r>
        <w:rPr>
          <w:spacing w:val="-14"/>
        </w:rPr>
        <w:t> </w:t>
      </w:r>
      <w:r>
        <w:rPr/>
        <w:t>arbejde</w:t>
      </w:r>
      <w:r>
        <w:rPr>
          <w:spacing w:val="-13"/>
        </w:rPr>
        <w:t> </w:t>
      </w:r>
      <w:r>
        <w:rPr/>
        <w:t>er</w:t>
      </w:r>
      <w:r>
        <w:rPr>
          <w:spacing w:val="-14"/>
        </w:rPr>
        <w:t> </w:t>
      </w:r>
      <w:r>
        <w:rPr/>
        <w:t>udført</w:t>
      </w:r>
      <w:r>
        <w:rPr>
          <w:spacing w:val="-15"/>
        </w:rPr>
        <w:t> </w:t>
      </w:r>
      <w:r>
        <w:rPr/>
        <w:t>af</w:t>
      </w:r>
      <w:r>
        <w:rPr>
          <w:spacing w:val="-12"/>
        </w:rPr>
        <w:t> </w:t>
      </w:r>
      <w:r>
        <w:rPr/>
        <w:t>COWI,</w:t>
      </w:r>
      <w:r>
        <w:rPr>
          <w:spacing w:val="-14"/>
        </w:rPr>
        <w:t> </w:t>
      </w:r>
      <w:r>
        <w:rPr/>
        <w:t>og</w:t>
      </w:r>
      <w:r>
        <w:rPr>
          <w:spacing w:val="-14"/>
        </w:rPr>
        <w:t> </w:t>
      </w:r>
      <w:r>
        <w:rPr/>
        <w:t>har</w:t>
      </w:r>
      <w:r>
        <w:rPr>
          <w:spacing w:val="-14"/>
        </w:rPr>
        <w:t> </w:t>
      </w:r>
      <w:r>
        <w:rPr/>
        <w:t>omfattet</w:t>
      </w:r>
      <w:r>
        <w:rPr>
          <w:spacing w:val="-14"/>
        </w:rPr>
        <w:t> </w:t>
      </w:r>
      <w:r>
        <w:rPr/>
        <w:t>tilføjelsen af ca. 300 og 400 opmålte tværsnit for hhv. Storå og Odense Å, så hovedvandløbene, som ønskes</w:t>
      </w:r>
      <w:r>
        <w:rPr>
          <w:spacing w:val="-12"/>
        </w:rPr>
        <w:t> </w:t>
      </w:r>
      <w:r>
        <w:rPr/>
        <w:t>beskrevet</w:t>
      </w:r>
      <w:r>
        <w:rPr>
          <w:spacing w:val="-13"/>
        </w:rPr>
        <w:t> </w:t>
      </w:r>
      <w:r>
        <w:rPr/>
        <w:t>med</w:t>
      </w:r>
      <w:r>
        <w:rPr>
          <w:spacing w:val="-11"/>
        </w:rPr>
        <w:t> </w:t>
      </w:r>
      <w:r>
        <w:rPr/>
        <w:t>en</w:t>
      </w:r>
      <w:r>
        <w:rPr>
          <w:spacing w:val="-14"/>
        </w:rPr>
        <w:t> </w:t>
      </w:r>
      <w:r>
        <w:rPr/>
        <w:t>hydrodynamisk</w:t>
      </w:r>
      <w:r>
        <w:rPr>
          <w:spacing w:val="-12"/>
        </w:rPr>
        <w:t> </w:t>
      </w:r>
      <w:r>
        <w:rPr/>
        <w:t>løsning.</w:t>
      </w:r>
      <w:r>
        <w:rPr>
          <w:spacing w:val="-13"/>
        </w:rPr>
        <w:t> </w:t>
      </w:r>
      <w:r>
        <w:rPr/>
        <w:t>Den</w:t>
      </w:r>
      <w:r>
        <w:rPr>
          <w:spacing w:val="-11"/>
        </w:rPr>
        <w:t> </w:t>
      </w:r>
      <w:r>
        <w:rPr/>
        <w:t>detaljerede</w:t>
      </w:r>
      <w:r>
        <w:rPr>
          <w:spacing w:val="-12"/>
        </w:rPr>
        <w:t> </w:t>
      </w:r>
      <w:r>
        <w:rPr/>
        <w:t>vandløbsmodel</w:t>
      </w:r>
      <w:r>
        <w:rPr>
          <w:spacing w:val="-8"/>
        </w:rPr>
        <w:t> </w:t>
      </w:r>
      <w:r>
        <w:rPr/>
        <w:t>har</w:t>
      </w:r>
      <w:r>
        <w:rPr>
          <w:spacing w:val="-12"/>
        </w:rPr>
        <w:t> </w:t>
      </w:r>
      <w:r>
        <w:rPr/>
        <w:t>tvær- snitsbeskrivelser for ca. hvert 100 m og indbygget broer og</w:t>
      </w:r>
      <w:r>
        <w:rPr>
          <w:spacing w:val="-18"/>
        </w:rPr>
        <w:t> </w:t>
      </w:r>
      <w:r>
        <w:rPr/>
        <w:t>bygværker.</w:t>
      </w:r>
    </w:p>
    <w:p>
      <w:pPr>
        <w:pStyle w:val="BodyText"/>
        <w:spacing w:before="2"/>
        <w:rPr>
          <w:sz w:val="25"/>
        </w:rPr>
      </w:pPr>
    </w:p>
    <w:p>
      <w:pPr>
        <w:pStyle w:val="BodyText"/>
        <w:spacing w:line="288" w:lineRule="auto"/>
        <w:ind w:left="525" w:right="733"/>
        <w:jc w:val="both"/>
      </w:pPr>
      <w:r>
        <w:rPr/>
        <w:t>Overgangen til fuld hydrodynamisk løsning for hovedvandløbene medfører en betydelig reduktion af tidsskridtet og dermed en voldsom forøgelse af den samlede simuleringstid for den koblede MIKE SHE – MIKE HYDRO River model. Med kombinationen af 100 m grid og fuld hydrodynamisk løsning bliver den samlede beregningtid for perioden 1990-2008 på 60 timer og 100 timer for hhv. Storå og Odense Å modellerne. Denne udfordring vil blive beskrevet yderligere under kalibreringskonceptet for de hydrodynamiske modeller.</w:t>
      </w:r>
    </w:p>
    <w:p>
      <w:pPr>
        <w:pStyle w:val="BodyText"/>
        <w:spacing w:before="1"/>
        <w:rPr>
          <w:sz w:val="25"/>
        </w:rPr>
      </w:pPr>
    </w:p>
    <w:p>
      <w:pPr>
        <w:pStyle w:val="Heading2"/>
        <w:numPr>
          <w:ilvl w:val="1"/>
          <w:numId w:val="8"/>
        </w:numPr>
        <w:tabs>
          <w:tab w:pos="1142" w:val="left" w:leader="none"/>
        </w:tabs>
        <w:spacing w:line="240" w:lineRule="auto" w:before="0" w:after="0"/>
        <w:ind w:left="1142" w:right="0" w:hanging="617"/>
        <w:jc w:val="both"/>
      </w:pPr>
      <w:bookmarkStart w:name="_bookmark28" w:id="42"/>
      <w:bookmarkEnd w:id="42"/>
      <w:r>
        <w:rPr>
          <w:b w:val="0"/>
        </w:rPr>
      </w:r>
      <w:bookmarkStart w:name="_bookmark28" w:id="43"/>
      <w:bookmarkEnd w:id="43"/>
      <w:r>
        <w:rPr/>
        <w:t>U</w:t>
      </w:r>
      <w:r>
        <w:rPr/>
        <w:t>dvidelse af datagrundlaget</w:t>
      </w:r>
    </w:p>
    <w:p>
      <w:pPr>
        <w:pStyle w:val="BodyText"/>
        <w:spacing w:line="288" w:lineRule="auto" w:before="243"/>
        <w:ind w:left="525" w:right="729"/>
        <w:jc w:val="both"/>
      </w:pPr>
      <w:r>
        <w:rPr/>
        <w:t>Datagrundlaget for modelleringsøvelsen er som udgangspunkt sammenfaldende med data- grundlaget for DK-Modellen hvad angår fx klimadata, hydrogeologisk model, arealanven- delse, vegetationsdynamik grundvandsindvinding/markvanding, afstrømningsmålinger, vandløbsnet,</w:t>
      </w:r>
      <w:r>
        <w:rPr>
          <w:spacing w:val="-9"/>
        </w:rPr>
        <w:t> </w:t>
      </w:r>
      <w:r>
        <w:rPr/>
        <w:t>spildevand,</w:t>
      </w:r>
      <w:r>
        <w:rPr>
          <w:spacing w:val="-9"/>
        </w:rPr>
        <w:t> </w:t>
      </w:r>
      <w:r>
        <w:rPr/>
        <w:t>dræn</w:t>
      </w:r>
      <w:r>
        <w:rPr>
          <w:spacing w:val="-8"/>
        </w:rPr>
        <w:t> </w:t>
      </w:r>
      <w:r>
        <w:rPr/>
        <w:t>og</w:t>
      </w:r>
      <w:r>
        <w:rPr>
          <w:spacing w:val="-8"/>
        </w:rPr>
        <w:t> </w:t>
      </w:r>
      <w:r>
        <w:rPr/>
        <w:t>befæstede</w:t>
      </w:r>
      <w:r>
        <w:rPr>
          <w:spacing w:val="-8"/>
        </w:rPr>
        <w:t> </w:t>
      </w:r>
      <w:r>
        <w:rPr/>
        <w:t>arealer</w:t>
      </w:r>
      <w:r>
        <w:rPr>
          <w:spacing w:val="-9"/>
        </w:rPr>
        <w:t> </w:t>
      </w:r>
      <w:r>
        <w:rPr/>
        <w:t>(</w:t>
      </w:r>
      <w:hyperlink r:id="rId13">
        <w:r>
          <w:rPr/>
          <w:t>www.vandmodel.dk</w:t>
        </w:r>
        <w:r>
          <w:rPr>
            <w:spacing w:val="-6"/>
          </w:rPr>
          <w:t> </w:t>
        </w:r>
      </w:hyperlink>
      <w:r>
        <w:rPr/>
        <w:t>se</w:t>
      </w:r>
      <w:r>
        <w:rPr>
          <w:spacing w:val="-7"/>
        </w:rPr>
        <w:t> </w:t>
      </w:r>
      <w:r>
        <w:rPr/>
        <w:t>rapport</w:t>
      </w:r>
      <w:r>
        <w:rPr>
          <w:spacing w:val="-9"/>
        </w:rPr>
        <w:t> </w:t>
      </w:r>
      <w:r>
        <w:rPr/>
        <w:t>af</w:t>
      </w:r>
      <w:r>
        <w:rPr>
          <w:spacing w:val="-7"/>
        </w:rPr>
        <w:t> </w:t>
      </w:r>
      <w:r>
        <w:rPr/>
        <w:t>Høj- berg et al.</w:t>
      </w:r>
      <w:r>
        <w:rPr>
          <w:spacing w:val="-5"/>
        </w:rPr>
        <w:t> </w:t>
      </w:r>
      <w:r>
        <w:rPr/>
        <w:t>2014).</w:t>
      </w:r>
    </w:p>
    <w:p>
      <w:pPr>
        <w:pStyle w:val="BodyText"/>
        <w:spacing w:before="1"/>
        <w:rPr>
          <w:sz w:val="25"/>
        </w:rPr>
      </w:pPr>
    </w:p>
    <w:p>
      <w:pPr>
        <w:pStyle w:val="BodyText"/>
        <w:spacing w:line="288" w:lineRule="auto" w:before="1"/>
        <w:ind w:left="525" w:right="732"/>
        <w:jc w:val="both"/>
      </w:pPr>
      <w:r>
        <w:rPr/>
        <w:t>Der er dog ændret i datagrundlaget for kalibrering i forhold til DK-Modellen, med det formål at tilvejebringe mest muligt information om terrænnært grundvand samt muliggøre en bedre beskrivelse af vandstande i vandløb. Disse ændringer omhandler flere pejledata, udbygning af tværsnitsbeskrivelser samt tilvejebringelse af vandstandsdata for vandløb, og havvands- tandsdata som nedstrøms randbetingelse.</w:t>
      </w:r>
    </w:p>
    <w:p>
      <w:pPr>
        <w:pStyle w:val="BodyText"/>
        <w:spacing w:before="1"/>
        <w:rPr>
          <w:sz w:val="25"/>
        </w:rPr>
      </w:pPr>
    </w:p>
    <w:p>
      <w:pPr>
        <w:pStyle w:val="BodyText"/>
        <w:spacing w:line="288" w:lineRule="auto" w:before="1"/>
        <w:ind w:left="525" w:right="729"/>
        <w:jc w:val="both"/>
      </w:pPr>
      <w:r>
        <w:rPr/>
        <w:t>Derudover</w:t>
      </w:r>
      <w:r>
        <w:rPr>
          <w:spacing w:val="-11"/>
        </w:rPr>
        <w:t> </w:t>
      </w:r>
      <w:r>
        <w:rPr/>
        <w:t>er</w:t>
      </w:r>
      <w:r>
        <w:rPr>
          <w:spacing w:val="-11"/>
        </w:rPr>
        <w:t> </w:t>
      </w:r>
      <w:r>
        <w:rPr/>
        <w:t>der</w:t>
      </w:r>
      <w:r>
        <w:rPr>
          <w:spacing w:val="-11"/>
        </w:rPr>
        <w:t> </w:t>
      </w:r>
      <w:r>
        <w:rPr/>
        <w:t>anvendt</w:t>
      </w:r>
      <w:r>
        <w:rPr>
          <w:spacing w:val="-13"/>
        </w:rPr>
        <w:t> </w:t>
      </w:r>
      <w:r>
        <w:rPr/>
        <w:t>DMI’s</w:t>
      </w:r>
      <w:r>
        <w:rPr>
          <w:spacing w:val="-13"/>
        </w:rPr>
        <w:t> </w:t>
      </w:r>
      <w:r>
        <w:rPr/>
        <w:t>dynamisk</w:t>
      </w:r>
      <w:r>
        <w:rPr>
          <w:spacing w:val="-11"/>
        </w:rPr>
        <w:t> </w:t>
      </w:r>
      <w:r>
        <w:rPr/>
        <w:t>korrigerede</w:t>
      </w:r>
      <w:r>
        <w:rPr>
          <w:spacing w:val="-10"/>
        </w:rPr>
        <w:t> </w:t>
      </w:r>
      <w:r>
        <w:rPr/>
        <w:t>nedbørsdata,</w:t>
      </w:r>
      <w:r>
        <w:rPr>
          <w:spacing w:val="-11"/>
        </w:rPr>
        <w:t> </w:t>
      </w:r>
      <w:r>
        <w:rPr/>
        <w:t>hvor</w:t>
      </w:r>
      <w:r>
        <w:rPr>
          <w:spacing w:val="-11"/>
        </w:rPr>
        <w:t> </w:t>
      </w:r>
      <w:r>
        <w:rPr/>
        <w:t>DK-Modellen</w:t>
      </w:r>
      <w:r>
        <w:rPr>
          <w:spacing w:val="-10"/>
        </w:rPr>
        <w:t> </w:t>
      </w:r>
      <w:r>
        <w:rPr/>
        <w:t>hidtil har været baseret på GEUS’s korrektion. De to korrektioner er baseret på samme vind- og temperatur-korrektionsmodel, men hvor DMI’s korrektion er på stationsniveau og efterføl- gende</w:t>
      </w:r>
      <w:r>
        <w:rPr>
          <w:spacing w:val="-8"/>
        </w:rPr>
        <w:t> </w:t>
      </w:r>
      <w:r>
        <w:rPr/>
        <w:t>interpolation</w:t>
      </w:r>
      <w:r>
        <w:rPr>
          <w:spacing w:val="-8"/>
        </w:rPr>
        <w:t> </w:t>
      </w:r>
      <w:r>
        <w:rPr/>
        <w:t>til</w:t>
      </w:r>
      <w:r>
        <w:rPr>
          <w:spacing w:val="-6"/>
        </w:rPr>
        <w:t> </w:t>
      </w:r>
      <w:r>
        <w:rPr/>
        <w:t>et</w:t>
      </w:r>
      <w:r>
        <w:rPr>
          <w:spacing w:val="-9"/>
        </w:rPr>
        <w:t> </w:t>
      </w:r>
      <w:r>
        <w:rPr/>
        <w:t>10</w:t>
      </w:r>
      <w:r>
        <w:rPr>
          <w:spacing w:val="-7"/>
        </w:rPr>
        <w:t> </w:t>
      </w:r>
      <w:r>
        <w:rPr/>
        <w:t>km</w:t>
      </w:r>
      <w:r>
        <w:rPr>
          <w:spacing w:val="-7"/>
        </w:rPr>
        <w:t> </w:t>
      </w:r>
      <w:r>
        <w:rPr/>
        <w:t>grid,</w:t>
      </w:r>
      <w:r>
        <w:rPr>
          <w:spacing w:val="-8"/>
        </w:rPr>
        <w:t> </w:t>
      </w:r>
      <w:r>
        <w:rPr/>
        <w:t>er</w:t>
      </w:r>
      <w:r>
        <w:rPr>
          <w:spacing w:val="-9"/>
        </w:rPr>
        <w:t> </w:t>
      </w:r>
      <w:r>
        <w:rPr/>
        <w:t>GEUS’s</w:t>
      </w:r>
      <w:r>
        <w:rPr>
          <w:spacing w:val="-9"/>
        </w:rPr>
        <w:t> </w:t>
      </w:r>
      <w:r>
        <w:rPr/>
        <w:t>korrektion</w:t>
      </w:r>
      <w:r>
        <w:rPr>
          <w:spacing w:val="-8"/>
        </w:rPr>
        <w:t> </w:t>
      </w:r>
      <w:r>
        <w:rPr/>
        <w:t>på</w:t>
      </w:r>
      <w:r>
        <w:rPr>
          <w:spacing w:val="-7"/>
        </w:rPr>
        <w:t> </w:t>
      </w:r>
      <w:r>
        <w:rPr/>
        <w:t>på</w:t>
      </w:r>
      <w:r>
        <w:rPr>
          <w:spacing w:val="-8"/>
        </w:rPr>
        <w:t> </w:t>
      </w:r>
      <w:r>
        <w:rPr/>
        <w:t>gridniveau</w:t>
      </w:r>
      <w:r>
        <w:rPr>
          <w:spacing w:val="-9"/>
        </w:rPr>
        <w:t> </w:t>
      </w:r>
      <w:r>
        <w:rPr/>
        <w:t>med</w:t>
      </w:r>
      <w:r>
        <w:rPr>
          <w:spacing w:val="-8"/>
        </w:rPr>
        <w:t> </w:t>
      </w:r>
      <w:r>
        <w:rPr/>
        <w:t>anvendelse af griddata for vind og temperatur til nedbørskorrektion. Tidligere sammenligninger har vist at de to metoder giver stort set ensartede korrektioner, da vind- og temperatur-data fra</w:t>
      </w:r>
      <w:r>
        <w:rPr>
          <w:spacing w:val="-11"/>
        </w:rPr>
        <w:t> </w:t>
      </w:r>
      <w:r>
        <w:rPr/>
        <w:t>grid-</w:t>
      </w:r>
    </w:p>
    <w:p>
      <w:pPr>
        <w:spacing w:after="0" w:line="288" w:lineRule="auto"/>
        <w:jc w:val="both"/>
        <w:sectPr>
          <w:pgSz w:w="11910" w:h="16850"/>
          <w:pgMar w:header="0" w:footer="857" w:top="1420" w:bottom="1120" w:left="1460" w:right="680"/>
        </w:sectPr>
      </w:pPr>
    </w:p>
    <w:p>
      <w:pPr>
        <w:pStyle w:val="BodyText"/>
        <w:spacing w:line="288" w:lineRule="auto" w:before="75"/>
        <w:ind w:left="525" w:right="734"/>
        <w:jc w:val="both"/>
      </w:pPr>
      <w:r>
        <w:rPr/>
        <w:t>data ikke afviger betydeligt fra de tilsvarende stationsdata. Det forventes ikke at denne æn- dring har afgørende betydning for modelresultaterne, men DMI’s metode foretrækkes, da den repræsenterer den mest korrekte anvendelse af korrektionsmodellen.</w:t>
      </w:r>
    </w:p>
    <w:p>
      <w:pPr>
        <w:pStyle w:val="BodyText"/>
        <w:spacing w:before="2"/>
        <w:rPr>
          <w:sz w:val="25"/>
        </w:rPr>
      </w:pPr>
    </w:p>
    <w:p>
      <w:pPr>
        <w:pStyle w:val="Heading5"/>
        <w:spacing w:before="1"/>
        <w:rPr>
          <w:i/>
        </w:rPr>
      </w:pPr>
      <w:r>
        <w:rPr>
          <w:i/>
        </w:rPr>
        <w:t>Oversigt over de tilgængelige pejledata</w:t>
      </w:r>
    </w:p>
    <w:p>
      <w:pPr>
        <w:pStyle w:val="BodyText"/>
        <w:spacing w:line="276" w:lineRule="auto" w:before="48"/>
        <w:ind w:left="525" w:right="729"/>
        <w:jc w:val="both"/>
      </w:pPr>
      <w:r>
        <w:rPr/>
        <w:t>Jupiter-databasen udgør datagrundlaget for pejlinger i den eksisterende DK-Model, og da der</w:t>
      </w:r>
      <w:r>
        <w:rPr>
          <w:spacing w:val="-14"/>
        </w:rPr>
        <w:t> </w:t>
      </w:r>
      <w:r>
        <w:rPr/>
        <w:t>er</w:t>
      </w:r>
      <w:r>
        <w:rPr>
          <w:spacing w:val="-14"/>
        </w:rPr>
        <w:t> </w:t>
      </w:r>
      <w:r>
        <w:rPr/>
        <w:t>indberetningspligt</w:t>
      </w:r>
      <w:r>
        <w:rPr>
          <w:spacing w:val="-14"/>
        </w:rPr>
        <w:t> </w:t>
      </w:r>
      <w:r>
        <w:rPr/>
        <w:t>til</w:t>
      </w:r>
      <w:r>
        <w:rPr>
          <w:spacing w:val="-14"/>
        </w:rPr>
        <w:t> </w:t>
      </w:r>
      <w:r>
        <w:rPr/>
        <w:t>Jupiter-databasen</w:t>
      </w:r>
      <w:r>
        <w:rPr>
          <w:spacing w:val="-13"/>
        </w:rPr>
        <w:t> </w:t>
      </w:r>
      <w:r>
        <w:rPr/>
        <w:t>for</w:t>
      </w:r>
      <w:r>
        <w:rPr>
          <w:spacing w:val="-13"/>
        </w:rPr>
        <w:t> </w:t>
      </w:r>
      <w:r>
        <w:rPr/>
        <w:t>alle</w:t>
      </w:r>
      <w:r>
        <w:rPr>
          <w:spacing w:val="-13"/>
        </w:rPr>
        <w:t> </w:t>
      </w:r>
      <w:r>
        <w:rPr/>
        <w:t>filtersatte</w:t>
      </w:r>
      <w:r>
        <w:rPr>
          <w:spacing w:val="-13"/>
        </w:rPr>
        <w:t> </w:t>
      </w:r>
      <w:r>
        <w:rPr/>
        <w:t>boringer,</w:t>
      </w:r>
      <w:r>
        <w:rPr>
          <w:spacing w:val="-14"/>
        </w:rPr>
        <w:t> </w:t>
      </w:r>
      <w:r>
        <w:rPr/>
        <w:t>indeholder</w:t>
      </w:r>
      <w:r>
        <w:rPr>
          <w:spacing w:val="-14"/>
        </w:rPr>
        <w:t> </w:t>
      </w:r>
      <w:r>
        <w:rPr/>
        <w:t>den</w:t>
      </w:r>
      <w:r>
        <w:rPr>
          <w:spacing w:val="-13"/>
        </w:rPr>
        <w:t> </w:t>
      </w:r>
      <w:r>
        <w:rPr/>
        <w:t>stør- stedelen af pejleboringer i Danmark. Det har dog vist sig, at geotekniske boringer ikke</w:t>
      </w:r>
      <w:r>
        <w:rPr>
          <w:spacing w:val="-42"/>
        </w:rPr>
        <w:t> </w:t>
      </w:r>
      <w:r>
        <w:rPr/>
        <w:t>bliver indberettet fuldstændigt til Jupiter, og derfor ligger Regioner, Kommuner og rådgivere inde med</w:t>
      </w:r>
      <w:r>
        <w:rPr>
          <w:spacing w:val="-8"/>
        </w:rPr>
        <w:t> </w:t>
      </w:r>
      <w:r>
        <w:rPr/>
        <w:t>yderligere</w:t>
      </w:r>
      <w:r>
        <w:rPr>
          <w:spacing w:val="-8"/>
        </w:rPr>
        <w:t> </w:t>
      </w:r>
      <w:r>
        <w:rPr/>
        <w:t>pejledata,</w:t>
      </w:r>
      <w:r>
        <w:rPr>
          <w:spacing w:val="-8"/>
        </w:rPr>
        <w:t> </w:t>
      </w:r>
      <w:r>
        <w:rPr/>
        <w:t>primært</w:t>
      </w:r>
      <w:r>
        <w:rPr>
          <w:spacing w:val="-8"/>
        </w:rPr>
        <w:t> </w:t>
      </w:r>
      <w:r>
        <w:rPr/>
        <w:t>for</w:t>
      </w:r>
      <w:r>
        <w:rPr>
          <w:spacing w:val="-8"/>
        </w:rPr>
        <w:t> </w:t>
      </w:r>
      <w:r>
        <w:rPr/>
        <w:t>det</w:t>
      </w:r>
      <w:r>
        <w:rPr>
          <w:spacing w:val="-8"/>
        </w:rPr>
        <w:t> </w:t>
      </w:r>
      <w:r>
        <w:rPr/>
        <w:t>terrænnære</w:t>
      </w:r>
      <w:r>
        <w:rPr>
          <w:spacing w:val="-7"/>
        </w:rPr>
        <w:t> </w:t>
      </w:r>
      <w:r>
        <w:rPr/>
        <w:t>grundvand.</w:t>
      </w:r>
      <w:r>
        <w:rPr>
          <w:spacing w:val="-8"/>
        </w:rPr>
        <w:t> </w:t>
      </w:r>
      <w:r>
        <w:rPr/>
        <w:t>Til</w:t>
      </w:r>
      <w:r>
        <w:rPr>
          <w:spacing w:val="-7"/>
        </w:rPr>
        <w:t> </w:t>
      </w:r>
      <w:r>
        <w:rPr/>
        <w:t>projektet</w:t>
      </w:r>
      <w:r>
        <w:rPr>
          <w:spacing w:val="-8"/>
        </w:rPr>
        <w:t> </w:t>
      </w:r>
      <w:r>
        <w:rPr/>
        <w:t>er</w:t>
      </w:r>
      <w:r>
        <w:rPr>
          <w:spacing w:val="-8"/>
        </w:rPr>
        <w:t> </w:t>
      </w:r>
      <w:r>
        <w:rPr/>
        <w:t>der</w:t>
      </w:r>
      <w:r>
        <w:rPr>
          <w:spacing w:val="-8"/>
        </w:rPr>
        <w:t> </w:t>
      </w:r>
      <w:r>
        <w:rPr/>
        <w:t>indhen- tet</w:t>
      </w:r>
      <w:r>
        <w:rPr>
          <w:spacing w:val="-9"/>
        </w:rPr>
        <w:t> </w:t>
      </w:r>
      <w:r>
        <w:rPr/>
        <w:t>og</w:t>
      </w:r>
      <w:r>
        <w:rPr>
          <w:spacing w:val="-8"/>
        </w:rPr>
        <w:t> </w:t>
      </w:r>
      <w:r>
        <w:rPr/>
        <w:t>anvendt</w:t>
      </w:r>
      <w:r>
        <w:rPr>
          <w:spacing w:val="-8"/>
        </w:rPr>
        <w:t> </w:t>
      </w:r>
      <w:r>
        <w:rPr/>
        <w:t>pejledata</w:t>
      </w:r>
      <w:r>
        <w:rPr>
          <w:spacing w:val="-10"/>
        </w:rPr>
        <w:t> </w:t>
      </w:r>
      <w:r>
        <w:rPr/>
        <w:t>fra</w:t>
      </w:r>
      <w:r>
        <w:rPr>
          <w:spacing w:val="-7"/>
        </w:rPr>
        <w:t> </w:t>
      </w:r>
      <w:r>
        <w:rPr/>
        <w:t>hhv.</w:t>
      </w:r>
      <w:r>
        <w:rPr>
          <w:spacing w:val="-9"/>
        </w:rPr>
        <w:t> </w:t>
      </w:r>
      <w:r>
        <w:rPr/>
        <w:t>Jupiter,</w:t>
      </w:r>
      <w:r>
        <w:rPr>
          <w:spacing w:val="-9"/>
        </w:rPr>
        <w:t> </w:t>
      </w:r>
      <w:r>
        <w:rPr/>
        <w:t>Regioner/kommuner</w:t>
      </w:r>
      <w:r>
        <w:rPr>
          <w:spacing w:val="-9"/>
        </w:rPr>
        <w:t> </w:t>
      </w:r>
      <w:r>
        <w:rPr/>
        <w:t>og</w:t>
      </w:r>
      <w:r>
        <w:rPr>
          <w:spacing w:val="-7"/>
        </w:rPr>
        <w:t> </w:t>
      </w:r>
      <w:r>
        <w:rPr/>
        <w:t>rådgivningsfirmaet</w:t>
      </w:r>
      <w:r>
        <w:rPr>
          <w:spacing w:val="-9"/>
        </w:rPr>
        <w:t> </w:t>
      </w:r>
      <w:r>
        <w:rPr/>
        <w:t>Geo</w:t>
      </w:r>
      <w:r>
        <w:rPr>
          <w:spacing w:val="-7"/>
        </w:rPr>
        <w:t> </w:t>
      </w:r>
      <w:r>
        <w:rPr/>
        <w:t>a/s databaser. Geo’s digitaliserede pejledata i de to modelområder for simuleringsperioden om- fatter</w:t>
      </w:r>
      <w:r>
        <w:rPr>
          <w:spacing w:val="-12"/>
        </w:rPr>
        <w:t> </w:t>
      </w:r>
      <w:r>
        <w:rPr/>
        <w:t>primært</w:t>
      </w:r>
      <w:r>
        <w:rPr>
          <w:spacing w:val="-12"/>
        </w:rPr>
        <w:t> </w:t>
      </w:r>
      <w:r>
        <w:rPr/>
        <w:t>nogle</w:t>
      </w:r>
      <w:r>
        <w:rPr>
          <w:spacing w:val="-11"/>
        </w:rPr>
        <w:t> </w:t>
      </w:r>
      <w:r>
        <w:rPr/>
        <w:t>få</w:t>
      </w:r>
      <w:r>
        <w:rPr>
          <w:spacing w:val="-11"/>
        </w:rPr>
        <w:t> </w:t>
      </w:r>
      <w:r>
        <w:rPr/>
        <w:t>større</w:t>
      </w:r>
      <w:r>
        <w:rPr>
          <w:spacing w:val="-12"/>
        </w:rPr>
        <w:t> </w:t>
      </w:r>
      <w:r>
        <w:rPr/>
        <w:t>anlægsbyggerier</w:t>
      </w:r>
      <w:r>
        <w:rPr>
          <w:spacing w:val="-14"/>
        </w:rPr>
        <w:t> </w:t>
      </w:r>
      <w:r>
        <w:rPr/>
        <w:t>med</w:t>
      </w:r>
      <w:r>
        <w:rPr>
          <w:spacing w:val="-11"/>
        </w:rPr>
        <w:t> </w:t>
      </w:r>
      <w:r>
        <w:rPr/>
        <w:t>begrænset</w:t>
      </w:r>
      <w:r>
        <w:rPr>
          <w:spacing w:val="-12"/>
        </w:rPr>
        <w:t> </w:t>
      </w:r>
      <w:r>
        <w:rPr/>
        <w:t>rumlig</w:t>
      </w:r>
      <w:r>
        <w:rPr>
          <w:spacing w:val="-12"/>
        </w:rPr>
        <w:t> </w:t>
      </w:r>
      <w:r>
        <w:rPr/>
        <w:t>repræsentation.</w:t>
      </w:r>
      <w:r>
        <w:rPr>
          <w:spacing w:val="-12"/>
        </w:rPr>
        <w:t> </w:t>
      </w:r>
      <w:r>
        <w:rPr/>
        <w:t>Deres placering</w:t>
      </w:r>
      <w:r>
        <w:rPr>
          <w:spacing w:val="-15"/>
        </w:rPr>
        <w:t> </w:t>
      </w:r>
      <w:r>
        <w:rPr/>
        <w:t>fremgår</w:t>
      </w:r>
      <w:r>
        <w:rPr>
          <w:spacing w:val="-16"/>
        </w:rPr>
        <w:t> </w:t>
      </w:r>
      <w:r>
        <w:rPr/>
        <w:t>i</w:t>
      </w:r>
      <w:r>
        <w:rPr>
          <w:spacing w:val="-15"/>
        </w:rPr>
        <w:t> </w:t>
      </w:r>
      <w:hyperlink w:history="true" w:anchor="_bookmark155">
        <w:r>
          <w:rPr/>
          <w:t>figur</w:t>
        </w:r>
        <w:r>
          <w:rPr>
            <w:spacing w:val="-16"/>
          </w:rPr>
          <w:t> </w:t>
        </w:r>
        <w:r>
          <w:rPr/>
          <w:t>111</w:t>
        </w:r>
      </w:hyperlink>
      <w:r>
        <w:rPr/>
        <w:t>.</w:t>
      </w:r>
      <w:r>
        <w:rPr>
          <w:spacing w:val="-17"/>
        </w:rPr>
        <w:t> </w:t>
      </w:r>
      <w:r>
        <w:rPr/>
        <w:t>Desuden</w:t>
      </w:r>
      <w:r>
        <w:rPr>
          <w:spacing w:val="-15"/>
        </w:rPr>
        <w:t> </w:t>
      </w:r>
      <w:r>
        <w:rPr/>
        <w:t>blev</w:t>
      </w:r>
      <w:r>
        <w:rPr>
          <w:spacing w:val="-18"/>
        </w:rPr>
        <w:t> </w:t>
      </w:r>
      <w:r>
        <w:rPr/>
        <w:t>disse</w:t>
      </w:r>
      <w:r>
        <w:rPr>
          <w:spacing w:val="-17"/>
        </w:rPr>
        <w:t> </w:t>
      </w:r>
      <w:r>
        <w:rPr/>
        <w:t>data</w:t>
      </w:r>
      <w:r>
        <w:rPr>
          <w:spacing w:val="-16"/>
        </w:rPr>
        <w:t> </w:t>
      </w:r>
      <w:r>
        <w:rPr/>
        <w:t>indhentet</w:t>
      </w:r>
      <w:r>
        <w:rPr>
          <w:spacing w:val="-16"/>
        </w:rPr>
        <w:t> </w:t>
      </w:r>
      <w:r>
        <w:rPr/>
        <w:t>sent</w:t>
      </w:r>
      <w:r>
        <w:rPr>
          <w:spacing w:val="-16"/>
        </w:rPr>
        <w:t> </w:t>
      </w:r>
      <w:r>
        <w:rPr/>
        <w:t>i</w:t>
      </w:r>
      <w:r>
        <w:rPr>
          <w:spacing w:val="-17"/>
        </w:rPr>
        <w:t> </w:t>
      </w:r>
      <w:r>
        <w:rPr/>
        <w:t>kalibreringsprocessen, og derfor er Geo’s data udelukkende anvendt til</w:t>
      </w:r>
      <w:r>
        <w:rPr>
          <w:spacing w:val="-16"/>
        </w:rPr>
        <w:t> </w:t>
      </w:r>
      <w:r>
        <w:rPr/>
        <w:t>modelvalidering.</w:t>
      </w:r>
    </w:p>
    <w:p>
      <w:pPr>
        <w:pStyle w:val="BodyText"/>
        <w:spacing w:line="276" w:lineRule="auto" w:before="159"/>
        <w:ind w:left="525" w:right="732"/>
        <w:jc w:val="both"/>
      </w:pPr>
      <w:r>
        <w:rPr/>
        <w:t>Hvad angår Jupiter- og Regions- data, så tegner der sig forskellige billeder i hhv. Storå og Odense Å oplandene, se </w:t>
      </w:r>
      <w:hyperlink w:history="true" w:anchor="_bookmark29">
        <w:r>
          <w:rPr/>
          <w:t>tabel 5</w:t>
        </w:r>
      </w:hyperlink>
      <w:r>
        <w:rPr/>
        <w:t>. I Storå oplandet udgør Regionernes data et forholdsvis begrænset</w:t>
      </w:r>
      <w:r>
        <w:rPr>
          <w:spacing w:val="-10"/>
        </w:rPr>
        <w:t> </w:t>
      </w:r>
      <w:r>
        <w:rPr/>
        <w:t>supplement</w:t>
      </w:r>
      <w:r>
        <w:rPr>
          <w:spacing w:val="-8"/>
        </w:rPr>
        <w:t> </w:t>
      </w:r>
      <w:r>
        <w:rPr/>
        <w:t>til</w:t>
      </w:r>
      <w:r>
        <w:rPr>
          <w:spacing w:val="-10"/>
        </w:rPr>
        <w:t> </w:t>
      </w:r>
      <w:r>
        <w:rPr/>
        <w:t>Jupiter</w:t>
      </w:r>
      <w:r>
        <w:rPr>
          <w:spacing w:val="-11"/>
        </w:rPr>
        <w:t> </w:t>
      </w:r>
      <w:r>
        <w:rPr/>
        <w:t>databasen,</w:t>
      </w:r>
      <w:r>
        <w:rPr>
          <w:spacing w:val="-10"/>
        </w:rPr>
        <w:t> </w:t>
      </w:r>
      <w:r>
        <w:rPr/>
        <w:t>dog</w:t>
      </w:r>
      <w:r>
        <w:rPr>
          <w:spacing w:val="-10"/>
        </w:rPr>
        <w:t> </w:t>
      </w:r>
      <w:r>
        <w:rPr/>
        <w:t>forøges</w:t>
      </w:r>
      <w:r>
        <w:rPr>
          <w:spacing w:val="-11"/>
        </w:rPr>
        <w:t> </w:t>
      </w:r>
      <w:r>
        <w:rPr/>
        <w:t>antallet</w:t>
      </w:r>
      <w:r>
        <w:rPr>
          <w:spacing w:val="-9"/>
        </w:rPr>
        <w:t> </w:t>
      </w:r>
      <w:r>
        <w:rPr/>
        <w:t>af</w:t>
      </w:r>
      <w:r>
        <w:rPr>
          <w:spacing w:val="-8"/>
        </w:rPr>
        <w:t> </w:t>
      </w:r>
      <w:r>
        <w:rPr/>
        <w:t>terrænnære</w:t>
      </w:r>
      <w:r>
        <w:rPr>
          <w:spacing w:val="-8"/>
        </w:rPr>
        <w:t> </w:t>
      </w:r>
      <w:r>
        <w:rPr/>
        <w:t>boringer</w:t>
      </w:r>
      <w:r>
        <w:rPr>
          <w:spacing w:val="-11"/>
        </w:rPr>
        <w:t> </w:t>
      </w:r>
      <w:r>
        <w:rPr/>
        <w:t>fra 252 til 357 med tilføjelsen af data fra Regionerne. I Odense Å oplandet fordobles antallet af terrænnære boringer (519 til 1052) mens det samlede antal boringer stiger fra 1097 til 1850 med</w:t>
      </w:r>
      <w:r>
        <w:rPr>
          <w:spacing w:val="-17"/>
        </w:rPr>
        <w:t> </w:t>
      </w:r>
      <w:r>
        <w:rPr/>
        <w:t>tilføjelsen</w:t>
      </w:r>
      <w:r>
        <w:rPr>
          <w:spacing w:val="-16"/>
        </w:rPr>
        <w:t> </w:t>
      </w:r>
      <w:r>
        <w:rPr/>
        <w:t>af</w:t>
      </w:r>
      <w:r>
        <w:rPr>
          <w:spacing w:val="-17"/>
        </w:rPr>
        <w:t> </w:t>
      </w:r>
      <w:r>
        <w:rPr/>
        <w:t>Regionernes</w:t>
      </w:r>
      <w:r>
        <w:rPr>
          <w:spacing w:val="-15"/>
        </w:rPr>
        <w:t> </w:t>
      </w:r>
      <w:r>
        <w:rPr/>
        <w:t>data.</w:t>
      </w:r>
      <w:r>
        <w:rPr>
          <w:spacing w:val="-16"/>
        </w:rPr>
        <w:t> </w:t>
      </w:r>
      <w:r>
        <w:rPr/>
        <w:t>Det</w:t>
      </w:r>
      <w:r>
        <w:rPr>
          <w:spacing w:val="-16"/>
        </w:rPr>
        <w:t> </w:t>
      </w:r>
      <w:r>
        <w:rPr/>
        <w:t>er</w:t>
      </w:r>
      <w:r>
        <w:rPr>
          <w:spacing w:val="-17"/>
        </w:rPr>
        <w:t> </w:t>
      </w:r>
      <w:r>
        <w:rPr/>
        <w:t>dog</w:t>
      </w:r>
      <w:r>
        <w:rPr>
          <w:spacing w:val="-15"/>
        </w:rPr>
        <w:t> </w:t>
      </w:r>
      <w:r>
        <w:rPr/>
        <w:t>også</w:t>
      </w:r>
      <w:r>
        <w:rPr>
          <w:spacing w:val="-16"/>
        </w:rPr>
        <w:t> </w:t>
      </w:r>
      <w:r>
        <w:rPr/>
        <w:t>tydeligt,</w:t>
      </w:r>
      <w:r>
        <w:rPr>
          <w:spacing w:val="-17"/>
        </w:rPr>
        <w:t> </w:t>
      </w:r>
      <w:r>
        <w:rPr/>
        <w:t>at</w:t>
      </w:r>
      <w:r>
        <w:rPr>
          <w:spacing w:val="-16"/>
        </w:rPr>
        <w:t> </w:t>
      </w:r>
      <w:r>
        <w:rPr/>
        <w:t>Regionernes</w:t>
      </w:r>
      <w:r>
        <w:rPr>
          <w:spacing w:val="-15"/>
        </w:rPr>
        <w:t> </w:t>
      </w:r>
      <w:r>
        <w:rPr/>
        <w:t>data</w:t>
      </w:r>
      <w:r>
        <w:rPr>
          <w:spacing w:val="-17"/>
        </w:rPr>
        <w:t> </w:t>
      </w:r>
      <w:r>
        <w:rPr/>
        <w:t>indeholder meget</w:t>
      </w:r>
      <w:r>
        <w:rPr>
          <w:spacing w:val="-10"/>
        </w:rPr>
        <w:t> </w:t>
      </w:r>
      <w:r>
        <w:rPr/>
        <w:t>få</w:t>
      </w:r>
      <w:r>
        <w:rPr>
          <w:spacing w:val="-9"/>
        </w:rPr>
        <w:t> </w:t>
      </w:r>
      <w:r>
        <w:rPr/>
        <w:t>pejletidsserier,</w:t>
      </w:r>
      <w:r>
        <w:rPr>
          <w:spacing w:val="-11"/>
        </w:rPr>
        <w:t> </w:t>
      </w:r>
      <w:r>
        <w:rPr/>
        <w:t>og</w:t>
      </w:r>
      <w:r>
        <w:rPr>
          <w:spacing w:val="-8"/>
        </w:rPr>
        <w:t> </w:t>
      </w:r>
      <w:r>
        <w:rPr/>
        <w:t>antallet</w:t>
      </w:r>
      <w:r>
        <w:rPr>
          <w:spacing w:val="-10"/>
        </w:rPr>
        <w:t> </w:t>
      </w:r>
      <w:r>
        <w:rPr/>
        <w:t>af</w:t>
      </w:r>
      <w:r>
        <w:rPr>
          <w:spacing w:val="-10"/>
        </w:rPr>
        <w:t> </w:t>
      </w:r>
      <w:r>
        <w:rPr/>
        <w:t>individuelle</w:t>
      </w:r>
      <w:r>
        <w:rPr>
          <w:spacing w:val="-7"/>
        </w:rPr>
        <w:t> </w:t>
      </w:r>
      <w:r>
        <w:rPr/>
        <w:t>pejlinger</w:t>
      </w:r>
      <w:r>
        <w:rPr>
          <w:spacing w:val="-10"/>
        </w:rPr>
        <w:t> </w:t>
      </w:r>
      <w:r>
        <w:rPr/>
        <w:t>er</w:t>
      </w:r>
      <w:r>
        <w:rPr>
          <w:spacing w:val="-9"/>
        </w:rPr>
        <w:t> </w:t>
      </w:r>
      <w:r>
        <w:rPr/>
        <w:t>kun</w:t>
      </w:r>
      <w:r>
        <w:rPr>
          <w:spacing w:val="-8"/>
        </w:rPr>
        <w:t> </w:t>
      </w:r>
      <w:r>
        <w:rPr/>
        <w:t>ca.</w:t>
      </w:r>
      <w:r>
        <w:rPr>
          <w:spacing w:val="-10"/>
        </w:rPr>
        <w:t> </w:t>
      </w:r>
      <w:r>
        <w:rPr/>
        <w:t>det</w:t>
      </w:r>
      <w:r>
        <w:rPr>
          <w:spacing w:val="-10"/>
        </w:rPr>
        <w:t> </w:t>
      </w:r>
      <w:r>
        <w:rPr/>
        <w:t>dobbelte</w:t>
      </w:r>
      <w:r>
        <w:rPr>
          <w:spacing w:val="-8"/>
        </w:rPr>
        <w:t> </w:t>
      </w:r>
      <w:r>
        <w:rPr/>
        <w:t>af</w:t>
      </w:r>
      <w:r>
        <w:rPr>
          <w:spacing w:val="-8"/>
        </w:rPr>
        <w:t> </w:t>
      </w:r>
      <w:r>
        <w:rPr/>
        <w:t>antallet af boringer. Desuden centreres Regionernes data forholdsvis typisk om de større byer Her- ning og Odense, mens den rumlige fordeling er ringe, se </w:t>
      </w:r>
      <w:hyperlink w:history="true" w:anchor="_bookmark30">
        <w:r>
          <w:rPr/>
          <w:t>figur 14 </w:t>
        </w:r>
      </w:hyperlink>
      <w:r>
        <w:rPr/>
        <w:t>og 15. Med hensyn til fordelingen mellem dybe og terrænnære boringer, så udgør de terrænnære boringer ca. 1/3 af alle boringer i Storå oplandet og over halvdelen i Odense Å</w:t>
      </w:r>
      <w:r>
        <w:rPr>
          <w:spacing w:val="-19"/>
        </w:rPr>
        <w:t> </w:t>
      </w:r>
      <w:r>
        <w:rPr/>
        <w:t>oplandet.</w:t>
      </w:r>
    </w:p>
    <w:p>
      <w:pPr>
        <w:pStyle w:val="BodyText"/>
        <w:spacing w:before="5"/>
        <w:rPr>
          <w:sz w:val="24"/>
        </w:rPr>
      </w:pPr>
    </w:p>
    <w:p>
      <w:pPr>
        <w:spacing w:before="0"/>
        <w:ind w:left="525" w:right="814" w:firstLine="0"/>
        <w:jc w:val="both"/>
        <w:rPr>
          <w:rFonts w:ascii="Calibri" w:hAnsi="Calibri"/>
          <w:sz w:val="18"/>
        </w:rPr>
      </w:pPr>
      <w:bookmarkStart w:name="_bookmark29" w:id="44"/>
      <w:bookmarkEnd w:id="44"/>
      <w:r>
        <w:rPr/>
      </w:r>
      <w:r>
        <w:rPr>
          <w:rFonts w:ascii="Calibri" w:hAnsi="Calibri"/>
          <w:i/>
          <w:color w:val="44536A"/>
          <w:sz w:val="18"/>
        </w:rPr>
        <w:t>Tabel 5 </w:t>
      </w:r>
      <w:r>
        <w:rPr>
          <w:rFonts w:ascii="Calibri" w:hAnsi="Calibri"/>
          <w:color w:val="44536A"/>
          <w:sz w:val="18"/>
        </w:rPr>
        <w:t>Tilgængelige boringer og pejlinger for perioden 2000 – 2008 baseret på både Jupiter data og data fra Regio- nerne.</w:t>
      </w:r>
    </w:p>
    <w:p>
      <w:pPr>
        <w:pStyle w:val="BodyText"/>
        <w:spacing w:before="5"/>
        <w:rPr>
          <w:rFonts w:ascii="Calibri"/>
          <w:sz w:val="16"/>
        </w:r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60"/>
        <w:gridCol w:w="1721"/>
        <w:gridCol w:w="1262"/>
        <w:gridCol w:w="1295"/>
        <w:gridCol w:w="1269"/>
        <w:gridCol w:w="1283"/>
      </w:tblGrid>
      <w:tr>
        <w:trPr>
          <w:trHeight w:val="389" w:hRule="atLeast"/>
        </w:trPr>
        <w:tc>
          <w:tcPr>
            <w:tcW w:w="960" w:type="dxa"/>
            <w:vMerge w:val="restart"/>
            <w:tcBorders>
              <w:bottom w:val="single" w:sz="8" w:space="0" w:color="000000"/>
            </w:tcBorders>
          </w:tcPr>
          <w:p>
            <w:pPr>
              <w:pStyle w:val="TableParagraph"/>
              <w:jc w:val="left"/>
              <w:rPr>
                <w:rFonts w:ascii="Times New Roman"/>
                <w:sz w:val="20"/>
              </w:rPr>
            </w:pPr>
          </w:p>
        </w:tc>
        <w:tc>
          <w:tcPr>
            <w:tcW w:w="1721" w:type="dxa"/>
            <w:vMerge w:val="restart"/>
            <w:tcBorders>
              <w:bottom w:val="single" w:sz="8" w:space="0" w:color="000000"/>
            </w:tcBorders>
          </w:tcPr>
          <w:p>
            <w:pPr>
              <w:pStyle w:val="TableParagraph"/>
              <w:jc w:val="left"/>
              <w:rPr>
                <w:rFonts w:ascii="Calibri"/>
                <w:sz w:val="22"/>
              </w:rPr>
            </w:pPr>
          </w:p>
          <w:p>
            <w:pPr>
              <w:pStyle w:val="TableParagraph"/>
              <w:spacing w:before="174"/>
              <w:ind w:left="422"/>
              <w:jc w:val="left"/>
              <w:rPr>
                <w:rFonts w:ascii="Calibri"/>
                <w:b/>
                <w:sz w:val="22"/>
              </w:rPr>
            </w:pPr>
            <w:r>
              <w:rPr>
                <w:rFonts w:ascii="Calibri"/>
                <w:b/>
                <w:sz w:val="22"/>
              </w:rPr>
              <w:t>Datakilde</w:t>
            </w:r>
          </w:p>
        </w:tc>
        <w:tc>
          <w:tcPr>
            <w:tcW w:w="2557" w:type="dxa"/>
            <w:gridSpan w:val="2"/>
            <w:tcBorders>
              <w:bottom w:val="nil"/>
            </w:tcBorders>
          </w:tcPr>
          <w:p>
            <w:pPr>
              <w:pStyle w:val="TableParagraph"/>
              <w:spacing w:before="23"/>
              <w:ind w:left="993" w:right="983"/>
              <w:rPr>
                <w:rFonts w:ascii="Calibri" w:hAnsi="Calibri"/>
                <w:b/>
                <w:sz w:val="24"/>
              </w:rPr>
            </w:pPr>
            <w:r>
              <w:rPr>
                <w:rFonts w:ascii="Calibri" w:hAnsi="Calibri"/>
                <w:b/>
                <w:sz w:val="24"/>
              </w:rPr>
              <w:t>Storå</w:t>
            </w:r>
          </w:p>
        </w:tc>
        <w:tc>
          <w:tcPr>
            <w:tcW w:w="2552" w:type="dxa"/>
            <w:gridSpan w:val="2"/>
            <w:tcBorders>
              <w:bottom w:val="nil"/>
            </w:tcBorders>
          </w:tcPr>
          <w:p>
            <w:pPr>
              <w:pStyle w:val="TableParagraph"/>
              <w:spacing w:before="23"/>
              <w:ind w:left="801"/>
              <w:jc w:val="left"/>
              <w:rPr>
                <w:rFonts w:ascii="Calibri" w:hAnsi="Calibri"/>
                <w:b/>
                <w:sz w:val="24"/>
              </w:rPr>
            </w:pPr>
            <w:r>
              <w:rPr>
                <w:rFonts w:ascii="Calibri" w:hAnsi="Calibri"/>
                <w:b/>
                <w:sz w:val="24"/>
              </w:rPr>
              <w:t>Odense Å</w:t>
            </w:r>
          </w:p>
        </w:tc>
      </w:tr>
      <w:tr>
        <w:trPr>
          <w:trHeight w:val="432" w:hRule="atLeast"/>
        </w:trPr>
        <w:tc>
          <w:tcPr>
            <w:tcW w:w="960" w:type="dxa"/>
            <w:vMerge/>
            <w:tcBorders>
              <w:top w:val="nil"/>
              <w:bottom w:val="single" w:sz="8" w:space="0" w:color="000000"/>
            </w:tcBorders>
          </w:tcPr>
          <w:p>
            <w:pPr>
              <w:rPr>
                <w:sz w:val="2"/>
                <w:szCs w:val="2"/>
              </w:rPr>
            </w:pPr>
          </w:p>
        </w:tc>
        <w:tc>
          <w:tcPr>
            <w:tcW w:w="1721" w:type="dxa"/>
            <w:vMerge/>
            <w:tcBorders>
              <w:top w:val="nil"/>
              <w:bottom w:val="single" w:sz="8" w:space="0" w:color="000000"/>
            </w:tcBorders>
          </w:tcPr>
          <w:p>
            <w:pPr>
              <w:rPr>
                <w:sz w:val="2"/>
                <w:szCs w:val="2"/>
              </w:rPr>
            </w:pPr>
          </w:p>
        </w:tc>
        <w:tc>
          <w:tcPr>
            <w:tcW w:w="1262" w:type="dxa"/>
            <w:tcBorders>
              <w:top w:val="nil"/>
              <w:bottom w:val="single" w:sz="8" w:space="0" w:color="000000"/>
              <w:right w:val="nil"/>
            </w:tcBorders>
          </w:tcPr>
          <w:p>
            <w:pPr>
              <w:pStyle w:val="TableParagraph"/>
              <w:spacing w:before="33"/>
              <w:ind w:left="140" w:right="136"/>
              <w:rPr>
                <w:rFonts w:ascii="Calibri"/>
                <w:b/>
                <w:sz w:val="22"/>
              </w:rPr>
            </w:pPr>
            <w:r>
              <w:rPr>
                <w:rFonts w:ascii="Calibri"/>
                <w:b/>
                <w:sz w:val="22"/>
              </w:rPr>
              <w:t># boringer</w:t>
            </w:r>
          </w:p>
        </w:tc>
        <w:tc>
          <w:tcPr>
            <w:tcW w:w="1295" w:type="dxa"/>
            <w:tcBorders>
              <w:top w:val="nil"/>
              <w:left w:val="nil"/>
              <w:bottom w:val="single" w:sz="8" w:space="0" w:color="000000"/>
            </w:tcBorders>
          </w:tcPr>
          <w:p>
            <w:pPr>
              <w:pStyle w:val="TableParagraph"/>
              <w:spacing w:before="33"/>
              <w:ind w:left="149" w:right="136"/>
              <w:rPr>
                <w:rFonts w:ascii="Calibri"/>
                <w:b/>
                <w:sz w:val="22"/>
              </w:rPr>
            </w:pPr>
            <w:r>
              <w:rPr>
                <w:rFonts w:ascii="Calibri"/>
                <w:b/>
                <w:sz w:val="22"/>
              </w:rPr>
              <w:t># pejlinger</w:t>
            </w:r>
          </w:p>
        </w:tc>
        <w:tc>
          <w:tcPr>
            <w:tcW w:w="1269" w:type="dxa"/>
            <w:tcBorders>
              <w:top w:val="nil"/>
              <w:bottom w:val="single" w:sz="8" w:space="0" w:color="000000"/>
              <w:right w:val="nil"/>
            </w:tcBorders>
          </w:tcPr>
          <w:p>
            <w:pPr>
              <w:pStyle w:val="TableParagraph"/>
              <w:spacing w:before="33"/>
              <w:ind w:left="152" w:right="132"/>
              <w:rPr>
                <w:rFonts w:ascii="Calibri"/>
                <w:b/>
                <w:sz w:val="22"/>
              </w:rPr>
            </w:pPr>
            <w:r>
              <w:rPr>
                <w:rFonts w:ascii="Calibri"/>
                <w:b/>
                <w:sz w:val="22"/>
              </w:rPr>
              <w:t># boringer</w:t>
            </w:r>
          </w:p>
        </w:tc>
        <w:tc>
          <w:tcPr>
            <w:tcW w:w="1283" w:type="dxa"/>
            <w:tcBorders>
              <w:top w:val="nil"/>
              <w:left w:val="nil"/>
              <w:bottom w:val="single" w:sz="8" w:space="0" w:color="000000"/>
            </w:tcBorders>
          </w:tcPr>
          <w:p>
            <w:pPr>
              <w:pStyle w:val="TableParagraph"/>
              <w:spacing w:before="33"/>
              <w:ind w:left="149" w:right="125"/>
              <w:rPr>
                <w:rFonts w:ascii="Calibri"/>
                <w:b/>
                <w:sz w:val="22"/>
              </w:rPr>
            </w:pPr>
            <w:r>
              <w:rPr>
                <w:rFonts w:ascii="Calibri"/>
                <w:b/>
                <w:sz w:val="22"/>
              </w:rPr>
              <w:t># pejlinger</w:t>
            </w:r>
          </w:p>
        </w:tc>
      </w:tr>
      <w:tr>
        <w:trPr>
          <w:trHeight w:val="320" w:hRule="atLeast"/>
        </w:trPr>
        <w:tc>
          <w:tcPr>
            <w:tcW w:w="960" w:type="dxa"/>
            <w:vMerge w:val="restart"/>
            <w:tcBorders>
              <w:top w:val="single" w:sz="8" w:space="0" w:color="000000"/>
              <w:bottom w:val="single" w:sz="8" w:space="0" w:color="000000"/>
            </w:tcBorders>
          </w:tcPr>
          <w:p>
            <w:pPr>
              <w:pStyle w:val="TableParagraph"/>
              <w:jc w:val="left"/>
              <w:rPr>
                <w:rFonts w:ascii="Calibri"/>
                <w:sz w:val="28"/>
              </w:rPr>
            </w:pPr>
          </w:p>
          <w:p>
            <w:pPr>
              <w:pStyle w:val="TableParagraph"/>
              <w:ind w:left="316"/>
              <w:jc w:val="left"/>
              <w:rPr>
                <w:rFonts w:ascii="Calibri"/>
                <w:b/>
                <w:sz w:val="22"/>
              </w:rPr>
            </w:pPr>
            <w:r>
              <w:rPr>
                <w:rFonts w:ascii="Calibri"/>
                <w:b/>
                <w:sz w:val="22"/>
              </w:rPr>
              <w:t>alle</w:t>
            </w:r>
          </w:p>
        </w:tc>
        <w:tc>
          <w:tcPr>
            <w:tcW w:w="1721" w:type="dxa"/>
            <w:tcBorders>
              <w:top w:val="single" w:sz="8" w:space="0" w:color="000000"/>
              <w:bottom w:val="nil"/>
            </w:tcBorders>
          </w:tcPr>
          <w:p>
            <w:pPr>
              <w:pStyle w:val="TableParagraph"/>
              <w:spacing w:before="30"/>
              <w:ind w:left="321" w:right="317"/>
              <w:rPr>
                <w:rFonts w:ascii="Calibri"/>
                <w:sz w:val="20"/>
              </w:rPr>
            </w:pPr>
            <w:r>
              <w:rPr>
                <w:rFonts w:ascii="Calibri"/>
                <w:sz w:val="20"/>
              </w:rPr>
              <w:t>Jupiter/DKM</w:t>
            </w:r>
          </w:p>
        </w:tc>
        <w:tc>
          <w:tcPr>
            <w:tcW w:w="1262" w:type="dxa"/>
            <w:tcBorders>
              <w:top w:val="single" w:sz="8" w:space="0" w:color="000000"/>
              <w:bottom w:val="nil"/>
              <w:right w:val="nil"/>
            </w:tcBorders>
          </w:tcPr>
          <w:p>
            <w:pPr>
              <w:pStyle w:val="TableParagraph"/>
              <w:spacing w:before="30"/>
              <w:ind w:left="136" w:right="136"/>
              <w:rPr>
                <w:rFonts w:ascii="Calibri"/>
                <w:sz w:val="20"/>
              </w:rPr>
            </w:pPr>
            <w:r>
              <w:rPr>
                <w:rFonts w:ascii="Calibri"/>
                <w:sz w:val="20"/>
              </w:rPr>
              <w:t>772</w:t>
            </w:r>
          </w:p>
        </w:tc>
        <w:tc>
          <w:tcPr>
            <w:tcW w:w="1295" w:type="dxa"/>
            <w:tcBorders>
              <w:top w:val="single" w:sz="8" w:space="0" w:color="000000"/>
              <w:left w:val="nil"/>
              <w:bottom w:val="nil"/>
            </w:tcBorders>
          </w:tcPr>
          <w:p>
            <w:pPr>
              <w:pStyle w:val="TableParagraph"/>
              <w:spacing w:before="30"/>
              <w:ind w:left="148" w:right="136"/>
              <w:rPr>
                <w:rFonts w:ascii="Calibri"/>
                <w:sz w:val="20"/>
              </w:rPr>
            </w:pPr>
            <w:r>
              <w:rPr>
                <w:rFonts w:ascii="Calibri"/>
                <w:sz w:val="20"/>
              </w:rPr>
              <w:t>4983</w:t>
            </w:r>
          </w:p>
        </w:tc>
        <w:tc>
          <w:tcPr>
            <w:tcW w:w="1269" w:type="dxa"/>
            <w:tcBorders>
              <w:top w:val="single" w:sz="8" w:space="0" w:color="000000"/>
              <w:bottom w:val="nil"/>
              <w:right w:val="nil"/>
            </w:tcBorders>
          </w:tcPr>
          <w:p>
            <w:pPr>
              <w:pStyle w:val="TableParagraph"/>
              <w:spacing w:before="30"/>
              <w:ind w:left="148" w:right="132"/>
              <w:rPr>
                <w:rFonts w:ascii="Calibri"/>
                <w:sz w:val="20"/>
              </w:rPr>
            </w:pPr>
            <w:r>
              <w:rPr>
                <w:rFonts w:ascii="Calibri"/>
                <w:sz w:val="20"/>
              </w:rPr>
              <w:t>1097</w:t>
            </w:r>
          </w:p>
        </w:tc>
        <w:tc>
          <w:tcPr>
            <w:tcW w:w="1283" w:type="dxa"/>
            <w:tcBorders>
              <w:top w:val="single" w:sz="8" w:space="0" w:color="000000"/>
              <w:left w:val="nil"/>
              <w:bottom w:val="nil"/>
            </w:tcBorders>
          </w:tcPr>
          <w:p>
            <w:pPr>
              <w:pStyle w:val="TableParagraph"/>
              <w:spacing w:before="30"/>
              <w:ind w:left="148" w:right="125"/>
              <w:rPr>
                <w:rFonts w:ascii="Calibri"/>
                <w:sz w:val="20"/>
              </w:rPr>
            </w:pPr>
            <w:r>
              <w:rPr>
                <w:rFonts w:ascii="Calibri"/>
                <w:sz w:val="20"/>
              </w:rPr>
              <w:t>42443</w:t>
            </w:r>
          </w:p>
        </w:tc>
      </w:tr>
      <w:tr>
        <w:trPr>
          <w:trHeight w:val="302" w:hRule="atLeast"/>
        </w:trPr>
        <w:tc>
          <w:tcPr>
            <w:tcW w:w="960" w:type="dxa"/>
            <w:vMerge/>
            <w:tcBorders>
              <w:top w:val="nil"/>
              <w:bottom w:val="single" w:sz="8" w:space="0" w:color="000000"/>
            </w:tcBorders>
          </w:tcPr>
          <w:p>
            <w:pPr>
              <w:rPr>
                <w:sz w:val="2"/>
                <w:szCs w:val="2"/>
              </w:rPr>
            </w:pPr>
          </w:p>
        </w:tc>
        <w:tc>
          <w:tcPr>
            <w:tcW w:w="1721" w:type="dxa"/>
            <w:tcBorders>
              <w:top w:val="nil"/>
              <w:bottom w:val="nil"/>
            </w:tcBorders>
          </w:tcPr>
          <w:p>
            <w:pPr>
              <w:pStyle w:val="TableParagraph"/>
              <w:spacing w:before="9"/>
              <w:ind w:left="320" w:right="317"/>
              <w:rPr>
                <w:rFonts w:ascii="Calibri"/>
                <w:sz w:val="20"/>
              </w:rPr>
            </w:pPr>
            <w:r>
              <w:rPr>
                <w:rFonts w:ascii="Calibri"/>
                <w:sz w:val="20"/>
              </w:rPr>
              <w:t>fra Region</w:t>
            </w:r>
          </w:p>
        </w:tc>
        <w:tc>
          <w:tcPr>
            <w:tcW w:w="1262" w:type="dxa"/>
            <w:tcBorders>
              <w:top w:val="nil"/>
              <w:bottom w:val="nil"/>
              <w:right w:val="nil"/>
            </w:tcBorders>
          </w:tcPr>
          <w:p>
            <w:pPr>
              <w:pStyle w:val="TableParagraph"/>
              <w:spacing w:before="9"/>
              <w:ind w:left="136" w:right="136"/>
              <w:rPr>
                <w:rFonts w:ascii="Calibri"/>
                <w:sz w:val="20"/>
              </w:rPr>
            </w:pPr>
            <w:r>
              <w:rPr>
                <w:rFonts w:ascii="Calibri"/>
                <w:sz w:val="20"/>
              </w:rPr>
              <w:t>135</w:t>
            </w:r>
          </w:p>
        </w:tc>
        <w:tc>
          <w:tcPr>
            <w:tcW w:w="1295" w:type="dxa"/>
            <w:tcBorders>
              <w:top w:val="nil"/>
              <w:left w:val="nil"/>
              <w:bottom w:val="nil"/>
            </w:tcBorders>
          </w:tcPr>
          <w:p>
            <w:pPr>
              <w:pStyle w:val="TableParagraph"/>
              <w:spacing w:before="9"/>
              <w:ind w:left="148" w:right="136"/>
              <w:rPr>
                <w:rFonts w:ascii="Calibri"/>
                <w:sz w:val="20"/>
              </w:rPr>
            </w:pPr>
            <w:r>
              <w:rPr>
                <w:rFonts w:ascii="Calibri"/>
                <w:sz w:val="20"/>
              </w:rPr>
              <w:t>281</w:t>
            </w:r>
          </w:p>
        </w:tc>
        <w:tc>
          <w:tcPr>
            <w:tcW w:w="1269" w:type="dxa"/>
            <w:tcBorders>
              <w:top w:val="nil"/>
              <w:bottom w:val="nil"/>
              <w:right w:val="nil"/>
            </w:tcBorders>
          </w:tcPr>
          <w:p>
            <w:pPr>
              <w:pStyle w:val="TableParagraph"/>
              <w:spacing w:before="9"/>
              <w:ind w:left="148" w:right="132"/>
              <w:rPr>
                <w:rFonts w:ascii="Calibri"/>
                <w:sz w:val="20"/>
              </w:rPr>
            </w:pPr>
            <w:r>
              <w:rPr>
                <w:rFonts w:ascii="Calibri"/>
                <w:sz w:val="20"/>
              </w:rPr>
              <w:t>753</w:t>
            </w:r>
          </w:p>
        </w:tc>
        <w:tc>
          <w:tcPr>
            <w:tcW w:w="1283" w:type="dxa"/>
            <w:tcBorders>
              <w:top w:val="nil"/>
              <w:left w:val="nil"/>
              <w:bottom w:val="nil"/>
            </w:tcBorders>
          </w:tcPr>
          <w:p>
            <w:pPr>
              <w:pStyle w:val="TableParagraph"/>
              <w:spacing w:before="9"/>
              <w:ind w:left="148" w:right="125"/>
              <w:rPr>
                <w:rFonts w:ascii="Calibri"/>
                <w:sz w:val="20"/>
              </w:rPr>
            </w:pPr>
            <w:r>
              <w:rPr>
                <w:rFonts w:ascii="Calibri"/>
                <w:sz w:val="20"/>
              </w:rPr>
              <w:t>1848</w:t>
            </w:r>
          </w:p>
        </w:tc>
      </w:tr>
      <w:tr>
        <w:trPr>
          <w:trHeight w:val="291" w:hRule="atLeast"/>
        </w:trPr>
        <w:tc>
          <w:tcPr>
            <w:tcW w:w="960" w:type="dxa"/>
            <w:vMerge/>
            <w:tcBorders>
              <w:top w:val="nil"/>
              <w:bottom w:val="single" w:sz="8" w:space="0" w:color="000000"/>
            </w:tcBorders>
          </w:tcPr>
          <w:p>
            <w:pPr>
              <w:rPr>
                <w:sz w:val="2"/>
                <w:szCs w:val="2"/>
              </w:rPr>
            </w:pPr>
          </w:p>
        </w:tc>
        <w:tc>
          <w:tcPr>
            <w:tcW w:w="1721" w:type="dxa"/>
            <w:tcBorders>
              <w:top w:val="nil"/>
              <w:bottom w:val="single" w:sz="8" w:space="0" w:color="000000"/>
            </w:tcBorders>
          </w:tcPr>
          <w:p>
            <w:pPr>
              <w:pStyle w:val="TableParagraph"/>
              <w:spacing w:before="12"/>
              <w:ind w:left="321" w:right="316"/>
              <w:rPr>
                <w:rFonts w:ascii="Calibri"/>
                <w:b/>
                <w:sz w:val="20"/>
              </w:rPr>
            </w:pPr>
            <w:r>
              <w:rPr>
                <w:rFonts w:ascii="Calibri"/>
                <w:b/>
                <w:sz w:val="20"/>
              </w:rPr>
              <w:t>sum</w:t>
            </w:r>
          </w:p>
        </w:tc>
        <w:tc>
          <w:tcPr>
            <w:tcW w:w="1262" w:type="dxa"/>
            <w:tcBorders>
              <w:top w:val="nil"/>
              <w:bottom w:val="single" w:sz="8" w:space="0" w:color="000000"/>
              <w:right w:val="nil"/>
            </w:tcBorders>
          </w:tcPr>
          <w:p>
            <w:pPr>
              <w:pStyle w:val="TableParagraph"/>
              <w:spacing w:before="12"/>
              <w:ind w:left="136" w:right="136"/>
              <w:rPr>
                <w:rFonts w:ascii="Calibri"/>
                <w:b/>
                <w:sz w:val="20"/>
              </w:rPr>
            </w:pPr>
            <w:r>
              <w:rPr>
                <w:rFonts w:ascii="Calibri"/>
                <w:b/>
                <w:sz w:val="20"/>
              </w:rPr>
              <w:t>907</w:t>
            </w:r>
          </w:p>
        </w:tc>
        <w:tc>
          <w:tcPr>
            <w:tcW w:w="1295" w:type="dxa"/>
            <w:tcBorders>
              <w:top w:val="nil"/>
              <w:left w:val="nil"/>
              <w:bottom w:val="single" w:sz="8" w:space="0" w:color="000000"/>
            </w:tcBorders>
          </w:tcPr>
          <w:p>
            <w:pPr>
              <w:pStyle w:val="TableParagraph"/>
              <w:spacing w:before="12"/>
              <w:ind w:left="148" w:right="136"/>
              <w:rPr>
                <w:rFonts w:ascii="Calibri"/>
                <w:b/>
                <w:sz w:val="20"/>
              </w:rPr>
            </w:pPr>
            <w:r>
              <w:rPr>
                <w:rFonts w:ascii="Calibri"/>
                <w:b/>
                <w:sz w:val="20"/>
              </w:rPr>
              <w:t>5264</w:t>
            </w:r>
          </w:p>
        </w:tc>
        <w:tc>
          <w:tcPr>
            <w:tcW w:w="1269" w:type="dxa"/>
            <w:tcBorders>
              <w:top w:val="nil"/>
              <w:bottom w:val="single" w:sz="8" w:space="0" w:color="000000"/>
              <w:right w:val="nil"/>
            </w:tcBorders>
          </w:tcPr>
          <w:p>
            <w:pPr>
              <w:pStyle w:val="TableParagraph"/>
              <w:spacing w:before="12"/>
              <w:ind w:left="148" w:right="132"/>
              <w:rPr>
                <w:rFonts w:ascii="Calibri"/>
                <w:b/>
                <w:sz w:val="20"/>
              </w:rPr>
            </w:pPr>
            <w:r>
              <w:rPr>
                <w:rFonts w:ascii="Calibri"/>
                <w:b/>
                <w:sz w:val="20"/>
              </w:rPr>
              <w:t>1850</w:t>
            </w:r>
          </w:p>
        </w:tc>
        <w:tc>
          <w:tcPr>
            <w:tcW w:w="1283" w:type="dxa"/>
            <w:tcBorders>
              <w:top w:val="nil"/>
              <w:left w:val="nil"/>
              <w:bottom w:val="single" w:sz="8" w:space="0" w:color="000000"/>
            </w:tcBorders>
          </w:tcPr>
          <w:p>
            <w:pPr>
              <w:pStyle w:val="TableParagraph"/>
              <w:spacing w:before="12"/>
              <w:ind w:left="148" w:right="125"/>
              <w:rPr>
                <w:rFonts w:ascii="Calibri"/>
                <w:b/>
                <w:sz w:val="20"/>
              </w:rPr>
            </w:pPr>
            <w:r>
              <w:rPr>
                <w:rFonts w:ascii="Calibri"/>
                <w:b/>
                <w:sz w:val="20"/>
              </w:rPr>
              <w:t>44291</w:t>
            </w:r>
          </w:p>
        </w:tc>
      </w:tr>
      <w:tr>
        <w:trPr>
          <w:trHeight w:val="320" w:hRule="atLeast"/>
        </w:trPr>
        <w:tc>
          <w:tcPr>
            <w:tcW w:w="960" w:type="dxa"/>
            <w:tcBorders>
              <w:top w:val="single" w:sz="8" w:space="0" w:color="000000"/>
              <w:bottom w:val="nil"/>
            </w:tcBorders>
          </w:tcPr>
          <w:p>
            <w:pPr>
              <w:pStyle w:val="TableParagraph"/>
              <w:spacing w:before="15"/>
              <w:ind w:left="194"/>
              <w:jc w:val="left"/>
              <w:rPr>
                <w:rFonts w:ascii="Calibri"/>
                <w:b/>
                <w:sz w:val="22"/>
              </w:rPr>
            </w:pPr>
            <w:r>
              <w:rPr>
                <w:rFonts w:ascii="Calibri"/>
                <w:b/>
                <w:sz w:val="22"/>
              </w:rPr>
              <w:t>dybde</w:t>
            </w:r>
          </w:p>
        </w:tc>
        <w:tc>
          <w:tcPr>
            <w:tcW w:w="1721" w:type="dxa"/>
            <w:tcBorders>
              <w:top w:val="single" w:sz="8" w:space="0" w:color="000000"/>
              <w:bottom w:val="nil"/>
            </w:tcBorders>
          </w:tcPr>
          <w:p>
            <w:pPr>
              <w:pStyle w:val="TableParagraph"/>
              <w:spacing w:before="30"/>
              <w:ind w:left="321" w:right="317"/>
              <w:rPr>
                <w:rFonts w:ascii="Calibri"/>
                <w:sz w:val="20"/>
              </w:rPr>
            </w:pPr>
            <w:r>
              <w:rPr>
                <w:rFonts w:ascii="Calibri"/>
                <w:sz w:val="20"/>
              </w:rPr>
              <w:t>Jupiter/DKM</w:t>
            </w:r>
          </w:p>
        </w:tc>
        <w:tc>
          <w:tcPr>
            <w:tcW w:w="1262" w:type="dxa"/>
            <w:tcBorders>
              <w:top w:val="single" w:sz="8" w:space="0" w:color="000000"/>
              <w:bottom w:val="nil"/>
              <w:right w:val="nil"/>
            </w:tcBorders>
          </w:tcPr>
          <w:p>
            <w:pPr>
              <w:pStyle w:val="TableParagraph"/>
              <w:spacing w:before="30"/>
              <w:ind w:left="136" w:right="136"/>
              <w:rPr>
                <w:rFonts w:ascii="Calibri"/>
                <w:sz w:val="20"/>
              </w:rPr>
            </w:pPr>
            <w:r>
              <w:rPr>
                <w:rFonts w:ascii="Calibri"/>
                <w:sz w:val="20"/>
              </w:rPr>
              <w:t>252</w:t>
            </w:r>
          </w:p>
        </w:tc>
        <w:tc>
          <w:tcPr>
            <w:tcW w:w="1295" w:type="dxa"/>
            <w:tcBorders>
              <w:top w:val="single" w:sz="8" w:space="0" w:color="000000"/>
              <w:left w:val="nil"/>
              <w:bottom w:val="nil"/>
            </w:tcBorders>
          </w:tcPr>
          <w:p>
            <w:pPr>
              <w:pStyle w:val="TableParagraph"/>
              <w:spacing w:before="30"/>
              <w:ind w:left="148" w:right="136"/>
              <w:rPr>
                <w:rFonts w:ascii="Calibri"/>
                <w:sz w:val="20"/>
              </w:rPr>
            </w:pPr>
            <w:r>
              <w:rPr>
                <w:rFonts w:ascii="Calibri"/>
                <w:sz w:val="20"/>
              </w:rPr>
              <w:t>348</w:t>
            </w:r>
          </w:p>
        </w:tc>
        <w:tc>
          <w:tcPr>
            <w:tcW w:w="1269" w:type="dxa"/>
            <w:tcBorders>
              <w:top w:val="single" w:sz="8" w:space="0" w:color="000000"/>
              <w:bottom w:val="nil"/>
              <w:right w:val="nil"/>
            </w:tcBorders>
          </w:tcPr>
          <w:p>
            <w:pPr>
              <w:pStyle w:val="TableParagraph"/>
              <w:spacing w:before="30"/>
              <w:ind w:left="148" w:right="132"/>
              <w:rPr>
                <w:rFonts w:ascii="Calibri"/>
                <w:sz w:val="20"/>
              </w:rPr>
            </w:pPr>
            <w:r>
              <w:rPr>
                <w:rFonts w:ascii="Calibri"/>
                <w:sz w:val="20"/>
              </w:rPr>
              <w:t>519</w:t>
            </w:r>
          </w:p>
        </w:tc>
        <w:tc>
          <w:tcPr>
            <w:tcW w:w="1283" w:type="dxa"/>
            <w:tcBorders>
              <w:top w:val="single" w:sz="8" w:space="0" w:color="000000"/>
              <w:left w:val="nil"/>
              <w:bottom w:val="nil"/>
            </w:tcBorders>
          </w:tcPr>
          <w:p>
            <w:pPr>
              <w:pStyle w:val="TableParagraph"/>
              <w:spacing w:before="30"/>
              <w:ind w:left="148" w:right="125"/>
              <w:rPr>
                <w:rFonts w:ascii="Calibri"/>
                <w:sz w:val="20"/>
              </w:rPr>
            </w:pPr>
            <w:r>
              <w:rPr>
                <w:rFonts w:ascii="Calibri"/>
                <w:sz w:val="20"/>
              </w:rPr>
              <w:t>650</w:t>
            </w:r>
          </w:p>
        </w:tc>
      </w:tr>
      <w:tr>
        <w:trPr>
          <w:trHeight w:val="300" w:hRule="atLeast"/>
        </w:trPr>
        <w:tc>
          <w:tcPr>
            <w:tcW w:w="960" w:type="dxa"/>
            <w:tcBorders>
              <w:top w:val="nil"/>
              <w:bottom w:val="nil"/>
            </w:tcBorders>
          </w:tcPr>
          <w:p>
            <w:pPr>
              <w:pStyle w:val="TableParagraph"/>
              <w:spacing w:line="264" w:lineRule="exact"/>
              <w:ind w:left="172"/>
              <w:jc w:val="left"/>
              <w:rPr>
                <w:rFonts w:ascii="Calibri"/>
                <w:b/>
                <w:sz w:val="22"/>
              </w:rPr>
            </w:pPr>
            <w:r>
              <w:rPr>
                <w:rFonts w:ascii="Calibri"/>
                <w:b/>
                <w:sz w:val="22"/>
              </w:rPr>
              <w:t>&lt; 10 m</w:t>
            </w:r>
          </w:p>
        </w:tc>
        <w:tc>
          <w:tcPr>
            <w:tcW w:w="1721" w:type="dxa"/>
            <w:tcBorders>
              <w:top w:val="nil"/>
              <w:bottom w:val="nil"/>
            </w:tcBorders>
          </w:tcPr>
          <w:p>
            <w:pPr>
              <w:pStyle w:val="TableParagraph"/>
              <w:spacing w:before="10"/>
              <w:ind w:left="320" w:right="317"/>
              <w:rPr>
                <w:rFonts w:ascii="Calibri"/>
                <w:sz w:val="20"/>
              </w:rPr>
            </w:pPr>
            <w:r>
              <w:rPr>
                <w:rFonts w:ascii="Calibri"/>
                <w:sz w:val="20"/>
              </w:rPr>
              <w:t>fra Region</w:t>
            </w:r>
          </w:p>
        </w:tc>
        <w:tc>
          <w:tcPr>
            <w:tcW w:w="1262" w:type="dxa"/>
            <w:tcBorders>
              <w:top w:val="nil"/>
              <w:bottom w:val="nil"/>
              <w:right w:val="nil"/>
            </w:tcBorders>
          </w:tcPr>
          <w:p>
            <w:pPr>
              <w:pStyle w:val="TableParagraph"/>
              <w:spacing w:before="10"/>
              <w:ind w:left="136" w:right="136"/>
              <w:rPr>
                <w:rFonts w:ascii="Calibri"/>
                <w:sz w:val="20"/>
              </w:rPr>
            </w:pPr>
            <w:r>
              <w:rPr>
                <w:rFonts w:ascii="Calibri"/>
                <w:sz w:val="20"/>
              </w:rPr>
              <w:t>105</w:t>
            </w:r>
          </w:p>
        </w:tc>
        <w:tc>
          <w:tcPr>
            <w:tcW w:w="1295" w:type="dxa"/>
            <w:tcBorders>
              <w:top w:val="nil"/>
              <w:left w:val="nil"/>
              <w:bottom w:val="nil"/>
            </w:tcBorders>
          </w:tcPr>
          <w:p>
            <w:pPr>
              <w:pStyle w:val="TableParagraph"/>
              <w:spacing w:before="10"/>
              <w:ind w:left="148" w:right="136"/>
              <w:rPr>
                <w:rFonts w:ascii="Calibri"/>
                <w:sz w:val="20"/>
              </w:rPr>
            </w:pPr>
            <w:r>
              <w:rPr>
                <w:rFonts w:ascii="Calibri"/>
                <w:sz w:val="20"/>
              </w:rPr>
              <w:t>134</w:t>
            </w:r>
          </w:p>
        </w:tc>
        <w:tc>
          <w:tcPr>
            <w:tcW w:w="1269" w:type="dxa"/>
            <w:tcBorders>
              <w:top w:val="nil"/>
              <w:bottom w:val="nil"/>
              <w:right w:val="nil"/>
            </w:tcBorders>
          </w:tcPr>
          <w:p>
            <w:pPr>
              <w:pStyle w:val="TableParagraph"/>
              <w:spacing w:before="10"/>
              <w:ind w:left="148" w:right="132"/>
              <w:rPr>
                <w:rFonts w:ascii="Calibri"/>
                <w:sz w:val="20"/>
              </w:rPr>
            </w:pPr>
            <w:r>
              <w:rPr>
                <w:rFonts w:ascii="Calibri"/>
                <w:sz w:val="20"/>
              </w:rPr>
              <w:t>533</w:t>
            </w:r>
          </w:p>
        </w:tc>
        <w:tc>
          <w:tcPr>
            <w:tcW w:w="1283" w:type="dxa"/>
            <w:tcBorders>
              <w:top w:val="nil"/>
              <w:left w:val="nil"/>
              <w:bottom w:val="nil"/>
            </w:tcBorders>
          </w:tcPr>
          <w:p>
            <w:pPr>
              <w:pStyle w:val="TableParagraph"/>
              <w:spacing w:before="10"/>
              <w:ind w:left="148" w:right="125"/>
              <w:rPr>
                <w:rFonts w:ascii="Calibri"/>
                <w:sz w:val="20"/>
              </w:rPr>
            </w:pPr>
            <w:r>
              <w:rPr>
                <w:rFonts w:ascii="Calibri"/>
                <w:sz w:val="20"/>
              </w:rPr>
              <w:t>1615</w:t>
            </w:r>
          </w:p>
        </w:tc>
      </w:tr>
      <w:tr>
        <w:trPr>
          <w:trHeight w:val="281" w:hRule="atLeast"/>
        </w:trPr>
        <w:tc>
          <w:tcPr>
            <w:tcW w:w="960" w:type="dxa"/>
            <w:tcBorders>
              <w:top w:val="nil"/>
            </w:tcBorders>
          </w:tcPr>
          <w:p>
            <w:pPr>
              <w:pStyle w:val="TableParagraph"/>
              <w:jc w:val="left"/>
              <w:rPr>
                <w:rFonts w:ascii="Times New Roman"/>
                <w:sz w:val="20"/>
              </w:rPr>
            </w:pPr>
          </w:p>
        </w:tc>
        <w:tc>
          <w:tcPr>
            <w:tcW w:w="1721" w:type="dxa"/>
            <w:tcBorders>
              <w:top w:val="nil"/>
            </w:tcBorders>
          </w:tcPr>
          <w:p>
            <w:pPr>
              <w:pStyle w:val="TableParagraph"/>
              <w:spacing w:before="9"/>
              <w:ind w:left="321" w:right="316"/>
              <w:rPr>
                <w:rFonts w:ascii="Calibri"/>
                <w:b/>
                <w:sz w:val="20"/>
              </w:rPr>
            </w:pPr>
            <w:r>
              <w:rPr>
                <w:rFonts w:ascii="Calibri"/>
                <w:b/>
                <w:sz w:val="20"/>
              </w:rPr>
              <w:t>sum</w:t>
            </w:r>
          </w:p>
        </w:tc>
        <w:tc>
          <w:tcPr>
            <w:tcW w:w="1262" w:type="dxa"/>
            <w:tcBorders>
              <w:top w:val="nil"/>
              <w:right w:val="nil"/>
            </w:tcBorders>
          </w:tcPr>
          <w:p>
            <w:pPr>
              <w:pStyle w:val="TableParagraph"/>
              <w:spacing w:before="9"/>
              <w:ind w:left="136" w:right="136"/>
              <w:rPr>
                <w:rFonts w:ascii="Calibri"/>
                <w:b/>
                <w:sz w:val="20"/>
              </w:rPr>
            </w:pPr>
            <w:r>
              <w:rPr>
                <w:rFonts w:ascii="Calibri"/>
                <w:b/>
                <w:sz w:val="20"/>
              </w:rPr>
              <w:t>357</w:t>
            </w:r>
          </w:p>
        </w:tc>
        <w:tc>
          <w:tcPr>
            <w:tcW w:w="1295" w:type="dxa"/>
            <w:tcBorders>
              <w:top w:val="nil"/>
              <w:left w:val="nil"/>
            </w:tcBorders>
          </w:tcPr>
          <w:p>
            <w:pPr>
              <w:pStyle w:val="TableParagraph"/>
              <w:spacing w:before="9"/>
              <w:ind w:left="148" w:right="136"/>
              <w:rPr>
                <w:rFonts w:ascii="Calibri"/>
                <w:b/>
                <w:sz w:val="20"/>
              </w:rPr>
            </w:pPr>
            <w:r>
              <w:rPr>
                <w:rFonts w:ascii="Calibri"/>
                <w:b/>
                <w:sz w:val="20"/>
              </w:rPr>
              <w:t>482</w:t>
            </w:r>
          </w:p>
        </w:tc>
        <w:tc>
          <w:tcPr>
            <w:tcW w:w="1269" w:type="dxa"/>
            <w:tcBorders>
              <w:top w:val="nil"/>
              <w:right w:val="nil"/>
            </w:tcBorders>
          </w:tcPr>
          <w:p>
            <w:pPr>
              <w:pStyle w:val="TableParagraph"/>
              <w:spacing w:before="9"/>
              <w:ind w:left="148" w:right="132"/>
              <w:rPr>
                <w:rFonts w:ascii="Calibri"/>
                <w:b/>
                <w:sz w:val="20"/>
              </w:rPr>
            </w:pPr>
            <w:r>
              <w:rPr>
                <w:rFonts w:ascii="Calibri"/>
                <w:b/>
                <w:sz w:val="20"/>
              </w:rPr>
              <w:t>1052</w:t>
            </w:r>
          </w:p>
        </w:tc>
        <w:tc>
          <w:tcPr>
            <w:tcW w:w="1283" w:type="dxa"/>
            <w:tcBorders>
              <w:top w:val="nil"/>
              <w:left w:val="nil"/>
            </w:tcBorders>
          </w:tcPr>
          <w:p>
            <w:pPr>
              <w:pStyle w:val="TableParagraph"/>
              <w:spacing w:before="9"/>
              <w:ind w:left="148" w:right="125"/>
              <w:rPr>
                <w:rFonts w:ascii="Calibri"/>
                <w:b/>
                <w:sz w:val="20"/>
              </w:rPr>
            </w:pPr>
            <w:r>
              <w:rPr>
                <w:rFonts w:ascii="Calibri"/>
                <w:b/>
                <w:sz w:val="20"/>
              </w:rPr>
              <w:t>2265</w:t>
            </w:r>
          </w:p>
        </w:tc>
      </w:tr>
    </w:tbl>
    <w:p>
      <w:pPr>
        <w:spacing w:after="0"/>
        <w:rPr>
          <w:rFonts w:ascii="Calibri"/>
          <w:sz w:val="20"/>
        </w:rPr>
        <w:sectPr>
          <w:pgSz w:w="11910" w:h="16850"/>
          <w:pgMar w:header="0" w:footer="857" w:top="1340" w:bottom="1120" w:left="1460" w:right="680"/>
        </w:sectPr>
      </w:pPr>
    </w:p>
    <w:p>
      <w:pPr>
        <w:pStyle w:val="BodyText"/>
        <w:spacing w:before="5"/>
        <w:rPr>
          <w:rFonts w:ascii="Calibri"/>
          <w:sz w:val="11"/>
        </w:rPr>
      </w:pPr>
    </w:p>
    <w:p>
      <w:pPr>
        <w:pStyle w:val="BodyText"/>
        <w:ind w:left="573"/>
        <w:rPr>
          <w:rFonts w:ascii="Calibri"/>
          <w:sz w:val="20"/>
        </w:rPr>
      </w:pPr>
      <w:r>
        <w:rPr>
          <w:rFonts w:ascii="Calibri"/>
          <w:sz w:val="20"/>
        </w:rPr>
        <w:drawing>
          <wp:inline distT="0" distB="0" distL="0" distR="0">
            <wp:extent cx="5296994" cy="3353562"/>
            <wp:effectExtent l="0" t="0" r="0" b="0"/>
            <wp:docPr id="39" name="image22.jpeg" descr="\\netapp1p\hydro-model\projekter\SDFE-fasttrack\Doc\Rapport\Storaa_JupVSRegion_2000-2008_all.png"/>
            <wp:cNvGraphicFramePr>
              <a:graphicFrameLocks noChangeAspect="1"/>
            </wp:cNvGraphicFramePr>
            <a:graphic>
              <a:graphicData uri="http://schemas.openxmlformats.org/drawingml/2006/picture">
                <pic:pic>
                  <pic:nvPicPr>
                    <pic:cNvPr id="40" name="image22.jpeg"/>
                    <pic:cNvPicPr/>
                  </pic:nvPicPr>
                  <pic:blipFill>
                    <a:blip r:embed="rId28" cstate="print"/>
                    <a:stretch>
                      <a:fillRect/>
                    </a:stretch>
                  </pic:blipFill>
                  <pic:spPr>
                    <a:xfrm>
                      <a:off x="0" y="0"/>
                      <a:ext cx="5296994" cy="3353562"/>
                    </a:xfrm>
                    <a:prstGeom prst="rect">
                      <a:avLst/>
                    </a:prstGeom>
                  </pic:spPr>
                </pic:pic>
              </a:graphicData>
            </a:graphic>
          </wp:inline>
        </w:drawing>
      </w:r>
      <w:r>
        <w:rPr>
          <w:rFonts w:ascii="Calibri"/>
          <w:sz w:val="20"/>
        </w:rPr>
      </w:r>
    </w:p>
    <w:p>
      <w:pPr>
        <w:pStyle w:val="BodyText"/>
        <w:spacing w:before="2"/>
        <w:rPr>
          <w:rFonts w:ascii="Calibri"/>
          <w:sz w:val="8"/>
        </w:rPr>
      </w:pPr>
      <w:r>
        <w:rPr/>
        <w:drawing>
          <wp:anchor distT="0" distB="0" distL="0" distR="0" allowOverlap="1" layoutInCell="1" locked="0" behindDoc="0" simplePos="0" relativeHeight="14">
            <wp:simplePos x="0" y="0"/>
            <wp:positionH relativeFrom="page">
              <wp:posOffset>1291532</wp:posOffset>
            </wp:positionH>
            <wp:positionV relativeFrom="paragraph">
              <wp:posOffset>88392</wp:posOffset>
            </wp:positionV>
            <wp:extent cx="5295709" cy="3353562"/>
            <wp:effectExtent l="0" t="0" r="0" b="0"/>
            <wp:wrapTopAndBottom/>
            <wp:docPr id="41" name="image23.jpeg" descr="\\netapp1p\hydro-model\projekter\SDFE-fasttrack\Doc\Rapport\Storaa_JupVSRegion_2000-2008_tn.png"/>
            <wp:cNvGraphicFramePr>
              <a:graphicFrameLocks noChangeAspect="1"/>
            </wp:cNvGraphicFramePr>
            <a:graphic>
              <a:graphicData uri="http://schemas.openxmlformats.org/drawingml/2006/picture">
                <pic:pic>
                  <pic:nvPicPr>
                    <pic:cNvPr id="42" name="image23.jpeg"/>
                    <pic:cNvPicPr/>
                  </pic:nvPicPr>
                  <pic:blipFill>
                    <a:blip r:embed="rId29" cstate="print"/>
                    <a:stretch>
                      <a:fillRect/>
                    </a:stretch>
                  </pic:blipFill>
                  <pic:spPr>
                    <a:xfrm>
                      <a:off x="0" y="0"/>
                      <a:ext cx="5295709" cy="3353562"/>
                    </a:xfrm>
                    <a:prstGeom prst="rect">
                      <a:avLst/>
                    </a:prstGeom>
                  </pic:spPr>
                </pic:pic>
              </a:graphicData>
            </a:graphic>
          </wp:anchor>
        </w:drawing>
      </w:r>
    </w:p>
    <w:p>
      <w:pPr>
        <w:pStyle w:val="BodyText"/>
        <w:spacing w:before="7"/>
        <w:rPr>
          <w:rFonts w:ascii="Calibri"/>
          <w:sz w:val="14"/>
        </w:rPr>
      </w:pPr>
    </w:p>
    <w:p>
      <w:pPr>
        <w:spacing w:before="64"/>
        <w:ind w:left="525" w:right="972" w:firstLine="0"/>
        <w:jc w:val="left"/>
        <w:rPr>
          <w:rFonts w:ascii="Calibri" w:hAnsi="Calibri"/>
          <w:sz w:val="18"/>
        </w:rPr>
      </w:pPr>
      <w:bookmarkStart w:name="_bookmark30" w:id="45"/>
      <w:bookmarkEnd w:id="45"/>
      <w:r>
        <w:rPr/>
      </w:r>
      <w:r>
        <w:rPr>
          <w:rFonts w:ascii="Calibri" w:hAnsi="Calibri"/>
          <w:i/>
          <w:color w:val="44536A"/>
          <w:sz w:val="18"/>
        </w:rPr>
        <w:t>Figur 14 </w:t>
      </w:r>
      <w:r>
        <w:rPr>
          <w:rFonts w:ascii="Calibri" w:hAnsi="Calibri"/>
          <w:color w:val="44536A"/>
          <w:sz w:val="18"/>
        </w:rPr>
        <w:t>Tilgængelige pejleboringer for Storå-modellen for perioden 2000 – 2008 baseret på både Jupiter data og data fra Regionerne. Øverst all pejleboringer, nederst kun terrænnære boringer (filter dybde &lt; 10 m).</w:t>
      </w:r>
    </w:p>
    <w:p>
      <w:pPr>
        <w:spacing w:after="0"/>
        <w:jc w:val="left"/>
        <w:rPr>
          <w:rFonts w:ascii="Calibri" w:hAnsi="Calibri"/>
          <w:sz w:val="18"/>
        </w:rPr>
        <w:sectPr>
          <w:pgSz w:w="11910" w:h="16850"/>
          <w:pgMar w:header="0" w:footer="857" w:top="1600" w:bottom="1120" w:left="1460" w:right="680"/>
        </w:sectPr>
      </w:pPr>
    </w:p>
    <w:p>
      <w:pPr>
        <w:pStyle w:val="BodyText"/>
        <w:ind w:left="539"/>
        <w:rPr>
          <w:rFonts w:ascii="Calibri"/>
          <w:sz w:val="20"/>
        </w:rPr>
      </w:pPr>
      <w:r>
        <w:rPr>
          <w:rFonts w:ascii="Calibri"/>
          <w:sz w:val="20"/>
        </w:rPr>
        <w:pict>
          <v:group style="width:266.55pt;height:632.950pt;mso-position-horizontal-relative:char;mso-position-vertical-relative:line" coordorigin="0,0" coordsize="5331,12659">
            <v:shape style="position:absolute;left:225;top:276;width:5043;height:5797" type="#_x0000_t75" alt="\\netapp1p\hydro-model\projekter\SDFE-fasttrack\Doc\Rapport\Odenseaa_JupVSRegion_2000-2008_tn.png" stroked="false">
              <v:imagedata r:id="rId30" o:title=""/>
            </v:shape>
            <v:rect style="position:absolute;left:7;top:7;width:5302;height:6233" filled="false" stroked="true" strokeweight=".75pt" strokecolor="#000000">
              <v:stroke dashstyle="solid"/>
            </v:rect>
            <v:shape style="position:absolute;left:118;top:6285;width:5198;height:6359" type="#_x0000_t75" alt="\\netapp1p\hydro-model\projekter\SDFE-fasttrack\Doc\Rapport\Odenseaa_JupVSRegion_2000-2008_all.png" stroked="false">
              <v:imagedata r:id="rId31" o:title=""/>
            </v:shape>
            <v:rect style="position:absolute;left:7;top:6277;width:5316;height:6374" filled="false" stroked="true" strokeweight=".75pt" strokecolor="#000000">
              <v:stroke dashstyle="solid"/>
            </v:rect>
          </v:group>
        </w:pict>
      </w:r>
      <w:r>
        <w:rPr>
          <w:rFonts w:ascii="Calibri"/>
          <w:sz w:val="20"/>
        </w:rPr>
      </w:r>
    </w:p>
    <w:p>
      <w:pPr>
        <w:pStyle w:val="BodyText"/>
        <w:spacing w:before="3"/>
        <w:rPr>
          <w:rFonts w:ascii="Calibri"/>
          <w:sz w:val="10"/>
        </w:rPr>
      </w:pPr>
    </w:p>
    <w:p>
      <w:pPr>
        <w:spacing w:before="64"/>
        <w:ind w:left="525" w:right="972" w:firstLine="0"/>
        <w:jc w:val="left"/>
        <w:rPr>
          <w:rFonts w:ascii="Calibri" w:hAnsi="Calibri"/>
          <w:sz w:val="18"/>
        </w:rPr>
      </w:pPr>
      <w:r>
        <w:rPr>
          <w:rFonts w:ascii="Calibri" w:hAnsi="Calibri"/>
          <w:i/>
          <w:color w:val="44536A"/>
          <w:sz w:val="18"/>
        </w:rPr>
        <w:t>Figur 15 </w:t>
      </w:r>
      <w:r>
        <w:rPr>
          <w:rFonts w:ascii="Calibri" w:hAnsi="Calibri"/>
          <w:color w:val="44536A"/>
          <w:sz w:val="18"/>
        </w:rPr>
        <w:t>Tilgængelige pejleboringer for Storå-modellen for perioden 2000 – 2008 baseret på både Jupiter data og data fra Regionerne. Til venstre all pejleboringer, til højre kun terrænnære boringer (filter dybde &lt; 10 m).</w:t>
      </w:r>
    </w:p>
    <w:p>
      <w:pPr>
        <w:spacing w:after="0"/>
        <w:jc w:val="left"/>
        <w:rPr>
          <w:rFonts w:ascii="Calibri" w:hAnsi="Calibri"/>
          <w:sz w:val="18"/>
        </w:rPr>
        <w:sectPr>
          <w:pgSz w:w="11910" w:h="16850"/>
          <w:pgMar w:header="0" w:footer="857" w:top="1440" w:bottom="1120" w:left="1460" w:right="680"/>
        </w:sectPr>
      </w:pPr>
    </w:p>
    <w:p>
      <w:pPr>
        <w:pStyle w:val="BodyText"/>
        <w:spacing w:line="256" w:lineRule="auto" w:before="75"/>
        <w:ind w:left="525" w:right="733"/>
        <w:jc w:val="both"/>
      </w:pPr>
      <w:r>
        <w:rPr/>
        <w:t>Særligt har tilføjelsen af Regionernes data øget antallet at terrænnære boringer. Der er dog stadigt meget få pejletidsserier og derfor kan kalibreringen primært fokusere på det rumlige trykniveaubillede og mindre på sæsondynamik i udvalgte punkter.</w:t>
      </w:r>
    </w:p>
    <w:p>
      <w:pPr>
        <w:pStyle w:val="Heading5"/>
        <w:spacing w:before="166"/>
        <w:rPr>
          <w:i/>
        </w:rPr>
      </w:pPr>
      <w:r>
        <w:rPr>
          <w:i/>
        </w:rPr>
        <w:t>Oversigt over de tilgængelige vandførings- og vandstandsdata for vandløb</w:t>
      </w:r>
    </w:p>
    <w:p>
      <w:pPr>
        <w:pStyle w:val="BodyText"/>
        <w:spacing w:line="259" w:lineRule="auto" w:before="20"/>
        <w:ind w:left="525" w:right="728"/>
        <w:jc w:val="both"/>
      </w:pPr>
      <w:r>
        <w:rPr/>
        <w:t>De tilgængelige vandførings- og vandstandsdata for kalibreringen fremgår af </w:t>
      </w:r>
      <w:hyperlink w:history="true" w:anchor="_bookmark31">
        <w:r>
          <w:rPr/>
          <w:t>figur 16 </w:t>
        </w:r>
      </w:hyperlink>
      <w:r>
        <w:rPr/>
        <w:t>og 17 og</w:t>
      </w:r>
      <w:r>
        <w:rPr>
          <w:spacing w:val="-6"/>
        </w:rPr>
        <w:t> </w:t>
      </w:r>
      <w:r>
        <w:rPr/>
        <w:t>udgør</w:t>
      </w:r>
      <w:r>
        <w:rPr>
          <w:spacing w:val="-6"/>
        </w:rPr>
        <w:t> </w:t>
      </w:r>
      <w:r>
        <w:rPr/>
        <w:t>6</w:t>
      </w:r>
      <w:r>
        <w:rPr>
          <w:spacing w:val="-5"/>
        </w:rPr>
        <w:t> </w:t>
      </w:r>
      <w:r>
        <w:rPr/>
        <w:t>og</w:t>
      </w:r>
      <w:r>
        <w:rPr>
          <w:spacing w:val="-6"/>
        </w:rPr>
        <w:t> </w:t>
      </w:r>
      <w:r>
        <w:rPr/>
        <w:t>8</w:t>
      </w:r>
      <w:r>
        <w:rPr>
          <w:spacing w:val="-6"/>
        </w:rPr>
        <w:t> </w:t>
      </w:r>
      <w:r>
        <w:rPr/>
        <w:t>stationer</w:t>
      </w:r>
      <w:r>
        <w:rPr>
          <w:spacing w:val="-5"/>
        </w:rPr>
        <w:t> </w:t>
      </w:r>
      <w:r>
        <w:rPr/>
        <w:t>for</w:t>
      </w:r>
      <w:r>
        <w:rPr>
          <w:spacing w:val="-7"/>
        </w:rPr>
        <w:t> </w:t>
      </w:r>
      <w:r>
        <w:rPr/>
        <w:t>hhv.</w:t>
      </w:r>
      <w:r>
        <w:rPr>
          <w:spacing w:val="-7"/>
        </w:rPr>
        <w:t> </w:t>
      </w:r>
      <w:r>
        <w:rPr/>
        <w:t>Storå</w:t>
      </w:r>
      <w:r>
        <w:rPr>
          <w:spacing w:val="-5"/>
        </w:rPr>
        <w:t> </w:t>
      </w:r>
      <w:r>
        <w:rPr/>
        <w:t>og</w:t>
      </w:r>
      <w:r>
        <w:rPr>
          <w:spacing w:val="-6"/>
        </w:rPr>
        <w:t> </w:t>
      </w:r>
      <w:r>
        <w:rPr/>
        <w:t>Odense</w:t>
      </w:r>
      <w:r>
        <w:rPr>
          <w:spacing w:val="-8"/>
        </w:rPr>
        <w:t> </w:t>
      </w:r>
      <w:r>
        <w:rPr/>
        <w:t>Å.</w:t>
      </w:r>
      <w:r>
        <w:rPr>
          <w:spacing w:val="-6"/>
        </w:rPr>
        <w:t> </w:t>
      </w:r>
      <w:r>
        <w:rPr/>
        <w:t>Disse</w:t>
      </w:r>
      <w:r>
        <w:rPr>
          <w:spacing w:val="-6"/>
        </w:rPr>
        <w:t> </w:t>
      </w:r>
      <w:r>
        <w:rPr/>
        <w:t>stationer</w:t>
      </w:r>
      <w:r>
        <w:rPr>
          <w:spacing w:val="-6"/>
        </w:rPr>
        <w:t> </w:t>
      </w:r>
      <w:r>
        <w:rPr/>
        <w:t>beskriver</w:t>
      </w:r>
      <w:r>
        <w:rPr>
          <w:spacing w:val="-6"/>
        </w:rPr>
        <w:t> </w:t>
      </w:r>
      <w:r>
        <w:rPr/>
        <w:t>en</w:t>
      </w:r>
      <w:r>
        <w:rPr>
          <w:spacing w:val="-6"/>
        </w:rPr>
        <w:t> </w:t>
      </w:r>
      <w:r>
        <w:rPr/>
        <w:t>kombina- tion</w:t>
      </w:r>
      <w:r>
        <w:rPr>
          <w:spacing w:val="-2"/>
        </w:rPr>
        <w:t> </w:t>
      </w:r>
      <w:r>
        <w:rPr/>
        <w:t>af</w:t>
      </w:r>
      <w:r>
        <w:rPr>
          <w:spacing w:val="-3"/>
        </w:rPr>
        <w:t> </w:t>
      </w:r>
      <w:r>
        <w:rPr/>
        <w:t>små</w:t>
      </w:r>
      <w:r>
        <w:rPr>
          <w:spacing w:val="-4"/>
        </w:rPr>
        <w:t> </w:t>
      </w:r>
      <w:r>
        <w:rPr/>
        <w:t>og</w:t>
      </w:r>
      <w:r>
        <w:rPr>
          <w:spacing w:val="-3"/>
        </w:rPr>
        <w:t> </w:t>
      </w:r>
      <w:r>
        <w:rPr/>
        <w:t>større</w:t>
      </w:r>
      <w:r>
        <w:rPr>
          <w:spacing w:val="-4"/>
        </w:rPr>
        <w:t> </w:t>
      </w:r>
      <w:r>
        <w:rPr/>
        <w:t>vandløb</w:t>
      </w:r>
      <w:r>
        <w:rPr>
          <w:spacing w:val="-3"/>
        </w:rPr>
        <w:t> </w:t>
      </w:r>
      <w:r>
        <w:rPr/>
        <w:t>på</w:t>
      </w:r>
      <w:r>
        <w:rPr>
          <w:spacing w:val="-3"/>
        </w:rPr>
        <w:t> </w:t>
      </w:r>
      <w:r>
        <w:rPr/>
        <w:t>tværs</w:t>
      </w:r>
      <w:r>
        <w:rPr>
          <w:spacing w:val="-4"/>
        </w:rPr>
        <w:t> </w:t>
      </w:r>
      <w:r>
        <w:rPr/>
        <w:t>af modeloplandene.</w:t>
      </w:r>
      <w:r>
        <w:rPr>
          <w:spacing w:val="-5"/>
        </w:rPr>
        <w:t> </w:t>
      </w:r>
      <w:r>
        <w:rPr/>
        <w:t>Alle</w:t>
      </w:r>
      <w:r>
        <w:rPr>
          <w:spacing w:val="-4"/>
        </w:rPr>
        <w:t> </w:t>
      </w:r>
      <w:r>
        <w:rPr/>
        <w:t>stationer</w:t>
      </w:r>
      <w:r>
        <w:rPr>
          <w:spacing w:val="-4"/>
        </w:rPr>
        <w:t> </w:t>
      </w:r>
      <w:r>
        <w:rPr/>
        <w:t>har</w:t>
      </w:r>
      <w:r>
        <w:rPr>
          <w:spacing w:val="-4"/>
        </w:rPr>
        <w:t> </w:t>
      </w:r>
      <w:r>
        <w:rPr/>
        <w:t>tidsserier</w:t>
      </w:r>
      <w:r>
        <w:rPr>
          <w:spacing w:val="-4"/>
        </w:rPr>
        <w:t> </w:t>
      </w:r>
      <w:r>
        <w:rPr/>
        <w:t>med daglige</w:t>
      </w:r>
      <w:r>
        <w:rPr>
          <w:spacing w:val="-7"/>
        </w:rPr>
        <w:t> </w:t>
      </w:r>
      <w:r>
        <w:rPr/>
        <w:t>vandføringsdata</w:t>
      </w:r>
      <w:r>
        <w:rPr>
          <w:spacing w:val="-8"/>
        </w:rPr>
        <w:t> </w:t>
      </w:r>
      <w:r>
        <w:rPr/>
        <w:t>for</w:t>
      </w:r>
      <w:r>
        <w:rPr>
          <w:spacing w:val="-8"/>
        </w:rPr>
        <w:t> </w:t>
      </w:r>
      <w:r>
        <w:rPr/>
        <w:t>perioden</w:t>
      </w:r>
      <w:r>
        <w:rPr>
          <w:spacing w:val="-8"/>
        </w:rPr>
        <w:t> </w:t>
      </w:r>
      <w:r>
        <w:rPr/>
        <w:t>2000-2008</w:t>
      </w:r>
      <w:r>
        <w:rPr>
          <w:spacing w:val="-7"/>
        </w:rPr>
        <w:t> </w:t>
      </w:r>
      <w:r>
        <w:rPr/>
        <w:t>(enkelte</w:t>
      </w:r>
      <w:r>
        <w:rPr>
          <w:spacing w:val="-6"/>
        </w:rPr>
        <w:t> </w:t>
      </w:r>
      <w:r>
        <w:rPr/>
        <w:t>tidsserier</w:t>
      </w:r>
      <w:r>
        <w:rPr>
          <w:spacing w:val="-8"/>
        </w:rPr>
        <w:t> </w:t>
      </w:r>
      <w:r>
        <w:rPr/>
        <w:t>er</w:t>
      </w:r>
      <w:r>
        <w:rPr>
          <w:spacing w:val="-7"/>
        </w:rPr>
        <w:t> </w:t>
      </w:r>
      <w:r>
        <w:rPr/>
        <w:t>dog</w:t>
      </w:r>
      <w:r>
        <w:rPr>
          <w:spacing w:val="-9"/>
        </w:rPr>
        <w:t> </w:t>
      </w:r>
      <w:r>
        <w:rPr/>
        <w:t>ikke</w:t>
      </w:r>
      <w:r>
        <w:rPr>
          <w:spacing w:val="-6"/>
        </w:rPr>
        <w:t> </w:t>
      </w:r>
      <w:r>
        <w:rPr/>
        <w:t>fuldstændig). For</w:t>
      </w:r>
      <w:r>
        <w:rPr>
          <w:spacing w:val="-8"/>
        </w:rPr>
        <w:t> </w:t>
      </w:r>
      <w:r>
        <w:rPr/>
        <w:t>vandstand</w:t>
      </w:r>
      <w:r>
        <w:rPr>
          <w:spacing w:val="-6"/>
        </w:rPr>
        <w:t> </w:t>
      </w:r>
      <w:r>
        <w:rPr/>
        <w:t>i</w:t>
      </w:r>
      <w:r>
        <w:rPr>
          <w:spacing w:val="-5"/>
        </w:rPr>
        <w:t> </w:t>
      </w:r>
      <w:r>
        <w:rPr/>
        <w:t>vandløb</w:t>
      </w:r>
      <w:r>
        <w:rPr>
          <w:spacing w:val="-7"/>
        </w:rPr>
        <w:t> </w:t>
      </w:r>
      <w:r>
        <w:rPr/>
        <w:t>er</w:t>
      </w:r>
      <w:r>
        <w:rPr>
          <w:spacing w:val="-7"/>
        </w:rPr>
        <w:t> </w:t>
      </w:r>
      <w:r>
        <w:rPr/>
        <w:t>6</w:t>
      </w:r>
      <w:r>
        <w:rPr>
          <w:spacing w:val="-6"/>
        </w:rPr>
        <w:t> </w:t>
      </w:r>
      <w:r>
        <w:rPr/>
        <w:t>stationer</w:t>
      </w:r>
      <w:r>
        <w:rPr>
          <w:spacing w:val="-7"/>
        </w:rPr>
        <w:t> </w:t>
      </w:r>
      <w:r>
        <w:rPr/>
        <w:t>til</w:t>
      </w:r>
      <w:r>
        <w:rPr>
          <w:spacing w:val="-6"/>
        </w:rPr>
        <w:t> </w:t>
      </w:r>
      <w:r>
        <w:rPr/>
        <w:t>rådighed</w:t>
      </w:r>
      <w:r>
        <w:rPr>
          <w:spacing w:val="-6"/>
        </w:rPr>
        <w:t> </w:t>
      </w:r>
      <w:r>
        <w:rPr/>
        <w:t>for</w:t>
      </w:r>
      <w:r>
        <w:rPr>
          <w:spacing w:val="-7"/>
        </w:rPr>
        <w:t> </w:t>
      </w:r>
      <w:r>
        <w:rPr/>
        <w:t>hvert</w:t>
      </w:r>
      <w:r>
        <w:rPr>
          <w:spacing w:val="-9"/>
        </w:rPr>
        <w:t> </w:t>
      </w:r>
      <w:r>
        <w:rPr/>
        <w:t>opland.</w:t>
      </w:r>
      <w:r>
        <w:rPr>
          <w:spacing w:val="-7"/>
        </w:rPr>
        <w:t> </w:t>
      </w:r>
      <w:r>
        <w:rPr/>
        <w:t>Disse</w:t>
      </w:r>
      <w:r>
        <w:rPr>
          <w:spacing w:val="-6"/>
        </w:rPr>
        <w:t> </w:t>
      </w:r>
      <w:r>
        <w:rPr/>
        <w:t>er</w:t>
      </w:r>
      <w:r>
        <w:rPr>
          <w:spacing w:val="-7"/>
        </w:rPr>
        <w:t> </w:t>
      </w:r>
      <w:r>
        <w:rPr/>
        <w:t>placeret</w:t>
      </w:r>
      <w:r>
        <w:rPr>
          <w:spacing w:val="-8"/>
        </w:rPr>
        <w:t> </w:t>
      </w:r>
      <w:r>
        <w:rPr/>
        <w:t>udeluk- kende i de hovedvandløb, som er beskrevet hydrodynamisk i MIKE HYDRO. For disse h- stationer er 1-timers eller døgndata tilgængelige for perioden 2007-2008, dog kun for fire af stationerne i Storå oplandet. Desuden er tidsserier over havvandstand ved udløbene af mo- delområderne til rådighed som randbetingelse for den hydrodynamiske</w:t>
      </w:r>
      <w:r>
        <w:rPr>
          <w:spacing w:val="-12"/>
        </w:rPr>
        <w:t> </w:t>
      </w:r>
      <w:r>
        <w:rPr/>
        <w:t>beskrivelse.</w:t>
      </w:r>
    </w:p>
    <w:p>
      <w:pPr>
        <w:pStyle w:val="BodyText"/>
        <w:spacing w:before="10"/>
        <w:rPr>
          <w:sz w:val="18"/>
        </w:rPr>
      </w:pPr>
      <w:r>
        <w:rPr/>
        <w:drawing>
          <wp:anchor distT="0" distB="0" distL="0" distR="0" allowOverlap="1" layoutInCell="1" locked="0" behindDoc="0" simplePos="0" relativeHeight="16">
            <wp:simplePos x="0" y="0"/>
            <wp:positionH relativeFrom="page">
              <wp:posOffset>1332238</wp:posOffset>
            </wp:positionH>
            <wp:positionV relativeFrom="paragraph">
              <wp:posOffset>162787</wp:posOffset>
            </wp:positionV>
            <wp:extent cx="5544504" cy="3513582"/>
            <wp:effectExtent l="0" t="0" r="0" b="0"/>
            <wp:wrapTopAndBottom/>
            <wp:docPr id="43" name="image26.jpeg" descr="\\netapp1p\hydro-model\projekter\SDFE-fasttrack\Doc\Rapport\Storaa_h_Q_stationer_wDMULabels.png"/>
            <wp:cNvGraphicFramePr>
              <a:graphicFrameLocks noChangeAspect="1"/>
            </wp:cNvGraphicFramePr>
            <a:graphic>
              <a:graphicData uri="http://schemas.openxmlformats.org/drawingml/2006/picture">
                <pic:pic>
                  <pic:nvPicPr>
                    <pic:cNvPr id="44" name="image26.jpeg"/>
                    <pic:cNvPicPr/>
                  </pic:nvPicPr>
                  <pic:blipFill>
                    <a:blip r:embed="rId32" cstate="print"/>
                    <a:stretch>
                      <a:fillRect/>
                    </a:stretch>
                  </pic:blipFill>
                  <pic:spPr>
                    <a:xfrm>
                      <a:off x="0" y="0"/>
                      <a:ext cx="5544504" cy="3513582"/>
                    </a:xfrm>
                    <a:prstGeom prst="rect">
                      <a:avLst/>
                    </a:prstGeom>
                  </pic:spPr>
                </pic:pic>
              </a:graphicData>
            </a:graphic>
          </wp:anchor>
        </w:drawing>
      </w:r>
    </w:p>
    <w:p>
      <w:pPr>
        <w:spacing w:before="124"/>
        <w:ind w:left="525" w:right="0" w:firstLine="0"/>
        <w:jc w:val="both"/>
        <w:rPr>
          <w:rFonts w:ascii="Calibri" w:hAnsi="Calibri"/>
          <w:i/>
          <w:sz w:val="18"/>
        </w:rPr>
      </w:pPr>
      <w:bookmarkStart w:name="_bookmark31" w:id="46"/>
      <w:bookmarkEnd w:id="46"/>
      <w:r>
        <w:rPr/>
      </w:r>
      <w:r>
        <w:rPr>
          <w:rFonts w:ascii="Calibri" w:hAnsi="Calibri"/>
          <w:i/>
          <w:color w:val="44536A"/>
          <w:sz w:val="18"/>
        </w:rPr>
        <w:t>Figur 16 Tilgængelige vandførings og vandstandsstationer for Storå-modellen.</w:t>
      </w:r>
    </w:p>
    <w:p>
      <w:pPr>
        <w:spacing w:after="0"/>
        <w:jc w:val="both"/>
        <w:rPr>
          <w:rFonts w:ascii="Calibri" w:hAnsi="Calibri"/>
          <w:sz w:val="18"/>
        </w:rPr>
        <w:sectPr>
          <w:pgSz w:w="11910" w:h="16850"/>
          <w:pgMar w:header="0" w:footer="857" w:top="1340" w:bottom="1120" w:left="1460" w:right="680"/>
        </w:sectPr>
      </w:pPr>
    </w:p>
    <w:p>
      <w:pPr>
        <w:pStyle w:val="BodyText"/>
        <w:ind w:left="539"/>
        <w:rPr>
          <w:rFonts w:ascii="Calibri"/>
          <w:sz w:val="20"/>
        </w:rPr>
      </w:pPr>
      <w:r>
        <w:rPr>
          <w:rFonts w:ascii="Calibri"/>
          <w:sz w:val="20"/>
        </w:rPr>
        <w:pict>
          <v:group style="width:404.1pt;height:371.5pt;mso-position-horizontal-relative:char;mso-position-vertical-relative:line" coordorigin="0,0" coordsize="8082,7430">
            <v:shape style="position:absolute;left:245;top:43;width:7541;height:7292" type="#_x0000_t75" alt="\\netapp1p\hydro-model\projekter\SDFE-fasttrack\Doc\Rapport\Odenseaa_h_Q_stationer_wDMULabels.png" stroked="false">
              <v:imagedata r:id="rId33" o:title=""/>
            </v:shape>
            <v:rect style="position:absolute;left:7;top:7;width:8067;height:7415" filled="false" stroked="true" strokeweight=".75pt" strokecolor="#000000">
              <v:stroke dashstyle="solid"/>
            </v:rect>
          </v:group>
        </w:pict>
      </w:r>
      <w:r>
        <w:rPr>
          <w:rFonts w:ascii="Calibri"/>
          <w:sz w:val="20"/>
        </w:rPr>
      </w:r>
    </w:p>
    <w:p>
      <w:pPr>
        <w:spacing w:before="42"/>
        <w:ind w:left="525" w:right="0" w:firstLine="0"/>
        <w:jc w:val="left"/>
        <w:rPr>
          <w:rFonts w:ascii="Calibri" w:hAnsi="Calibri"/>
          <w:sz w:val="18"/>
        </w:rPr>
      </w:pPr>
      <w:r>
        <w:rPr>
          <w:rFonts w:ascii="Calibri" w:hAnsi="Calibri"/>
          <w:i/>
          <w:color w:val="44536A"/>
          <w:sz w:val="18"/>
        </w:rPr>
        <w:t>Figur 17 </w:t>
      </w:r>
      <w:r>
        <w:rPr>
          <w:rFonts w:ascii="Calibri" w:hAnsi="Calibri"/>
          <w:color w:val="44536A"/>
          <w:sz w:val="18"/>
        </w:rPr>
        <w:t>Tilgængelige vandførings og vandstands stationer for Odense Å-modellen.</w:t>
      </w:r>
    </w:p>
    <w:p>
      <w:pPr>
        <w:pStyle w:val="BodyText"/>
        <w:rPr>
          <w:rFonts w:ascii="Calibri"/>
          <w:sz w:val="18"/>
        </w:rPr>
      </w:pPr>
    </w:p>
    <w:p>
      <w:pPr>
        <w:pStyle w:val="BodyText"/>
        <w:spacing w:before="10"/>
        <w:rPr>
          <w:rFonts w:ascii="Calibri"/>
        </w:rPr>
      </w:pPr>
    </w:p>
    <w:p>
      <w:pPr>
        <w:pStyle w:val="Heading5"/>
        <w:rPr>
          <w:i/>
        </w:rPr>
      </w:pPr>
      <w:r>
        <w:rPr>
          <w:i/>
        </w:rPr>
        <w:t>Oversigt over tilgængelige satellitdata (DHI GRAS)</w:t>
      </w:r>
    </w:p>
    <w:p>
      <w:pPr>
        <w:pStyle w:val="BodyText"/>
        <w:spacing w:line="288" w:lineRule="auto" w:before="47"/>
        <w:ind w:left="525" w:right="732"/>
        <w:jc w:val="both"/>
      </w:pPr>
      <w:r>
        <w:rPr/>
        <w:t>DHI GRAS har indsamlet tilgængelige satellitdata for oversvømmelser for Storå og Odense Å. Med hensyn til nedbørsbetingede oversvømmelser er der indsamlet data fra Sentinel-1 satellitdata</w:t>
      </w:r>
      <w:r>
        <w:rPr>
          <w:spacing w:val="-18"/>
        </w:rPr>
        <w:t> </w:t>
      </w:r>
      <w:r>
        <w:rPr/>
        <w:t>med</w:t>
      </w:r>
      <w:r>
        <w:rPr>
          <w:spacing w:val="-19"/>
        </w:rPr>
        <w:t> </w:t>
      </w:r>
      <w:r>
        <w:rPr/>
        <w:t>kortlægninger</w:t>
      </w:r>
      <w:r>
        <w:rPr>
          <w:spacing w:val="-17"/>
        </w:rPr>
        <w:t> </w:t>
      </w:r>
      <w:r>
        <w:rPr/>
        <w:t>dels</w:t>
      </w:r>
      <w:r>
        <w:rPr>
          <w:spacing w:val="-17"/>
        </w:rPr>
        <w:t> </w:t>
      </w:r>
      <w:r>
        <w:rPr/>
        <w:t>af</w:t>
      </w:r>
      <w:r>
        <w:rPr>
          <w:spacing w:val="-16"/>
        </w:rPr>
        <w:t> </w:t>
      </w:r>
      <w:r>
        <w:rPr/>
        <w:t>referencesituation</w:t>
      </w:r>
      <w:r>
        <w:rPr>
          <w:spacing w:val="-16"/>
        </w:rPr>
        <w:t> </w:t>
      </w:r>
      <w:r>
        <w:rPr/>
        <w:t>op</w:t>
      </w:r>
      <w:r>
        <w:rPr>
          <w:spacing w:val="-16"/>
        </w:rPr>
        <w:t> </w:t>
      </w:r>
      <w:r>
        <w:rPr/>
        <w:t>til</w:t>
      </w:r>
      <w:r>
        <w:rPr>
          <w:spacing w:val="-16"/>
        </w:rPr>
        <w:t> </w:t>
      </w:r>
      <w:r>
        <w:rPr/>
        <w:t>selve</w:t>
      </w:r>
      <w:r>
        <w:rPr>
          <w:spacing w:val="-17"/>
        </w:rPr>
        <w:t> </w:t>
      </w:r>
      <w:r>
        <w:rPr/>
        <w:t>oversvømmelsen</w:t>
      </w:r>
      <w:r>
        <w:rPr>
          <w:spacing w:val="-17"/>
        </w:rPr>
        <w:t> </w:t>
      </w:r>
      <w:r>
        <w:rPr/>
        <w:t>og</w:t>
      </w:r>
      <w:r>
        <w:rPr>
          <w:spacing w:val="-16"/>
        </w:rPr>
        <w:t> </w:t>
      </w:r>
      <w:r>
        <w:rPr/>
        <w:t>dels selve oversvømmelsen (26. december 2015 for Odense og 6-7. December 2015 for Storå), og med kortlægning af områder med sandsynlighed for oversvømmelse. Fotos og GPS in- formationer fra Storå leveret af SDFE og projektgruppen indikerer et fint sammenfald med udpegede områder og de reelle oversvømmelser i</w:t>
      </w:r>
      <w:r>
        <w:rPr>
          <w:spacing w:val="-11"/>
        </w:rPr>
        <w:t> </w:t>
      </w:r>
      <w:r>
        <w:rPr/>
        <w:t>området.</w:t>
      </w:r>
    </w:p>
    <w:p>
      <w:pPr>
        <w:pStyle w:val="BodyText"/>
        <w:spacing w:before="2"/>
        <w:rPr>
          <w:sz w:val="25"/>
        </w:rPr>
      </w:pPr>
    </w:p>
    <w:p>
      <w:pPr>
        <w:pStyle w:val="BodyText"/>
        <w:spacing w:line="288" w:lineRule="auto"/>
        <w:ind w:left="525" w:right="730"/>
        <w:jc w:val="both"/>
      </w:pPr>
      <w:r>
        <w:rPr/>
        <w:t>Desuden er der evalueret to forskellige typer kommercielle datakilder i forbindelse med to stomflodsbetingede oversvømmelser, dels optiske data fra den indiske ’IRS satellit’ og dels SAR data fra ’TerraSAR’, hvor især ’TerraSAR’ har vist sig brugbar, og med en bedre detal- jeringsgrad (3 m) end Sentinel-1 (10 m).</w:t>
      </w:r>
    </w:p>
    <w:p>
      <w:pPr>
        <w:pStyle w:val="BodyText"/>
        <w:spacing w:before="4"/>
        <w:rPr>
          <w:sz w:val="25"/>
        </w:rPr>
      </w:pPr>
    </w:p>
    <w:p>
      <w:pPr>
        <w:pStyle w:val="BodyText"/>
        <w:spacing w:line="288" w:lineRule="auto"/>
        <w:ind w:left="525" w:right="732"/>
        <w:jc w:val="both"/>
      </w:pPr>
      <w:r>
        <w:rPr/>
        <w:t>Tidsserier baserede på optiske data fra Sentinel-2 og Landsat er analyseret for begge op- lande for året 2015 med henblik på vurdering af grundvandsbetingede oversvømmelser. Da Sentinel-2 først blev operationel i slutningen af 2015, og på grund af mange skyer, var</w:t>
      </w:r>
      <w:r>
        <w:rPr>
          <w:spacing w:val="-39"/>
        </w:rPr>
        <w:t> </w:t>
      </w:r>
      <w:r>
        <w:rPr/>
        <w:t>data-</w:t>
      </w:r>
    </w:p>
    <w:p>
      <w:pPr>
        <w:spacing w:after="0" w:line="288" w:lineRule="auto"/>
        <w:jc w:val="both"/>
        <w:sectPr>
          <w:pgSz w:w="11910" w:h="16850"/>
          <w:pgMar w:header="0" w:footer="857" w:top="1440" w:bottom="1120" w:left="1460" w:right="680"/>
        </w:sectPr>
      </w:pPr>
    </w:p>
    <w:p>
      <w:pPr>
        <w:pStyle w:val="BodyText"/>
        <w:spacing w:line="288" w:lineRule="auto" w:before="75"/>
        <w:ind w:left="525" w:right="731"/>
        <w:jc w:val="both"/>
      </w:pPr>
      <w:r>
        <w:rPr/>
        <w:t>grundlaget imidlertid begrænset. Fremadrettet og tilbage fra 2017 er der langt bedre data- materiale</w:t>
      </w:r>
      <w:r>
        <w:rPr>
          <w:spacing w:val="-9"/>
        </w:rPr>
        <w:t> </w:t>
      </w:r>
      <w:r>
        <w:rPr/>
        <w:t>(fra</w:t>
      </w:r>
      <w:r>
        <w:rPr>
          <w:spacing w:val="-8"/>
        </w:rPr>
        <w:t> </w:t>
      </w:r>
      <w:r>
        <w:rPr/>
        <w:t>både</w:t>
      </w:r>
      <w:r>
        <w:rPr>
          <w:spacing w:val="-8"/>
        </w:rPr>
        <w:t> </w:t>
      </w:r>
      <w:r>
        <w:rPr/>
        <w:t>Sentinel-2A</w:t>
      </w:r>
      <w:r>
        <w:rPr>
          <w:spacing w:val="-8"/>
        </w:rPr>
        <w:t> </w:t>
      </w:r>
      <w:r>
        <w:rPr/>
        <w:t>og</w:t>
      </w:r>
      <w:r>
        <w:rPr>
          <w:spacing w:val="-8"/>
        </w:rPr>
        <w:t> </w:t>
      </w:r>
      <w:r>
        <w:rPr/>
        <w:t>2B),</w:t>
      </w:r>
      <w:r>
        <w:rPr>
          <w:spacing w:val="-9"/>
        </w:rPr>
        <w:t> </w:t>
      </w:r>
      <w:r>
        <w:rPr/>
        <w:t>hvor</w:t>
      </w:r>
      <w:r>
        <w:rPr>
          <w:spacing w:val="-9"/>
        </w:rPr>
        <w:t> </w:t>
      </w:r>
      <w:r>
        <w:rPr/>
        <w:t>hvert</w:t>
      </w:r>
      <w:r>
        <w:rPr>
          <w:spacing w:val="-9"/>
        </w:rPr>
        <w:t> </w:t>
      </w:r>
      <w:r>
        <w:rPr/>
        <w:t>område</w:t>
      </w:r>
      <w:r>
        <w:rPr>
          <w:spacing w:val="-8"/>
        </w:rPr>
        <w:t> </w:t>
      </w:r>
      <w:r>
        <w:rPr/>
        <w:t>dækkes</w:t>
      </w:r>
      <w:r>
        <w:rPr>
          <w:spacing w:val="-12"/>
        </w:rPr>
        <w:t> </w:t>
      </w:r>
      <w:r>
        <w:rPr/>
        <w:t>med</w:t>
      </w:r>
      <w:r>
        <w:rPr>
          <w:spacing w:val="-10"/>
        </w:rPr>
        <w:t> </w:t>
      </w:r>
      <w:r>
        <w:rPr/>
        <w:t>Sentinel-2</w:t>
      </w:r>
      <w:r>
        <w:rPr>
          <w:spacing w:val="-11"/>
        </w:rPr>
        <w:t> </w:t>
      </w:r>
      <w:r>
        <w:rPr/>
        <w:t>data</w:t>
      </w:r>
      <w:r>
        <w:rPr>
          <w:spacing w:val="-8"/>
        </w:rPr>
        <w:t> </w:t>
      </w:r>
      <w:r>
        <w:rPr/>
        <w:t>hver 2-3</w:t>
      </w:r>
      <w:r>
        <w:rPr>
          <w:spacing w:val="-1"/>
        </w:rPr>
        <w:t> </w:t>
      </w:r>
      <w:r>
        <w:rPr/>
        <w:t>dag.</w:t>
      </w:r>
    </w:p>
    <w:p>
      <w:pPr>
        <w:pStyle w:val="BodyText"/>
        <w:spacing w:before="9"/>
        <w:rPr>
          <w:sz w:val="20"/>
        </w:rPr>
      </w:pPr>
    </w:p>
    <w:p>
      <w:pPr>
        <w:pStyle w:val="BodyText"/>
        <w:spacing w:line="288" w:lineRule="auto" w:before="1"/>
        <w:ind w:left="525" w:right="731"/>
        <w:jc w:val="both"/>
      </w:pPr>
      <w:r>
        <w:rPr/>
        <w:t>Følgende afsnit vil beskrive den udvidede vandløbsopsætning som GEUS og COWI har ud- ført, samt udviklingen af et ekstern vandløbsmodul til beregning af vandstand, udarbejdet af Hydroinform.</w:t>
      </w:r>
    </w:p>
    <w:p>
      <w:pPr>
        <w:pStyle w:val="BodyText"/>
      </w:pPr>
    </w:p>
    <w:p>
      <w:pPr>
        <w:pStyle w:val="Heading5"/>
        <w:jc w:val="both"/>
        <w:rPr>
          <w:i/>
        </w:rPr>
      </w:pPr>
      <w:r>
        <w:rPr>
          <w:i/>
        </w:rPr>
        <w:t>MIKE HYDRO River opsætning (COWI)</w:t>
      </w:r>
    </w:p>
    <w:p>
      <w:pPr>
        <w:pStyle w:val="BodyText"/>
        <w:spacing w:line="276" w:lineRule="auto" w:before="1"/>
        <w:ind w:left="525" w:right="732"/>
        <w:jc w:val="both"/>
      </w:pPr>
      <w:r>
        <w:rPr/>
        <w:t>COWI har som nævnt ovenfor leveret en udvidet modelopsætning for Storå og Odense Å af MIKE HYDRO River til anvendelse i undersøgelsen. Modelopsætningen repræsenterer op- stuvningseffekter i vandløb fra bygværker og havvandstand, samt detaljerede vandstande i et stort antal vandløbspunkter, hvor det med rimelighed kan antages, at der kan foretages en lineær interpolation af vandstanden.</w:t>
      </w:r>
    </w:p>
    <w:p>
      <w:pPr>
        <w:pStyle w:val="BodyText"/>
        <w:spacing w:before="1"/>
        <w:rPr>
          <w:sz w:val="24"/>
        </w:rPr>
      </w:pPr>
    </w:p>
    <w:p>
      <w:pPr>
        <w:pStyle w:val="BodyText"/>
        <w:spacing w:line="276" w:lineRule="auto" w:before="1"/>
        <w:ind w:left="525" w:right="728"/>
        <w:jc w:val="both"/>
      </w:pPr>
      <w:r>
        <w:rPr/>
        <w:t>Modelopsætninger har taget udgangspunkt i de to 100 m modelopsætninger af GEUS (DK- model)</w:t>
      </w:r>
      <w:r>
        <w:rPr>
          <w:spacing w:val="-5"/>
        </w:rPr>
        <w:t> </w:t>
      </w:r>
      <w:r>
        <w:rPr/>
        <w:t>for</w:t>
      </w:r>
      <w:r>
        <w:rPr>
          <w:spacing w:val="-5"/>
        </w:rPr>
        <w:t> </w:t>
      </w:r>
      <w:r>
        <w:rPr/>
        <w:t>Storå</w:t>
      </w:r>
      <w:r>
        <w:rPr>
          <w:spacing w:val="-4"/>
        </w:rPr>
        <w:t> </w:t>
      </w:r>
      <w:r>
        <w:rPr/>
        <w:t>og</w:t>
      </w:r>
      <w:r>
        <w:rPr>
          <w:spacing w:val="-4"/>
        </w:rPr>
        <w:t> </w:t>
      </w:r>
      <w:r>
        <w:rPr/>
        <w:t>Odense</w:t>
      </w:r>
      <w:r>
        <w:rPr>
          <w:spacing w:val="-4"/>
        </w:rPr>
        <w:t> </w:t>
      </w:r>
      <w:r>
        <w:rPr/>
        <w:t>Å</w:t>
      </w:r>
      <w:r>
        <w:rPr>
          <w:spacing w:val="-6"/>
        </w:rPr>
        <w:t> </w:t>
      </w:r>
      <w:r>
        <w:rPr/>
        <w:t>beskrevet</w:t>
      </w:r>
      <w:r>
        <w:rPr>
          <w:spacing w:val="-6"/>
        </w:rPr>
        <w:t> </w:t>
      </w:r>
      <w:r>
        <w:rPr/>
        <w:t>ovenfor.</w:t>
      </w:r>
      <w:r>
        <w:rPr>
          <w:spacing w:val="-8"/>
        </w:rPr>
        <w:t> </w:t>
      </w:r>
      <w:r>
        <w:rPr/>
        <w:t>Formålet</w:t>
      </w:r>
      <w:r>
        <w:rPr>
          <w:spacing w:val="-6"/>
        </w:rPr>
        <w:t> </w:t>
      </w:r>
      <w:r>
        <w:rPr/>
        <w:t>har</w:t>
      </w:r>
      <w:r>
        <w:rPr>
          <w:spacing w:val="-4"/>
        </w:rPr>
        <w:t> </w:t>
      </w:r>
      <w:r>
        <w:rPr/>
        <w:t>været</w:t>
      </w:r>
      <w:r>
        <w:rPr>
          <w:spacing w:val="-6"/>
        </w:rPr>
        <w:t> </w:t>
      </w:r>
      <w:r>
        <w:rPr/>
        <w:t>at</w:t>
      </w:r>
      <w:r>
        <w:rPr>
          <w:spacing w:val="-7"/>
        </w:rPr>
        <w:t> </w:t>
      </w:r>
      <w:r>
        <w:rPr/>
        <w:t>kunne</w:t>
      </w:r>
      <w:r>
        <w:rPr>
          <w:spacing w:val="-5"/>
        </w:rPr>
        <w:t> </w:t>
      </w:r>
      <w:r>
        <w:rPr/>
        <w:t>teste</w:t>
      </w:r>
      <w:r>
        <w:rPr>
          <w:spacing w:val="-4"/>
        </w:rPr>
        <w:t> </w:t>
      </w:r>
      <w:r>
        <w:rPr/>
        <w:t>en</w:t>
      </w:r>
      <w:r>
        <w:rPr>
          <w:spacing w:val="-5"/>
        </w:rPr>
        <w:t> </w:t>
      </w:r>
      <w:r>
        <w:rPr/>
        <w:t>inte- greret opsætning af MIKE SHE – MIKE HYDRO River i forhold til mere simpel opsætning af et eksternt stationært vandstandsmodul udarbejdet af Hydroinform (se næste afsnit). Både hovedløb og udvalgte sidetilløb indgår med hydrodynamisk opsætning, se </w:t>
      </w:r>
      <w:hyperlink w:history="true" w:anchor="_bookmark32">
        <w:r>
          <w:rPr/>
          <w:t>figur 18 </w:t>
        </w:r>
      </w:hyperlink>
      <w:r>
        <w:rPr/>
        <w:t>-</w:t>
      </w:r>
      <w:r>
        <w:rPr>
          <w:spacing w:val="-19"/>
        </w:rPr>
        <w:t> </w:t>
      </w:r>
      <w:r>
        <w:rPr/>
        <w:t>21.</w:t>
      </w:r>
    </w:p>
    <w:p>
      <w:pPr>
        <w:pStyle w:val="BodyText"/>
        <w:spacing w:before="1"/>
        <w:rPr>
          <w:sz w:val="24"/>
        </w:rPr>
      </w:pPr>
    </w:p>
    <w:p>
      <w:pPr>
        <w:pStyle w:val="Heading5"/>
        <w:jc w:val="both"/>
        <w:rPr>
          <w:i/>
        </w:rPr>
      </w:pPr>
      <w:r>
        <w:rPr>
          <w:i/>
        </w:rPr>
        <w:t>Indarbejdningen af bygværker og brede profiler – Storå</w:t>
      </w:r>
    </w:p>
    <w:p>
      <w:pPr>
        <w:pStyle w:val="BodyText"/>
        <w:spacing w:line="276" w:lineRule="auto" w:before="37"/>
        <w:ind w:left="525" w:right="731"/>
        <w:jc w:val="both"/>
      </w:pPr>
      <w:r>
        <w:rPr/>
        <w:t>Vandløbsmodellen for Storå er udbygget med tværsnit fra flere forskellige kilder; herunder VASP-modeller og tværsnit i .txt og .pdf format er indhentet fra Holstebro og Herning kom- mune. I DK-modellen var oprindeligt indlagt 48 tværsnit i Storå, 12 i Sunds Nørreå og 20 i Herningsholm</w:t>
      </w:r>
      <w:r>
        <w:rPr>
          <w:spacing w:val="-9"/>
        </w:rPr>
        <w:t> </w:t>
      </w:r>
      <w:r>
        <w:rPr/>
        <w:t>å.</w:t>
      </w:r>
      <w:r>
        <w:rPr>
          <w:spacing w:val="-12"/>
        </w:rPr>
        <w:t> </w:t>
      </w:r>
      <w:r>
        <w:rPr/>
        <w:t>COWI</w:t>
      </w:r>
      <w:r>
        <w:rPr>
          <w:spacing w:val="-12"/>
        </w:rPr>
        <w:t> </w:t>
      </w:r>
      <w:r>
        <w:rPr/>
        <w:t>har</w:t>
      </w:r>
      <w:r>
        <w:rPr>
          <w:spacing w:val="-9"/>
        </w:rPr>
        <w:t> </w:t>
      </w:r>
      <w:r>
        <w:rPr/>
        <w:t>yderligere</w:t>
      </w:r>
      <w:r>
        <w:rPr>
          <w:spacing w:val="-11"/>
        </w:rPr>
        <w:t> </w:t>
      </w:r>
      <w:r>
        <w:rPr/>
        <w:t>indsamlet</w:t>
      </w:r>
      <w:r>
        <w:rPr>
          <w:spacing w:val="-12"/>
        </w:rPr>
        <w:t> </w:t>
      </w:r>
      <w:r>
        <w:rPr/>
        <w:t>og</w:t>
      </w:r>
      <w:r>
        <w:rPr>
          <w:spacing w:val="-10"/>
        </w:rPr>
        <w:t> </w:t>
      </w:r>
      <w:r>
        <w:rPr/>
        <w:t>indlagt</w:t>
      </w:r>
      <w:r>
        <w:rPr>
          <w:spacing w:val="-12"/>
        </w:rPr>
        <w:t> </w:t>
      </w:r>
      <w:r>
        <w:rPr/>
        <w:t>303</w:t>
      </w:r>
      <w:r>
        <w:rPr>
          <w:spacing w:val="-10"/>
        </w:rPr>
        <w:t> </w:t>
      </w:r>
      <w:r>
        <w:rPr/>
        <w:t>opmålte</w:t>
      </w:r>
      <w:r>
        <w:rPr>
          <w:spacing w:val="-10"/>
        </w:rPr>
        <w:t> </w:t>
      </w:r>
      <w:r>
        <w:rPr/>
        <w:t>profiler</w:t>
      </w:r>
      <w:r>
        <w:rPr>
          <w:spacing w:val="-12"/>
        </w:rPr>
        <w:t> </w:t>
      </w:r>
      <w:r>
        <w:rPr/>
        <w:t>i</w:t>
      </w:r>
      <w:r>
        <w:rPr>
          <w:spacing w:val="-10"/>
        </w:rPr>
        <w:t> </w:t>
      </w:r>
      <w:r>
        <w:rPr/>
        <w:t>selve</w:t>
      </w:r>
      <w:r>
        <w:rPr>
          <w:spacing w:val="-11"/>
        </w:rPr>
        <w:t> </w:t>
      </w:r>
      <w:r>
        <w:rPr/>
        <w:t>Storå, 116</w:t>
      </w:r>
      <w:r>
        <w:rPr>
          <w:spacing w:val="-7"/>
        </w:rPr>
        <w:t> </w:t>
      </w:r>
      <w:r>
        <w:rPr/>
        <w:t>opmålte</w:t>
      </w:r>
      <w:r>
        <w:rPr>
          <w:spacing w:val="-6"/>
        </w:rPr>
        <w:t> </w:t>
      </w:r>
      <w:r>
        <w:rPr/>
        <w:t>profiler</w:t>
      </w:r>
      <w:r>
        <w:rPr>
          <w:spacing w:val="-7"/>
        </w:rPr>
        <w:t> </w:t>
      </w:r>
      <w:r>
        <w:rPr/>
        <w:t>i</w:t>
      </w:r>
      <w:r>
        <w:rPr>
          <w:spacing w:val="-5"/>
        </w:rPr>
        <w:t> </w:t>
      </w:r>
      <w:r>
        <w:rPr/>
        <w:t>Herningsholm</w:t>
      </w:r>
      <w:r>
        <w:rPr>
          <w:spacing w:val="-5"/>
        </w:rPr>
        <w:t> </w:t>
      </w:r>
      <w:r>
        <w:rPr/>
        <w:t>å</w:t>
      </w:r>
      <w:r>
        <w:rPr>
          <w:spacing w:val="-6"/>
        </w:rPr>
        <w:t> </w:t>
      </w:r>
      <w:r>
        <w:rPr/>
        <w:t>samt</w:t>
      </w:r>
      <w:r>
        <w:rPr>
          <w:spacing w:val="-7"/>
        </w:rPr>
        <w:t> </w:t>
      </w:r>
      <w:r>
        <w:rPr/>
        <w:t>foretaget</w:t>
      </w:r>
      <w:r>
        <w:rPr>
          <w:spacing w:val="-7"/>
        </w:rPr>
        <w:t> </w:t>
      </w:r>
      <w:r>
        <w:rPr/>
        <w:t>en</w:t>
      </w:r>
      <w:r>
        <w:rPr>
          <w:spacing w:val="-6"/>
        </w:rPr>
        <w:t> </w:t>
      </w:r>
      <w:r>
        <w:rPr/>
        <w:t>hel</w:t>
      </w:r>
      <w:r>
        <w:rPr>
          <w:spacing w:val="-5"/>
        </w:rPr>
        <w:t> </w:t>
      </w:r>
      <w:r>
        <w:rPr/>
        <w:t>del</w:t>
      </w:r>
      <w:r>
        <w:rPr>
          <w:spacing w:val="-5"/>
        </w:rPr>
        <w:t> </w:t>
      </w:r>
      <w:r>
        <w:rPr/>
        <w:t>justeringer</w:t>
      </w:r>
      <w:r>
        <w:rPr>
          <w:spacing w:val="-7"/>
        </w:rPr>
        <w:t> </w:t>
      </w:r>
      <w:r>
        <w:rPr/>
        <w:t>og</w:t>
      </w:r>
      <w:r>
        <w:rPr>
          <w:spacing w:val="-6"/>
        </w:rPr>
        <w:t> </w:t>
      </w:r>
      <w:r>
        <w:rPr/>
        <w:t>tilpasninger</w:t>
      </w:r>
      <w:r>
        <w:rPr>
          <w:spacing w:val="-6"/>
        </w:rPr>
        <w:t> </w:t>
      </w:r>
      <w:r>
        <w:rPr/>
        <w:t>af hensyn til chainage/riverline afvigelser på basis af højdemodellen. Modellens detaljering er, for at hæve beregningstidsskridtet, efterfølgende reduceret, så den beskrives med tværsnit med en indbyrdes afstand på 50-100 m som</w:t>
      </w:r>
      <w:r>
        <w:rPr>
          <w:spacing w:val="-11"/>
        </w:rPr>
        <w:t> </w:t>
      </w:r>
      <w:r>
        <w:rPr/>
        <w:t>minimum.</w:t>
      </w:r>
    </w:p>
    <w:p>
      <w:pPr>
        <w:spacing w:after="0" w:line="276" w:lineRule="auto"/>
        <w:jc w:val="both"/>
        <w:sectPr>
          <w:pgSz w:w="11910" w:h="16850"/>
          <w:pgMar w:header="0" w:footer="857" w:top="1340" w:bottom="1120" w:left="1460" w:right="680"/>
        </w:sectPr>
      </w:pPr>
    </w:p>
    <w:p>
      <w:pPr>
        <w:pStyle w:val="BodyText"/>
        <w:spacing w:before="5"/>
        <w:rPr>
          <w:sz w:val="3"/>
        </w:rPr>
      </w:pPr>
    </w:p>
    <w:p>
      <w:pPr>
        <w:pStyle w:val="BodyText"/>
        <w:ind w:left="583"/>
        <w:rPr>
          <w:sz w:val="20"/>
        </w:rPr>
      </w:pPr>
      <w:r>
        <w:rPr>
          <w:sz w:val="20"/>
        </w:rPr>
        <w:drawing>
          <wp:inline distT="0" distB="0" distL="0" distR="0">
            <wp:extent cx="5616010" cy="6760464"/>
            <wp:effectExtent l="0" t="0" r="0" b="0"/>
            <wp:docPr id="45" name="image28.png" descr=""/>
            <wp:cNvGraphicFramePr>
              <a:graphicFrameLocks noChangeAspect="1"/>
            </wp:cNvGraphicFramePr>
            <a:graphic>
              <a:graphicData uri="http://schemas.openxmlformats.org/drawingml/2006/picture">
                <pic:pic>
                  <pic:nvPicPr>
                    <pic:cNvPr id="46" name="image28.png"/>
                    <pic:cNvPicPr/>
                  </pic:nvPicPr>
                  <pic:blipFill>
                    <a:blip r:embed="rId34" cstate="print"/>
                    <a:stretch>
                      <a:fillRect/>
                    </a:stretch>
                  </pic:blipFill>
                  <pic:spPr>
                    <a:xfrm>
                      <a:off x="0" y="0"/>
                      <a:ext cx="5616010" cy="6760464"/>
                    </a:xfrm>
                    <a:prstGeom prst="rect">
                      <a:avLst/>
                    </a:prstGeom>
                  </pic:spPr>
                </pic:pic>
              </a:graphicData>
            </a:graphic>
          </wp:inline>
        </w:drawing>
      </w:r>
      <w:r>
        <w:rPr>
          <w:sz w:val="20"/>
        </w:rPr>
      </w:r>
    </w:p>
    <w:p>
      <w:pPr>
        <w:spacing w:before="97"/>
        <w:ind w:left="525" w:right="1117" w:firstLine="0"/>
        <w:jc w:val="left"/>
        <w:rPr>
          <w:rFonts w:ascii="Calibri" w:hAnsi="Calibri"/>
          <w:i/>
          <w:sz w:val="18"/>
        </w:rPr>
      </w:pPr>
      <w:bookmarkStart w:name="_bookmark32" w:id="47"/>
      <w:bookmarkEnd w:id="47"/>
      <w:r>
        <w:rPr/>
      </w:r>
      <w:r>
        <w:rPr>
          <w:rFonts w:ascii="Calibri" w:hAnsi="Calibri"/>
          <w:i/>
          <w:color w:val="44536A"/>
          <w:sz w:val="18"/>
        </w:rPr>
        <w:t>Figur 18 Oprindelige (øverst) og indarbejdede (nederst) tværsnit i MIKE HYDRO River opsætning for Storå. Kilde: </w:t>
      </w:r>
      <w:r>
        <w:rPr>
          <w:rFonts w:ascii="Calibri" w:hAnsi="Calibri"/>
          <w:i/>
          <w:color w:val="44536A"/>
          <w:sz w:val="18"/>
        </w:rPr>
        <w:t>COWI (2018a)</w:t>
      </w:r>
    </w:p>
    <w:p>
      <w:pPr>
        <w:pStyle w:val="BodyText"/>
        <w:spacing w:before="2"/>
        <w:rPr>
          <w:rFonts w:ascii="Calibri"/>
          <w:i/>
          <w:sz w:val="16"/>
        </w:rPr>
      </w:pPr>
    </w:p>
    <w:p>
      <w:pPr>
        <w:pStyle w:val="BodyText"/>
        <w:spacing w:line="288" w:lineRule="auto"/>
        <w:ind w:left="525" w:right="732"/>
        <w:jc w:val="both"/>
      </w:pPr>
      <w:r>
        <w:rPr/>
        <w:t>Endelig er der defineret såkaldte ’alignment linjer’, der definerer højre og venstre bred af vandløbet, som udgangspunkt for at forlænge tværsnit ud i vandløbsdalen. Alignment linjer langs vandløb er indlæst i MIKE HYDRO River sammen med terrændata fra Danmarks høj- demodel, hvorefter tværsnit automatisk er forlænget 1000 m til hver side for at sikre, at hele vandløbsdalen</w:t>
      </w:r>
      <w:r>
        <w:rPr>
          <w:spacing w:val="-12"/>
        </w:rPr>
        <w:t> </w:t>
      </w:r>
      <w:r>
        <w:rPr/>
        <w:t>kom</w:t>
      </w:r>
      <w:r>
        <w:rPr>
          <w:spacing w:val="-9"/>
        </w:rPr>
        <w:t> </w:t>
      </w:r>
      <w:r>
        <w:rPr/>
        <w:t>med,</w:t>
      </w:r>
      <w:r>
        <w:rPr>
          <w:spacing w:val="-7"/>
        </w:rPr>
        <w:t> </w:t>
      </w:r>
      <w:hyperlink w:history="true" w:anchor="_bookmark33">
        <w:r>
          <w:rPr/>
          <w:t>figur</w:t>
        </w:r>
        <w:r>
          <w:rPr>
            <w:spacing w:val="-9"/>
          </w:rPr>
          <w:t> </w:t>
        </w:r>
        <w:r>
          <w:rPr/>
          <w:t>22</w:t>
        </w:r>
      </w:hyperlink>
      <w:r>
        <w:rPr/>
        <w:t>.</w:t>
      </w:r>
      <w:r>
        <w:rPr>
          <w:spacing w:val="-13"/>
        </w:rPr>
        <w:t> </w:t>
      </w:r>
      <w:r>
        <w:rPr/>
        <w:t>Alle</w:t>
      </w:r>
      <w:r>
        <w:rPr>
          <w:spacing w:val="-8"/>
        </w:rPr>
        <w:t> </w:t>
      </w:r>
      <w:r>
        <w:rPr/>
        <w:t>tværsnit</w:t>
      </w:r>
      <w:r>
        <w:rPr>
          <w:spacing w:val="-9"/>
        </w:rPr>
        <w:t> </w:t>
      </w:r>
      <w:r>
        <w:rPr/>
        <w:t>er</w:t>
      </w:r>
      <w:r>
        <w:rPr>
          <w:spacing w:val="-9"/>
        </w:rPr>
        <w:t> </w:t>
      </w:r>
      <w:r>
        <w:rPr/>
        <w:t>derefter</w:t>
      </w:r>
      <w:r>
        <w:rPr>
          <w:spacing w:val="-10"/>
        </w:rPr>
        <w:t> </w:t>
      </w:r>
      <w:r>
        <w:rPr/>
        <w:t>tjekket</w:t>
      </w:r>
      <w:r>
        <w:rPr>
          <w:spacing w:val="-9"/>
        </w:rPr>
        <w:t> </w:t>
      </w:r>
      <w:r>
        <w:rPr/>
        <w:t>i</w:t>
      </w:r>
      <w:r>
        <w:rPr>
          <w:spacing w:val="-8"/>
        </w:rPr>
        <w:t> </w:t>
      </w:r>
      <w:r>
        <w:rPr/>
        <w:t>flere</w:t>
      </w:r>
      <w:r>
        <w:rPr>
          <w:spacing w:val="-9"/>
        </w:rPr>
        <w:t> </w:t>
      </w:r>
      <w:r>
        <w:rPr/>
        <w:t>omgange</w:t>
      </w:r>
      <w:r>
        <w:rPr>
          <w:spacing w:val="-9"/>
        </w:rPr>
        <w:t> </w:t>
      </w:r>
      <w:r>
        <w:rPr/>
        <w:t>for</w:t>
      </w:r>
      <w:r>
        <w:rPr>
          <w:spacing w:val="-9"/>
        </w:rPr>
        <w:t> </w:t>
      </w:r>
      <w:r>
        <w:rPr/>
        <w:t>at</w:t>
      </w:r>
      <w:r>
        <w:rPr>
          <w:spacing w:val="-9"/>
        </w:rPr>
        <w:t> </w:t>
      </w:r>
      <w:r>
        <w:rPr/>
        <w:t>sikre at brede profiler ligger fornuftigt i forhold til ådalen, afvigelser i forhold til højdemodellen for bredkote er acceptable og opstrøms-/nedstrøms tværsnit kan</w:t>
      </w:r>
      <w:r>
        <w:rPr>
          <w:spacing w:val="-15"/>
        </w:rPr>
        <w:t> </w:t>
      </w:r>
      <w:r>
        <w:rPr/>
        <w:t>matches.</w:t>
      </w:r>
    </w:p>
    <w:p>
      <w:pPr>
        <w:spacing w:after="0" w:line="288" w:lineRule="auto"/>
        <w:jc w:val="both"/>
        <w:sectPr>
          <w:pgSz w:w="11910" w:h="16850"/>
          <w:pgMar w:header="0" w:footer="857" w:top="1600" w:bottom="1120" w:left="1460" w:right="680"/>
        </w:sectPr>
      </w:pPr>
    </w:p>
    <w:p>
      <w:pPr>
        <w:pStyle w:val="BodyText"/>
        <w:ind w:left="645"/>
        <w:rPr>
          <w:sz w:val="20"/>
        </w:rPr>
      </w:pPr>
      <w:r>
        <w:rPr>
          <w:sz w:val="20"/>
        </w:rPr>
        <w:drawing>
          <wp:inline distT="0" distB="0" distL="0" distR="0">
            <wp:extent cx="5264579" cy="3386137"/>
            <wp:effectExtent l="0" t="0" r="0" b="0"/>
            <wp:docPr id="47" name="image29.jpeg" descr=""/>
            <wp:cNvGraphicFramePr>
              <a:graphicFrameLocks noChangeAspect="1"/>
            </wp:cNvGraphicFramePr>
            <a:graphic>
              <a:graphicData uri="http://schemas.openxmlformats.org/drawingml/2006/picture">
                <pic:pic>
                  <pic:nvPicPr>
                    <pic:cNvPr id="48" name="image29.jpeg"/>
                    <pic:cNvPicPr/>
                  </pic:nvPicPr>
                  <pic:blipFill>
                    <a:blip r:embed="rId35" cstate="print"/>
                    <a:stretch>
                      <a:fillRect/>
                    </a:stretch>
                  </pic:blipFill>
                  <pic:spPr>
                    <a:xfrm>
                      <a:off x="0" y="0"/>
                      <a:ext cx="5264579" cy="3386137"/>
                    </a:xfrm>
                    <a:prstGeom prst="rect">
                      <a:avLst/>
                    </a:prstGeom>
                  </pic:spPr>
                </pic:pic>
              </a:graphicData>
            </a:graphic>
          </wp:inline>
        </w:drawing>
      </w:r>
      <w:r>
        <w:rPr>
          <w:sz w:val="20"/>
        </w:rPr>
      </w:r>
    </w:p>
    <w:p>
      <w:pPr>
        <w:spacing w:before="100"/>
        <w:ind w:left="525" w:right="1262" w:firstLine="0"/>
        <w:jc w:val="left"/>
        <w:rPr>
          <w:rFonts w:ascii="Calibri" w:hAnsi="Calibri"/>
          <w:i/>
          <w:sz w:val="18"/>
        </w:rPr>
      </w:pPr>
      <w:r>
        <w:rPr>
          <w:rFonts w:ascii="Calibri" w:hAnsi="Calibri"/>
          <w:i/>
          <w:color w:val="44536A"/>
          <w:sz w:val="18"/>
        </w:rPr>
        <w:t>Figur 19 Eksempel på indarbejdning af forlængede tværsnit for ådalen på basis af DHM for Storå. Kilde: COWI </w:t>
      </w:r>
      <w:r>
        <w:rPr>
          <w:rFonts w:ascii="Calibri" w:hAnsi="Calibri"/>
          <w:i/>
          <w:color w:val="44536A"/>
          <w:sz w:val="18"/>
        </w:rPr>
        <w:t>(2018a)</w:t>
      </w:r>
    </w:p>
    <w:p>
      <w:pPr>
        <w:pStyle w:val="BodyText"/>
        <w:spacing w:before="2"/>
        <w:rPr>
          <w:rFonts w:ascii="Calibri"/>
          <w:i/>
          <w:sz w:val="16"/>
        </w:rPr>
      </w:pPr>
    </w:p>
    <w:p>
      <w:pPr>
        <w:pStyle w:val="BodyText"/>
        <w:spacing w:line="288" w:lineRule="auto"/>
        <w:ind w:left="525" w:right="733"/>
        <w:jc w:val="both"/>
      </w:pPr>
      <w:r>
        <w:rPr/>
        <w:t>Det blev ved projektopstart vurderet, at der var op til 50 begrænsende bygværker i Storå systemet (identificeret ved orthofotos). Tværsnit ved bygværker er i første omgang lagt ind ud fra vandløbsregulativ fra 1989 (15 større broer og 5 rørlagte strækninger). Efterfølgende er</w:t>
      </w:r>
      <w:r>
        <w:rPr>
          <w:spacing w:val="-8"/>
        </w:rPr>
        <w:t> </w:t>
      </w:r>
      <w:r>
        <w:rPr/>
        <w:t>de</w:t>
      </w:r>
      <w:r>
        <w:rPr>
          <w:spacing w:val="-6"/>
        </w:rPr>
        <w:t> </w:t>
      </w:r>
      <w:r>
        <w:rPr/>
        <w:t>største</w:t>
      </w:r>
      <w:r>
        <w:rPr>
          <w:spacing w:val="-9"/>
        </w:rPr>
        <w:t> </w:t>
      </w:r>
      <w:r>
        <w:rPr/>
        <w:t>bygværker</w:t>
      </w:r>
      <w:r>
        <w:rPr>
          <w:spacing w:val="-7"/>
        </w:rPr>
        <w:t> </w:t>
      </w:r>
      <w:r>
        <w:rPr/>
        <w:t>opmålt</w:t>
      </w:r>
      <w:r>
        <w:rPr>
          <w:spacing w:val="-10"/>
        </w:rPr>
        <w:t> </w:t>
      </w:r>
      <w:r>
        <w:rPr/>
        <w:t>manuelt</w:t>
      </w:r>
      <w:r>
        <w:rPr>
          <w:spacing w:val="-7"/>
        </w:rPr>
        <w:t> </w:t>
      </w:r>
      <w:r>
        <w:rPr/>
        <w:t>i</w:t>
      </w:r>
      <w:r>
        <w:rPr>
          <w:spacing w:val="-6"/>
        </w:rPr>
        <w:t> </w:t>
      </w:r>
      <w:r>
        <w:rPr/>
        <w:t>GIS</w:t>
      </w:r>
      <w:r>
        <w:rPr>
          <w:spacing w:val="-8"/>
        </w:rPr>
        <w:t> </w:t>
      </w:r>
      <w:r>
        <w:rPr/>
        <w:t>og</w:t>
      </w:r>
      <w:r>
        <w:rPr>
          <w:spacing w:val="-7"/>
        </w:rPr>
        <w:t> </w:t>
      </w:r>
      <w:r>
        <w:rPr/>
        <w:t>højdemodellen</w:t>
      </w:r>
      <w:r>
        <w:rPr>
          <w:spacing w:val="-6"/>
        </w:rPr>
        <w:t> </w:t>
      </w:r>
      <w:r>
        <w:rPr/>
        <w:t>ved</w:t>
      </w:r>
      <w:r>
        <w:rPr>
          <w:spacing w:val="-7"/>
        </w:rPr>
        <w:t> </w:t>
      </w:r>
      <w:r>
        <w:rPr/>
        <w:t>at</w:t>
      </w:r>
      <w:r>
        <w:rPr>
          <w:spacing w:val="-7"/>
        </w:rPr>
        <w:t> </w:t>
      </w:r>
      <w:r>
        <w:rPr/>
        <w:t>antage,</w:t>
      </w:r>
      <w:r>
        <w:rPr>
          <w:spacing w:val="-7"/>
        </w:rPr>
        <w:t> </w:t>
      </w:r>
      <w:r>
        <w:rPr/>
        <w:t>at</w:t>
      </w:r>
      <w:r>
        <w:rPr>
          <w:spacing w:val="-8"/>
        </w:rPr>
        <w:t> </w:t>
      </w:r>
      <w:r>
        <w:rPr/>
        <w:t>afstanden fra vejbanen til overkant af vandløbsåbning er 1</w:t>
      </w:r>
      <w:r>
        <w:rPr>
          <w:spacing w:val="-7"/>
        </w:rPr>
        <w:t> </w:t>
      </w:r>
      <w:r>
        <w:rPr/>
        <w:t>m.</w:t>
      </w:r>
    </w:p>
    <w:p>
      <w:pPr>
        <w:pStyle w:val="BodyText"/>
        <w:rPr>
          <w:sz w:val="24"/>
        </w:rPr>
      </w:pPr>
    </w:p>
    <w:p>
      <w:pPr>
        <w:pStyle w:val="BodyText"/>
        <w:spacing w:before="3"/>
        <w:rPr>
          <w:sz w:val="22"/>
        </w:rPr>
      </w:pPr>
    </w:p>
    <w:p>
      <w:pPr>
        <w:pStyle w:val="Heading5"/>
        <w:rPr>
          <w:i/>
        </w:rPr>
      </w:pPr>
      <w:r>
        <w:rPr>
          <w:i/>
        </w:rPr>
        <w:t>Indarbejdningen af bygværker og brede profiler - Odense Å</w:t>
      </w:r>
    </w:p>
    <w:p>
      <w:pPr>
        <w:pStyle w:val="BodyText"/>
        <w:spacing w:line="288" w:lineRule="auto" w:before="49"/>
        <w:ind w:left="525" w:right="735"/>
        <w:jc w:val="both"/>
      </w:pPr>
      <w:r>
        <w:rPr/>
        <w:t>I DK-modellen var der oprindeligt 129 tværsnit i Odense Å, 61 i Stavis å og 55 i Lindved å. Der er yderligere af COWI indlagt 355 opmålte profiler i Odense Å, 189 i Stavis å og 174 i Lindved å, ligeledes med en del justeringer og tilpasninger.</w:t>
      </w:r>
    </w:p>
    <w:p>
      <w:pPr>
        <w:pStyle w:val="BodyText"/>
        <w:spacing w:before="2"/>
        <w:rPr>
          <w:sz w:val="25"/>
        </w:rPr>
      </w:pPr>
    </w:p>
    <w:p>
      <w:pPr>
        <w:pStyle w:val="BodyText"/>
        <w:spacing w:line="288" w:lineRule="auto"/>
        <w:ind w:left="525" w:right="732"/>
        <w:jc w:val="both"/>
      </w:pPr>
      <w:r>
        <w:rPr/>
        <w:t>Der er fundet en del fælles punkter i de forskellige informationskilder og tværsnit er tilpasset en</w:t>
      </w:r>
      <w:r>
        <w:rPr>
          <w:spacing w:val="-10"/>
        </w:rPr>
        <w:t> </w:t>
      </w:r>
      <w:r>
        <w:rPr/>
        <w:t>’fælles’</w:t>
      </w:r>
      <w:r>
        <w:rPr>
          <w:spacing w:val="-9"/>
        </w:rPr>
        <w:t> </w:t>
      </w:r>
      <w:r>
        <w:rPr/>
        <w:t>stationering,</w:t>
      </w:r>
      <w:r>
        <w:rPr>
          <w:spacing w:val="-10"/>
        </w:rPr>
        <w:t> </w:t>
      </w:r>
      <w:r>
        <w:rPr/>
        <w:t>som</w:t>
      </w:r>
      <w:r>
        <w:rPr>
          <w:spacing w:val="-8"/>
        </w:rPr>
        <w:t> </w:t>
      </w:r>
      <w:r>
        <w:rPr/>
        <w:t>ved</w:t>
      </w:r>
      <w:r>
        <w:rPr>
          <w:spacing w:val="-9"/>
        </w:rPr>
        <w:t> </w:t>
      </w:r>
      <w:r>
        <w:rPr/>
        <w:t>Storå</w:t>
      </w:r>
      <w:r>
        <w:rPr>
          <w:spacing w:val="-10"/>
        </w:rPr>
        <w:t> </w:t>
      </w:r>
      <w:r>
        <w:rPr/>
        <w:t>(idet</w:t>
      </w:r>
      <w:r>
        <w:rPr>
          <w:spacing w:val="-10"/>
        </w:rPr>
        <w:t> </w:t>
      </w:r>
      <w:r>
        <w:rPr/>
        <w:t>opmålte</w:t>
      </w:r>
      <w:r>
        <w:rPr>
          <w:spacing w:val="-12"/>
        </w:rPr>
        <w:t> </w:t>
      </w:r>
      <w:r>
        <w:rPr/>
        <w:t>tværsnit</w:t>
      </w:r>
      <w:r>
        <w:rPr>
          <w:spacing w:val="-10"/>
        </w:rPr>
        <w:t> </w:t>
      </w:r>
      <w:r>
        <w:rPr/>
        <w:t>ligger</w:t>
      </w:r>
      <w:r>
        <w:rPr>
          <w:spacing w:val="-10"/>
        </w:rPr>
        <w:t> </w:t>
      </w:r>
      <w:r>
        <w:rPr/>
        <w:t>tættere</w:t>
      </w:r>
      <w:r>
        <w:rPr>
          <w:spacing w:val="-11"/>
        </w:rPr>
        <w:t> </w:t>
      </w:r>
      <w:r>
        <w:rPr/>
        <w:t>i</w:t>
      </w:r>
      <w:r>
        <w:rPr>
          <w:spacing w:val="-4"/>
        </w:rPr>
        <w:t> </w:t>
      </w:r>
      <w:r>
        <w:rPr/>
        <w:t>Odense</w:t>
      </w:r>
      <w:r>
        <w:rPr>
          <w:spacing w:val="-9"/>
        </w:rPr>
        <w:t> </w:t>
      </w:r>
      <w:r>
        <w:rPr/>
        <w:t>Å).</w:t>
      </w:r>
      <w:r>
        <w:rPr>
          <w:spacing w:val="-10"/>
        </w:rPr>
        <w:t> </w:t>
      </w:r>
      <w:r>
        <w:rPr/>
        <w:t>Ved projektopstart blev det vurderet, at der var op til 40 begrænsende bygværker i Odense Å systemet. Disse er i første omgang lagt ind ud fra vandløbsregulativet for 2004 (data på 10 broer</w:t>
      </w:r>
      <w:r>
        <w:rPr>
          <w:spacing w:val="-12"/>
        </w:rPr>
        <w:t> </w:t>
      </w:r>
      <w:r>
        <w:rPr/>
        <w:t>i</w:t>
      </w:r>
      <w:r>
        <w:rPr>
          <w:spacing w:val="-10"/>
        </w:rPr>
        <w:t> </w:t>
      </w:r>
      <w:r>
        <w:rPr/>
        <w:t>regulativet),</w:t>
      </w:r>
      <w:r>
        <w:rPr>
          <w:spacing w:val="-12"/>
        </w:rPr>
        <w:t> </w:t>
      </w:r>
      <w:r>
        <w:rPr/>
        <w:t>efterfølgende</w:t>
      </w:r>
      <w:r>
        <w:rPr>
          <w:spacing w:val="-10"/>
        </w:rPr>
        <w:t> </w:t>
      </w:r>
      <w:r>
        <w:rPr/>
        <w:t>er</w:t>
      </w:r>
      <w:r>
        <w:rPr>
          <w:spacing w:val="-11"/>
        </w:rPr>
        <w:t> </w:t>
      </w:r>
      <w:r>
        <w:rPr/>
        <w:t>de</w:t>
      </w:r>
      <w:r>
        <w:rPr>
          <w:spacing w:val="-10"/>
        </w:rPr>
        <w:t> </w:t>
      </w:r>
      <w:r>
        <w:rPr/>
        <w:t>største</w:t>
      </w:r>
      <w:r>
        <w:rPr>
          <w:spacing w:val="-10"/>
        </w:rPr>
        <w:t> </w:t>
      </w:r>
      <w:r>
        <w:rPr/>
        <w:t>begrænsende</w:t>
      </w:r>
      <w:r>
        <w:rPr>
          <w:spacing w:val="-10"/>
        </w:rPr>
        <w:t> </w:t>
      </w:r>
      <w:r>
        <w:rPr/>
        <w:t>strukturer</w:t>
      </w:r>
      <w:r>
        <w:rPr>
          <w:spacing w:val="-12"/>
        </w:rPr>
        <w:t> </w:t>
      </w:r>
      <w:r>
        <w:rPr/>
        <w:t>(7</w:t>
      </w:r>
      <w:r>
        <w:rPr>
          <w:spacing w:val="-11"/>
        </w:rPr>
        <w:t> </w:t>
      </w:r>
      <w:r>
        <w:rPr/>
        <w:t>broer</w:t>
      </w:r>
      <w:r>
        <w:rPr>
          <w:spacing w:val="-13"/>
        </w:rPr>
        <w:t> </w:t>
      </w:r>
      <w:r>
        <w:rPr/>
        <w:t>og</w:t>
      </w:r>
      <w:r>
        <w:rPr>
          <w:spacing w:val="-10"/>
        </w:rPr>
        <w:t> </w:t>
      </w:r>
      <w:r>
        <w:rPr/>
        <w:t>en</w:t>
      </w:r>
      <w:r>
        <w:rPr>
          <w:spacing w:val="-10"/>
        </w:rPr>
        <w:t> </w:t>
      </w:r>
      <w:r>
        <w:rPr/>
        <w:t>rørlagt strækning)</w:t>
      </w:r>
      <w:r>
        <w:rPr>
          <w:spacing w:val="-7"/>
        </w:rPr>
        <w:t> </w:t>
      </w:r>
      <w:r>
        <w:rPr/>
        <w:t>opmålt</w:t>
      </w:r>
      <w:r>
        <w:rPr>
          <w:spacing w:val="-7"/>
        </w:rPr>
        <w:t> </w:t>
      </w:r>
      <w:r>
        <w:rPr/>
        <w:t>manuelt</w:t>
      </w:r>
      <w:r>
        <w:rPr>
          <w:spacing w:val="-6"/>
        </w:rPr>
        <w:t> </w:t>
      </w:r>
      <w:r>
        <w:rPr/>
        <w:t>i</w:t>
      </w:r>
      <w:r>
        <w:rPr>
          <w:spacing w:val="-5"/>
        </w:rPr>
        <w:t> </w:t>
      </w:r>
      <w:r>
        <w:rPr/>
        <w:t>GIS</w:t>
      </w:r>
      <w:r>
        <w:rPr>
          <w:spacing w:val="-6"/>
        </w:rPr>
        <w:t> </w:t>
      </w:r>
      <w:r>
        <w:rPr/>
        <w:t>og</w:t>
      </w:r>
      <w:r>
        <w:rPr>
          <w:spacing w:val="-5"/>
        </w:rPr>
        <w:t> </w:t>
      </w:r>
      <w:r>
        <w:rPr/>
        <w:t>højdemodellen</w:t>
      </w:r>
      <w:r>
        <w:rPr>
          <w:spacing w:val="-6"/>
        </w:rPr>
        <w:t> </w:t>
      </w:r>
      <w:r>
        <w:rPr/>
        <w:t>ved</w:t>
      </w:r>
      <w:r>
        <w:rPr>
          <w:spacing w:val="-5"/>
        </w:rPr>
        <w:t> </w:t>
      </w:r>
      <w:r>
        <w:rPr/>
        <w:t>at</w:t>
      </w:r>
      <w:r>
        <w:rPr>
          <w:spacing w:val="-7"/>
        </w:rPr>
        <w:t> </w:t>
      </w:r>
      <w:r>
        <w:rPr/>
        <w:t>antage,</w:t>
      </w:r>
      <w:r>
        <w:rPr>
          <w:spacing w:val="-7"/>
        </w:rPr>
        <w:t> </w:t>
      </w:r>
      <w:r>
        <w:rPr/>
        <w:t>at</w:t>
      </w:r>
      <w:r>
        <w:rPr>
          <w:spacing w:val="-2"/>
        </w:rPr>
        <w:t> </w:t>
      </w:r>
      <w:r>
        <w:rPr/>
        <w:t>afstanden</w:t>
      </w:r>
      <w:r>
        <w:rPr>
          <w:spacing w:val="-8"/>
        </w:rPr>
        <w:t> </w:t>
      </w:r>
      <w:r>
        <w:rPr/>
        <w:t>fra</w:t>
      </w:r>
      <w:r>
        <w:rPr>
          <w:spacing w:val="-5"/>
        </w:rPr>
        <w:t> </w:t>
      </w:r>
      <w:r>
        <w:rPr/>
        <w:t>vejbanen til overkant af vandløbsåbning er på 1 m. Desuden er der indlagt 39 overløb i modellen, hvoraf de 15 var beskrevet i modelopsætninger modtaget fra Odense</w:t>
      </w:r>
      <w:r>
        <w:rPr>
          <w:spacing w:val="-21"/>
        </w:rPr>
        <w:t> </w:t>
      </w:r>
      <w:r>
        <w:rPr/>
        <w:t>kommune/Rambøll.</w:t>
      </w:r>
    </w:p>
    <w:p>
      <w:pPr>
        <w:spacing w:after="0" w:line="288" w:lineRule="auto"/>
        <w:jc w:val="both"/>
        <w:sectPr>
          <w:pgSz w:w="11910" w:h="16850"/>
          <w:pgMar w:header="0" w:footer="857" w:top="1420" w:bottom="1120" w:left="1460" w:right="680"/>
        </w:sectPr>
      </w:pPr>
    </w:p>
    <w:p>
      <w:pPr>
        <w:spacing w:line="240" w:lineRule="auto"/>
        <w:ind w:left="539" w:right="0" w:firstLine="0"/>
        <w:rPr>
          <w:sz w:val="20"/>
        </w:rPr>
      </w:pPr>
      <w:r>
        <w:rPr>
          <w:position w:val="1"/>
          <w:sz w:val="20"/>
        </w:rPr>
        <w:drawing>
          <wp:inline distT="0" distB="0" distL="0" distR="0">
            <wp:extent cx="2629978" cy="3291840"/>
            <wp:effectExtent l="0" t="0" r="0" b="0"/>
            <wp:docPr id="49" name="image30.jpeg" descr=""/>
            <wp:cNvGraphicFramePr>
              <a:graphicFrameLocks noChangeAspect="1"/>
            </wp:cNvGraphicFramePr>
            <a:graphic>
              <a:graphicData uri="http://schemas.openxmlformats.org/drawingml/2006/picture">
                <pic:pic>
                  <pic:nvPicPr>
                    <pic:cNvPr id="50" name="image30.jpeg"/>
                    <pic:cNvPicPr/>
                  </pic:nvPicPr>
                  <pic:blipFill>
                    <a:blip r:embed="rId36" cstate="print"/>
                    <a:stretch>
                      <a:fillRect/>
                    </a:stretch>
                  </pic:blipFill>
                  <pic:spPr>
                    <a:xfrm>
                      <a:off x="0" y="0"/>
                      <a:ext cx="2629978" cy="3291840"/>
                    </a:xfrm>
                    <a:prstGeom prst="rect">
                      <a:avLst/>
                    </a:prstGeom>
                  </pic:spPr>
                </pic:pic>
              </a:graphicData>
            </a:graphic>
          </wp:inline>
        </w:drawing>
      </w:r>
      <w:r>
        <w:rPr>
          <w:position w:val="1"/>
          <w:sz w:val="20"/>
        </w:rPr>
      </w:r>
      <w:r>
        <w:rPr>
          <w:rFonts w:ascii="Times New Roman"/>
          <w:spacing w:val="65"/>
          <w:position w:val="1"/>
          <w:sz w:val="20"/>
        </w:rPr>
        <w:t> </w:t>
      </w:r>
      <w:r>
        <w:rPr>
          <w:spacing w:val="65"/>
          <w:sz w:val="20"/>
        </w:rPr>
        <w:drawing>
          <wp:inline distT="0" distB="0" distL="0" distR="0">
            <wp:extent cx="2603168" cy="3364991"/>
            <wp:effectExtent l="0" t="0" r="0" b="0"/>
            <wp:docPr id="51" name="image31.jpeg" descr=""/>
            <wp:cNvGraphicFramePr>
              <a:graphicFrameLocks noChangeAspect="1"/>
            </wp:cNvGraphicFramePr>
            <a:graphic>
              <a:graphicData uri="http://schemas.openxmlformats.org/drawingml/2006/picture">
                <pic:pic>
                  <pic:nvPicPr>
                    <pic:cNvPr id="52" name="image31.jpeg"/>
                    <pic:cNvPicPr/>
                  </pic:nvPicPr>
                  <pic:blipFill>
                    <a:blip r:embed="rId37" cstate="print"/>
                    <a:stretch>
                      <a:fillRect/>
                    </a:stretch>
                  </pic:blipFill>
                  <pic:spPr>
                    <a:xfrm>
                      <a:off x="0" y="0"/>
                      <a:ext cx="2603168" cy="3364991"/>
                    </a:xfrm>
                    <a:prstGeom prst="rect">
                      <a:avLst/>
                    </a:prstGeom>
                  </pic:spPr>
                </pic:pic>
              </a:graphicData>
            </a:graphic>
          </wp:inline>
        </w:drawing>
      </w:r>
      <w:r>
        <w:rPr>
          <w:spacing w:val="65"/>
          <w:sz w:val="20"/>
        </w:rPr>
      </w:r>
    </w:p>
    <w:p>
      <w:pPr>
        <w:spacing w:before="23"/>
        <w:ind w:left="525" w:right="903" w:firstLine="0"/>
        <w:jc w:val="left"/>
        <w:rPr>
          <w:rFonts w:ascii="Calibri" w:hAnsi="Calibri"/>
          <w:i/>
          <w:sz w:val="18"/>
        </w:rPr>
      </w:pPr>
      <w:r>
        <w:rPr>
          <w:rFonts w:ascii="Calibri" w:hAnsi="Calibri"/>
          <w:i/>
          <w:color w:val="44536A"/>
          <w:sz w:val="18"/>
        </w:rPr>
        <w:t>Figur 20 Oprindelige (venstre) og indarbejdede (højre) tværsnit i MIKE HYDRO River opsætning for Odense Å. Kilde: </w:t>
      </w:r>
      <w:r>
        <w:rPr>
          <w:rFonts w:ascii="Calibri" w:hAnsi="Calibri"/>
          <w:i/>
          <w:color w:val="44536A"/>
          <w:sz w:val="18"/>
        </w:rPr>
        <w:t>COWI (2018a)</w:t>
      </w:r>
    </w:p>
    <w:p>
      <w:pPr>
        <w:pStyle w:val="BodyText"/>
        <w:rPr>
          <w:rFonts w:ascii="Calibri"/>
          <w:i/>
          <w:sz w:val="20"/>
        </w:rPr>
      </w:pPr>
    </w:p>
    <w:p>
      <w:pPr>
        <w:pStyle w:val="BodyText"/>
        <w:rPr>
          <w:rFonts w:ascii="Calibri"/>
          <w:i/>
          <w:sz w:val="20"/>
        </w:rPr>
      </w:pPr>
    </w:p>
    <w:p>
      <w:pPr>
        <w:pStyle w:val="BodyText"/>
        <w:spacing w:before="7"/>
        <w:rPr>
          <w:rFonts w:ascii="Calibri"/>
          <w:i/>
          <w:sz w:val="12"/>
        </w:rPr>
      </w:pPr>
      <w:r>
        <w:rPr/>
        <w:drawing>
          <wp:anchor distT="0" distB="0" distL="0" distR="0" allowOverlap="1" layoutInCell="1" locked="0" behindDoc="0" simplePos="0" relativeHeight="18">
            <wp:simplePos x="0" y="0"/>
            <wp:positionH relativeFrom="page">
              <wp:posOffset>1260475</wp:posOffset>
            </wp:positionH>
            <wp:positionV relativeFrom="paragraph">
              <wp:posOffset>122723</wp:posOffset>
            </wp:positionV>
            <wp:extent cx="5335588" cy="3771900"/>
            <wp:effectExtent l="0" t="0" r="0" b="0"/>
            <wp:wrapTopAndBottom/>
            <wp:docPr id="53" name="image32.jpeg" descr=""/>
            <wp:cNvGraphicFramePr>
              <a:graphicFrameLocks noChangeAspect="1"/>
            </wp:cNvGraphicFramePr>
            <a:graphic>
              <a:graphicData uri="http://schemas.openxmlformats.org/drawingml/2006/picture">
                <pic:pic>
                  <pic:nvPicPr>
                    <pic:cNvPr id="54" name="image32.jpeg"/>
                    <pic:cNvPicPr/>
                  </pic:nvPicPr>
                  <pic:blipFill>
                    <a:blip r:embed="rId38" cstate="print"/>
                    <a:stretch>
                      <a:fillRect/>
                    </a:stretch>
                  </pic:blipFill>
                  <pic:spPr>
                    <a:xfrm>
                      <a:off x="0" y="0"/>
                      <a:ext cx="5335588" cy="3771900"/>
                    </a:xfrm>
                    <a:prstGeom prst="rect">
                      <a:avLst/>
                    </a:prstGeom>
                  </pic:spPr>
                </pic:pic>
              </a:graphicData>
            </a:graphic>
          </wp:anchor>
        </w:drawing>
      </w:r>
    </w:p>
    <w:p>
      <w:pPr>
        <w:pStyle w:val="BodyText"/>
        <w:spacing w:before="5"/>
        <w:rPr>
          <w:rFonts w:ascii="Calibri"/>
          <w:i/>
          <w:sz w:val="22"/>
        </w:rPr>
      </w:pPr>
    </w:p>
    <w:p>
      <w:pPr>
        <w:spacing w:before="1"/>
        <w:ind w:left="525" w:right="785" w:firstLine="0"/>
        <w:jc w:val="left"/>
        <w:rPr>
          <w:rFonts w:ascii="Calibri" w:hAnsi="Calibri"/>
          <w:i/>
          <w:sz w:val="18"/>
        </w:rPr>
      </w:pPr>
      <w:r>
        <w:rPr>
          <w:rFonts w:ascii="Calibri" w:hAnsi="Calibri"/>
          <w:i/>
          <w:color w:val="44536A"/>
          <w:sz w:val="18"/>
        </w:rPr>
        <w:t>Figur 21 Endelig placering og udstrækning af de forlængede tværsnit i fokusområderne af Odense Å vandløbssystem </w:t>
      </w:r>
      <w:r>
        <w:rPr>
          <w:rFonts w:ascii="Calibri" w:hAnsi="Calibri"/>
          <w:i/>
          <w:color w:val="44536A"/>
          <w:sz w:val="18"/>
        </w:rPr>
        <w:t>Kilde: COWI (2018a)</w:t>
      </w:r>
    </w:p>
    <w:p>
      <w:pPr>
        <w:spacing w:after="0"/>
        <w:jc w:val="left"/>
        <w:rPr>
          <w:rFonts w:ascii="Calibri" w:hAnsi="Calibri"/>
          <w:sz w:val="18"/>
        </w:rPr>
        <w:sectPr>
          <w:pgSz w:w="11910" w:h="16850"/>
          <w:pgMar w:header="0" w:footer="857" w:top="1420" w:bottom="1120" w:left="1460" w:right="680"/>
        </w:sectPr>
      </w:pPr>
    </w:p>
    <w:p>
      <w:pPr>
        <w:pStyle w:val="Heading5"/>
        <w:spacing w:before="75"/>
        <w:rPr>
          <w:i/>
        </w:rPr>
      </w:pPr>
      <w:r>
        <w:rPr>
          <w:i/>
        </w:rPr>
        <w:t>Opdateret løsningsmodul til beregning af vandstand og vandføring</w:t>
      </w:r>
    </w:p>
    <w:p>
      <w:pPr>
        <w:pStyle w:val="BodyText"/>
        <w:spacing w:line="273" w:lineRule="auto" w:before="37"/>
        <w:ind w:left="525" w:right="102"/>
      </w:pPr>
      <w:r>
        <w:rPr/>
        <w:t>Der har været en del udfordringer i at gå fra DK-modellens routing model i 500 m til hydro- dynamisk model i 100 m:</w:t>
      </w:r>
    </w:p>
    <w:p>
      <w:pPr>
        <w:pStyle w:val="ListParagraph"/>
        <w:numPr>
          <w:ilvl w:val="0"/>
          <w:numId w:val="10"/>
        </w:numPr>
        <w:tabs>
          <w:tab w:pos="1246" w:val="left" w:leader="none"/>
        </w:tabs>
        <w:spacing w:line="276" w:lineRule="auto" w:before="4" w:after="0"/>
        <w:ind w:left="1245" w:right="731" w:hanging="360"/>
        <w:jc w:val="both"/>
        <w:rPr>
          <w:sz w:val="21"/>
        </w:rPr>
      </w:pPr>
      <w:r>
        <w:rPr>
          <w:sz w:val="21"/>
        </w:rPr>
        <w:t>Stationering af vandløb er grundlæggende forskellig, når data fra forskellige kilder skal</w:t>
      </w:r>
      <w:r>
        <w:rPr>
          <w:spacing w:val="-18"/>
          <w:sz w:val="21"/>
        </w:rPr>
        <w:t> </w:t>
      </w:r>
      <w:r>
        <w:rPr>
          <w:sz w:val="21"/>
        </w:rPr>
        <w:t>kombineres</w:t>
      </w:r>
      <w:r>
        <w:rPr>
          <w:spacing w:val="-17"/>
          <w:sz w:val="21"/>
        </w:rPr>
        <w:t> </w:t>
      </w:r>
      <w:r>
        <w:rPr>
          <w:sz w:val="21"/>
        </w:rPr>
        <w:t>(kommuner</w:t>
      </w:r>
      <w:r>
        <w:rPr>
          <w:spacing w:val="-17"/>
          <w:sz w:val="21"/>
        </w:rPr>
        <w:t> </w:t>
      </w:r>
      <w:r>
        <w:rPr>
          <w:sz w:val="21"/>
        </w:rPr>
        <w:t>anvender</w:t>
      </w:r>
      <w:r>
        <w:rPr>
          <w:spacing w:val="-17"/>
          <w:sz w:val="21"/>
        </w:rPr>
        <w:t> </w:t>
      </w:r>
      <w:r>
        <w:rPr>
          <w:sz w:val="21"/>
        </w:rPr>
        <w:t>typisk</w:t>
      </w:r>
      <w:r>
        <w:rPr>
          <w:spacing w:val="-13"/>
          <w:sz w:val="21"/>
        </w:rPr>
        <w:t> </w:t>
      </w:r>
      <w:r>
        <w:rPr>
          <w:sz w:val="21"/>
        </w:rPr>
        <w:t>stationering</w:t>
      </w:r>
      <w:r>
        <w:rPr>
          <w:spacing w:val="-17"/>
          <w:sz w:val="21"/>
        </w:rPr>
        <w:t> </w:t>
      </w:r>
      <w:r>
        <w:rPr>
          <w:sz w:val="21"/>
        </w:rPr>
        <w:t>der</w:t>
      </w:r>
      <w:r>
        <w:rPr>
          <w:spacing w:val="-17"/>
          <w:sz w:val="21"/>
        </w:rPr>
        <w:t> </w:t>
      </w:r>
      <w:r>
        <w:rPr>
          <w:sz w:val="21"/>
        </w:rPr>
        <w:t>begynder</w:t>
      </w:r>
      <w:r>
        <w:rPr>
          <w:spacing w:val="-17"/>
          <w:sz w:val="21"/>
        </w:rPr>
        <w:t> </w:t>
      </w:r>
      <w:r>
        <w:rPr>
          <w:sz w:val="21"/>
        </w:rPr>
        <w:t>i</w:t>
      </w:r>
      <w:r>
        <w:rPr>
          <w:spacing w:val="-15"/>
          <w:sz w:val="21"/>
        </w:rPr>
        <w:t> </w:t>
      </w:r>
      <w:r>
        <w:rPr>
          <w:sz w:val="21"/>
        </w:rPr>
        <w:t>udløb,</w:t>
      </w:r>
      <w:r>
        <w:rPr>
          <w:spacing w:val="-20"/>
          <w:sz w:val="21"/>
        </w:rPr>
        <w:t> </w:t>
      </w:r>
      <w:r>
        <w:rPr>
          <w:sz w:val="21"/>
        </w:rPr>
        <w:t>mens MIKE</w:t>
      </w:r>
      <w:r>
        <w:rPr>
          <w:spacing w:val="-12"/>
          <w:sz w:val="21"/>
        </w:rPr>
        <w:t> </w:t>
      </w:r>
      <w:r>
        <w:rPr>
          <w:sz w:val="21"/>
        </w:rPr>
        <w:t>systemet</w:t>
      </w:r>
      <w:r>
        <w:rPr>
          <w:spacing w:val="-13"/>
          <w:sz w:val="21"/>
        </w:rPr>
        <w:t> </w:t>
      </w:r>
      <w:r>
        <w:rPr>
          <w:sz w:val="21"/>
        </w:rPr>
        <w:t>tæller</w:t>
      </w:r>
      <w:r>
        <w:rPr>
          <w:spacing w:val="-15"/>
          <w:sz w:val="21"/>
        </w:rPr>
        <w:t> </w:t>
      </w:r>
      <w:r>
        <w:rPr>
          <w:sz w:val="21"/>
        </w:rPr>
        <w:t>den</w:t>
      </w:r>
      <w:r>
        <w:rPr>
          <w:spacing w:val="-16"/>
          <w:sz w:val="21"/>
        </w:rPr>
        <w:t> </w:t>
      </w:r>
      <w:r>
        <w:rPr>
          <w:sz w:val="21"/>
        </w:rPr>
        <w:t>anden</w:t>
      </w:r>
      <w:r>
        <w:rPr>
          <w:spacing w:val="-12"/>
          <w:sz w:val="21"/>
        </w:rPr>
        <w:t> </w:t>
      </w:r>
      <w:r>
        <w:rPr>
          <w:sz w:val="21"/>
        </w:rPr>
        <w:t>vej).</w:t>
      </w:r>
      <w:r>
        <w:rPr>
          <w:spacing w:val="-13"/>
          <w:sz w:val="21"/>
        </w:rPr>
        <w:t> </w:t>
      </w:r>
      <w:r>
        <w:rPr>
          <w:sz w:val="21"/>
        </w:rPr>
        <w:t>Forskellige</w:t>
      </w:r>
      <w:r>
        <w:rPr>
          <w:spacing w:val="-16"/>
          <w:sz w:val="21"/>
        </w:rPr>
        <w:t> </w:t>
      </w:r>
      <w:r>
        <w:rPr>
          <w:sz w:val="21"/>
        </w:rPr>
        <w:t>modeller</w:t>
      </w:r>
      <w:r>
        <w:rPr>
          <w:spacing w:val="-13"/>
          <w:sz w:val="21"/>
        </w:rPr>
        <w:t> </w:t>
      </w:r>
      <w:r>
        <w:rPr>
          <w:sz w:val="21"/>
        </w:rPr>
        <w:t>har</w:t>
      </w:r>
      <w:r>
        <w:rPr>
          <w:spacing w:val="-12"/>
          <w:sz w:val="21"/>
        </w:rPr>
        <w:t> </w:t>
      </w:r>
      <w:r>
        <w:rPr>
          <w:sz w:val="21"/>
        </w:rPr>
        <w:t>forskellig</w:t>
      </w:r>
      <w:r>
        <w:rPr>
          <w:spacing w:val="-14"/>
          <w:sz w:val="21"/>
        </w:rPr>
        <w:t> </w:t>
      </w:r>
      <w:r>
        <w:rPr>
          <w:sz w:val="21"/>
        </w:rPr>
        <w:t>stationering, da stationering (chainage) afhænger af detaljeringsgrad af vandløbets placering /</w:t>
      </w:r>
      <w:r>
        <w:rPr>
          <w:spacing w:val="-42"/>
          <w:sz w:val="21"/>
        </w:rPr>
        <w:t> </w:t>
      </w:r>
      <w:r>
        <w:rPr>
          <w:sz w:val="21"/>
        </w:rPr>
        <w:t>di- gitalisering i xy-planen (riverline). Dette har betydning både for tværsnit, begræn- sende strukturer (bygværker, fx vejunderføringer) og regulerende bygværker (over- løb)</w:t>
      </w:r>
    </w:p>
    <w:p>
      <w:pPr>
        <w:pStyle w:val="ListParagraph"/>
        <w:numPr>
          <w:ilvl w:val="0"/>
          <w:numId w:val="10"/>
        </w:numPr>
        <w:tabs>
          <w:tab w:pos="1246" w:val="left" w:leader="none"/>
        </w:tabs>
        <w:spacing w:line="273" w:lineRule="auto" w:before="0" w:after="0"/>
        <w:ind w:left="1245" w:right="729" w:hanging="360"/>
        <w:jc w:val="both"/>
        <w:rPr>
          <w:sz w:val="21"/>
        </w:rPr>
      </w:pPr>
      <w:r>
        <w:rPr>
          <w:sz w:val="21"/>
        </w:rPr>
        <w:t>Placering af vandløbet (riverline) afhænger af detaljeringsgraden af vandløbets digi- talisering.</w:t>
      </w:r>
      <w:r>
        <w:rPr>
          <w:spacing w:val="-10"/>
          <w:sz w:val="21"/>
        </w:rPr>
        <w:t> </w:t>
      </w:r>
      <w:r>
        <w:rPr>
          <w:sz w:val="21"/>
        </w:rPr>
        <w:t>Dette</w:t>
      </w:r>
      <w:r>
        <w:rPr>
          <w:spacing w:val="-8"/>
          <w:sz w:val="21"/>
        </w:rPr>
        <w:t> </w:t>
      </w:r>
      <w:r>
        <w:rPr>
          <w:sz w:val="21"/>
        </w:rPr>
        <w:t>har</w:t>
      </w:r>
      <w:r>
        <w:rPr>
          <w:spacing w:val="-9"/>
          <w:sz w:val="21"/>
        </w:rPr>
        <w:t> </w:t>
      </w:r>
      <w:r>
        <w:rPr>
          <w:sz w:val="21"/>
        </w:rPr>
        <w:t>specielt</w:t>
      </w:r>
      <w:r>
        <w:rPr>
          <w:spacing w:val="-10"/>
          <w:sz w:val="21"/>
        </w:rPr>
        <w:t> </w:t>
      </w:r>
      <w:r>
        <w:rPr>
          <w:sz w:val="21"/>
        </w:rPr>
        <w:t>betydning</w:t>
      </w:r>
      <w:r>
        <w:rPr>
          <w:spacing w:val="-8"/>
          <w:sz w:val="21"/>
        </w:rPr>
        <w:t> </w:t>
      </w:r>
      <w:r>
        <w:rPr>
          <w:sz w:val="21"/>
        </w:rPr>
        <w:t>når</w:t>
      </w:r>
      <w:r>
        <w:rPr>
          <w:spacing w:val="-9"/>
          <w:sz w:val="21"/>
        </w:rPr>
        <w:t> </w:t>
      </w:r>
      <w:r>
        <w:rPr>
          <w:sz w:val="21"/>
        </w:rPr>
        <w:t>der</w:t>
      </w:r>
      <w:r>
        <w:rPr>
          <w:spacing w:val="-9"/>
          <w:sz w:val="21"/>
        </w:rPr>
        <w:t> </w:t>
      </w:r>
      <w:r>
        <w:rPr>
          <w:sz w:val="21"/>
        </w:rPr>
        <w:t>skal</w:t>
      </w:r>
      <w:r>
        <w:rPr>
          <w:spacing w:val="-11"/>
          <w:sz w:val="21"/>
        </w:rPr>
        <w:t> </w:t>
      </w:r>
      <w:r>
        <w:rPr>
          <w:sz w:val="21"/>
        </w:rPr>
        <w:t>anvendes</w:t>
      </w:r>
      <w:r>
        <w:rPr>
          <w:spacing w:val="-11"/>
          <w:sz w:val="21"/>
        </w:rPr>
        <w:t> </w:t>
      </w:r>
      <w:r>
        <w:rPr>
          <w:sz w:val="21"/>
        </w:rPr>
        <w:t>brede</w:t>
      </w:r>
      <w:r>
        <w:rPr>
          <w:spacing w:val="-8"/>
          <w:sz w:val="21"/>
        </w:rPr>
        <w:t> </w:t>
      </w:r>
      <w:r>
        <w:rPr>
          <w:sz w:val="21"/>
        </w:rPr>
        <w:t>profiler</w:t>
      </w:r>
      <w:r>
        <w:rPr>
          <w:spacing w:val="-11"/>
          <w:sz w:val="21"/>
        </w:rPr>
        <w:t> </w:t>
      </w:r>
      <w:r>
        <w:rPr>
          <w:sz w:val="21"/>
        </w:rPr>
        <w:t>der</w:t>
      </w:r>
      <w:r>
        <w:rPr>
          <w:spacing w:val="-10"/>
          <w:sz w:val="21"/>
        </w:rPr>
        <w:t> </w:t>
      </w:r>
      <w:r>
        <w:rPr>
          <w:sz w:val="21"/>
        </w:rPr>
        <w:t>dæk- ker hele</w:t>
      </w:r>
      <w:r>
        <w:rPr>
          <w:spacing w:val="-3"/>
          <w:sz w:val="21"/>
        </w:rPr>
        <w:t> </w:t>
      </w:r>
      <w:r>
        <w:rPr>
          <w:sz w:val="21"/>
        </w:rPr>
        <w:t>vandløbsdalen.</w:t>
      </w:r>
    </w:p>
    <w:p>
      <w:pPr>
        <w:pStyle w:val="BodyText"/>
        <w:spacing w:before="1"/>
        <w:rPr>
          <w:sz w:val="20"/>
        </w:rPr>
      </w:pPr>
      <w:r>
        <w:rPr/>
        <w:pict>
          <v:group style="position:absolute;margin-left:99.25pt;margin-top:14.020803pt;width:389.35pt;height:433.45pt;mso-position-horizontal-relative:page;mso-position-vertical-relative:paragraph;z-index:-568;mso-wrap-distance-left:0;mso-wrap-distance-right:0" coordorigin="1985,280" coordsize="7787,8669">
            <v:shape style="position:absolute;left:1985;top:280;width:7752;height:2875" type="#_x0000_t75" stroked="false">
              <v:imagedata r:id="rId39" o:title=""/>
            </v:shape>
            <v:shape style="position:absolute;left:1985;top:3160;width:7787;height:5789" type="#_x0000_t75" stroked="false">
              <v:imagedata r:id="rId40" o:title=""/>
            </v:shape>
            <w10:wrap type="topAndBottom"/>
          </v:group>
        </w:pict>
      </w:r>
    </w:p>
    <w:p>
      <w:pPr>
        <w:spacing w:before="0"/>
        <w:ind w:left="525" w:right="800" w:firstLine="0"/>
        <w:jc w:val="left"/>
        <w:rPr>
          <w:rFonts w:ascii="Calibri" w:hAnsi="Calibri"/>
          <w:i/>
          <w:sz w:val="18"/>
        </w:rPr>
      </w:pPr>
      <w:bookmarkStart w:name="_bookmark33" w:id="48"/>
      <w:bookmarkEnd w:id="48"/>
      <w:r>
        <w:rPr/>
      </w:r>
      <w:r>
        <w:rPr>
          <w:rFonts w:ascii="Calibri" w:hAnsi="Calibri"/>
          <w:i/>
          <w:color w:val="44536A"/>
          <w:sz w:val="18"/>
        </w:rPr>
        <w:t>Figur 22 Eksempel på Brede profiler. Øverst: Opmålt profil. Midt: Udvidet profil på basis af højdemodel. Nederst: Til- </w:t>
      </w:r>
      <w:r>
        <w:rPr>
          <w:rFonts w:ascii="Calibri" w:hAnsi="Calibri"/>
          <w:i/>
          <w:color w:val="44536A"/>
          <w:sz w:val="18"/>
        </w:rPr>
        <w:t>passet profil efter manuel justering. Kilde: COWI (2018a).</w:t>
      </w:r>
    </w:p>
    <w:p>
      <w:pPr>
        <w:spacing w:after="0"/>
        <w:jc w:val="left"/>
        <w:rPr>
          <w:rFonts w:ascii="Calibri" w:hAnsi="Calibri"/>
          <w:sz w:val="18"/>
        </w:rPr>
        <w:sectPr>
          <w:pgSz w:w="11910" w:h="16850"/>
          <w:pgMar w:header="0" w:footer="857" w:top="1340" w:bottom="1120" w:left="1460" w:right="680"/>
        </w:sectPr>
      </w:pPr>
    </w:p>
    <w:p>
      <w:pPr>
        <w:pStyle w:val="ListParagraph"/>
        <w:numPr>
          <w:ilvl w:val="0"/>
          <w:numId w:val="10"/>
        </w:numPr>
        <w:tabs>
          <w:tab w:pos="1246" w:val="left" w:leader="none"/>
        </w:tabs>
        <w:spacing w:line="276" w:lineRule="auto" w:before="75" w:after="0"/>
        <w:ind w:left="1245" w:right="732" w:hanging="360"/>
        <w:jc w:val="both"/>
        <w:rPr>
          <w:sz w:val="21"/>
        </w:rPr>
      </w:pPr>
      <w:r>
        <w:rPr>
          <w:sz w:val="21"/>
        </w:rPr>
        <w:t>Udarbejdelse</w:t>
      </w:r>
      <w:r>
        <w:rPr>
          <w:spacing w:val="-7"/>
          <w:sz w:val="21"/>
        </w:rPr>
        <w:t> </w:t>
      </w:r>
      <w:r>
        <w:rPr>
          <w:sz w:val="21"/>
        </w:rPr>
        <w:t>af</w:t>
      </w:r>
      <w:r>
        <w:rPr>
          <w:spacing w:val="-6"/>
          <w:sz w:val="21"/>
        </w:rPr>
        <w:t> </w:t>
      </w:r>
      <w:r>
        <w:rPr>
          <w:sz w:val="21"/>
        </w:rPr>
        <w:t>brede</w:t>
      </w:r>
      <w:r>
        <w:rPr>
          <w:spacing w:val="-5"/>
          <w:sz w:val="21"/>
        </w:rPr>
        <w:t> </w:t>
      </w:r>
      <w:r>
        <w:rPr>
          <w:sz w:val="21"/>
        </w:rPr>
        <w:t>tværsnit</w:t>
      </w:r>
      <w:r>
        <w:rPr>
          <w:spacing w:val="-7"/>
          <w:sz w:val="21"/>
        </w:rPr>
        <w:t> </w:t>
      </w:r>
      <w:r>
        <w:rPr>
          <w:sz w:val="21"/>
        </w:rPr>
        <w:t>kan</w:t>
      </w:r>
      <w:r>
        <w:rPr>
          <w:spacing w:val="-5"/>
          <w:sz w:val="21"/>
        </w:rPr>
        <w:t> </w:t>
      </w:r>
      <w:r>
        <w:rPr>
          <w:sz w:val="21"/>
        </w:rPr>
        <w:t>foretages</w:t>
      </w:r>
      <w:r>
        <w:rPr>
          <w:spacing w:val="-5"/>
          <w:sz w:val="21"/>
        </w:rPr>
        <w:t> </w:t>
      </w:r>
      <w:r>
        <w:rPr>
          <w:sz w:val="21"/>
        </w:rPr>
        <w:t>automatisk,</w:t>
      </w:r>
      <w:r>
        <w:rPr>
          <w:spacing w:val="-8"/>
          <w:sz w:val="21"/>
        </w:rPr>
        <w:t> </w:t>
      </w:r>
      <w:r>
        <w:rPr>
          <w:sz w:val="21"/>
        </w:rPr>
        <w:t>men</w:t>
      </w:r>
      <w:r>
        <w:rPr>
          <w:spacing w:val="-4"/>
          <w:sz w:val="21"/>
        </w:rPr>
        <w:t> </w:t>
      </w:r>
      <w:r>
        <w:rPr>
          <w:sz w:val="21"/>
        </w:rPr>
        <w:t>der</w:t>
      </w:r>
      <w:r>
        <w:rPr>
          <w:spacing w:val="-5"/>
          <w:sz w:val="21"/>
        </w:rPr>
        <w:t> </w:t>
      </w:r>
      <w:r>
        <w:rPr>
          <w:sz w:val="21"/>
        </w:rPr>
        <w:t>skal</w:t>
      </w:r>
      <w:r>
        <w:rPr>
          <w:spacing w:val="-6"/>
          <w:sz w:val="21"/>
        </w:rPr>
        <w:t> </w:t>
      </w:r>
      <w:r>
        <w:rPr>
          <w:sz w:val="21"/>
        </w:rPr>
        <w:t>gøres</w:t>
      </w:r>
      <w:r>
        <w:rPr>
          <w:spacing w:val="-5"/>
          <w:sz w:val="21"/>
        </w:rPr>
        <w:t> </w:t>
      </w:r>
      <w:r>
        <w:rPr>
          <w:sz w:val="21"/>
        </w:rPr>
        <w:t>en</w:t>
      </w:r>
      <w:r>
        <w:rPr>
          <w:spacing w:val="-3"/>
          <w:sz w:val="21"/>
        </w:rPr>
        <w:t> </w:t>
      </w:r>
      <w:r>
        <w:rPr>
          <w:sz w:val="21"/>
        </w:rPr>
        <w:t>del manuelt arbejde med modellerne forinden dels ved udvælgelse af hvilke tværsnit, der</w:t>
      </w:r>
      <w:r>
        <w:rPr>
          <w:spacing w:val="-12"/>
          <w:sz w:val="21"/>
        </w:rPr>
        <w:t> </w:t>
      </w:r>
      <w:r>
        <w:rPr>
          <w:sz w:val="21"/>
        </w:rPr>
        <w:t>skal</w:t>
      </w:r>
      <w:r>
        <w:rPr>
          <w:spacing w:val="-11"/>
          <w:sz w:val="21"/>
        </w:rPr>
        <w:t> </w:t>
      </w:r>
      <w:r>
        <w:rPr>
          <w:sz w:val="21"/>
        </w:rPr>
        <w:t>forlænges</w:t>
      </w:r>
      <w:r>
        <w:rPr>
          <w:spacing w:val="-10"/>
          <w:sz w:val="21"/>
        </w:rPr>
        <w:t> </w:t>
      </w:r>
      <w:r>
        <w:rPr>
          <w:sz w:val="21"/>
        </w:rPr>
        <w:t>(f.eks.</w:t>
      </w:r>
      <w:r>
        <w:rPr>
          <w:spacing w:val="-15"/>
          <w:sz w:val="21"/>
        </w:rPr>
        <w:t> </w:t>
      </w:r>
      <w:r>
        <w:rPr>
          <w:sz w:val="21"/>
        </w:rPr>
        <w:t>så</w:t>
      </w:r>
      <w:r>
        <w:rPr>
          <w:spacing w:val="-11"/>
          <w:sz w:val="21"/>
        </w:rPr>
        <w:t> </w:t>
      </w:r>
      <w:r>
        <w:rPr>
          <w:sz w:val="21"/>
        </w:rPr>
        <w:t>placeringer</w:t>
      </w:r>
      <w:r>
        <w:rPr>
          <w:spacing w:val="-12"/>
          <w:sz w:val="21"/>
        </w:rPr>
        <w:t> </w:t>
      </w:r>
      <w:r>
        <w:rPr>
          <w:sz w:val="21"/>
        </w:rPr>
        <w:t>i</w:t>
      </w:r>
      <w:r>
        <w:rPr>
          <w:spacing w:val="-11"/>
          <w:sz w:val="21"/>
        </w:rPr>
        <w:t> </w:t>
      </w:r>
      <w:r>
        <w:rPr>
          <w:sz w:val="21"/>
        </w:rPr>
        <w:t>slyngninger</w:t>
      </w:r>
      <w:r>
        <w:rPr>
          <w:spacing w:val="-11"/>
          <w:sz w:val="21"/>
        </w:rPr>
        <w:t> </w:t>
      </w:r>
      <w:r>
        <w:rPr>
          <w:sz w:val="21"/>
        </w:rPr>
        <w:t>undgås),</w:t>
      </w:r>
      <w:r>
        <w:rPr>
          <w:spacing w:val="-14"/>
          <w:sz w:val="21"/>
        </w:rPr>
        <w:t> </w:t>
      </w:r>
      <w:r>
        <w:rPr>
          <w:sz w:val="21"/>
        </w:rPr>
        <w:t>og</w:t>
      </w:r>
      <w:r>
        <w:rPr>
          <w:spacing w:val="-10"/>
          <w:sz w:val="21"/>
        </w:rPr>
        <w:t> </w:t>
      </w:r>
      <w:r>
        <w:rPr>
          <w:sz w:val="21"/>
        </w:rPr>
        <w:t>da</w:t>
      </w:r>
      <w:r>
        <w:rPr>
          <w:spacing w:val="-14"/>
          <w:sz w:val="21"/>
        </w:rPr>
        <w:t> </w:t>
      </w:r>
      <w:r>
        <w:rPr>
          <w:sz w:val="21"/>
        </w:rPr>
        <w:t>modellen</w:t>
      </w:r>
      <w:r>
        <w:rPr>
          <w:spacing w:val="-11"/>
          <w:sz w:val="21"/>
        </w:rPr>
        <w:t> </w:t>
      </w:r>
      <w:r>
        <w:rPr>
          <w:sz w:val="21"/>
        </w:rPr>
        <w:t>bliver ustabil</w:t>
      </w:r>
      <w:r>
        <w:rPr>
          <w:spacing w:val="-6"/>
          <w:sz w:val="21"/>
        </w:rPr>
        <w:t> </w:t>
      </w:r>
      <w:r>
        <w:rPr>
          <w:sz w:val="21"/>
        </w:rPr>
        <w:t>ved</w:t>
      </w:r>
      <w:r>
        <w:rPr>
          <w:spacing w:val="-6"/>
          <w:sz w:val="21"/>
        </w:rPr>
        <w:t> </w:t>
      </w:r>
      <w:r>
        <w:rPr>
          <w:sz w:val="21"/>
        </w:rPr>
        <w:t>tværsnit,</w:t>
      </w:r>
      <w:r>
        <w:rPr>
          <w:spacing w:val="-8"/>
          <w:sz w:val="21"/>
        </w:rPr>
        <w:t> </w:t>
      </w:r>
      <w:r>
        <w:rPr>
          <w:sz w:val="21"/>
        </w:rPr>
        <w:t>hvor</w:t>
      </w:r>
      <w:r>
        <w:rPr>
          <w:spacing w:val="-2"/>
          <w:sz w:val="21"/>
        </w:rPr>
        <w:t> </w:t>
      </w:r>
      <w:r>
        <w:rPr>
          <w:sz w:val="21"/>
        </w:rPr>
        <w:t>vandløbsbunden</w:t>
      </w:r>
      <w:r>
        <w:rPr>
          <w:spacing w:val="-6"/>
          <w:sz w:val="21"/>
        </w:rPr>
        <w:t> </w:t>
      </w:r>
      <w:r>
        <w:rPr>
          <w:sz w:val="21"/>
        </w:rPr>
        <w:t>varierer</w:t>
      </w:r>
      <w:r>
        <w:rPr>
          <w:spacing w:val="-8"/>
          <w:sz w:val="21"/>
        </w:rPr>
        <w:t> </w:t>
      </w:r>
      <w:r>
        <w:rPr>
          <w:sz w:val="21"/>
        </w:rPr>
        <w:t>meget</w:t>
      </w:r>
      <w:r>
        <w:rPr>
          <w:spacing w:val="-7"/>
          <w:sz w:val="21"/>
        </w:rPr>
        <w:t> </w:t>
      </w:r>
      <w:r>
        <w:rPr>
          <w:sz w:val="21"/>
        </w:rPr>
        <w:t>og</w:t>
      </w:r>
      <w:r>
        <w:rPr>
          <w:spacing w:val="-6"/>
          <w:sz w:val="21"/>
        </w:rPr>
        <w:t> </w:t>
      </w:r>
      <w:r>
        <w:rPr>
          <w:sz w:val="21"/>
        </w:rPr>
        <w:t>det</w:t>
      </w:r>
      <w:r>
        <w:rPr>
          <w:spacing w:val="-8"/>
          <w:sz w:val="21"/>
        </w:rPr>
        <w:t> </w:t>
      </w:r>
      <w:r>
        <w:rPr>
          <w:sz w:val="21"/>
        </w:rPr>
        <w:t>meget</w:t>
      </w:r>
      <w:r>
        <w:rPr>
          <w:spacing w:val="-7"/>
          <w:sz w:val="21"/>
        </w:rPr>
        <w:t> </w:t>
      </w:r>
      <w:r>
        <w:rPr>
          <w:sz w:val="21"/>
        </w:rPr>
        <w:t>flade</w:t>
      </w:r>
      <w:r>
        <w:rPr>
          <w:spacing w:val="-6"/>
          <w:sz w:val="21"/>
        </w:rPr>
        <w:t> </w:t>
      </w:r>
      <w:r>
        <w:rPr>
          <w:sz w:val="21"/>
        </w:rPr>
        <w:t>terræn i en vandløbsdal giver problemer fx hvis terrænet er lavere uden for selve</w:t>
      </w:r>
      <w:r>
        <w:rPr>
          <w:spacing w:val="-18"/>
          <w:sz w:val="21"/>
        </w:rPr>
        <w:t> </w:t>
      </w:r>
      <w:r>
        <w:rPr>
          <w:sz w:val="21"/>
        </w:rPr>
        <w:t>vandløbet</w:t>
      </w:r>
    </w:p>
    <w:p>
      <w:pPr>
        <w:pStyle w:val="ListParagraph"/>
        <w:numPr>
          <w:ilvl w:val="0"/>
          <w:numId w:val="10"/>
        </w:numPr>
        <w:tabs>
          <w:tab w:pos="1246" w:val="left" w:leader="none"/>
        </w:tabs>
        <w:spacing w:line="276" w:lineRule="auto" w:before="0" w:after="0"/>
        <w:ind w:left="1245" w:right="730" w:hanging="360"/>
        <w:jc w:val="both"/>
        <w:rPr>
          <w:sz w:val="21"/>
        </w:rPr>
      </w:pPr>
      <w:r>
        <w:rPr>
          <w:sz w:val="21"/>
        </w:rPr>
        <w:t>Hvis terrænet har lavninger, der er lavere end vandløbets bredkote, vil det påvirke vandløbsberegningerne på en sådan måde, at disse lavninger bidrager til vandløbs- tværsnittet så snart vandstanden er højere end terrænkoten. Dette er typisk ikke til- fældet</w:t>
      </w:r>
      <w:r>
        <w:rPr>
          <w:spacing w:val="-13"/>
          <w:sz w:val="21"/>
        </w:rPr>
        <w:t> </w:t>
      </w:r>
      <w:r>
        <w:rPr>
          <w:sz w:val="21"/>
        </w:rPr>
        <w:t>i</w:t>
      </w:r>
      <w:r>
        <w:rPr>
          <w:spacing w:val="-10"/>
          <w:sz w:val="21"/>
        </w:rPr>
        <w:t> </w:t>
      </w:r>
      <w:r>
        <w:rPr>
          <w:sz w:val="21"/>
        </w:rPr>
        <w:t>virkeligheden,</w:t>
      </w:r>
      <w:r>
        <w:rPr>
          <w:spacing w:val="-13"/>
          <w:sz w:val="21"/>
        </w:rPr>
        <w:t> </w:t>
      </w:r>
      <w:r>
        <w:rPr>
          <w:sz w:val="21"/>
        </w:rPr>
        <w:t>da</w:t>
      </w:r>
      <w:r>
        <w:rPr>
          <w:spacing w:val="-11"/>
          <w:sz w:val="21"/>
        </w:rPr>
        <w:t> </w:t>
      </w:r>
      <w:r>
        <w:rPr>
          <w:sz w:val="21"/>
        </w:rPr>
        <w:t>vandstanden</w:t>
      </w:r>
      <w:r>
        <w:rPr>
          <w:spacing w:val="-10"/>
          <w:sz w:val="21"/>
        </w:rPr>
        <w:t> </w:t>
      </w:r>
      <w:r>
        <w:rPr>
          <w:sz w:val="21"/>
        </w:rPr>
        <w:t>skal</w:t>
      </w:r>
      <w:r>
        <w:rPr>
          <w:spacing w:val="-11"/>
          <w:sz w:val="21"/>
        </w:rPr>
        <w:t> </w:t>
      </w:r>
      <w:r>
        <w:rPr>
          <w:sz w:val="21"/>
        </w:rPr>
        <w:t>være</w:t>
      </w:r>
      <w:r>
        <w:rPr>
          <w:spacing w:val="-11"/>
          <w:sz w:val="21"/>
        </w:rPr>
        <w:t> </w:t>
      </w:r>
      <w:r>
        <w:rPr>
          <w:sz w:val="21"/>
        </w:rPr>
        <w:t>højere</w:t>
      </w:r>
      <w:r>
        <w:rPr>
          <w:spacing w:val="-12"/>
          <w:sz w:val="21"/>
        </w:rPr>
        <w:t> </w:t>
      </w:r>
      <w:r>
        <w:rPr>
          <w:sz w:val="21"/>
        </w:rPr>
        <w:t>end</w:t>
      </w:r>
      <w:r>
        <w:rPr>
          <w:spacing w:val="-10"/>
          <w:sz w:val="21"/>
        </w:rPr>
        <w:t> </w:t>
      </w:r>
      <w:r>
        <w:rPr>
          <w:sz w:val="21"/>
        </w:rPr>
        <w:t>bredkoten,</w:t>
      </w:r>
      <w:r>
        <w:rPr>
          <w:spacing w:val="-13"/>
          <w:sz w:val="21"/>
        </w:rPr>
        <w:t> </w:t>
      </w:r>
      <w:r>
        <w:rPr>
          <w:sz w:val="21"/>
        </w:rPr>
        <w:t>for</w:t>
      </w:r>
      <w:r>
        <w:rPr>
          <w:spacing w:val="-9"/>
          <w:sz w:val="21"/>
        </w:rPr>
        <w:t> </w:t>
      </w:r>
      <w:r>
        <w:rPr>
          <w:sz w:val="21"/>
        </w:rPr>
        <w:t>at</w:t>
      </w:r>
      <w:r>
        <w:rPr>
          <w:spacing w:val="-14"/>
          <w:sz w:val="21"/>
        </w:rPr>
        <w:t> </w:t>
      </w:r>
      <w:r>
        <w:rPr>
          <w:sz w:val="21"/>
        </w:rPr>
        <w:t>vandet kan løbe ud på terræn. GEUS har derfor i sine justeringer, se </w:t>
      </w:r>
      <w:hyperlink w:history="true" w:anchor="_bookmark34">
        <w:r>
          <w:rPr>
            <w:sz w:val="21"/>
          </w:rPr>
          <w:t>figur 23</w:t>
        </w:r>
      </w:hyperlink>
      <w:r>
        <w:rPr>
          <w:sz w:val="21"/>
        </w:rPr>
        <w:t>, efter modta- gelsen af modellen fra COWI, justeret terræn op til bredkoten for at omgå disse pro- blemer</w:t>
      </w:r>
    </w:p>
    <w:p>
      <w:pPr>
        <w:pStyle w:val="ListParagraph"/>
        <w:numPr>
          <w:ilvl w:val="0"/>
          <w:numId w:val="10"/>
        </w:numPr>
        <w:tabs>
          <w:tab w:pos="1246" w:val="left" w:leader="none"/>
        </w:tabs>
        <w:spacing w:line="276" w:lineRule="auto" w:before="0" w:after="0"/>
        <w:ind w:left="1245" w:right="732" w:hanging="360"/>
        <w:jc w:val="both"/>
        <w:rPr>
          <w:sz w:val="21"/>
        </w:rPr>
      </w:pPr>
      <w:r>
        <w:rPr>
          <w:sz w:val="21"/>
        </w:rPr>
        <w:t>Dataindsamlingen er ret tidskrævende med mange forskellige datakilder. Specielt i forhold til tidsseriedata er der en udfordring i, at både Kommuner, MST, KYST og DMI er dataejere, der skal kontaktes individuelt for at fremskaffe data. Desuden le- veres data i mange forskellige formater, og i forhold til vandstand, der ikke er kote fastsat.</w:t>
      </w:r>
    </w:p>
    <w:p>
      <w:pPr>
        <w:pStyle w:val="BodyText"/>
        <w:spacing w:before="8"/>
        <w:rPr>
          <w:sz w:val="16"/>
        </w:rPr>
      </w:pPr>
      <w:r>
        <w:rPr/>
        <w:drawing>
          <wp:anchor distT="0" distB="0" distL="0" distR="0" allowOverlap="1" layoutInCell="1" locked="0" behindDoc="0" simplePos="0" relativeHeight="20">
            <wp:simplePos x="0" y="0"/>
            <wp:positionH relativeFrom="page">
              <wp:posOffset>1741093</wp:posOffset>
            </wp:positionH>
            <wp:positionV relativeFrom="paragraph">
              <wp:posOffset>147064</wp:posOffset>
            </wp:positionV>
            <wp:extent cx="4375604" cy="2221229"/>
            <wp:effectExtent l="0" t="0" r="0" b="0"/>
            <wp:wrapTopAndBottom/>
            <wp:docPr id="55" name="image35.jpeg" descr="cid:image001.png@01D40D51.893C27C0"/>
            <wp:cNvGraphicFramePr>
              <a:graphicFrameLocks noChangeAspect="1"/>
            </wp:cNvGraphicFramePr>
            <a:graphic>
              <a:graphicData uri="http://schemas.openxmlformats.org/drawingml/2006/picture">
                <pic:pic>
                  <pic:nvPicPr>
                    <pic:cNvPr id="56" name="image35.jpeg"/>
                    <pic:cNvPicPr/>
                  </pic:nvPicPr>
                  <pic:blipFill>
                    <a:blip r:embed="rId41" cstate="print"/>
                    <a:stretch>
                      <a:fillRect/>
                    </a:stretch>
                  </pic:blipFill>
                  <pic:spPr>
                    <a:xfrm>
                      <a:off x="0" y="0"/>
                      <a:ext cx="4375604" cy="2221229"/>
                    </a:xfrm>
                    <a:prstGeom prst="rect">
                      <a:avLst/>
                    </a:prstGeom>
                  </pic:spPr>
                </pic:pic>
              </a:graphicData>
            </a:graphic>
          </wp:anchor>
        </w:drawing>
      </w:r>
      <w:r>
        <w:rPr/>
        <w:drawing>
          <wp:anchor distT="0" distB="0" distL="0" distR="0" allowOverlap="1" layoutInCell="1" locked="0" behindDoc="0" simplePos="0" relativeHeight="21">
            <wp:simplePos x="0" y="0"/>
            <wp:positionH relativeFrom="page">
              <wp:posOffset>1788795</wp:posOffset>
            </wp:positionH>
            <wp:positionV relativeFrom="paragraph">
              <wp:posOffset>2492246</wp:posOffset>
            </wp:positionV>
            <wp:extent cx="4342611" cy="2204085"/>
            <wp:effectExtent l="0" t="0" r="0" b="0"/>
            <wp:wrapTopAndBottom/>
            <wp:docPr id="57" name="image36.jpeg" descr="cid:image001.jpg@01D41546.65964D30"/>
            <wp:cNvGraphicFramePr>
              <a:graphicFrameLocks noChangeAspect="1"/>
            </wp:cNvGraphicFramePr>
            <a:graphic>
              <a:graphicData uri="http://schemas.openxmlformats.org/drawingml/2006/picture">
                <pic:pic>
                  <pic:nvPicPr>
                    <pic:cNvPr id="58" name="image36.jpeg"/>
                    <pic:cNvPicPr/>
                  </pic:nvPicPr>
                  <pic:blipFill>
                    <a:blip r:embed="rId42" cstate="print"/>
                    <a:stretch>
                      <a:fillRect/>
                    </a:stretch>
                  </pic:blipFill>
                  <pic:spPr>
                    <a:xfrm>
                      <a:off x="0" y="0"/>
                      <a:ext cx="4342611" cy="2204085"/>
                    </a:xfrm>
                    <a:prstGeom prst="rect">
                      <a:avLst/>
                    </a:prstGeom>
                  </pic:spPr>
                </pic:pic>
              </a:graphicData>
            </a:graphic>
          </wp:anchor>
        </w:drawing>
      </w:r>
    </w:p>
    <w:p>
      <w:pPr>
        <w:pStyle w:val="BodyText"/>
        <w:rPr>
          <w:sz w:val="11"/>
        </w:rPr>
      </w:pPr>
    </w:p>
    <w:p>
      <w:pPr>
        <w:spacing w:before="29"/>
        <w:ind w:left="525" w:right="793" w:firstLine="0"/>
        <w:jc w:val="left"/>
        <w:rPr>
          <w:rFonts w:ascii="Calibri" w:hAnsi="Calibri"/>
          <w:i/>
          <w:sz w:val="18"/>
        </w:rPr>
      </w:pPr>
      <w:bookmarkStart w:name="_bookmark34" w:id="49"/>
      <w:bookmarkEnd w:id="49"/>
      <w:r>
        <w:rPr/>
      </w:r>
      <w:r>
        <w:rPr>
          <w:rFonts w:ascii="Calibri" w:hAnsi="Calibri"/>
          <w:i/>
          <w:color w:val="44536A"/>
          <w:sz w:val="18"/>
        </w:rPr>
        <w:t>Figur 23 Eksempel på vandløb hvor terræn er lavere end bredkote og hvor GEUS har justeret tværprofilet op til bred- </w:t>
      </w:r>
      <w:r>
        <w:rPr>
          <w:rFonts w:ascii="Calibri" w:hAnsi="Calibri"/>
          <w:i/>
          <w:color w:val="44536A"/>
          <w:sz w:val="18"/>
        </w:rPr>
        <w:t>koten (vist med gul linie på nederste figur), for at sikre en mere korrekt hydrodynamisk beskrivelse af vandspejlet. I den efterfølgende ’GIS beregning af vand på terræn vil lavtliggende områder fortsat blive afgrænset/udpeget.</w:t>
      </w:r>
    </w:p>
    <w:p>
      <w:pPr>
        <w:spacing w:after="0"/>
        <w:jc w:val="left"/>
        <w:rPr>
          <w:rFonts w:ascii="Calibri" w:hAnsi="Calibri"/>
          <w:sz w:val="18"/>
        </w:rPr>
        <w:sectPr>
          <w:pgSz w:w="11910" w:h="16850"/>
          <w:pgMar w:header="0" w:footer="857" w:top="1340" w:bottom="1120" w:left="1460" w:right="680"/>
        </w:sectPr>
      </w:pPr>
    </w:p>
    <w:p>
      <w:pPr>
        <w:pStyle w:val="BodyText"/>
        <w:spacing w:line="276" w:lineRule="auto" w:before="75"/>
        <w:ind w:left="525" w:right="731"/>
        <w:jc w:val="both"/>
      </w:pPr>
      <w:r>
        <w:rPr/>
        <w:t>I afsnit </w:t>
      </w:r>
      <w:hyperlink w:history="true" w:anchor="_bookmark43">
        <w:r>
          <w:rPr/>
          <w:t>5 </w:t>
        </w:r>
      </w:hyperlink>
      <w:r>
        <w:rPr/>
        <w:t>vil der blive redegjort nærmere for, hvordan MIKE HYDRO River opsætninger fra COWI og indsamlede event- og vandstandsdata indgår i GEUSs kalibrering af MIKE SHE- MIKE HYDRO opsætninger med forskellige datagrundlag, sådan at fx resultater fra 100 m og 500 m modeller og med avanceret (dynamisk MIKE HYDRO) såvel som simplere vands- tandssimulering (stationær HYDROINFORM), kalibreret, valideret og visualiseret/sammen- lignet med hændelsesdata fx oversvømmelser fra grundvand og vandløb.</w:t>
      </w:r>
    </w:p>
    <w:p>
      <w:pPr>
        <w:pStyle w:val="BodyText"/>
        <w:spacing w:before="1"/>
        <w:rPr>
          <w:sz w:val="24"/>
        </w:rPr>
      </w:pPr>
    </w:p>
    <w:p>
      <w:pPr>
        <w:pStyle w:val="Heading2"/>
        <w:numPr>
          <w:ilvl w:val="1"/>
          <w:numId w:val="8"/>
        </w:numPr>
        <w:tabs>
          <w:tab w:pos="1141" w:val="left" w:leader="none"/>
          <w:tab w:pos="1142" w:val="left" w:leader="none"/>
        </w:tabs>
        <w:spacing w:line="240" w:lineRule="auto" w:before="0" w:after="0"/>
        <w:ind w:left="525" w:right="1559" w:firstLine="0"/>
        <w:jc w:val="left"/>
      </w:pPr>
      <w:bookmarkStart w:name="_bookmark35" w:id="50"/>
      <w:bookmarkEnd w:id="50"/>
      <w:r>
        <w:rPr>
          <w:b w:val="0"/>
        </w:rPr>
      </w:r>
      <w:bookmarkStart w:name="_bookmark35" w:id="51"/>
      <w:bookmarkEnd w:id="51"/>
      <w:r>
        <w:rPr/>
        <w:t>M</w:t>
      </w:r>
      <w:r>
        <w:rPr/>
        <w:t>odul til kortlægning af oversvømmelser fra vandløb (COWI)</w:t>
      </w:r>
    </w:p>
    <w:p>
      <w:pPr>
        <w:pStyle w:val="BodyText"/>
        <w:spacing w:line="276" w:lineRule="auto" w:before="240"/>
        <w:ind w:left="525" w:right="729"/>
        <w:jc w:val="both"/>
      </w:pPr>
      <w:r>
        <w:rPr/>
        <w:t>COWI har som rådgiver for denne del af projektet udviklet og leveret et open source Python script til kortlægning af vand på terræn ud fra kendte, målte eller beregnede vandstands- punkter i vandløb og på terræn (fra grundvand/regn), se Appendix 1. Resultatet af metoden skal sammenlignes med hændelsesdata for oversvømmelser. Værktøjet bygger på et lig- nende tool udviklet i forbindelse med et udviklingsprojekt for Innovationsstyrelsen, som var baseret på ArcGIS spatial analyst modul og Modelbuilder. Alle ArcGis funktioner, der blev anvendt</w:t>
      </w:r>
      <w:r>
        <w:rPr>
          <w:spacing w:val="-4"/>
        </w:rPr>
        <w:t> </w:t>
      </w:r>
      <w:r>
        <w:rPr/>
        <w:t>i</w:t>
      </w:r>
      <w:r>
        <w:rPr>
          <w:spacing w:val="-3"/>
        </w:rPr>
        <w:t> </w:t>
      </w:r>
      <w:r>
        <w:rPr/>
        <w:t>det</w:t>
      </w:r>
      <w:r>
        <w:rPr>
          <w:spacing w:val="-5"/>
        </w:rPr>
        <w:t> </w:t>
      </w:r>
      <w:r>
        <w:rPr/>
        <w:t>tidligere</w:t>
      </w:r>
      <w:r>
        <w:rPr>
          <w:spacing w:val="-3"/>
        </w:rPr>
        <w:t> </w:t>
      </w:r>
      <w:r>
        <w:rPr/>
        <w:t>projekt,</w:t>
      </w:r>
      <w:r>
        <w:rPr>
          <w:spacing w:val="-5"/>
        </w:rPr>
        <w:t> </w:t>
      </w:r>
      <w:r>
        <w:rPr/>
        <w:t>er</w:t>
      </w:r>
      <w:r>
        <w:rPr>
          <w:spacing w:val="-4"/>
        </w:rPr>
        <w:t> </w:t>
      </w:r>
      <w:r>
        <w:rPr/>
        <w:t>nu</w:t>
      </w:r>
      <w:r>
        <w:rPr>
          <w:spacing w:val="-2"/>
        </w:rPr>
        <w:t> </w:t>
      </w:r>
      <w:r>
        <w:rPr/>
        <w:t>at</w:t>
      </w:r>
      <w:r>
        <w:rPr>
          <w:spacing w:val="-5"/>
        </w:rPr>
        <w:t> </w:t>
      </w:r>
      <w:r>
        <w:rPr/>
        <w:t>genfinde</w:t>
      </w:r>
      <w:r>
        <w:rPr>
          <w:spacing w:val="-4"/>
        </w:rPr>
        <w:t> </w:t>
      </w:r>
      <w:r>
        <w:rPr/>
        <w:t>i</w:t>
      </w:r>
      <w:r>
        <w:rPr>
          <w:spacing w:val="-2"/>
        </w:rPr>
        <w:t> </w:t>
      </w:r>
      <w:r>
        <w:rPr/>
        <w:t>GRASS</w:t>
      </w:r>
      <w:r>
        <w:rPr>
          <w:spacing w:val="-3"/>
        </w:rPr>
        <w:t> </w:t>
      </w:r>
      <w:r>
        <w:rPr/>
        <w:t>GIS,</w:t>
      </w:r>
      <w:r>
        <w:rPr>
          <w:spacing w:val="-5"/>
        </w:rPr>
        <w:t> </w:t>
      </w:r>
      <w:r>
        <w:rPr/>
        <w:t>som</w:t>
      </w:r>
      <w:r>
        <w:rPr>
          <w:spacing w:val="-1"/>
        </w:rPr>
        <w:t> </w:t>
      </w:r>
      <w:r>
        <w:rPr/>
        <w:t>er</w:t>
      </w:r>
      <w:r>
        <w:rPr>
          <w:spacing w:val="-4"/>
        </w:rPr>
        <w:t> </w:t>
      </w:r>
      <w:r>
        <w:rPr/>
        <w:t>open</w:t>
      </w:r>
      <w:r>
        <w:rPr>
          <w:spacing w:val="-4"/>
        </w:rPr>
        <w:t> </w:t>
      </w:r>
      <w:r>
        <w:rPr/>
        <w:t>source.</w:t>
      </w:r>
      <w:r>
        <w:rPr>
          <w:spacing w:val="-4"/>
        </w:rPr>
        <w:t> </w:t>
      </w:r>
      <w:r>
        <w:rPr/>
        <w:t>Dermed er</w:t>
      </w:r>
      <w:r>
        <w:rPr>
          <w:spacing w:val="-14"/>
        </w:rPr>
        <w:t> </w:t>
      </w:r>
      <w:r>
        <w:rPr/>
        <w:t>der</w:t>
      </w:r>
      <w:r>
        <w:rPr>
          <w:spacing w:val="-14"/>
        </w:rPr>
        <w:t> </w:t>
      </w:r>
      <w:r>
        <w:rPr/>
        <w:t>skrevet</w:t>
      </w:r>
      <w:r>
        <w:rPr>
          <w:spacing w:val="-14"/>
        </w:rPr>
        <w:t> </w:t>
      </w:r>
      <w:r>
        <w:rPr/>
        <w:t>et</w:t>
      </w:r>
      <w:r>
        <w:rPr>
          <w:spacing w:val="-14"/>
        </w:rPr>
        <w:t> </w:t>
      </w:r>
      <w:r>
        <w:rPr/>
        <w:t>python</w:t>
      </w:r>
      <w:r>
        <w:rPr>
          <w:spacing w:val="-12"/>
        </w:rPr>
        <w:t> </w:t>
      </w:r>
      <w:r>
        <w:rPr/>
        <w:t>script</w:t>
      </w:r>
      <w:r>
        <w:rPr>
          <w:spacing w:val="-14"/>
        </w:rPr>
        <w:t> </w:t>
      </w:r>
      <w:r>
        <w:rPr/>
        <w:t>til</w:t>
      </w:r>
      <w:r>
        <w:rPr>
          <w:spacing w:val="-12"/>
        </w:rPr>
        <w:t> </w:t>
      </w:r>
      <w:r>
        <w:rPr/>
        <w:t>GRASS</w:t>
      </w:r>
      <w:r>
        <w:rPr>
          <w:spacing w:val="-13"/>
        </w:rPr>
        <w:t> </w:t>
      </w:r>
      <w:r>
        <w:rPr/>
        <w:t>GIS,</w:t>
      </w:r>
      <w:r>
        <w:rPr>
          <w:spacing w:val="-12"/>
        </w:rPr>
        <w:t> </w:t>
      </w:r>
      <w:r>
        <w:rPr/>
        <w:t>som</w:t>
      </w:r>
      <w:r>
        <w:rPr>
          <w:spacing w:val="-11"/>
        </w:rPr>
        <w:t> </w:t>
      </w:r>
      <w:r>
        <w:rPr/>
        <w:t>kan</w:t>
      </w:r>
      <w:r>
        <w:rPr>
          <w:spacing w:val="-13"/>
        </w:rPr>
        <w:t> </w:t>
      </w:r>
      <w:r>
        <w:rPr/>
        <w:t>udføre</w:t>
      </w:r>
      <w:r>
        <w:rPr>
          <w:spacing w:val="-13"/>
        </w:rPr>
        <w:t> </w:t>
      </w:r>
      <w:r>
        <w:rPr/>
        <w:t>oversvømmelsesberegningen. COWI har i forbindelse med dette projekt forbedret beregningsmetoden, således at manuelt arbejde reduceres og resultaterne</w:t>
      </w:r>
      <w:r>
        <w:rPr>
          <w:spacing w:val="-7"/>
        </w:rPr>
        <w:t> </w:t>
      </w:r>
      <w:r>
        <w:rPr/>
        <w:t>forbedres.</w:t>
      </w:r>
    </w:p>
    <w:p>
      <w:pPr>
        <w:pStyle w:val="BodyText"/>
        <w:spacing w:before="3"/>
        <w:rPr>
          <w:sz w:val="24"/>
        </w:rPr>
      </w:pPr>
    </w:p>
    <w:p>
      <w:pPr>
        <w:pStyle w:val="BodyText"/>
        <w:spacing w:line="276" w:lineRule="auto"/>
        <w:ind w:left="525" w:right="736"/>
        <w:jc w:val="both"/>
      </w:pPr>
      <w:r>
        <w:rPr/>
        <w:t>Ved beregningen af oversvømmelsesudbredelsen integreres vandstandsinformationen fra den hydrauliske model i GIS, og der foretages ekstrapolation af denne ud i terrænet. Meto- den kan inddeles i 4 trin:</w:t>
      </w:r>
    </w:p>
    <w:p>
      <w:pPr>
        <w:pStyle w:val="ListParagraph"/>
        <w:numPr>
          <w:ilvl w:val="0"/>
          <w:numId w:val="11"/>
        </w:numPr>
        <w:tabs>
          <w:tab w:pos="1246" w:val="left" w:leader="none"/>
        </w:tabs>
        <w:spacing w:line="240" w:lineRule="auto" w:before="2" w:after="0"/>
        <w:ind w:left="1245" w:right="0" w:hanging="360"/>
        <w:jc w:val="left"/>
        <w:rPr>
          <w:sz w:val="20"/>
        </w:rPr>
      </w:pPr>
      <w:r>
        <w:rPr>
          <w:sz w:val="20"/>
        </w:rPr>
        <w:t>Fremskaffe vandløbstema og</w:t>
      </w:r>
      <w:r>
        <w:rPr>
          <w:spacing w:val="-4"/>
          <w:sz w:val="20"/>
        </w:rPr>
        <w:t> </w:t>
      </w:r>
      <w:r>
        <w:rPr>
          <w:sz w:val="20"/>
        </w:rPr>
        <w:t>højdemodel.</w:t>
      </w:r>
    </w:p>
    <w:p>
      <w:pPr>
        <w:pStyle w:val="ListParagraph"/>
        <w:numPr>
          <w:ilvl w:val="0"/>
          <w:numId w:val="11"/>
        </w:numPr>
        <w:tabs>
          <w:tab w:pos="1246" w:val="left" w:leader="none"/>
        </w:tabs>
        <w:spacing w:line="276" w:lineRule="auto" w:before="34" w:after="0"/>
        <w:ind w:left="1245" w:right="788" w:hanging="360"/>
        <w:jc w:val="left"/>
        <w:rPr>
          <w:sz w:val="20"/>
        </w:rPr>
      </w:pPr>
      <w:r>
        <w:rPr>
          <w:sz w:val="20"/>
        </w:rPr>
        <w:t>Udtrække vandstand (H-punkter) langs vandløbstemaet. H-punkter beskriver vandstan- den i udvalgte punkter langs vandløbet ved en given hændelse. Vandstanden kan</w:t>
      </w:r>
      <w:r>
        <w:rPr>
          <w:spacing w:val="-28"/>
          <w:sz w:val="20"/>
        </w:rPr>
        <w:t> </w:t>
      </w:r>
      <w:r>
        <w:rPr>
          <w:sz w:val="20"/>
        </w:rPr>
        <w:t>være en kombination af beregnede vandstande, målt vandstande eller på anden vis estime- rede vandstande.</w:t>
      </w:r>
    </w:p>
    <w:p>
      <w:pPr>
        <w:pStyle w:val="ListParagraph"/>
        <w:numPr>
          <w:ilvl w:val="0"/>
          <w:numId w:val="11"/>
        </w:numPr>
        <w:tabs>
          <w:tab w:pos="1246" w:val="left" w:leader="none"/>
        </w:tabs>
        <w:spacing w:line="276" w:lineRule="auto" w:before="1" w:after="0"/>
        <w:ind w:left="1245" w:right="973" w:hanging="360"/>
        <w:jc w:val="both"/>
        <w:rPr>
          <w:sz w:val="20"/>
        </w:rPr>
      </w:pPr>
      <w:r>
        <w:rPr>
          <w:sz w:val="20"/>
        </w:rPr>
        <w:t>Interpolation af H-punkterne til et ’vandløbsgrid’. Vandløbsgriddet er et rasterlag, som skabes ved interpolation af H punkterne langs vandløbstemaet. Der anvendes ’IDW2’ interpolation.</w:t>
      </w:r>
    </w:p>
    <w:p>
      <w:pPr>
        <w:pStyle w:val="ListParagraph"/>
        <w:numPr>
          <w:ilvl w:val="0"/>
          <w:numId w:val="11"/>
        </w:numPr>
        <w:tabs>
          <w:tab w:pos="1246" w:val="left" w:leader="none"/>
        </w:tabs>
        <w:spacing w:line="276" w:lineRule="auto" w:before="1" w:after="0"/>
        <w:ind w:left="1245" w:right="870" w:hanging="360"/>
        <w:jc w:val="left"/>
        <w:rPr>
          <w:sz w:val="20"/>
        </w:rPr>
      </w:pPr>
      <w:r>
        <w:rPr>
          <w:sz w:val="20"/>
        </w:rPr>
        <w:t>Udbredelse af vandløbsgriddet til vanddybder på terræn ved brug af højdemodellen</w:t>
      </w:r>
      <w:r>
        <w:rPr>
          <w:spacing w:val="-28"/>
          <w:sz w:val="20"/>
        </w:rPr>
        <w:t> </w:t>
      </w:r>
      <w:r>
        <w:rPr>
          <w:spacing w:val="3"/>
          <w:sz w:val="20"/>
        </w:rPr>
        <w:t>og </w:t>
      </w:r>
      <w:r>
        <w:rPr>
          <w:sz w:val="20"/>
        </w:rPr>
        <w:t>kendte rasterbaserede GIS beregninger forbedret med ’cost allocation’</w:t>
      </w:r>
      <w:r>
        <w:rPr>
          <w:spacing w:val="-17"/>
          <w:sz w:val="20"/>
        </w:rPr>
        <w:t> </w:t>
      </w:r>
      <w:r>
        <w:rPr>
          <w:sz w:val="20"/>
        </w:rPr>
        <w:t>algoritmen.</w:t>
      </w:r>
    </w:p>
    <w:p>
      <w:pPr>
        <w:pStyle w:val="BodyText"/>
        <w:spacing w:before="6"/>
        <w:rPr>
          <w:sz w:val="20"/>
        </w:rPr>
      </w:pPr>
    </w:p>
    <w:p>
      <w:pPr>
        <w:pStyle w:val="BodyText"/>
        <w:spacing w:before="1"/>
        <w:ind w:left="525"/>
        <w:jc w:val="both"/>
      </w:pPr>
      <w:r>
        <w:rPr/>
        <w:t>I </w:t>
      </w:r>
      <w:hyperlink w:history="true" w:anchor="_bookmark36">
        <w:r>
          <w:rPr/>
          <w:t>figur 24 </w:t>
        </w:r>
      </w:hyperlink>
      <w:r>
        <w:rPr/>
        <w:t>er vist et eksempel på beregnet udbredelse af vandstand i terræn langs Storå.</w:t>
      </w:r>
    </w:p>
    <w:p>
      <w:pPr>
        <w:pStyle w:val="BodyText"/>
        <w:spacing w:before="1"/>
      </w:pPr>
    </w:p>
    <w:p>
      <w:pPr>
        <w:pStyle w:val="BodyText"/>
        <w:spacing w:line="276" w:lineRule="auto"/>
        <w:ind w:left="525" w:right="733"/>
        <w:jc w:val="both"/>
      </w:pPr>
      <w:r>
        <w:rPr/>
        <w:t>Metodikken er i forbindelse med denne opgave forbedret, ved at anvende ’cost allocation’ i stedet for euklidisk allokation, således at der automatisk tages hensyn til mæanderbuer og tilløb.</w:t>
      </w:r>
      <w:r>
        <w:rPr>
          <w:spacing w:val="-10"/>
        </w:rPr>
        <w:t> </w:t>
      </w:r>
      <w:r>
        <w:rPr/>
        <w:t>For</w:t>
      </w:r>
      <w:r>
        <w:rPr>
          <w:spacing w:val="-9"/>
        </w:rPr>
        <w:t> </w:t>
      </w:r>
      <w:r>
        <w:rPr/>
        <w:t>at</w:t>
      </w:r>
      <w:r>
        <w:rPr>
          <w:spacing w:val="-9"/>
        </w:rPr>
        <w:t> </w:t>
      </w:r>
      <w:r>
        <w:rPr/>
        <w:t>kunne</w:t>
      </w:r>
      <w:r>
        <w:rPr>
          <w:spacing w:val="-8"/>
        </w:rPr>
        <w:t> </w:t>
      </w:r>
      <w:r>
        <w:rPr/>
        <w:t>benytte</w:t>
      </w:r>
      <w:r>
        <w:rPr>
          <w:spacing w:val="-8"/>
        </w:rPr>
        <w:t> </w:t>
      </w:r>
      <w:r>
        <w:rPr/>
        <w:t>værktøjet</w:t>
      </w:r>
      <w:r>
        <w:rPr>
          <w:spacing w:val="-8"/>
        </w:rPr>
        <w:t> </w:t>
      </w:r>
      <w:r>
        <w:rPr/>
        <w:t>skal</w:t>
      </w:r>
      <w:r>
        <w:rPr>
          <w:spacing w:val="-8"/>
        </w:rPr>
        <w:t> </w:t>
      </w:r>
      <w:r>
        <w:rPr/>
        <w:t>der</w:t>
      </w:r>
      <w:r>
        <w:rPr>
          <w:spacing w:val="-9"/>
        </w:rPr>
        <w:t> </w:t>
      </w:r>
      <w:r>
        <w:rPr/>
        <w:t>i</w:t>
      </w:r>
      <w:r>
        <w:rPr>
          <w:spacing w:val="-8"/>
        </w:rPr>
        <w:t> </w:t>
      </w:r>
      <w:r>
        <w:rPr/>
        <w:t>første</w:t>
      </w:r>
      <w:r>
        <w:rPr>
          <w:spacing w:val="-8"/>
        </w:rPr>
        <w:t> </w:t>
      </w:r>
      <w:r>
        <w:rPr/>
        <w:t>omgang</w:t>
      </w:r>
      <w:r>
        <w:rPr>
          <w:spacing w:val="-9"/>
        </w:rPr>
        <w:t> </w:t>
      </w:r>
      <w:r>
        <w:rPr/>
        <w:t>tilvejebringes</w:t>
      </w:r>
      <w:r>
        <w:rPr>
          <w:spacing w:val="-8"/>
        </w:rPr>
        <w:t> </w:t>
      </w:r>
      <w:r>
        <w:rPr/>
        <w:t>et</w:t>
      </w:r>
      <w:r>
        <w:rPr>
          <w:spacing w:val="-12"/>
        </w:rPr>
        <w:t> </w:t>
      </w:r>
      <w:r>
        <w:rPr/>
        <w:t>datagrundlag, hvilket inkluderer terrænmodel, vandløbstema og beregnet vandstandsinformation fra hy- draulisk model (f.eks. MIKE HYDRO</w:t>
      </w:r>
      <w:r>
        <w:rPr>
          <w:spacing w:val="-7"/>
        </w:rPr>
        <w:t> </w:t>
      </w:r>
      <w:r>
        <w:rPr/>
        <w:t>river).</w:t>
      </w:r>
    </w:p>
    <w:p>
      <w:pPr>
        <w:spacing w:after="0" w:line="276" w:lineRule="auto"/>
        <w:jc w:val="both"/>
        <w:sectPr>
          <w:pgSz w:w="11910" w:h="16850"/>
          <w:pgMar w:header="0" w:footer="857" w:top="1340" w:bottom="1120" w:left="1460" w:right="680"/>
        </w:sectPr>
      </w:pPr>
    </w:p>
    <w:p>
      <w:pPr>
        <w:pStyle w:val="BodyText"/>
        <w:ind w:left="578"/>
        <w:rPr>
          <w:sz w:val="20"/>
        </w:rPr>
      </w:pPr>
      <w:r>
        <w:rPr>
          <w:sz w:val="20"/>
        </w:rPr>
        <w:drawing>
          <wp:inline distT="0" distB="0" distL="0" distR="0">
            <wp:extent cx="4976922" cy="3531870"/>
            <wp:effectExtent l="0" t="0" r="0" b="0"/>
            <wp:docPr id="59" name="image37.jpeg" descr=""/>
            <wp:cNvGraphicFramePr>
              <a:graphicFrameLocks noChangeAspect="1"/>
            </wp:cNvGraphicFramePr>
            <a:graphic>
              <a:graphicData uri="http://schemas.openxmlformats.org/drawingml/2006/picture">
                <pic:pic>
                  <pic:nvPicPr>
                    <pic:cNvPr id="60" name="image37.jpeg"/>
                    <pic:cNvPicPr/>
                  </pic:nvPicPr>
                  <pic:blipFill>
                    <a:blip r:embed="rId43" cstate="print"/>
                    <a:stretch>
                      <a:fillRect/>
                    </a:stretch>
                  </pic:blipFill>
                  <pic:spPr>
                    <a:xfrm>
                      <a:off x="0" y="0"/>
                      <a:ext cx="4976922" cy="3531870"/>
                    </a:xfrm>
                    <a:prstGeom prst="rect">
                      <a:avLst/>
                    </a:prstGeom>
                  </pic:spPr>
                </pic:pic>
              </a:graphicData>
            </a:graphic>
          </wp:inline>
        </w:drawing>
      </w:r>
      <w:r>
        <w:rPr>
          <w:sz w:val="20"/>
        </w:rPr>
      </w:r>
    </w:p>
    <w:p>
      <w:pPr>
        <w:spacing w:line="190" w:lineRule="exact" w:before="0"/>
        <w:ind w:left="525" w:right="0" w:firstLine="0"/>
        <w:jc w:val="left"/>
        <w:rPr>
          <w:rFonts w:ascii="Calibri" w:hAnsi="Calibri"/>
          <w:i/>
          <w:sz w:val="18"/>
        </w:rPr>
      </w:pPr>
      <w:bookmarkStart w:name="_bookmark36" w:id="52"/>
      <w:bookmarkEnd w:id="52"/>
      <w:r>
        <w:rPr/>
      </w:r>
      <w:r>
        <w:rPr>
          <w:rFonts w:ascii="Calibri" w:hAnsi="Calibri"/>
          <w:i/>
          <w:color w:val="44536A"/>
          <w:sz w:val="18"/>
        </w:rPr>
        <w:t>Figur 24 Eksempel på udbredelse af vandstand i terræn langs Storå baseret COWI script. Kilde: COWI (2018b)</w:t>
      </w:r>
    </w:p>
    <w:p>
      <w:pPr>
        <w:pStyle w:val="BodyText"/>
        <w:rPr>
          <w:rFonts w:ascii="Calibri"/>
          <w:i/>
          <w:sz w:val="18"/>
        </w:rPr>
      </w:pPr>
    </w:p>
    <w:p>
      <w:pPr>
        <w:pStyle w:val="BodyText"/>
        <w:spacing w:before="10"/>
        <w:rPr>
          <w:rFonts w:ascii="Calibri"/>
          <w:i/>
          <w:sz w:val="20"/>
        </w:rPr>
      </w:pPr>
    </w:p>
    <w:p>
      <w:pPr>
        <w:pStyle w:val="BodyText"/>
        <w:spacing w:line="276" w:lineRule="auto" w:before="1"/>
        <w:ind w:left="525" w:right="732"/>
        <w:jc w:val="both"/>
      </w:pPr>
      <w:r>
        <w:rPr/>
        <w:t>COWI har i første omgang foretaget en sammenligning mellem resultater fra ArcMap og GRASS GIS beregningerne, hvilket har vist helt præcis overensstemmelse. Dernæst er der foretaget en indledende beregning af vandstanden med henblik på en kvalitativ test mod fotodokumentation for Storå for december 2015. Denne test er baseret på ArcMap model- builder scriptet til udbredelse af maksimale vandstande på terrænmodellen (hydrologisk op- rettet). Terrænmodellen er her skaleret fra dens oprindelige opløsning på 0,4 x 0,4 m til 2 m opløsning for at formindske beregningstiden. Fotodokumentationen er fra Alan Lunde, Vest- forsyning, dateret 6/12 og 7/12 2015, hvor vandstanden toppede ved stationen opstrøms renseanlæget i Holstebro, </w:t>
      </w:r>
      <w:hyperlink w:history="true" w:anchor="_bookmark37">
        <w:r>
          <w:rPr/>
          <w:t>figur 25</w:t>
        </w:r>
      </w:hyperlink>
      <w:r>
        <w:rPr/>
        <w:t>. Beregningen med den grovkalibrerede hydrodynamiske model undervurderer max værdien med 30-40 cm omkring 6-7/12, men udviser i øvrigt god overensstemmelse, med hændelsesdata.</w:t>
      </w:r>
    </w:p>
    <w:p>
      <w:pPr>
        <w:pStyle w:val="BodyText"/>
        <w:rPr>
          <w:sz w:val="24"/>
        </w:rPr>
      </w:pPr>
    </w:p>
    <w:p>
      <w:pPr>
        <w:pStyle w:val="BodyText"/>
        <w:spacing w:line="276" w:lineRule="auto"/>
        <w:ind w:left="525" w:right="729"/>
        <w:jc w:val="both"/>
      </w:pPr>
      <w:r>
        <w:rPr/>
        <w:t>COWI’s kvalitative test viste at udbredelsen af vandstande for oversvømmelsen omkring Midtbyen (Kvickly) i Holstebro 7/12 2015 havde god overensstemmelse med foto dokumen- tation. Ud fra fotoserien er der målt en vandstand på 10-15 cm på pladsen foran Kvickly (vurderet</w:t>
      </w:r>
      <w:r>
        <w:rPr>
          <w:spacing w:val="-5"/>
        </w:rPr>
        <w:t> </w:t>
      </w:r>
      <w:r>
        <w:rPr/>
        <w:t>ud</w:t>
      </w:r>
      <w:r>
        <w:rPr>
          <w:spacing w:val="-3"/>
        </w:rPr>
        <w:t> </w:t>
      </w:r>
      <w:r>
        <w:rPr/>
        <w:t>fra</w:t>
      </w:r>
      <w:r>
        <w:rPr>
          <w:spacing w:val="-5"/>
        </w:rPr>
        <w:t> </w:t>
      </w:r>
      <w:r>
        <w:rPr/>
        <w:t>højden</w:t>
      </w:r>
      <w:r>
        <w:rPr>
          <w:spacing w:val="-4"/>
        </w:rPr>
        <w:t> </w:t>
      </w:r>
      <w:r>
        <w:rPr/>
        <w:t>på</w:t>
      </w:r>
      <w:r>
        <w:rPr>
          <w:spacing w:val="-5"/>
        </w:rPr>
        <w:t> </w:t>
      </w:r>
      <w:r>
        <w:rPr/>
        <w:t>gummistøvlerne),</w:t>
      </w:r>
      <w:r>
        <w:rPr>
          <w:spacing w:val="-5"/>
        </w:rPr>
        <w:t> </w:t>
      </w:r>
      <w:r>
        <w:rPr/>
        <w:t>og</w:t>
      </w:r>
      <w:r>
        <w:rPr>
          <w:spacing w:val="-3"/>
        </w:rPr>
        <w:t> </w:t>
      </w:r>
      <w:r>
        <w:rPr/>
        <w:t>hele</w:t>
      </w:r>
      <w:r>
        <w:rPr>
          <w:spacing w:val="-5"/>
        </w:rPr>
        <w:t> </w:t>
      </w:r>
      <w:r>
        <w:rPr/>
        <w:t>pladsen</w:t>
      </w:r>
      <w:r>
        <w:rPr>
          <w:spacing w:val="-6"/>
        </w:rPr>
        <w:t> </w:t>
      </w:r>
      <w:r>
        <w:rPr/>
        <w:t>er</w:t>
      </w:r>
      <w:r>
        <w:rPr>
          <w:spacing w:val="-3"/>
        </w:rPr>
        <w:t> </w:t>
      </w:r>
      <w:r>
        <w:rPr/>
        <w:t>oversvømmet.</w:t>
      </w:r>
      <w:r>
        <w:rPr>
          <w:spacing w:val="-5"/>
        </w:rPr>
        <w:t> </w:t>
      </w:r>
      <w:r>
        <w:rPr/>
        <w:t>I</w:t>
      </w:r>
      <w:r>
        <w:rPr>
          <w:spacing w:val="-5"/>
        </w:rPr>
        <w:t> </w:t>
      </w:r>
      <w:r>
        <w:rPr/>
        <w:t>visse</w:t>
      </w:r>
      <w:r>
        <w:rPr>
          <w:spacing w:val="-3"/>
        </w:rPr>
        <w:t> </w:t>
      </w:r>
      <w:r>
        <w:rPr/>
        <w:t>områ- der er vandstanden højere (baseret på hækkens højde) og ved overdækningen for indkøbs- vogne. Modellen simulerer en maksimal vanddybde på 20-30 cm i samme område, som manden med gummistøvlerne står, og lidt mere ved overdækningen til indkøbsvogne, se </w:t>
      </w:r>
      <w:hyperlink w:history="true" w:anchor="_bookmark37">
        <w:r>
          <w:rPr/>
          <w:t>figur</w:t>
        </w:r>
        <w:r>
          <w:rPr>
            <w:spacing w:val="-1"/>
          </w:rPr>
          <w:t> </w:t>
        </w:r>
        <w:r>
          <w:rPr/>
          <w:t>25</w:t>
        </w:r>
      </w:hyperlink>
      <w:r>
        <w:rPr/>
        <w:t>.</w:t>
      </w:r>
    </w:p>
    <w:p>
      <w:pPr>
        <w:pStyle w:val="BodyText"/>
        <w:spacing w:before="4"/>
        <w:rPr>
          <w:sz w:val="24"/>
        </w:rPr>
      </w:pPr>
    </w:p>
    <w:p>
      <w:pPr>
        <w:pStyle w:val="BodyText"/>
        <w:spacing w:line="276" w:lineRule="auto"/>
        <w:ind w:left="525" w:right="733"/>
        <w:jc w:val="both"/>
      </w:pPr>
      <w:r>
        <w:rPr/>
        <w:t>I </w:t>
      </w:r>
      <w:hyperlink w:history="true" w:anchor="_bookmark38">
        <w:r>
          <w:rPr/>
          <w:t>figur 26 </w:t>
        </w:r>
      </w:hyperlink>
      <w:r>
        <w:rPr/>
        <w:t>er vist et andet eksempel på kvalitativ sammenligning ved Hallundbækvej, hvor fotodokumentationen viser oversvømmelse af hele vandløbsdalen, og vand på</w:t>
      </w:r>
      <w:r>
        <w:rPr>
          <w:spacing w:val="-39"/>
        </w:rPr>
        <w:t> </w:t>
      </w:r>
      <w:r>
        <w:rPr/>
        <w:t>Hallundbæk- vej. Beregninger viser tilsvarende, at hele vandløbsdalen er oversvømmet, men der simule- res</w:t>
      </w:r>
      <w:r>
        <w:rPr>
          <w:spacing w:val="-9"/>
        </w:rPr>
        <w:t> </w:t>
      </w:r>
      <w:r>
        <w:rPr/>
        <w:t>kun</w:t>
      </w:r>
      <w:r>
        <w:rPr>
          <w:spacing w:val="-9"/>
        </w:rPr>
        <w:t> </w:t>
      </w:r>
      <w:r>
        <w:rPr/>
        <w:t>ganske</w:t>
      </w:r>
      <w:r>
        <w:rPr>
          <w:spacing w:val="-8"/>
        </w:rPr>
        <w:t> </w:t>
      </w:r>
      <w:r>
        <w:rPr/>
        <w:t>lidt</w:t>
      </w:r>
      <w:r>
        <w:rPr>
          <w:spacing w:val="-10"/>
        </w:rPr>
        <w:t> </w:t>
      </w:r>
      <w:r>
        <w:rPr/>
        <w:t>vand</w:t>
      </w:r>
      <w:r>
        <w:rPr>
          <w:spacing w:val="-8"/>
        </w:rPr>
        <w:t> </w:t>
      </w:r>
      <w:r>
        <w:rPr/>
        <w:t>på</w:t>
      </w:r>
      <w:r>
        <w:rPr>
          <w:spacing w:val="-9"/>
        </w:rPr>
        <w:t> </w:t>
      </w:r>
      <w:r>
        <w:rPr/>
        <w:t>vejbanen</w:t>
      </w:r>
      <w:r>
        <w:rPr>
          <w:spacing w:val="-9"/>
        </w:rPr>
        <w:t> </w:t>
      </w:r>
      <w:r>
        <w:rPr/>
        <w:t>(i</w:t>
      </w:r>
      <w:r>
        <w:rPr>
          <w:spacing w:val="-8"/>
        </w:rPr>
        <w:t> </w:t>
      </w:r>
      <w:r>
        <w:rPr/>
        <w:t>den</w:t>
      </w:r>
      <w:r>
        <w:rPr>
          <w:spacing w:val="-9"/>
        </w:rPr>
        <w:t> </w:t>
      </w:r>
      <w:r>
        <w:rPr/>
        <w:t>østlige</w:t>
      </w:r>
      <w:r>
        <w:rPr>
          <w:spacing w:val="-8"/>
        </w:rPr>
        <w:t> </w:t>
      </w:r>
      <w:r>
        <w:rPr/>
        <w:t>del</w:t>
      </w:r>
      <w:r>
        <w:rPr>
          <w:spacing w:val="-8"/>
        </w:rPr>
        <w:t> </w:t>
      </w:r>
      <w:r>
        <w:rPr/>
        <w:t>af</w:t>
      </w:r>
      <w:r>
        <w:rPr>
          <w:spacing w:val="-7"/>
        </w:rPr>
        <w:t> </w:t>
      </w:r>
      <w:r>
        <w:rPr/>
        <w:t>vandløbsdalen).</w:t>
      </w:r>
      <w:r>
        <w:rPr>
          <w:spacing w:val="-11"/>
        </w:rPr>
        <w:t> </w:t>
      </w:r>
      <w:r>
        <w:rPr/>
        <w:t>Sammenligningen er foretaget forud for den detaljerede kalibrering af modellen (Manningtal), og kan evt. for- klares med, at den hydrodynamiske model ikke er</w:t>
      </w:r>
      <w:r>
        <w:rPr>
          <w:spacing w:val="-11"/>
        </w:rPr>
        <w:t> </w:t>
      </w:r>
      <w:r>
        <w:rPr/>
        <w:t>finkalibreret.</w:t>
      </w:r>
    </w:p>
    <w:p>
      <w:pPr>
        <w:spacing w:after="0" w:line="276" w:lineRule="auto"/>
        <w:jc w:val="both"/>
        <w:sectPr>
          <w:pgSz w:w="11910" w:h="16850"/>
          <w:pgMar w:header="0" w:footer="857" w:top="1420" w:bottom="1120" w:left="1460" w:right="680"/>
        </w:sectPr>
      </w:pPr>
    </w:p>
    <w:p>
      <w:pPr>
        <w:pStyle w:val="BodyText"/>
        <w:spacing w:before="5"/>
        <w:rPr>
          <w:sz w:val="7"/>
        </w:rPr>
      </w:pPr>
    </w:p>
    <w:p>
      <w:pPr>
        <w:pStyle w:val="BodyText"/>
        <w:ind w:left="848"/>
        <w:rPr>
          <w:sz w:val="20"/>
        </w:rPr>
      </w:pPr>
      <w:r>
        <w:rPr>
          <w:sz w:val="20"/>
        </w:rPr>
        <w:pict>
          <v:group style="width:391.9pt;height:543.6pt;mso-position-horizontal-relative:char;mso-position-vertical-relative:line" coordorigin="0,0" coordsize="7838,10872">
            <v:shape style="position:absolute;left:0;top:0;width:7838;height:5532" type="#_x0000_t75" stroked="false">
              <v:imagedata r:id="rId44" o:title=""/>
            </v:shape>
            <v:shape style="position:absolute;left:1;top:5580;width:7820;height:5292" type="#_x0000_t75" stroked="false">
              <v:imagedata r:id="rId45" o:title=""/>
            </v:shape>
          </v:group>
        </w:pict>
      </w:r>
      <w:r>
        <w:rPr>
          <w:sz w:val="20"/>
        </w:rPr>
      </w:r>
    </w:p>
    <w:p>
      <w:pPr>
        <w:spacing w:line="203" w:lineRule="exact" w:before="0"/>
        <w:ind w:left="525" w:right="0" w:firstLine="0"/>
        <w:jc w:val="left"/>
        <w:rPr>
          <w:rFonts w:ascii="Calibri" w:hAnsi="Calibri"/>
          <w:i/>
          <w:sz w:val="18"/>
        </w:rPr>
      </w:pPr>
      <w:bookmarkStart w:name="_bookmark37" w:id="53"/>
      <w:bookmarkEnd w:id="53"/>
      <w:r>
        <w:rPr/>
      </w:r>
      <w:r>
        <w:rPr>
          <w:rFonts w:ascii="Calibri" w:hAnsi="Calibri"/>
          <w:i/>
          <w:color w:val="44536A"/>
          <w:sz w:val="18"/>
        </w:rPr>
        <w:t>Figur 25 Eksempel på udbredelse af vandstand for 7. December 2015 omkring Kvickly i Holstebro (øverst). Fotodoku-</w:t>
      </w:r>
    </w:p>
    <w:p>
      <w:pPr>
        <w:spacing w:before="0"/>
        <w:ind w:left="525" w:right="830" w:firstLine="0"/>
        <w:jc w:val="left"/>
        <w:rPr>
          <w:rFonts w:ascii="Calibri" w:hAnsi="Calibri"/>
          <w:i/>
          <w:sz w:val="18"/>
        </w:rPr>
      </w:pPr>
      <w:r>
        <w:rPr>
          <w:rFonts w:ascii="Calibri" w:hAnsi="Calibri"/>
          <w:i/>
          <w:color w:val="44536A"/>
          <w:sz w:val="18"/>
        </w:rPr>
        <w:t>mentation (nederst) indsamlet af Allan Lunde (Vandværker Vestforsyning, Holstebro). Kilde: COWI (2018b). Fotos af </w:t>
      </w:r>
      <w:r>
        <w:rPr>
          <w:rFonts w:ascii="Calibri" w:hAnsi="Calibri"/>
          <w:i/>
          <w:color w:val="44536A"/>
          <w:sz w:val="18"/>
        </w:rPr>
        <w:t>Alan Lunde, Vestforsyning.</w:t>
      </w:r>
    </w:p>
    <w:p>
      <w:pPr>
        <w:spacing w:after="0"/>
        <w:jc w:val="left"/>
        <w:rPr>
          <w:rFonts w:ascii="Calibri" w:hAnsi="Calibri"/>
          <w:sz w:val="18"/>
        </w:rPr>
        <w:sectPr>
          <w:pgSz w:w="11910" w:h="16850"/>
          <w:pgMar w:header="0" w:footer="857" w:top="1600" w:bottom="1120" w:left="1460" w:right="680"/>
        </w:sectPr>
      </w:pPr>
    </w:p>
    <w:p>
      <w:pPr>
        <w:pStyle w:val="BodyText"/>
        <w:ind w:left="515"/>
        <w:rPr>
          <w:rFonts w:ascii="Calibri"/>
          <w:sz w:val="20"/>
        </w:rPr>
      </w:pPr>
      <w:r>
        <w:rPr>
          <w:rFonts w:ascii="Calibri"/>
          <w:sz w:val="20"/>
        </w:rPr>
        <w:pict>
          <v:group style="width:396.4pt;height:550.35pt;mso-position-horizontal-relative:char;mso-position-vertical-relative:line" coordorigin="0,0" coordsize="7928,11007">
            <v:shape style="position:absolute;left:0;top:0;width:7928;height:5598" type="#_x0000_t75" stroked="false">
              <v:imagedata r:id="rId46" o:title=""/>
            </v:shape>
            <v:shape style="position:absolute;left:0;top:5655;width:7927;height:5351" type="#_x0000_t75" stroked="false">
              <v:imagedata r:id="rId47" o:title=""/>
            </v:shape>
          </v:group>
        </w:pict>
      </w:r>
      <w:r>
        <w:rPr>
          <w:rFonts w:ascii="Calibri"/>
          <w:sz w:val="20"/>
        </w:rPr>
      </w:r>
    </w:p>
    <w:p>
      <w:pPr>
        <w:spacing w:line="190" w:lineRule="exact" w:before="0"/>
        <w:ind w:left="525" w:right="0" w:firstLine="0"/>
        <w:jc w:val="left"/>
        <w:rPr>
          <w:rFonts w:ascii="Calibri" w:hAnsi="Calibri"/>
          <w:i/>
          <w:sz w:val="18"/>
        </w:rPr>
      </w:pPr>
      <w:bookmarkStart w:name="_bookmark38" w:id="54"/>
      <w:bookmarkEnd w:id="54"/>
      <w:r>
        <w:rPr/>
      </w:r>
      <w:r>
        <w:rPr>
          <w:rFonts w:ascii="Calibri" w:hAnsi="Calibri"/>
          <w:i/>
          <w:color w:val="44536A"/>
          <w:sz w:val="18"/>
        </w:rPr>
        <w:t>Figur 26 Eksempel på sammenligning med foto og modelsimuleret udbredelse af vand på terræn ved Hallundbækvej.</w:t>
      </w:r>
    </w:p>
    <w:p>
      <w:pPr>
        <w:spacing w:before="1"/>
        <w:ind w:left="525" w:right="0" w:firstLine="0"/>
        <w:jc w:val="left"/>
        <w:rPr>
          <w:rFonts w:ascii="Calibri"/>
          <w:i/>
          <w:sz w:val="18"/>
        </w:rPr>
      </w:pPr>
      <w:r>
        <w:rPr>
          <w:rFonts w:ascii="Calibri"/>
          <w:i/>
          <w:color w:val="44536A"/>
          <w:sz w:val="18"/>
        </w:rPr>
        <w:t>Kilde: COWI (2018b). Fotos af Alan Lunde, Vestforsyning.</w:t>
      </w:r>
    </w:p>
    <w:p>
      <w:pPr>
        <w:spacing w:after="0"/>
        <w:jc w:val="left"/>
        <w:rPr>
          <w:rFonts w:ascii="Calibri"/>
          <w:sz w:val="18"/>
        </w:rPr>
        <w:sectPr>
          <w:pgSz w:w="11910" w:h="16850"/>
          <w:pgMar w:header="0" w:footer="857" w:top="1420" w:bottom="1120" w:left="1460" w:right="680"/>
        </w:sectPr>
      </w:pPr>
    </w:p>
    <w:p>
      <w:pPr>
        <w:pStyle w:val="Heading2"/>
        <w:numPr>
          <w:ilvl w:val="1"/>
          <w:numId w:val="8"/>
        </w:numPr>
        <w:tabs>
          <w:tab w:pos="1142" w:val="left" w:leader="none"/>
        </w:tabs>
        <w:spacing w:line="240" w:lineRule="auto" w:before="74" w:after="0"/>
        <w:ind w:left="525" w:right="810" w:firstLine="0"/>
        <w:jc w:val="both"/>
      </w:pPr>
      <w:bookmarkStart w:name="_bookmark39" w:id="55"/>
      <w:bookmarkEnd w:id="55"/>
      <w:r>
        <w:rPr>
          <w:b w:val="0"/>
        </w:rPr>
      </w:r>
      <w:bookmarkStart w:name="_bookmark39" w:id="56"/>
      <w:bookmarkEnd w:id="56"/>
      <w:r>
        <w:rPr/>
        <w:t>Eksternt</w:t>
      </w:r>
      <w:r>
        <w:rPr/>
        <w:t> vandstandsmodul for vandløb - HYMOD (Hydroin- form)</w:t>
      </w:r>
    </w:p>
    <w:p>
      <w:pPr>
        <w:pStyle w:val="BodyText"/>
        <w:spacing w:line="276" w:lineRule="auto" w:before="240"/>
        <w:ind w:left="525" w:right="734"/>
        <w:jc w:val="both"/>
      </w:pPr>
      <w:r>
        <w:rPr/>
        <w:t>Som alternativ til den beregningstunge MIKE SHE-MIKE HYDRO River model er der af HY- DROINFORM</w:t>
      </w:r>
      <w:r>
        <w:rPr>
          <w:spacing w:val="-5"/>
        </w:rPr>
        <w:t> </w:t>
      </w:r>
      <w:r>
        <w:rPr/>
        <w:t>udviklet</w:t>
      </w:r>
      <w:r>
        <w:rPr>
          <w:spacing w:val="-6"/>
        </w:rPr>
        <w:t> </w:t>
      </w:r>
      <w:r>
        <w:rPr/>
        <w:t>et</w:t>
      </w:r>
      <w:r>
        <w:rPr>
          <w:spacing w:val="-6"/>
        </w:rPr>
        <w:t> </w:t>
      </w:r>
      <w:r>
        <w:rPr/>
        <w:t>eksternt</w:t>
      </w:r>
      <w:r>
        <w:rPr>
          <w:spacing w:val="-5"/>
        </w:rPr>
        <w:t> </w:t>
      </w:r>
      <w:r>
        <w:rPr/>
        <w:t>vandstandsmodul</w:t>
      </w:r>
      <w:r>
        <w:rPr>
          <w:spacing w:val="-4"/>
        </w:rPr>
        <w:t> </w:t>
      </w:r>
      <w:r>
        <w:rPr/>
        <w:t>(HYMOD)</w:t>
      </w:r>
      <w:r>
        <w:rPr>
          <w:spacing w:val="-5"/>
        </w:rPr>
        <w:t> </w:t>
      </w:r>
      <w:r>
        <w:rPr/>
        <w:t>baseret</w:t>
      </w:r>
      <w:r>
        <w:rPr>
          <w:spacing w:val="-6"/>
        </w:rPr>
        <w:t> </w:t>
      </w:r>
      <w:r>
        <w:rPr/>
        <w:t>på</w:t>
      </w:r>
      <w:r>
        <w:rPr>
          <w:spacing w:val="-3"/>
        </w:rPr>
        <w:t> </w:t>
      </w:r>
      <w:r>
        <w:rPr/>
        <w:t>et</w:t>
      </w:r>
      <w:r>
        <w:rPr>
          <w:spacing w:val="-6"/>
        </w:rPr>
        <w:t> </w:t>
      </w:r>
      <w:r>
        <w:rPr/>
        <w:t>python</w:t>
      </w:r>
      <w:r>
        <w:rPr>
          <w:spacing w:val="-4"/>
        </w:rPr>
        <w:t> </w:t>
      </w:r>
      <w:r>
        <w:rPr/>
        <w:t>script</w:t>
      </w:r>
      <w:r>
        <w:rPr>
          <w:spacing w:val="-6"/>
        </w:rPr>
        <w:t> </w:t>
      </w:r>
      <w:r>
        <w:rPr/>
        <w:t>til stationær beregning af vandstanden, på basis af vandføringen fra DK-model og den fysiske udformning af vandløbet. </w:t>
      </w:r>
      <w:hyperlink w:history="true" w:anchor="_bookmark40">
        <w:r>
          <w:rPr/>
          <w:t>Figur 27 </w:t>
        </w:r>
      </w:hyperlink>
      <w:r>
        <w:rPr/>
        <w:t>illustrerer hovedprincippet i python</w:t>
      </w:r>
      <w:r>
        <w:rPr>
          <w:spacing w:val="-12"/>
        </w:rPr>
        <w:t> </w:t>
      </w:r>
      <w:r>
        <w:rPr/>
        <w:t>scriptet.</w:t>
      </w:r>
    </w:p>
    <w:p>
      <w:pPr>
        <w:pStyle w:val="BodyText"/>
        <w:rPr>
          <w:sz w:val="20"/>
        </w:rPr>
      </w:pPr>
    </w:p>
    <w:p>
      <w:pPr>
        <w:pStyle w:val="BodyText"/>
        <w:rPr>
          <w:sz w:val="20"/>
        </w:rPr>
      </w:pPr>
    </w:p>
    <w:p>
      <w:pPr>
        <w:pStyle w:val="BodyText"/>
        <w:rPr>
          <w:sz w:val="11"/>
        </w:rPr>
      </w:pPr>
      <w:r>
        <w:rPr/>
        <w:drawing>
          <wp:anchor distT="0" distB="0" distL="0" distR="0" allowOverlap="1" layoutInCell="1" locked="0" behindDoc="0" simplePos="0" relativeHeight="24">
            <wp:simplePos x="0" y="0"/>
            <wp:positionH relativeFrom="page">
              <wp:posOffset>2174419</wp:posOffset>
            </wp:positionH>
            <wp:positionV relativeFrom="paragraph">
              <wp:posOffset>105455</wp:posOffset>
            </wp:positionV>
            <wp:extent cx="3526139" cy="2571750"/>
            <wp:effectExtent l="0" t="0" r="0" b="0"/>
            <wp:wrapTopAndBottom/>
            <wp:docPr id="61" name="image42.jpeg" descr=""/>
            <wp:cNvGraphicFramePr>
              <a:graphicFrameLocks noChangeAspect="1"/>
            </wp:cNvGraphicFramePr>
            <a:graphic>
              <a:graphicData uri="http://schemas.openxmlformats.org/drawingml/2006/picture">
                <pic:pic>
                  <pic:nvPicPr>
                    <pic:cNvPr id="62" name="image42.jpeg"/>
                    <pic:cNvPicPr/>
                  </pic:nvPicPr>
                  <pic:blipFill>
                    <a:blip r:embed="rId48" cstate="print"/>
                    <a:stretch>
                      <a:fillRect/>
                    </a:stretch>
                  </pic:blipFill>
                  <pic:spPr>
                    <a:xfrm>
                      <a:off x="0" y="0"/>
                      <a:ext cx="3526139" cy="2571750"/>
                    </a:xfrm>
                    <a:prstGeom prst="rect">
                      <a:avLst/>
                    </a:prstGeom>
                  </pic:spPr>
                </pic:pic>
              </a:graphicData>
            </a:graphic>
          </wp:anchor>
        </w:drawing>
      </w:r>
    </w:p>
    <w:p>
      <w:pPr>
        <w:spacing w:before="24"/>
        <w:ind w:left="525" w:right="813" w:firstLine="0"/>
        <w:jc w:val="both"/>
        <w:rPr>
          <w:rFonts w:ascii="Calibri" w:hAnsi="Calibri"/>
          <w:i/>
          <w:sz w:val="18"/>
        </w:rPr>
      </w:pPr>
      <w:bookmarkStart w:name="_bookmark40" w:id="57"/>
      <w:bookmarkEnd w:id="57"/>
      <w:r>
        <w:rPr/>
      </w:r>
      <w:r>
        <w:rPr>
          <w:rFonts w:ascii="Calibri" w:hAnsi="Calibri"/>
          <w:i/>
          <w:color w:val="44536A"/>
          <w:sz w:val="18"/>
        </w:rPr>
        <w:t>Figur 27 Eksempel på vandløbsnetværk bestående af strækninger (hovedløb og tilløb), vandløbspunkter og tværpro- </w:t>
      </w:r>
      <w:r>
        <w:rPr>
          <w:rFonts w:ascii="Calibri" w:hAnsi="Calibri"/>
          <w:i/>
          <w:color w:val="44536A"/>
          <w:sz w:val="18"/>
        </w:rPr>
        <w:t>filer (hver indeholdende et antal perimeter tværprofilpunkter) (Kilde: HYDROINFORM 2018)</w:t>
      </w:r>
    </w:p>
    <w:p>
      <w:pPr>
        <w:pStyle w:val="BodyText"/>
        <w:spacing w:before="2"/>
        <w:rPr>
          <w:rFonts w:ascii="Calibri"/>
          <w:i/>
          <w:sz w:val="16"/>
        </w:rPr>
      </w:pPr>
    </w:p>
    <w:p>
      <w:pPr>
        <w:pStyle w:val="BodyText"/>
        <w:spacing w:line="288" w:lineRule="auto"/>
        <w:ind w:left="525" w:right="731"/>
        <w:jc w:val="both"/>
      </w:pPr>
      <w:r>
        <w:rPr/>
        <w:t>Modulet er open source og kan installeres direkte fra PyPi.org. Beregninger fra scriptet er sammenlignet</w:t>
      </w:r>
      <w:r>
        <w:rPr>
          <w:spacing w:val="-11"/>
        </w:rPr>
        <w:t> </w:t>
      </w:r>
      <w:r>
        <w:rPr/>
        <w:t>af</w:t>
      </w:r>
      <w:r>
        <w:rPr>
          <w:spacing w:val="-11"/>
        </w:rPr>
        <w:t> </w:t>
      </w:r>
      <w:r>
        <w:rPr/>
        <w:t>HYDROINFORM</w:t>
      </w:r>
      <w:r>
        <w:rPr>
          <w:spacing w:val="-13"/>
        </w:rPr>
        <w:t> </w:t>
      </w:r>
      <w:r>
        <w:rPr/>
        <w:t>mod</w:t>
      </w:r>
      <w:r>
        <w:rPr>
          <w:spacing w:val="-10"/>
        </w:rPr>
        <w:t> </w:t>
      </w:r>
      <w:r>
        <w:rPr/>
        <w:t>MIKE</w:t>
      </w:r>
      <w:r>
        <w:rPr>
          <w:spacing w:val="-11"/>
        </w:rPr>
        <w:t> </w:t>
      </w:r>
      <w:r>
        <w:rPr/>
        <w:t>HYDRO</w:t>
      </w:r>
      <w:r>
        <w:rPr>
          <w:spacing w:val="-8"/>
        </w:rPr>
        <w:t> </w:t>
      </w:r>
      <w:r>
        <w:rPr/>
        <w:t>resultater</w:t>
      </w:r>
      <w:r>
        <w:rPr>
          <w:spacing w:val="-10"/>
        </w:rPr>
        <w:t> </w:t>
      </w:r>
      <w:r>
        <w:rPr/>
        <w:t>(fra</w:t>
      </w:r>
      <w:r>
        <w:rPr>
          <w:spacing w:val="-10"/>
        </w:rPr>
        <w:t> </w:t>
      </w:r>
      <w:r>
        <w:rPr/>
        <w:t>DK-model)</w:t>
      </w:r>
      <w:r>
        <w:rPr>
          <w:spacing w:val="-9"/>
        </w:rPr>
        <w:t> </w:t>
      </w:r>
      <w:r>
        <w:rPr/>
        <w:t>på</w:t>
      </w:r>
      <w:r>
        <w:rPr>
          <w:spacing w:val="-9"/>
        </w:rPr>
        <w:t> </w:t>
      </w:r>
      <w:r>
        <w:rPr/>
        <w:t>to</w:t>
      </w:r>
      <w:r>
        <w:rPr>
          <w:spacing w:val="-10"/>
        </w:rPr>
        <w:t> </w:t>
      </w:r>
      <w:r>
        <w:rPr/>
        <w:t>stræk- ninger</w:t>
      </w:r>
      <w:r>
        <w:rPr>
          <w:spacing w:val="-10"/>
        </w:rPr>
        <w:t> </w:t>
      </w:r>
      <w:r>
        <w:rPr/>
        <w:t>i</w:t>
      </w:r>
      <w:r>
        <w:rPr>
          <w:spacing w:val="-9"/>
        </w:rPr>
        <w:t> </w:t>
      </w:r>
      <w:r>
        <w:rPr/>
        <w:t>Storå,</w:t>
      </w:r>
      <w:r>
        <w:rPr>
          <w:spacing w:val="-10"/>
        </w:rPr>
        <w:t> </w:t>
      </w:r>
      <w:r>
        <w:rPr/>
        <w:t>på</w:t>
      </w:r>
      <w:r>
        <w:rPr>
          <w:spacing w:val="-9"/>
        </w:rPr>
        <w:t> </w:t>
      </w:r>
      <w:r>
        <w:rPr/>
        <w:t>basis</w:t>
      </w:r>
      <w:r>
        <w:rPr>
          <w:spacing w:val="-8"/>
        </w:rPr>
        <w:t> </w:t>
      </w:r>
      <w:r>
        <w:rPr/>
        <w:t>af</w:t>
      </w:r>
      <w:r>
        <w:rPr>
          <w:spacing w:val="-7"/>
        </w:rPr>
        <w:t> </w:t>
      </w:r>
      <w:r>
        <w:rPr/>
        <w:t>’quasi-stationære’</w:t>
      </w:r>
      <w:r>
        <w:rPr>
          <w:spacing w:val="-10"/>
        </w:rPr>
        <w:t> </w:t>
      </w:r>
      <w:r>
        <w:rPr/>
        <w:t>kørsler,</w:t>
      </w:r>
      <w:r>
        <w:rPr>
          <w:spacing w:val="-11"/>
        </w:rPr>
        <w:t> </w:t>
      </w:r>
      <w:r>
        <w:rPr/>
        <w:t>hvor</w:t>
      </w:r>
      <w:r>
        <w:rPr>
          <w:spacing w:val="-9"/>
        </w:rPr>
        <w:t> </w:t>
      </w:r>
      <w:r>
        <w:rPr/>
        <w:t>vandføring</w:t>
      </w:r>
      <w:r>
        <w:rPr>
          <w:spacing w:val="-10"/>
        </w:rPr>
        <w:t> </w:t>
      </w:r>
      <w:r>
        <w:rPr/>
        <w:t>er</w:t>
      </w:r>
      <w:r>
        <w:rPr>
          <w:spacing w:val="-11"/>
        </w:rPr>
        <w:t> </w:t>
      </w:r>
      <w:r>
        <w:rPr/>
        <w:t>fastholdt</w:t>
      </w:r>
      <w:r>
        <w:rPr>
          <w:spacing w:val="-10"/>
        </w:rPr>
        <w:t> </w:t>
      </w:r>
      <w:r>
        <w:rPr/>
        <w:t>gennem</w:t>
      </w:r>
      <w:r>
        <w:rPr>
          <w:spacing w:val="-7"/>
        </w:rPr>
        <w:t> </w:t>
      </w:r>
      <w:r>
        <w:rPr>
          <w:spacing w:val="-3"/>
        </w:rPr>
        <w:t>en </w:t>
      </w:r>
      <w:r>
        <w:rPr/>
        <w:t>30-dages periode, således at modellen her er meget tæt på steady-state. </w:t>
      </w:r>
      <w:hyperlink w:history="true" w:anchor="_bookmark41">
        <w:r>
          <w:rPr/>
          <w:t>Figur 28 </w:t>
        </w:r>
      </w:hyperlink>
      <w:r>
        <w:rPr/>
        <w:t>viser</w:t>
      </w:r>
      <w:r>
        <w:rPr>
          <w:spacing w:val="-36"/>
        </w:rPr>
        <w:t> </w:t>
      </w:r>
      <w:r>
        <w:rPr/>
        <w:t>den simulerede vandstand i den nederste del af Storå (mellem udløbet og Holstebro) ved en meget høj vandføring (21. januar</w:t>
      </w:r>
      <w:r>
        <w:rPr>
          <w:spacing w:val="-9"/>
        </w:rPr>
        <w:t> </w:t>
      </w:r>
      <w:r>
        <w:rPr/>
        <w:t>2007).</w:t>
      </w:r>
    </w:p>
    <w:p>
      <w:pPr>
        <w:pStyle w:val="BodyText"/>
        <w:spacing w:before="9"/>
        <w:rPr>
          <w:sz w:val="25"/>
        </w:rPr>
      </w:pPr>
      <w:r>
        <w:rPr/>
        <w:drawing>
          <wp:anchor distT="0" distB="0" distL="0" distR="0" allowOverlap="1" layoutInCell="1" locked="0" behindDoc="0" simplePos="0" relativeHeight="25">
            <wp:simplePos x="0" y="0"/>
            <wp:positionH relativeFrom="page">
              <wp:posOffset>1260475</wp:posOffset>
            </wp:positionH>
            <wp:positionV relativeFrom="paragraph">
              <wp:posOffset>213647</wp:posOffset>
            </wp:positionV>
            <wp:extent cx="4588721" cy="2359152"/>
            <wp:effectExtent l="0" t="0" r="0" b="0"/>
            <wp:wrapTopAndBottom/>
            <wp:docPr id="63" name="image43.jpeg" descr=""/>
            <wp:cNvGraphicFramePr>
              <a:graphicFrameLocks noChangeAspect="1"/>
            </wp:cNvGraphicFramePr>
            <a:graphic>
              <a:graphicData uri="http://schemas.openxmlformats.org/drawingml/2006/picture">
                <pic:pic>
                  <pic:nvPicPr>
                    <pic:cNvPr id="64" name="image43.jpeg"/>
                    <pic:cNvPicPr/>
                  </pic:nvPicPr>
                  <pic:blipFill>
                    <a:blip r:embed="rId49" cstate="print"/>
                    <a:stretch>
                      <a:fillRect/>
                    </a:stretch>
                  </pic:blipFill>
                  <pic:spPr>
                    <a:xfrm>
                      <a:off x="0" y="0"/>
                      <a:ext cx="4588721" cy="2359152"/>
                    </a:xfrm>
                    <a:prstGeom prst="rect">
                      <a:avLst/>
                    </a:prstGeom>
                  </pic:spPr>
                </pic:pic>
              </a:graphicData>
            </a:graphic>
          </wp:anchor>
        </w:drawing>
      </w:r>
    </w:p>
    <w:p>
      <w:pPr>
        <w:spacing w:before="29"/>
        <w:ind w:left="525" w:right="1105" w:firstLine="0"/>
        <w:jc w:val="left"/>
        <w:rPr>
          <w:rFonts w:ascii="Calibri" w:hAnsi="Calibri"/>
          <w:i/>
          <w:sz w:val="18"/>
        </w:rPr>
      </w:pPr>
      <w:bookmarkStart w:name="_bookmark41" w:id="58"/>
      <w:bookmarkEnd w:id="58"/>
      <w:r>
        <w:rPr/>
      </w:r>
      <w:r>
        <w:rPr>
          <w:rFonts w:ascii="Calibri" w:hAnsi="Calibri"/>
          <w:i/>
          <w:color w:val="44536A"/>
          <w:sz w:val="18"/>
        </w:rPr>
        <w:t>Figur 28 Sammenligning af stationær beregning I MIKE HYDRO med HYMOD (21. januar 2007) (Kilde: HYDROIN- </w:t>
      </w:r>
      <w:r>
        <w:rPr>
          <w:rFonts w:ascii="Calibri" w:hAnsi="Calibri"/>
          <w:i/>
          <w:color w:val="44536A"/>
          <w:sz w:val="18"/>
        </w:rPr>
        <w:t>FORM 2018)</w:t>
      </w:r>
    </w:p>
    <w:p>
      <w:pPr>
        <w:spacing w:after="0"/>
        <w:jc w:val="left"/>
        <w:rPr>
          <w:rFonts w:ascii="Calibri" w:hAnsi="Calibri"/>
          <w:sz w:val="18"/>
        </w:rPr>
        <w:sectPr>
          <w:pgSz w:w="11910" w:h="16850"/>
          <w:pgMar w:header="0" w:footer="857" w:top="1340" w:bottom="1120" w:left="1460" w:right="680"/>
        </w:sectPr>
      </w:pPr>
    </w:p>
    <w:p>
      <w:pPr>
        <w:pStyle w:val="BodyText"/>
        <w:spacing w:line="288" w:lineRule="auto" w:before="75"/>
        <w:ind w:left="525" w:right="731"/>
        <w:jc w:val="both"/>
      </w:pPr>
      <w:r>
        <w:rPr/>
        <w:t>Der er foretaget sammenligning med DK-model/MIKE HYDRO River simuleringer i Odense Å og Stavis å. I dette tilfælde er MIKE HYDRO kørt quasi-stationært, og i begge tilfælde er der opnået god overensstemmelse mellem de to modeller, når man tager højde for den dy- namik,</w:t>
      </w:r>
      <w:r>
        <w:rPr>
          <w:spacing w:val="-5"/>
        </w:rPr>
        <w:t> </w:t>
      </w:r>
      <w:r>
        <w:rPr/>
        <w:t>som</w:t>
      </w:r>
      <w:r>
        <w:rPr>
          <w:spacing w:val="-2"/>
        </w:rPr>
        <w:t> </w:t>
      </w:r>
      <w:r>
        <w:rPr/>
        <w:t>en</w:t>
      </w:r>
      <w:r>
        <w:rPr>
          <w:spacing w:val="-3"/>
        </w:rPr>
        <w:t> </w:t>
      </w:r>
      <w:r>
        <w:rPr/>
        <w:t>stationær</w:t>
      </w:r>
      <w:r>
        <w:rPr>
          <w:spacing w:val="-7"/>
        </w:rPr>
        <w:t> </w:t>
      </w:r>
      <w:r>
        <w:rPr/>
        <w:t>model</w:t>
      </w:r>
      <w:r>
        <w:rPr>
          <w:spacing w:val="-2"/>
        </w:rPr>
        <w:t> </w:t>
      </w:r>
      <w:r>
        <w:rPr/>
        <w:t>ikke</w:t>
      </w:r>
      <w:r>
        <w:rPr>
          <w:spacing w:val="-6"/>
        </w:rPr>
        <w:t> </w:t>
      </w:r>
      <w:r>
        <w:rPr/>
        <w:t>kan</w:t>
      </w:r>
      <w:r>
        <w:rPr>
          <w:spacing w:val="-4"/>
        </w:rPr>
        <w:t> </w:t>
      </w:r>
      <w:r>
        <w:rPr/>
        <w:t>tage</w:t>
      </w:r>
      <w:r>
        <w:rPr>
          <w:spacing w:val="-3"/>
        </w:rPr>
        <w:t> </w:t>
      </w:r>
      <w:r>
        <w:rPr/>
        <w:t>højde</w:t>
      </w:r>
      <w:r>
        <w:rPr>
          <w:spacing w:val="-5"/>
        </w:rPr>
        <w:t> </w:t>
      </w:r>
      <w:r>
        <w:rPr/>
        <w:t>for.</w:t>
      </w:r>
      <w:r>
        <w:rPr>
          <w:spacing w:val="-5"/>
        </w:rPr>
        <w:t> </w:t>
      </w:r>
      <w:r>
        <w:rPr/>
        <w:t>Der</w:t>
      </w:r>
      <w:r>
        <w:rPr>
          <w:spacing w:val="-4"/>
        </w:rPr>
        <w:t> </w:t>
      </w:r>
      <w:r>
        <w:rPr/>
        <w:t>er</w:t>
      </w:r>
      <w:r>
        <w:rPr>
          <w:spacing w:val="-4"/>
        </w:rPr>
        <w:t> </w:t>
      </w:r>
      <w:r>
        <w:rPr/>
        <w:t>udarbejdet</w:t>
      </w:r>
      <w:r>
        <w:rPr>
          <w:spacing w:val="-4"/>
        </w:rPr>
        <w:t> </w:t>
      </w:r>
      <w:r>
        <w:rPr/>
        <w:t>en</w:t>
      </w:r>
      <w:r>
        <w:rPr>
          <w:spacing w:val="-6"/>
        </w:rPr>
        <w:t> </w:t>
      </w:r>
      <w:r>
        <w:rPr/>
        <w:t>række</w:t>
      </w:r>
      <w:r>
        <w:rPr>
          <w:spacing w:val="-4"/>
        </w:rPr>
        <w:t> </w:t>
      </w:r>
      <w:r>
        <w:rPr/>
        <w:t>eksem- pler på anvendelser af HYMOD. Modulet giver forskellige muligheder for randbetingelser (normal dybde eller QH kurve), og relativt simple bygværker kan beskrives (rør, overløb, broer).</w:t>
      </w:r>
      <w:r>
        <w:rPr>
          <w:spacing w:val="-6"/>
        </w:rPr>
        <w:t> </w:t>
      </w:r>
      <w:r>
        <w:rPr/>
        <w:t>Et</w:t>
      </w:r>
      <w:r>
        <w:rPr>
          <w:spacing w:val="-7"/>
        </w:rPr>
        <w:t> </w:t>
      </w:r>
      <w:r>
        <w:rPr/>
        <w:t>netværk</w:t>
      </w:r>
      <w:r>
        <w:rPr>
          <w:spacing w:val="-2"/>
        </w:rPr>
        <w:t> </w:t>
      </w:r>
      <w:r>
        <w:rPr/>
        <w:t>af</w:t>
      </w:r>
      <w:r>
        <w:rPr>
          <w:spacing w:val="-4"/>
        </w:rPr>
        <w:t> </w:t>
      </w:r>
      <w:r>
        <w:rPr/>
        <w:t>strækninger</w:t>
      </w:r>
      <w:r>
        <w:rPr>
          <w:spacing w:val="-8"/>
        </w:rPr>
        <w:t> </w:t>
      </w:r>
      <w:r>
        <w:rPr/>
        <w:t>kan</w:t>
      </w:r>
      <w:r>
        <w:rPr>
          <w:spacing w:val="-5"/>
        </w:rPr>
        <w:t> </w:t>
      </w:r>
      <w:r>
        <w:rPr/>
        <w:t>håndteres,</w:t>
      </w:r>
      <w:r>
        <w:rPr>
          <w:spacing w:val="-6"/>
        </w:rPr>
        <w:t> </w:t>
      </w:r>
      <w:r>
        <w:rPr/>
        <w:t>og</w:t>
      </w:r>
      <w:r>
        <w:rPr>
          <w:spacing w:val="-7"/>
        </w:rPr>
        <w:t> </w:t>
      </w:r>
      <w:r>
        <w:rPr/>
        <w:t>man</w:t>
      </w:r>
      <w:r>
        <w:rPr>
          <w:spacing w:val="-7"/>
        </w:rPr>
        <w:t> </w:t>
      </w:r>
      <w:r>
        <w:rPr/>
        <w:t>kan</w:t>
      </w:r>
      <w:r>
        <w:rPr>
          <w:spacing w:val="-5"/>
        </w:rPr>
        <w:t> </w:t>
      </w:r>
      <w:r>
        <w:rPr/>
        <w:t>plotte</w:t>
      </w:r>
      <w:r>
        <w:rPr>
          <w:spacing w:val="-5"/>
        </w:rPr>
        <w:t> </w:t>
      </w:r>
      <w:r>
        <w:rPr/>
        <w:t>netværk,</w:t>
      </w:r>
      <w:r>
        <w:rPr>
          <w:spacing w:val="-6"/>
        </w:rPr>
        <w:t> </w:t>
      </w:r>
      <w:r>
        <w:rPr/>
        <w:t>tværprofiler</w:t>
      </w:r>
      <w:r>
        <w:rPr>
          <w:spacing w:val="-6"/>
        </w:rPr>
        <w:t> </w:t>
      </w:r>
      <w:r>
        <w:rPr/>
        <w:t>og længdeprofiler. I </w:t>
      </w:r>
      <w:hyperlink w:history="true" w:anchor="_bookmark42">
        <w:r>
          <w:rPr/>
          <w:t>figur 29 </w:t>
        </w:r>
      </w:hyperlink>
      <w:r>
        <w:rPr/>
        <w:t>er vist forskellige eksempler på</w:t>
      </w:r>
      <w:r>
        <w:rPr>
          <w:spacing w:val="-17"/>
        </w:rPr>
        <w:t> </w:t>
      </w:r>
      <w:r>
        <w:rPr/>
        <w:t>plot.</w:t>
      </w:r>
    </w:p>
    <w:p>
      <w:pPr>
        <w:pStyle w:val="BodyText"/>
        <w:rPr>
          <w:sz w:val="22"/>
        </w:rPr>
      </w:pPr>
      <w:r>
        <w:rPr/>
        <w:drawing>
          <wp:anchor distT="0" distB="0" distL="0" distR="0" allowOverlap="1" layoutInCell="1" locked="0" behindDoc="0" simplePos="0" relativeHeight="26">
            <wp:simplePos x="0" y="0"/>
            <wp:positionH relativeFrom="page">
              <wp:posOffset>1260475</wp:posOffset>
            </wp:positionH>
            <wp:positionV relativeFrom="paragraph">
              <wp:posOffset>185418</wp:posOffset>
            </wp:positionV>
            <wp:extent cx="4604513" cy="2302002"/>
            <wp:effectExtent l="0" t="0" r="0" b="0"/>
            <wp:wrapTopAndBottom/>
            <wp:docPr id="65" name="image44.jpeg" descr=""/>
            <wp:cNvGraphicFramePr>
              <a:graphicFrameLocks noChangeAspect="1"/>
            </wp:cNvGraphicFramePr>
            <a:graphic>
              <a:graphicData uri="http://schemas.openxmlformats.org/drawingml/2006/picture">
                <pic:pic>
                  <pic:nvPicPr>
                    <pic:cNvPr id="66" name="image44.jpeg"/>
                    <pic:cNvPicPr/>
                  </pic:nvPicPr>
                  <pic:blipFill>
                    <a:blip r:embed="rId50" cstate="print"/>
                    <a:stretch>
                      <a:fillRect/>
                    </a:stretch>
                  </pic:blipFill>
                  <pic:spPr>
                    <a:xfrm>
                      <a:off x="0" y="0"/>
                      <a:ext cx="4604513" cy="2302002"/>
                    </a:xfrm>
                    <a:prstGeom prst="rect">
                      <a:avLst/>
                    </a:prstGeom>
                  </pic:spPr>
                </pic:pic>
              </a:graphicData>
            </a:graphic>
          </wp:anchor>
        </w:drawing>
      </w:r>
    </w:p>
    <w:p>
      <w:pPr>
        <w:spacing w:before="26"/>
        <w:ind w:left="525" w:right="0" w:firstLine="0"/>
        <w:jc w:val="left"/>
        <w:rPr>
          <w:rFonts w:ascii="Calibri" w:hAnsi="Calibri"/>
          <w:i/>
          <w:sz w:val="18"/>
        </w:rPr>
      </w:pPr>
      <w:bookmarkStart w:name="_bookmark42" w:id="59"/>
      <w:bookmarkEnd w:id="59"/>
      <w:r>
        <w:rPr/>
      </w:r>
      <w:r>
        <w:rPr>
          <w:rFonts w:ascii="Calibri" w:hAnsi="Calibri"/>
          <w:i/>
          <w:color w:val="44536A"/>
          <w:sz w:val="18"/>
        </w:rPr>
        <w:t>Figur 29 Eksempler på plot i HYMOD (Kilde: HYDROINFORM 2018)</w:t>
      </w:r>
    </w:p>
    <w:p>
      <w:pPr>
        <w:pStyle w:val="BodyText"/>
        <w:spacing w:before="1"/>
        <w:rPr>
          <w:rFonts w:ascii="Calibri"/>
          <w:i/>
          <w:sz w:val="16"/>
        </w:rPr>
      </w:pPr>
    </w:p>
    <w:p>
      <w:pPr>
        <w:pStyle w:val="BodyText"/>
        <w:spacing w:line="288" w:lineRule="auto"/>
        <w:ind w:left="525" w:right="734"/>
        <w:jc w:val="both"/>
      </w:pPr>
      <w:r>
        <w:rPr/>
        <w:t>Da der er direkte kodemæssig adgang til alle data (python) er det relativt nemt at lave sin egen import af modeller. I leverancer er inkluderet mulighed for eksport af HYMOD setup til shape-filer, således at resultater med det eksterne modul (baseret på vandføringer fra Odense</w:t>
      </w:r>
      <w:r>
        <w:rPr>
          <w:spacing w:val="-14"/>
        </w:rPr>
        <w:t> </w:t>
      </w:r>
      <w:r>
        <w:rPr/>
        <w:t>eller</w:t>
      </w:r>
      <w:r>
        <w:rPr>
          <w:spacing w:val="-17"/>
        </w:rPr>
        <w:t> </w:t>
      </w:r>
      <w:r>
        <w:rPr/>
        <w:t>Storå</w:t>
      </w:r>
      <w:r>
        <w:rPr>
          <w:spacing w:val="-16"/>
        </w:rPr>
        <w:t> </w:t>
      </w:r>
      <w:r>
        <w:rPr/>
        <w:t>modeller</w:t>
      </w:r>
      <w:r>
        <w:rPr>
          <w:spacing w:val="-15"/>
        </w:rPr>
        <w:t> </w:t>
      </w:r>
      <w:r>
        <w:rPr/>
        <w:t>for</w:t>
      </w:r>
      <w:r>
        <w:rPr>
          <w:spacing w:val="-14"/>
        </w:rPr>
        <w:t> </w:t>
      </w:r>
      <w:r>
        <w:rPr/>
        <w:t>Q-punkter</w:t>
      </w:r>
      <w:r>
        <w:rPr>
          <w:spacing w:val="-17"/>
        </w:rPr>
        <w:t> </w:t>
      </w:r>
      <w:r>
        <w:rPr/>
        <w:t>og</w:t>
      </w:r>
      <w:r>
        <w:rPr>
          <w:spacing w:val="-15"/>
        </w:rPr>
        <w:t> </w:t>
      </w:r>
      <w:r>
        <w:rPr/>
        <w:t>fysiske</w:t>
      </w:r>
      <w:r>
        <w:rPr>
          <w:spacing w:val="-17"/>
        </w:rPr>
        <w:t> </w:t>
      </w:r>
      <w:r>
        <w:rPr/>
        <w:t>beskrivelser</w:t>
      </w:r>
      <w:r>
        <w:rPr>
          <w:spacing w:val="-17"/>
        </w:rPr>
        <w:t> </w:t>
      </w:r>
      <w:r>
        <w:rPr/>
        <w:t>i</w:t>
      </w:r>
      <w:r>
        <w:rPr>
          <w:spacing w:val="-15"/>
        </w:rPr>
        <w:t> </w:t>
      </w:r>
      <w:r>
        <w:rPr/>
        <w:t>form</w:t>
      </w:r>
      <w:r>
        <w:rPr>
          <w:spacing w:val="-13"/>
        </w:rPr>
        <w:t> </w:t>
      </w:r>
      <w:r>
        <w:rPr/>
        <w:t>af</w:t>
      </w:r>
      <w:r>
        <w:rPr>
          <w:spacing w:val="-12"/>
        </w:rPr>
        <w:t> </w:t>
      </w:r>
      <w:r>
        <w:rPr/>
        <w:t>brede</w:t>
      </w:r>
      <w:r>
        <w:rPr>
          <w:spacing w:val="-14"/>
        </w:rPr>
        <w:t> </w:t>
      </w:r>
      <w:r>
        <w:rPr/>
        <w:t>tværprofiler, bygværker mm.) senere kan benyttes som inddata til det af COWI udarbejdede GIS modul for simulering af oversvømmelser fra vandløb med en detaljeret</w:t>
      </w:r>
      <w:r>
        <w:rPr>
          <w:spacing w:val="-17"/>
        </w:rPr>
        <w:t> </w:t>
      </w:r>
      <w:r>
        <w:rPr/>
        <w:t>højdemodel.</w:t>
      </w:r>
    </w:p>
    <w:p>
      <w:pPr>
        <w:pStyle w:val="BodyText"/>
        <w:spacing w:before="2"/>
        <w:rPr>
          <w:sz w:val="25"/>
        </w:rPr>
      </w:pPr>
    </w:p>
    <w:p>
      <w:pPr>
        <w:pStyle w:val="BodyText"/>
        <w:spacing w:line="288" w:lineRule="auto"/>
        <w:ind w:left="525" w:right="731"/>
        <w:jc w:val="both"/>
      </w:pPr>
      <w:r>
        <w:rPr/>
        <w:t>Herved kan resultater fra fx en 500 m DK-model der simulerer vandføringer ned gennem vandløbet og indlæste tværprofiler for udvalgte strækninger i HYMOD, fx fra udløb og op til Holstebro beregnes med en stationær model. Ved HYMOD simulering (der foregår iterativt) opdeles strækningen i små delstrækninger. Beregninger foretages nedefra og op gennem vandløbssystemet (sekventielt/vha. Bernoulli’s ligning for energibevarelse og Manningform- len), med mulighed for scenarie analyse (fx ændret bredde på vandløbet, ændret Manning- tal/modstandsradius, ændret vandføring/klimafaktor osv.).</w:t>
      </w:r>
    </w:p>
    <w:p>
      <w:pPr>
        <w:spacing w:after="0" w:line="288" w:lineRule="auto"/>
        <w:jc w:val="both"/>
        <w:sectPr>
          <w:pgSz w:w="11910" w:h="16850"/>
          <w:pgMar w:header="0" w:footer="857" w:top="1340" w:bottom="1120" w:left="1460" w:right="680"/>
        </w:sectPr>
      </w:pPr>
    </w:p>
    <w:p>
      <w:pPr>
        <w:pStyle w:val="BodyText"/>
        <w:spacing w:before="4"/>
        <w:rPr>
          <w:rFonts w:ascii="Times New Roman"/>
          <w:sz w:val="17"/>
        </w:rPr>
      </w:pPr>
    </w:p>
    <w:p>
      <w:pPr>
        <w:spacing w:after="0"/>
        <w:rPr>
          <w:rFonts w:ascii="Times New Roman"/>
          <w:sz w:val="17"/>
        </w:rPr>
        <w:sectPr>
          <w:pgSz w:w="11910" w:h="16850"/>
          <w:pgMar w:header="0" w:footer="857" w:top="1600" w:bottom="1040" w:left="1460" w:right="680"/>
        </w:sectPr>
      </w:pPr>
    </w:p>
    <w:p>
      <w:pPr>
        <w:pStyle w:val="Heading1"/>
        <w:numPr>
          <w:ilvl w:val="0"/>
          <w:numId w:val="11"/>
        </w:numPr>
        <w:tabs>
          <w:tab w:pos="1092" w:val="left" w:leader="none"/>
        </w:tabs>
        <w:spacing w:line="240" w:lineRule="auto" w:before="73" w:after="0"/>
        <w:ind w:left="1091" w:right="0" w:hanging="566"/>
        <w:jc w:val="both"/>
      </w:pPr>
      <w:bookmarkStart w:name="_bookmark43" w:id="60"/>
      <w:bookmarkEnd w:id="60"/>
      <w:r>
        <w:rPr>
          <w:b w:val="0"/>
        </w:rPr>
      </w:r>
      <w:bookmarkStart w:name="_bookmark43" w:id="61"/>
      <w:bookmarkEnd w:id="61"/>
      <w:r>
        <w:rPr/>
        <w:t>K</w:t>
      </w:r>
      <w:r>
        <w:rPr/>
        <w:t>alibrerings- og valideringsstrategi og</w:t>
      </w:r>
      <w:r>
        <w:rPr>
          <w:spacing w:val="-7"/>
        </w:rPr>
        <w:t> </w:t>
      </w:r>
      <w:r>
        <w:rPr/>
        <w:t>metodik</w:t>
      </w:r>
    </w:p>
    <w:p>
      <w:pPr>
        <w:pStyle w:val="BodyText"/>
        <w:spacing w:line="276" w:lineRule="auto" w:before="242"/>
        <w:ind w:left="525" w:right="730"/>
        <w:jc w:val="both"/>
      </w:pPr>
      <w:r>
        <w:rPr/>
        <w:t>I det følgende vil kalibrerings- og valideringsstrategien for de reviderede modeller blive skit- seret. Modelkalibrering er todelt; først bliver den koblede model kalibreret med hensigt til trykniveau</w:t>
      </w:r>
      <w:r>
        <w:rPr>
          <w:spacing w:val="-9"/>
        </w:rPr>
        <w:t> </w:t>
      </w:r>
      <w:r>
        <w:rPr/>
        <w:t>i</w:t>
      </w:r>
      <w:r>
        <w:rPr>
          <w:spacing w:val="-7"/>
        </w:rPr>
        <w:t> </w:t>
      </w:r>
      <w:r>
        <w:rPr/>
        <w:t>grundvand</w:t>
      </w:r>
      <w:r>
        <w:rPr>
          <w:spacing w:val="-8"/>
        </w:rPr>
        <w:t> </w:t>
      </w:r>
      <w:r>
        <w:rPr/>
        <w:t>og</w:t>
      </w:r>
      <w:r>
        <w:rPr>
          <w:spacing w:val="-9"/>
        </w:rPr>
        <w:t> </w:t>
      </w:r>
      <w:r>
        <w:rPr/>
        <w:t>vandføring</w:t>
      </w:r>
      <w:r>
        <w:rPr>
          <w:spacing w:val="-7"/>
        </w:rPr>
        <w:t> </w:t>
      </w:r>
      <w:r>
        <w:rPr/>
        <w:t>i</w:t>
      </w:r>
      <w:r>
        <w:rPr>
          <w:spacing w:val="-7"/>
        </w:rPr>
        <w:t> </w:t>
      </w:r>
      <w:r>
        <w:rPr/>
        <w:t>vandløb,</w:t>
      </w:r>
      <w:r>
        <w:rPr>
          <w:spacing w:val="-8"/>
        </w:rPr>
        <w:t> </w:t>
      </w:r>
      <w:r>
        <w:rPr/>
        <w:t>og</w:t>
      </w:r>
      <w:r>
        <w:rPr>
          <w:spacing w:val="-7"/>
        </w:rPr>
        <w:t> </w:t>
      </w:r>
      <w:r>
        <w:rPr/>
        <w:t>i</w:t>
      </w:r>
      <w:r>
        <w:rPr>
          <w:spacing w:val="-9"/>
        </w:rPr>
        <w:t> </w:t>
      </w:r>
      <w:r>
        <w:rPr/>
        <w:t>anden</w:t>
      </w:r>
      <w:r>
        <w:rPr>
          <w:spacing w:val="-7"/>
        </w:rPr>
        <w:t> </w:t>
      </w:r>
      <w:r>
        <w:rPr/>
        <w:t>skridt</w:t>
      </w:r>
      <w:r>
        <w:rPr>
          <w:spacing w:val="-8"/>
        </w:rPr>
        <w:t> </w:t>
      </w:r>
      <w:r>
        <w:rPr/>
        <w:t>bliver</w:t>
      </w:r>
      <w:r>
        <w:rPr>
          <w:spacing w:val="-8"/>
        </w:rPr>
        <w:t> </w:t>
      </w:r>
      <w:r>
        <w:rPr/>
        <w:t>den</w:t>
      </w:r>
      <w:r>
        <w:rPr>
          <w:spacing w:val="-7"/>
        </w:rPr>
        <w:t> </w:t>
      </w:r>
      <w:r>
        <w:rPr/>
        <w:t>hydrodynamiske model kalibreret med hensyn til vandstande i</w:t>
      </w:r>
      <w:r>
        <w:rPr>
          <w:spacing w:val="-8"/>
        </w:rPr>
        <w:t> </w:t>
      </w:r>
      <w:r>
        <w:rPr/>
        <w:t>vandløb.</w:t>
      </w:r>
    </w:p>
    <w:p>
      <w:pPr>
        <w:pStyle w:val="Heading2"/>
        <w:numPr>
          <w:ilvl w:val="1"/>
          <w:numId w:val="12"/>
        </w:numPr>
        <w:tabs>
          <w:tab w:pos="1142" w:val="left" w:leader="none"/>
        </w:tabs>
        <w:spacing w:line="240" w:lineRule="auto" w:before="158" w:after="0"/>
        <w:ind w:left="1142" w:right="0" w:hanging="617"/>
        <w:jc w:val="both"/>
      </w:pPr>
      <w:bookmarkStart w:name="_bookmark44" w:id="62"/>
      <w:bookmarkEnd w:id="62"/>
      <w:r>
        <w:rPr>
          <w:b w:val="0"/>
        </w:rPr>
      </w:r>
      <w:bookmarkStart w:name="_bookmark44" w:id="63"/>
      <w:bookmarkEnd w:id="63"/>
      <w:r>
        <w:rPr/>
        <w:t>M</w:t>
      </w:r>
      <w:r>
        <w:rPr/>
        <w:t>etode til kalibrering af terrænnært</w:t>
      </w:r>
      <w:r>
        <w:rPr>
          <w:spacing w:val="-6"/>
        </w:rPr>
        <w:t> </w:t>
      </w:r>
      <w:r>
        <w:rPr/>
        <w:t>grundvand</w:t>
      </w:r>
    </w:p>
    <w:p>
      <w:pPr>
        <w:pStyle w:val="BodyText"/>
        <w:spacing w:line="276" w:lineRule="auto" w:before="241"/>
        <w:ind w:left="525" w:right="733"/>
        <w:jc w:val="both"/>
      </w:pPr>
      <w:r>
        <w:rPr/>
        <w:t>Formålet</w:t>
      </w:r>
      <w:r>
        <w:rPr>
          <w:spacing w:val="-6"/>
        </w:rPr>
        <w:t> </w:t>
      </w:r>
      <w:r>
        <w:rPr/>
        <w:t>med</w:t>
      </w:r>
      <w:r>
        <w:rPr>
          <w:spacing w:val="-4"/>
        </w:rPr>
        <w:t> </w:t>
      </w:r>
      <w:r>
        <w:rPr/>
        <w:t>kalibreringen</w:t>
      </w:r>
      <w:r>
        <w:rPr>
          <w:spacing w:val="-4"/>
        </w:rPr>
        <w:t> </w:t>
      </w:r>
      <w:r>
        <w:rPr/>
        <w:t>er</w:t>
      </w:r>
      <w:r>
        <w:rPr>
          <w:spacing w:val="-4"/>
        </w:rPr>
        <w:t> </w:t>
      </w:r>
      <w:r>
        <w:rPr/>
        <w:t>dels</w:t>
      </w:r>
      <w:r>
        <w:rPr>
          <w:spacing w:val="-4"/>
        </w:rPr>
        <w:t> </w:t>
      </w:r>
      <w:r>
        <w:rPr/>
        <w:t>at</w:t>
      </w:r>
      <w:r>
        <w:rPr>
          <w:spacing w:val="-5"/>
        </w:rPr>
        <w:t> </w:t>
      </w:r>
      <w:r>
        <w:rPr/>
        <w:t>udvikle</w:t>
      </w:r>
      <w:r>
        <w:rPr>
          <w:spacing w:val="-4"/>
        </w:rPr>
        <w:t> </w:t>
      </w:r>
      <w:r>
        <w:rPr/>
        <w:t>et</w:t>
      </w:r>
      <w:r>
        <w:rPr>
          <w:spacing w:val="-5"/>
        </w:rPr>
        <w:t> </w:t>
      </w:r>
      <w:r>
        <w:rPr/>
        <w:t>kalibreringskoncept</w:t>
      </w:r>
      <w:r>
        <w:rPr>
          <w:spacing w:val="-5"/>
        </w:rPr>
        <w:t> </w:t>
      </w:r>
      <w:r>
        <w:rPr/>
        <w:t>for</w:t>
      </w:r>
      <w:r>
        <w:rPr>
          <w:spacing w:val="-4"/>
        </w:rPr>
        <w:t> </w:t>
      </w:r>
      <w:r>
        <w:rPr/>
        <w:t>kalibrering</w:t>
      </w:r>
      <w:r>
        <w:rPr>
          <w:spacing w:val="-4"/>
        </w:rPr>
        <w:t> </w:t>
      </w:r>
      <w:r>
        <w:rPr/>
        <w:t>af</w:t>
      </w:r>
      <w:r>
        <w:rPr>
          <w:spacing w:val="-3"/>
        </w:rPr>
        <w:t> </w:t>
      </w:r>
      <w:r>
        <w:rPr/>
        <w:t>grund- vandsmodeller</w:t>
      </w:r>
      <w:r>
        <w:rPr>
          <w:spacing w:val="-9"/>
        </w:rPr>
        <w:t> </w:t>
      </w:r>
      <w:r>
        <w:rPr/>
        <w:t>med</w:t>
      </w:r>
      <w:r>
        <w:rPr>
          <w:spacing w:val="-8"/>
        </w:rPr>
        <w:t> </w:t>
      </w:r>
      <w:r>
        <w:rPr/>
        <w:t>særligt</w:t>
      </w:r>
      <w:r>
        <w:rPr>
          <w:spacing w:val="-9"/>
        </w:rPr>
        <w:t> </w:t>
      </w:r>
      <w:r>
        <w:rPr/>
        <w:t>fokus</w:t>
      </w:r>
      <w:r>
        <w:rPr>
          <w:spacing w:val="-7"/>
        </w:rPr>
        <w:t> </w:t>
      </w:r>
      <w:r>
        <w:rPr/>
        <w:t>på</w:t>
      </w:r>
      <w:r>
        <w:rPr>
          <w:spacing w:val="-8"/>
        </w:rPr>
        <w:t> </w:t>
      </w:r>
      <w:r>
        <w:rPr/>
        <w:t>simuleringen</w:t>
      </w:r>
      <w:r>
        <w:rPr>
          <w:spacing w:val="-8"/>
        </w:rPr>
        <w:t> </w:t>
      </w:r>
      <w:r>
        <w:rPr/>
        <w:t>af</w:t>
      </w:r>
      <w:r>
        <w:rPr>
          <w:spacing w:val="-9"/>
        </w:rPr>
        <w:t> </w:t>
      </w:r>
      <w:r>
        <w:rPr/>
        <w:t>det</w:t>
      </w:r>
      <w:r>
        <w:rPr>
          <w:spacing w:val="-9"/>
        </w:rPr>
        <w:t> </w:t>
      </w:r>
      <w:r>
        <w:rPr/>
        <w:t>terrænnære</w:t>
      </w:r>
      <w:r>
        <w:rPr>
          <w:spacing w:val="-8"/>
        </w:rPr>
        <w:t> </w:t>
      </w:r>
      <w:r>
        <w:rPr/>
        <w:t>grundvand,</w:t>
      </w:r>
      <w:r>
        <w:rPr>
          <w:spacing w:val="-9"/>
        </w:rPr>
        <w:t> </w:t>
      </w:r>
      <w:r>
        <w:rPr/>
        <w:t>dels</w:t>
      </w:r>
      <w:r>
        <w:rPr>
          <w:spacing w:val="-7"/>
        </w:rPr>
        <w:t> </w:t>
      </w:r>
      <w:r>
        <w:rPr/>
        <w:t>at</w:t>
      </w:r>
      <w:r>
        <w:rPr>
          <w:spacing w:val="-9"/>
        </w:rPr>
        <w:t> </w:t>
      </w:r>
      <w:r>
        <w:rPr/>
        <w:t>vur- dere nytteværdien af yderligere pejledata fra andre kilder end Jupiter databasen samt at analysere effekten af at overgå fra en 500 m model til et 100 m grid indenfor DK-model konceptet.</w:t>
      </w:r>
    </w:p>
    <w:p>
      <w:pPr>
        <w:pStyle w:val="BodyText"/>
        <w:spacing w:line="276" w:lineRule="auto" w:before="162"/>
        <w:ind w:left="525" w:right="729"/>
        <w:jc w:val="both"/>
      </w:pPr>
      <w:r>
        <w:rPr/>
        <w:t>Kalibreringen af DK-modellen har typisk været baseret på en balanceret vægtning mellem objektivfunktioner der repræsenterer vandføring (dynamik og vandbalance) og hydraulisk trykniveau (grundvandspejlinger). Hvad angår trykniveau har man anvendt alle de tilgænge- lige pejlinger i Jupiter-databasen, hvoraf de fleste repræsenterer dybere magasiner og med meget få pejle tidsserier.</w:t>
      </w:r>
    </w:p>
    <w:p>
      <w:pPr>
        <w:pStyle w:val="BodyText"/>
        <w:spacing w:line="276" w:lineRule="auto" w:before="160"/>
        <w:ind w:left="525" w:right="732"/>
        <w:jc w:val="both"/>
      </w:pPr>
      <w:r>
        <w:rPr/>
        <w:t>Med ønsket om en bedre repræsentation af det terrænnære grundvand i modellerne har dette projekt analyseret effekten af at overgå fra et 500 m til et 100 m grid primært for at opløse den topografiske variation bedre. Desuden har projektet tilvejebragt nye pejledata som ikke indgår i Jupiter-databasen fra Regionerne og GEO a/s.</w:t>
      </w:r>
    </w:p>
    <w:p>
      <w:pPr>
        <w:pStyle w:val="BodyText"/>
        <w:spacing w:line="276" w:lineRule="auto" w:before="159"/>
        <w:ind w:left="525" w:right="730"/>
        <w:jc w:val="both"/>
      </w:pPr>
      <w:r>
        <w:rPr/>
        <w:t>I forbindelse med arbejdet med terrænnært grundvand har det været diskuteret, hvordan pejlinger kunne grupperes i forhold til, om de repræsenterer det terrænnære eller dybere grundvand.</w:t>
      </w:r>
      <w:r>
        <w:rPr>
          <w:spacing w:val="-9"/>
        </w:rPr>
        <w:t> </w:t>
      </w:r>
      <w:r>
        <w:rPr/>
        <w:t>En</w:t>
      </w:r>
      <w:r>
        <w:rPr>
          <w:spacing w:val="-6"/>
        </w:rPr>
        <w:t> </w:t>
      </w:r>
      <w:r>
        <w:rPr/>
        <w:t>sådan</w:t>
      </w:r>
      <w:r>
        <w:rPr>
          <w:spacing w:val="-6"/>
        </w:rPr>
        <w:t> </w:t>
      </w:r>
      <w:r>
        <w:rPr/>
        <w:t>definition</w:t>
      </w:r>
      <w:r>
        <w:rPr>
          <w:spacing w:val="-5"/>
        </w:rPr>
        <w:t> </w:t>
      </w:r>
      <w:r>
        <w:rPr/>
        <w:t>er</w:t>
      </w:r>
      <w:r>
        <w:rPr>
          <w:spacing w:val="-7"/>
        </w:rPr>
        <w:t> </w:t>
      </w:r>
      <w:r>
        <w:rPr/>
        <w:t>i</w:t>
      </w:r>
      <w:r>
        <w:rPr>
          <w:spacing w:val="-5"/>
        </w:rPr>
        <w:t> </w:t>
      </w:r>
      <w:r>
        <w:rPr/>
        <w:t>sagens</w:t>
      </w:r>
      <w:r>
        <w:rPr>
          <w:spacing w:val="-5"/>
        </w:rPr>
        <w:t> </w:t>
      </w:r>
      <w:r>
        <w:rPr/>
        <w:t>natur</w:t>
      </w:r>
      <w:r>
        <w:rPr>
          <w:spacing w:val="-9"/>
        </w:rPr>
        <w:t> </w:t>
      </w:r>
      <w:r>
        <w:rPr/>
        <w:t>ikke</w:t>
      </w:r>
      <w:r>
        <w:rPr>
          <w:spacing w:val="-6"/>
        </w:rPr>
        <w:t> </w:t>
      </w:r>
      <w:r>
        <w:rPr/>
        <w:t>entydig</w:t>
      </w:r>
      <w:r>
        <w:rPr>
          <w:spacing w:val="-6"/>
        </w:rPr>
        <w:t> </w:t>
      </w:r>
      <w:r>
        <w:rPr/>
        <w:t>og</w:t>
      </w:r>
      <w:r>
        <w:rPr>
          <w:spacing w:val="-7"/>
        </w:rPr>
        <w:t> </w:t>
      </w:r>
      <w:r>
        <w:rPr/>
        <w:t>der</w:t>
      </w:r>
      <w:r>
        <w:rPr>
          <w:spacing w:val="-6"/>
        </w:rPr>
        <w:t> </w:t>
      </w:r>
      <w:r>
        <w:rPr/>
        <w:t>har</w:t>
      </w:r>
      <w:r>
        <w:rPr>
          <w:spacing w:val="-6"/>
        </w:rPr>
        <w:t> </w:t>
      </w:r>
      <w:r>
        <w:rPr/>
        <w:t>været</w:t>
      </w:r>
      <w:r>
        <w:rPr>
          <w:spacing w:val="-6"/>
        </w:rPr>
        <w:t> </w:t>
      </w:r>
      <w:r>
        <w:rPr/>
        <w:t>arbejdet</w:t>
      </w:r>
      <w:r>
        <w:rPr>
          <w:spacing w:val="-7"/>
        </w:rPr>
        <w:t> </w:t>
      </w:r>
      <w:r>
        <w:rPr/>
        <w:t>med definitioner</w:t>
      </w:r>
      <w:r>
        <w:rPr>
          <w:spacing w:val="-10"/>
        </w:rPr>
        <w:t> </w:t>
      </w:r>
      <w:r>
        <w:rPr/>
        <w:t>som</w:t>
      </w:r>
      <w:r>
        <w:rPr>
          <w:spacing w:val="-7"/>
        </w:rPr>
        <w:t> </w:t>
      </w:r>
      <w:r>
        <w:rPr/>
        <w:t>baseres</w:t>
      </w:r>
      <w:r>
        <w:rPr>
          <w:spacing w:val="-10"/>
        </w:rPr>
        <w:t> </w:t>
      </w:r>
      <w:r>
        <w:rPr/>
        <w:t>på</w:t>
      </w:r>
      <w:r>
        <w:rPr>
          <w:spacing w:val="-8"/>
        </w:rPr>
        <w:t> </w:t>
      </w:r>
      <w:r>
        <w:rPr/>
        <w:t>geologiske</w:t>
      </w:r>
      <w:r>
        <w:rPr>
          <w:spacing w:val="-8"/>
        </w:rPr>
        <w:t> </w:t>
      </w:r>
      <w:r>
        <w:rPr/>
        <w:t>laggrænser,</w:t>
      </w:r>
      <w:r>
        <w:rPr>
          <w:spacing w:val="-11"/>
        </w:rPr>
        <w:t> </w:t>
      </w:r>
      <w:r>
        <w:rPr/>
        <w:t>den</w:t>
      </w:r>
      <w:r>
        <w:rPr>
          <w:spacing w:val="-8"/>
        </w:rPr>
        <w:t> </w:t>
      </w:r>
      <w:r>
        <w:rPr/>
        <w:t>faktiske</w:t>
      </w:r>
      <w:r>
        <w:rPr>
          <w:spacing w:val="-5"/>
        </w:rPr>
        <w:t> </w:t>
      </w:r>
      <w:r>
        <w:rPr/>
        <w:t>dybde</w:t>
      </w:r>
      <w:r>
        <w:rPr>
          <w:spacing w:val="-9"/>
        </w:rPr>
        <w:t> </w:t>
      </w:r>
      <w:r>
        <w:rPr/>
        <w:t>til</w:t>
      </w:r>
      <w:r>
        <w:rPr>
          <w:spacing w:val="-7"/>
        </w:rPr>
        <w:t> </w:t>
      </w:r>
      <w:r>
        <w:rPr/>
        <w:t>grundvandsstand, filterdybden osv. Det var dog tydeligt at definitionen ikke ændrede stort på hvilke pejlinger der blev grupperet som terrænnære og definitionen i forbindelse med kalibrering at terræn- nære</w:t>
      </w:r>
      <w:r>
        <w:rPr>
          <w:spacing w:val="-8"/>
        </w:rPr>
        <w:t> </w:t>
      </w:r>
      <w:r>
        <w:rPr/>
        <w:t>pejlinger</w:t>
      </w:r>
      <w:r>
        <w:rPr>
          <w:spacing w:val="-7"/>
        </w:rPr>
        <w:t> </w:t>
      </w:r>
      <w:r>
        <w:rPr/>
        <w:t>blev</w:t>
      </w:r>
      <w:r>
        <w:rPr>
          <w:spacing w:val="-10"/>
        </w:rPr>
        <w:t> </w:t>
      </w:r>
      <w:r>
        <w:rPr/>
        <w:t>til</w:t>
      </w:r>
      <w:r>
        <w:rPr>
          <w:spacing w:val="-6"/>
        </w:rPr>
        <w:t> </w:t>
      </w:r>
      <w:r>
        <w:rPr/>
        <w:t>slut</w:t>
      </w:r>
      <w:r>
        <w:rPr>
          <w:spacing w:val="-10"/>
        </w:rPr>
        <w:t> </w:t>
      </w:r>
      <w:r>
        <w:rPr/>
        <w:t>fastlagt</w:t>
      </w:r>
      <w:r>
        <w:rPr>
          <w:spacing w:val="-9"/>
        </w:rPr>
        <w:t> </w:t>
      </w:r>
      <w:r>
        <w:rPr/>
        <w:t>ud</w:t>
      </w:r>
      <w:r>
        <w:rPr>
          <w:spacing w:val="-7"/>
        </w:rPr>
        <w:t> </w:t>
      </w:r>
      <w:r>
        <w:rPr/>
        <w:t>fra</w:t>
      </w:r>
      <w:r>
        <w:rPr>
          <w:spacing w:val="-5"/>
        </w:rPr>
        <w:t> </w:t>
      </w:r>
      <w:r>
        <w:rPr>
          <w:i/>
        </w:rPr>
        <w:t>pejlinger</w:t>
      </w:r>
      <w:r>
        <w:rPr>
          <w:i/>
          <w:spacing w:val="-8"/>
        </w:rPr>
        <w:t> </w:t>
      </w:r>
      <w:r>
        <w:rPr>
          <w:i/>
        </w:rPr>
        <w:t>fra</w:t>
      </w:r>
      <w:r>
        <w:rPr>
          <w:i/>
          <w:spacing w:val="-9"/>
        </w:rPr>
        <w:t> </w:t>
      </w:r>
      <w:r>
        <w:rPr>
          <w:i/>
        </w:rPr>
        <w:t>boringer</w:t>
      </w:r>
      <w:r>
        <w:rPr>
          <w:i/>
          <w:spacing w:val="-7"/>
        </w:rPr>
        <w:t> </w:t>
      </w:r>
      <w:r>
        <w:rPr>
          <w:i/>
        </w:rPr>
        <w:t>med</w:t>
      </w:r>
      <w:r>
        <w:rPr>
          <w:i/>
          <w:spacing w:val="-8"/>
        </w:rPr>
        <w:t> </w:t>
      </w:r>
      <w:r>
        <w:rPr>
          <w:i/>
        </w:rPr>
        <w:t>en</w:t>
      </w:r>
      <w:r>
        <w:rPr>
          <w:i/>
          <w:spacing w:val="-7"/>
        </w:rPr>
        <w:t> </w:t>
      </w:r>
      <w:r>
        <w:rPr>
          <w:i/>
        </w:rPr>
        <w:t>filterdybde</w:t>
      </w:r>
      <w:r>
        <w:rPr>
          <w:i/>
          <w:spacing w:val="-8"/>
        </w:rPr>
        <w:t> </w:t>
      </w:r>
      <w:r>
        <w:rPr>
          <w:i/>
        </w:rPr>
        <w:t>mindre</w:t>
      </w:r>
      <w:r>
        <w:rPr>
          <w:i/>
          <w:spacing w:val="-7"/>
        </w:rPr>
        <w:t> </w:t>
      </w:r>
      <w:r>
        <w:rPr>
          <w:i/>
        </w:rPr>
        <w:t>end </w:t>
      </w:r>
      <w:r>
        <w:rPr>
          <w:i/>
        </w:rPr>
        <w:t>10 </w:t>
      </w:r>
      <w:r>
        <w:rPr>
          <w:i/>
          <w:spacing w:val="-3"/>
        </w:rPr>
        <w:t>m</w:t>
      </w:r>
      <w:r>
        <w:rPr>
          <w:spacing w:val="-3"/>
        </w:rPr>
        <w:t>. </w:t>
      </w:r>
      <w:r>
        <w:rPr/>
        <w:t>Denne simple definition er uafhængig af den valgte modelgeologi, rumlige opløsning og konstant i tid, hvilket gør sammenligninger på tværs af modelkalibreringer og perioder konsistente.</w:t>
      </w:r>
    </w:p>
    <w:p>
      <w:pPr>
        <w:pStyle w:val="Heading5"/>
        <w:spacing w:before="161"/>
        <w:jc w:val="both"/>
        <w:rPr>
          <w:i/>
        </w:rPr>
      </w:pPr>
      <w:r>
        <w:rPr>
          <w:i/>
        </w:rPr>
        <w:t>Udvikling af kalibreringsmetodik med fokus på terrænnært grundvand</w:t>
      </w:r>
    </w:p>
    <w:p>
      <w:pPr>
        <w:pStyle w:val="BodyText"/>
        <w:spacing w:line="276" w:lineRule="auto" w:before="36"/>
        <w:ind w:left="525" w:right="732"/>
        <w:jc w:val="both"/>
      </w:pPr>
      <w:r>
        <w:rPr/>
        <w:t>Der</w:t>
      </w:r>
      <w:r>
        <w:rPr>
          <w:spacing w:val="-5"/>
        </w:rPr>
        <w:t> </w:t>
      </w:r>
      <w:r>
        <w:rPr/>
        <w:t>er</w:t>
      </w:r>
      <w:r>
        <w:rPr>
          <w:spacing w:val="-5"/>
        </w:rPr>
        <w:t> </w:t>
      </w:r>
      <w:r>
        <w:rPr/>
        <w:t>primært</w:t>
      </w:r>
      <w:r>
        <w:rPr>
          <w:spacing w:val="-5"/>
        </w:rPr>
        <w:t> </w:t>
      </w:r>
      <w:r>
        <w:rPr/>
        <w:t>to</w:t>
      </w:r>
      <w:r>
        <w:rPr>
          <w:spacing w:val="-4"/>
        </w:rPr>
        <w:t> </w:t>
      </w:r>
      <w:r>
        <w:rPr/>
        <w:t>udfordringer</w:t>
      </w:r>
      <w:r>
        <w:rPr>
          <w:spacing w:val="-4"/>
        </w:rPr>
        <w:t> </w:t>
      </w:r>
      <w:r>
        <w:rPr/>
        <w:t>i</w:t>
      </w:r>
      <w:r>
        <w:rPr>
          <w:spacing w:val="-4"/>
        </w:rPr>
        <w:t> </w:t>
      </w:r>
      <w:r>
        <w:rPr/>
        <w:t>forhold</w:t>
      </w:r>
      <w:r>
        <w:rPr>
          <w:spacing w:val="-5"/>
        </w:rPr>
        <w:t> </w:t>
      </w:r>
      <w:r>
        <w:rPr/>
        <w:t>til</w:t>
      </w:r>
      <w:r>
        <w:rPr>
          <w:spacing w:val="-2"/>
        </w:rPr>
        <w:t> </w:t>
      </w:r>
      <w:r>
        <w:rPr/>
        <w:t>simulering</w:t>
      </w:r>
      <w:r>
        <w:rPr>
          <w:spacing w:val="-7"/>
        </w:rPr>
        <w:t> </w:t>
      </w:r>
      <w:r>
        <w:rPr/>
        <w:t>og</w:t>
      </w:r>
      <w:r>
        <w:rPr>
          <w:spacing w:val="-4"/>
        </w:rPr>
        <w:t> </w:t>
      </w:r>
      <w:r>
        <w:rPr/>
        <w:t>kalibrering</w:t>
      </w:r>
      <w:r>
        <w:rPr>
          <w:spacing w:val="-4"/>
        </w:rPr>
        <w:t> </w:t>
      </w:r>
      <w:r>
        <w:rPr/>
        <w:t>af</w:t>
      </w:r>
      <w:r>
        <w:rPr>
          <w:spacing w:val="-3"/>
        </w:rPr>
        <w:t> </w:t>
      </w:r>
      <w:r>
        <w:rPr/>
        <w:t>terrænnært</w:t>
      </w:r>
      <w:r>
        <w:rPr>
          <w:spacing w:val="-6"/>
        </w:rPr>
        <w:t> </w:t>
      </w:r>
      <w:r>
        <w:rPr/>
        <w:t>grundvand som</w:t>
      </w:r>
      <w:r>
        <w:rPr>
          <w:spacing w:val="-7"/>
        </w:rPr>
        <w:t> </w:t>
      </w:r>
      <w:r>
        <w:rPr/>
        <w:t>knytter</w:t>
      </w:r>
      <w:r>
        <w:rPr>
          <w:spacing w:val="-5"/>
        </w:rPr>
        <w:t> </w:t>
      </w:r>
      <w:r>
        <w:rPr/>
        <w:t>sig</w:t>
      </w:r>
      <w:r>
        <w:rPr>
          <w:spacing w:val="-5"/>
        </w:rPr>
        <w:t> </w:t>
      </w:r>
      <w:r>
        <w:rPr/>
        <w:t>til</w:t>
      </w:r>
      <w:r>
        <w:rPr>
          <w:spacing w:val="-5"/>
        </w:rPr>
        <w:t> </w:t>
      </w:r>
      <w:r>
        <w:rPr/>
        <w:t>den</w:t>
      </w:r>
      <w:r>
        <w:rPr>
          <w:spacing w:val="-4"/>
        </w:rPr>
        <w:t> </w:t>
      </w:r>
      <w:r>
        <w:rPr/>
        <w:t>rumlige</w:t>
      </w:r>
      <w:r>
        <w:rPr>
          <w:spacing w:val="-5"/>
        </w:rPr>
        <w:t> </w:t>
      </w:r>
      <w:r>
        <w:rPr/>
        <w:t>fordeling</w:t>
      </w:r>
      <w:r>
        <w:rPr>
          <w:spacing w:val="-6"/>
        </w:rPr>
        <w:t> </w:t>
      </w:r>
      <w:r>
        <w:rPr/>
        <w:t>af</w:t>
      </w:r>
      <w:r>
        <w:rPr>
          <w:spacing w:val="-3"/>
        </w:rPr>
        <w:t> </w:t>
      </w:r>
      <w:r>
        <w:rPr/>
        <w:t>pejlingerne</w:t>
      </w:r>
      <w:r>
        <w:rPr>
          <w:spacing w:val="-5"/>
        </w:rPr>
        <w:t> </w:t>
      </w:r>
      <w:r>
        <w:rPr/>
        <w:t>og</w:t>
      </w:r>
      <w:r>
        <w:rPr>
          <w:spacing w:val="-4"/>
        </w:rPr>
        <w:t> </w:t>
      </w:r>
      <w:r>
        <w:rPr/>
        <w:t>til</w:t>
      </w:r>
      <w:r>
        <w:rPr>
          <w:spacing w:val="-5"/>
        </w:rPr>
        <w:t> </w:t>
      </w:r>
      <w:r>
        <w:rPr/>
        <w:t>følsomheden</w:t>
      </w:r>
      <w:r>
        <w:rPr>
          <w:spacing w:val="-5"/>
        </w:rPr>
        <w:t> </w:t>
      </w:r>
      <w:r>
        <w:rPr/>
        <w:t>overfor</w:t>
      </w:r>
      <w:r>
        <w:rPr>
          <w:spacing w:val="-5"/>
        </w:rPr>
        <w:t> </w:t>
      </w:r>
      <w:r>
        <w:rPr/>
        <w:t>strukturelle hydro-geologiske</w:t>
      </w:r>
      <w:r>
        <w:rPr>
          <w:spacing w:val="-7"/>
        </w:rPr>
        <w:t> </w:t>
      </w:r>
      <w:r>
        <w:rPr/>
        <w:t>begrænsninger</w:t>
      </w:r>
      <w:r>
        <w:rPr>
          <w:spacing w:val="-7"/>
        </w:rPr>
        <w:t> </w:t>
      </w:r>
      <w:r>
        <w:rPr/>
        <w:t>i</w:t>
      </w:r>
      <w:r>
        <w:rPr>
          <w:spacing w:val="-9"/>
        </w:rPr>
        <w:t> </w:t>
      </w:r>
      <w:r>
        <w:rPr/>
        <w:t>modellen.</w:t>
      </w:r>
      <w:r>
        <w:rPr>
          <w:spacing w:val="-8"/>
        </w:rPr>
        <w:t> </w:t>
      </w:r>
      <w:r>
        <w:rPr/>
        <w:t>Med</w:t>
      </w:r>
      <w:r>
        <w:rPr>
          <w:spacing w:val="-7"/>
        </w:rPr>
        <w:t> </w:t>
      </w:r>
      <w:r>
        <w:rPr/>
        <w:t>hensyn</w:t>
      </w:r>
      <w:r>
        <w:rPr>
          <w:spacing w:val="-7"/>
        </w:rPr>
        <w:t> </w:t>
      </w:r>
      <w:r>
        <w:rPr/>
        <w:t>til</w:t>
      </w:r>
      <w:r>
        <w:rPr>
          <w:spacing w:val="-6"/>
        </w:rPr>
        <w:t> </w:t>
      </w:r>
      <w:r>
        <w:rPr/>
        <w:t>den</w:t>
      </w:r>
      <w:r>
        <w:rPr>
          <w:spacing w:val="-7"/>
        </w:rPr>
        <w:t> </w:t>
      </w:r>
      <w:r>
        <w:rPr/>
        <w:t>rumlige</w:t>
      </w:r>
      <w:r>
        <w:rPr>
          <w:spacing w:val="-9"/>
        </w:rPr>
        <w:t> </w:t>
      </w:r>
      <w:r>
        <w:rPr/>
        <w:t>fordeling,</w:t>
      </w:r>
      <w:r>
        <w:rPr>
          <w:spacing w:val="-8"/>
        </w:rPr>
        <w:t> </w:t>
      </w:r>
      <w:r>
        <w:rPr/>
        <w:t>så</w:t>
      </w:r>
      <w:r>
        <w:rPr>
          <w:spacing w:val="-7"/>
        </w:rPr>
        <w:t> </w:t>
      </w:r>
      <w:r>
        <w:rPr/>
        <w:t>har</w:t>
      </w:r>
      <w:r>
        <w:rPr>
          <w:spacing w:val="-8"/>
        </w:rPr>
        <w:t> </w:t>
      </w:r>
      <w:r>
        <w:rPr/>
        <w:t>de terrænnære pejlinger tendens til at være grupperet (’clustered’) med mange boringer fordelt på et meget lille areal da de ofte er udført i forbindelse med større anlægsprojekter eller forureningsundersøgelser. Dette giver en udfordring i forhold til vægtning i kalibreringen da der er eksempler på op til 20-30 boringer indenfor et enkelt 100x100 m model</w:t>
      </w:r>
      <w:r>
        <w:rPr>
          <w:spacing w:val="-21"/>
        </w:rPr>
        <w:t> </w:t>
      </w:r>
      <w:r>
        <w:rPr/>
        <w:t>grid.</w:t>
      </w:r>
    </w:p>
    <w:p>
      <w:pPr>
        <w:spacing w:after="0" w:line="276" w:lineRule="auto"/>
        <w:jc w:val="both"/>
        <w:sectPr>
          <w:pgSz w:w="11910" w:h="16850"/>
          <w:pgMar w:header="0" w:footer="857" w:top="1340" w:bottom="1040" w:left="1460" w:right="680"/>
        </w:sectPr>
      </w:pPr>
    </w:p>
    <w:p>
      <w:pPr>
        <w:pStyle w:val="BodyText"/>
        <w:ind w:left="525"/>
        <w:rPr>
          <w:sz w:val="20"/>
        </w:rPr>
      </w:pPr>
      <w:r>
        <w:rPr>
          <w:sz w:val="20"/>
        </w:rPr>
        <w:drawing>
          <wp:inline distT="0" distB="0" distL="0" distR="0">
            <wp:extent cx="5339260" cy="2170747"/>
            <wp:effectExtent l="0" t="0" r="0" b="0"/>
            <wp:docPr id="67" name="image45.jpeg" descr=""/>
            <wp:cNvGraphicFramePr>
              <a:graphicFrameLocks noChangeAspect="1"/>
            </wp:cNvGraphicFramePr>
            <a:graphic>
              <a:graphicData uri="http://schemas.openxmlformats.org/drawingml/2006/picture">
                <pic:pic>
                  <pic:nvPicPr>
                    <pic:cNvPr id="68" name="image45.jpeg"/>
                    <pic:cNvPicPr/>
                  </pic:nvPicPr>
                  <pic:blipFill>
                    <a:blip r:embed="rId51" cstate="print"/>
                    <a:stretch>
                      <a:fillRect/>
                    </a:stretch>
                  </pic:blipFill>
                  <pic:spPr>
                    <a:xfrm>
                      <a:off x="0" y="0"/>
                      <a:ext cx="5339260" cy="2170747"/>
                    </a:xfrm>
                    <a:prstGeom prst="rect">
                      <a:avLst/>
                    </a:prstGeom>
                  </pic:spPr>
                </pic:pic>
              </a:graphicData>
            </a:graphic>
          </wp:inline>
        </w:drawing>
      </w:r>
      <w:r>
        <w:rPr>
          <w:sz w:val="20"/>
        </w:rPr>
      </w:r>
    </w:p>
    <w:p>
      <w:pPr>
        <w:pStyle w:val="BodyText"/>
        <w:spacing w:before="1"/>
        <w:rPr>
          <w:sz w:val="14"/>
        </w:rPr>
      </w:pPr>
    </w:p>
    <w:p>
      <w:pPr>
        <w:spacing w:before="64"/>
        <w:ind w:left="525" w:right="858" w:firstLine="0"/>
        <w:jc w:val="left"/>
        <w:rPr>
          <w:rFonts w:ascii="Calibri" w:hAnsi="Calibri"/>
          <w:i/>
          <w:sz w:val="18"/>
        </w:rPr>
      </w:pPr>
      <w:bookmarkStart w:name="_bookmark45" w:id="64"/>
      <w:bookmarkEnd w:id="64"/>
      <w:r>
        <w:rPr/>
      </w:r>
      <w:r>
        <w:rPr>
          <w:rFonts w:ascii="Calibri" w:hAnsi="Calibri"/>
          <w:i/>
          <w:color w:val="44536A"/>
          <w:sz w:val="18"/>
        </w:rPr>
        <w:t>Figur 30 Vandstandsobervationer i terrænnært grundvand i Gjellerup øst for Herning. Rød: Eksisterende data i Jupi- </w:t>
      </w:r>
      <w:r>
        <w:rPr>
          <w:rFonts w:ascii="Calibri" w:hAnsi="Calibri"/>
          <w:i/>
          <w:color w:val="44536A"/>
          <w:sz w:val="18"/>
        </w:rPr>
        <w:t>ter, grøn: data fra Region Midt.</w:t>
      </w:r>
    </w:p>
    <w:p>
      <w:pPr>
        <w:pStyle w:val="BodyText"/>
        <w:spacing w:before="2"/>
        <w:rPr>
          <w:rFonts w:ascii="Calibri"/>
          <w:i/>
          <w:sz w:val="16"/>
        </w:rPr>
      </w:pPr>
    </w:p>
    <w:p>
      <w:pPr>
        <w:pStyle w:val="BodyText"/>
        <w:spacing w:line="276" w:lineRule="auto"/>
        <w:ind w:left="525" w:right="730"/>
        <w:jc w:val="both"/>
      </w:pPr>
      <w:r>
        <w:rPr/>
        <w:t>Et</w:t>
      </w:r>
      <w:r>
        <w:rPr>
          <w:spacing w:val="-8"/>
        </w:rPr>
        <w:t> </w:t>
      </w:r>
      <w:r>
        <w:rPr/>
        <w:t>eksempel</w:t>
      </w:r>
      <w:r>
        <w:rPr>
          <w:spacing w:val="-6"/>
        </w:rPr>
        <w:t> </w:t>
      </w:r>
      <w:r>
        <w:rPr/>
        <w:t>på</w:t>
      </w:r>
      <w:r>
        <w:rPr>
          <w:spacing w:val="-6"/>
        </w:rPr>
        <w:t> </w:t>
      </w:r>
      <w:r>
        <w:rPr/>
        <w:t>’clustering’</w:t>
      </w:r>
      <w:r>
        <w:rPr>
          <w:spacing w:val="-4"/>
        </w:rPr>
        <w:t> </w:t>
      </w:r>
      <w:r>
        <w:rPr/>
        <w:t>omkring</w:t>
      </w:r>
      <w:r>
        <w:rPr>
          <w:spacing w:val="-6"/>
        </w:rPr>
        <w:t> </w:t>
      </w:r>
      <w:r>
        <w:rPr/>
        <w:t>Herning</w:t>
      </w:r>
      <w:r>
        <w:rPr>
          <w:spacing w:val="-6"/>
        </w:rPr>
        <w:t> </w:t>
      </w:r>
      <w:r>
        <w:rPr/>
        <w:t>er</w:t>
      </w:r>
      <w:r>
        <w:rPr>
          <w:spacing w:val="-7"/>
        </w:rPr>
        <w:t> </w:t>
      </w:r>
      <w:r>
        <w:rPr/>
        <w:t>illustreret</w:t>
      </w:r>
      <w:r>
        <w:rPr>
          <w:spacing w:val="-9"/>
        </w:rPr>
        <w:t> </w:t>
      </w:r>
      <w:r>
        <w:rPr/>
        <w:t>i</w:t>
      </w:r>
      <w:r>
        <w:rPr>
          <w:spacing w:val="-5"/>
        </w:rPr>
        <w:t> </w:t>
      </w:r>
      <w:hyperlink w:history="true" w:anchor="_bookmark45">
        <w:r>
          <w:rPr/>
          <w:t>Figur</w:t>
        </w:r>
        <w:r>
          <w:rPr>
            <w:spacing w:val="-6"/>
          </w:rPr>
          <w:t> </w:t>
        </w:r>
        <w:r>
          <w:rPr/>
          <w:t>30</w:t>
        </w:r>
      </w:hyperlink>
      <w:r>
        <w:rPr/>
        <w:t>.</w:t>
      </w:r>
      <w:r>
        <w:rPr>
          <w:spacing w:val="-8"/>
        </w:rPr>
        <w:t> </w:t>
      </w:r>
      <w:r>
        <w:rPr/>
        <w:t>I</w:t>
      </w:r>
      <w:r>
        <w:rPr>
          <w:spacing w:val="-7"/>
        </w:rPr>
        <w:t> </w:t>
      </w:r>
      <w:r>
        <w:rPr/>
        <w:t>dette</w:t>
      </w:r>
      <w:r>
        <w:rPr>
          <w:spacing w:val="-7"/>
        </w:rPr>
        <w:t> </w:t>
      </w:r>
      <w:r>
        <w:rPr/>
        <w:t>område</w:t>
      </w:r>
      <w:r>
        <w:rPr>
          <w:spacing w:val="-6"/>
        </w:rPr>
        <w:t> </w:t>
      </w:r>
      <w:r>
        <w:rPr/>
        <w:t>findes</w:t>
      </w:r>
      <w:r>
        <w:rPr>
          <w:spacing w:val="-7"/>
        </w:rPr>
        <w:t> </w:t>
      </w:r>
      <w:r>
        <w:rPr/>
        <w:t>37 boringer</w:t>
      </w:r>
      <w:r>
        <w:rPr>
          <w:spacing w:val="-13"/>
        </w:rPr>
        <w:t> </w:t>
      </w:r>
      <w:r>
        <w:rPr/>
        <w:t>med</w:t>
      </w:r>
      <w:r>
        <w:rPr>
          <w:spacing w:val="-9"/>
        </w:rPr>
        <w:t> </w:t>
      </w:r>
      <w:r>
        <w:rPr/>
        <w:t>69</w:t>
      </w:r>
      <w:r>
        <w:rPr>
          <w:spacing w:val="-9"/>
        </w:rPr>
        <w:t> </w:t>
      </w:r>
      <w:r>
        <w:rPr/>
        <w:t>individuelle</w:t>
      </w:r>
      <w:r>
        <w:rPr>
          <w:spacing w:val="-9"/>
        </w:rPr>
        <w:t> </w:t>
      </w:r>
      <w:r>
        <w:rPr/>
        <w:t>vandstandsobservationer,</w:t>
      </w:r>
      <w:r>
        <w:rPr>
          <w:spacing w:val="-11"/>
        </w:rPr>
        <w:t> </w:t>
      </w:r>
      <w:r>
        <w:rPr/>
        <w:t>som</w:t>
      </w:r>
      <w:r>
        <w:rPr>
          <w:spacing w:val="-8"/>
        </w:rPr>
        <w:t> </w:t>
      </w:r>
      <w:r>
        <w:rPr/>
        <w:t>er</w:t>
      </w:r>
      <w:r>
        <w:rPr>
          <w:spacing w:val="-12"/>
        </w:rPr>
        <w:t> </w:t>
      </w:r>
      <w:r>
        <w:rPr/>
        <w:t>fordelt</w:t>
      </w:r>
      <w:r>
        <w:rPr>
          <w:spacing w:val="-10"/>
        </w:rPr>
        <w:t> </w:t>
      </w:r>
      <w:r>
        <w:rPr/>
        <w:t>på</w:t>
      </w:r>
      <w:r>
        <w:rPr>
          <w:spacing w:val="-12"/>
        </w:rPr>
        <w:t> </w:t>
      </w:r>
      <w:r>
        <w:rPr/>
        <w:t>kun</w:t>
      </w:r>
      <w:r>
        <w:rPr>
          <w:spacing w:val="-9"/>
        </w:rPr>
        <w:t> </w:t>
      </w:r>
      <w:r>
        <w:rPr/>
        <w:t>to</w:t>
      </w:r>
      <w:r>
        <w:rPr>
          <w:spacing w:val="-9"/>
        </w:rPr>
        <w:t> </w:t>
      </w:r>
      <w:r>
        <w:rPr/>
        <w:t>af</w:t>
      </w:r>
      <w:r>
        <w:rPr>
          <w:spacing w:val="-13"/>
        </w:rPr>
        <w:t> </w:t>
      </w:r>
      <w:r>
        <w:rPr/>
        <w:t>modellens grid</w:t>
      </w:r>
      <w:r>
        <w:rPr>
          <w:spacing w:val="-13"/>
        </w:rPr>
        <w:t> </w:t>
      </w:r>
      <w:r>
        <w:rPr/>
        <w:t>celler.</w:t>
      </w:r>
      <w:r>
        <w:rPr>
          <w:spacing w:val="-15"/>
        </w:rPr>
        <w:t> </w:t>
      </w:r>
      <w:r>
        <w:rPr/>
        <w:t>Herunder</w:t>
      </w:r>
      <w:r>
        <w:rPr>
          <w:spacing w:val="-13"/>
        </w:rPr>
        <w:t> </w:t>
      </w:r>
      <w:r>
        <w:rPr/>
        <w:t>24</w:t>
      </w:r>
      <w:r>
        <w:rPr>
          <w:spacing w:val="-13"/>
        </w:rPr>
        <w:t> </w:t>
      </w:r>
      <w:r>
        <w:rPr/>
        <w:t>terrænnære</w:t>
      </w:r>
      <w:r>
        <w:rPr>
          <w:spacing w:val="-12"/>
        </w:rPr>
        <w:t> </w:t>
      </w:r>
      <w:r>
        <w:rPr/>
        <w:t>boringer</w:t>
      </w:r>
      <w:r>
        <w:rPr>
          <w:spacing w:val="-14"/>
        </w:rPr>
        <w:t> </w:t>
      </w:r>
      <w:r>
        <w:rPr/>
        <w:t>i</w:t>
      </w:r>
      <w:r>
        <w:rPr>
          <w:spacing w:val="-12"/>
        </w:rPr>
        <w:t> </w:t>
      </w:r>
      <w:r>
        <w:rPr/>
        <w:t>under</w:t>
      </w:r>
      <w:r>
        <w:rPr>
          <w:spacing w:val="-13"/>
        </w:rPr>
        <w:t> </w:t>
      </w:r>
      <w:r>
        <w:rPr/>
        <w:t>10</w:t>
      </w:r>
      <w:r>
        <w:rPr>
          <w:spacing w:val="-10"/>
        </w:rPr>
        <w:t> </w:t>
      </w:r>
      <w:r>
        <w:rPr/>
        <w:t>m</w:t>
      </w:r>
      <w:r>
        <w:rPr>
          <w:spacing w:val="-11"/>
        </w:rPr>
        <w:t> </w:t>
      </w:r>
      <w:r>
        <w:rPr/>
        <w:t>dybde</w:t>
      </w:r>
      <w:r>
        <w:rPr>
          <w:spacing w:val="-13"/>
        </w:rPr>
        <w:t> </w:t>
      </w:r>
      <w:r>
        <w:rPr/>
        <w:t>(med</w:t>
      </w:r>
      <w:r>
        <w:rPr>
          <w:spacing w:val="-13"/>
        </w:rPr>
        <w:t> </w:t>
      </w:r>
      <w:r>
        <w:rPr/>
        <w:t>36</w:t>
      </w:r>
      <w:r>
        <w:rPr>
          <w:spacing w:val="-12"/>
        </w:rPr>
        <w:t> </w:t>
      </w:r>
      <w:r>
        <w:rPr/>
        <w:t>individuelle</w:t>
      </w:r>
      <w:r>
        <w:rPr>
          <w:spacing w:val="-13"/>
        </w:rPr>
        <w:t> </w:t>
      </w:r>
      <w:r>
        <w:rPr/>
        <w:t>vands- tandsobservationer).</w:t>
      </w:r>
      <w:r>
        <w:rPr>
          <w:spacing w:val="-10"/>
        </w:rPr>
        <w:t> </w:t>
      </w:r>
      <w:r>
        <w:rPr/>
        <w:t>Det</w:t>
      </w:r>
      <w:r>
        <w:rPr>
          <w:spacing w:val="-13"/>
        </w:rPr>
        <w:t> </w:t>
      </w:r>
      <w:r>
        <w:rPr/>
        <w:t>betyder</w:t>
      </w:r>
      <w:r>
        <w:rPr>
          <w:spacing w:val="-9"/>
        </w:rPr>
        <w:t> </w:t>
      </w:r>
      <w:r>
        <w:rPr/>
        <w:t>at</w:t>
      </w:r>
      <w:r>
        <w:rPr>
          <w:spacing w:val="-10"/>
        </w:rPr>
        <w:t> </w:t>
      </w:r>
      <w:r>
        <w:rPr/>
        <w:t>7%</w:t>
      </w:r>
      <w:r>
        <w:rPr>
          <w:spacing w:val="-9"/>
        </w:rPr>
        <w:t> </w:t>
      </w:r>
      <w:r>
        <w:rPr/>
        <w:t>af</w:t>
      </w:r>
      <w:r>
        <w:rPr>
          <w:spacing w:val="-8"/>
        </w:rPr>
        <w:t> </w:t>
      </w:r>
      <w:r>
        <w:rPr/>
        <w:t>alle</w:t>
      </w:r>
      <w:r>
        <w:rPr>
          <w:spacing w:val="-9"/>
        </w:rPr>
        <w:t> </w:t>
      </w:r>
      <w:r>
        <w:rPr/>
        <w:t>terrænnære</w:t>
      </w:r>
      <w:r>
        <w:rPr>
          <w:spacing w:val="-8"/>
        </w:rPr>
        <w:t> </w:t>
      </w:r>
      <w:r>
        <w:rPr/>
        <w:t>boringer</w:t>
      </w:r>
      <w:r>
        <w:rPr>
          <w:spacing w:val="-10"/>
        </w:rPr>
        <w:t> </w:t>
      </w:r>
      <w:r>
        <w:rPr/>
        <w:t>vil</w:t>
      </w:r>
      <w:r>
        <w:rPr>
          <w:spacing w:val="-11"/>
        </w:rPr>
        <w:t> </w:t>
      </w:r>
      <w:r>
        <w:rPr/>
        <w:t>ligge</w:t>
      </w:r>
      <w:r>
        <w:rPr>
          <w:spacing w:val="-10"/>
        </w:rPr>
        <w:t> </w:t>
      </w:r>
      <w:r>
        <w:rPr/>
        <w:t>i</w:t>
      </w:r>
      <w:r>
        <w:rPr>
          <w:spacing w:val="-9"/>
        </w:rPr>
        <w:t> </w:t>
      </w:r>
      <w:r>
        <w:rPr/>
        <w:t>to</w:t>
      </w:r>
      <w:r>
        <w:rPr>
          <w:spacing w:val="-8"/>
        </w:rPr>
        <w:t> </w:t>
      </w:r>
      <w:r>
        <w:rPr/>
        <w:t>af</w:t>
      </w:r>
      <w:r>
        <w:rPr>
          <w:spacing w:val="-11"/>
        </w:rPr>
        <w:t> </w:t>
      </w:r>
      <w:r>
        <w:rPr/>
        <w:t>modellens</w:t>
      </w:r>
    </w:p>
    <w:p>
      <w:pPr>
        <w:pStyle w:val="BodyText"/>
        <w:spacing w:line="273" w:lineRule="auto" w:before="1"/>
        <w:ind w:left="525" w:right="732"/>
        <w:jc w:val="both"/>
      </w:pPr>
      <w:r>
        <w:rPr/>
        <w:t>~120.000 grid celler. Dette eksempel viser, at det er nødvendigt at vægte observationer un- der hensyntagen til deres rummelige (og tidslige) fordeling.</w:t>
      </w:r>
    </w:p>
    <w:p>
      <w:pPr>
        <w:pStyle w:val="BodyText"/>
        <w:spacing w:line="276" w:lineRule="auto" w:before="164"/>
        <w:ind w:left="525" w:right="732"/>
        <w:jc w:val="both"/>
      </w:pPr>
      <w:hyperlink w:history="true" w:anchor="_bookmark46">
        <w:r>
          <w:rPr/>
          <w:t>Figur 31 </w:t>
        </w:r>
      </w:hyperlink>
      <w:r>
        <w:rPr/>
        <w:t>illustrerer effekten af ’clustering’ for den omtalte gruppe af boringer i </w:t>
      </w:r>
      <w:hyperlink w:history="true" w:anchor="_bookmark45">
        <w:r>
          <w:rPr/>
          <w:t>figur 30 </w:t>
        </w:r>
      </w:hyperlink>
      <w:r>
        <w:rPr>
          <w:spacing w:val="-3"/>
        </w:rPr>
        <w:t>og </w:t>
      </w:r>
      <w:r>
        <w:rPr/>
        <w:t>hvordan</w:t>
      </w:r>
      <w:r>
        <w:rPr>
          <w:spacing w:val="-5"/>
        </w:rPr>
        <w:t> </w:t>
      </w:r>
      <w:r>
        <w:rPr/>
        <w:t>det</w:t>
      </w:r>
      <w:r>
        <w:rPr>
          <w:spacing w:val="-5"/>
        </w:rPr>
        <w:t> </w:t>
      </w:r>
      <w:r>
        <w:rPr/>
        <w:t>vil</w:t>
      </w:r>
      <w:r>
        <w:rPr>
          <w:spacing w:val="-4"/>
        </w:rPr>
        <w:t> </w:t>
      </w:r>
      <w:r>
        <w:rPr/>
        <w:t>påvirke</w:t>
      </w:r>
      <w:r>
        <w:rPr>
          <w:spacing w:val="-4"/>
        </w:rPr>
        <w:t> </w:t>
      </w:r>
      <w:r>
        <w:rPr/>
        <w:t>en</w:t>
      </w:r>
      <w:r>
        <w:rPr>
          <w:spacing w:val="-7"/>
        </w:rPr>
        <w:t> </w:t>
      </w:r>
      <w:r>
        <w:rPr/>
        <w:t>kalibrering:</w:t>
      </w:r>
      <w:r>
        <w:rPr>
          <w:spacing w:val="-5"/>
        </w:rPr>
        <w:t> </w:t>
      </w:r>
      <w:r>
        <w:rPr/>
        <w:t>Middelfejl</w:t>
      </w:r>
      <w:r>
        <w:rPr>
          <w:spacing w:val="-4"/>
        </w:rPr>
        <w:t> </w:t>
      </w:r>
      <w:r>
        <w:rPr/>
        <w:t>på</w:t>
      </w:r>
      <w:r>
        <w:rPr>
          <w:spacing w:val="-3"/>
        </w:rPr>
        <w:t> </w:t>
      </w:r>
      <w:r>
        <w:rPr/>
        <w:t>tværs</w:t>
      </w:r>
      <w:r>
        <w:rPr>
          <w:spacing w:val="-5"/>
        </w:rPr>
        <w:t> </w:t>
      </w:r>
      <w:r>
        <w:rPr/>
        <w:t>af</w:t>
      </w:r>
      <w:r>
        <w:rPr>
          <w:spacing w:val="-2"/>
        </w:rPr>
        <w:t> </w:t>
      </w:r>
      <w:r>
        <w:rPr/>
        <w:t>alle</w:t>
      </w:r>
      <w:r>
        <w:rPr>
          <w:spacing w:val="-5"/>
        </w:rPr>
        <w:t> </w:t>
      </w:r>
      <w:r>
        <w:rPr/>
        <w:t>terrænnære</w:t>
      </w:r>
      <w:r>
        <w:rPr>
          <w:spacing w:val="-4"/>
        </w:rPr>
        <w:t> </w:t>
      </w:r>
      <w:r>
        <w:rPr/>
        <w:t>boringer</w:t>
      </w:r>
      <w:r>
        <w:rPr>
          <w:spacing w:val="-5"/>
        </w:rPr>
        <w:t> </w:t>
      </w:r>
      <w:r>
        <w:rPr/>
        <w:t>er</w:t>
      </w:r>
      <w:r>
        <w:rPr>
          <w:spacing w:val="-4"/>
        </w:rPr>
        <w:t> </w:t>
      </w:r>
      <w:r>
        <w:rPr/>
        <w:t>vist i en ”empirical cumulative distribution function” (ECDF). De omtalte 24 boringer dominerer den</w:t>
      </w:r>
      <w:r>
        <w:rPr>
          <w:spacing w:val="-8"/>
        </w:rPr>
        <w:t> </w:t>
      </w:r>
      <w:r>
        <w:rPr/>
        <w:t>gruppe</w:t>
      </w:r>
      <w:r>
        <w:rPr>
          <w:spacing w:val="-8"/>
        </w:rPr>
        <w:t> </w:t>
      </w:r>
      <w:r>
        <w:rPr/>
        <w:t>af</w:t>
      </w:r>
      <w:r>
        <w:rPr>
          <w:spacing w:val="-6"/>
        </w:rPr>
        <w:t> </w:t>
      </w:r>
      <w:r>
        <w:rPr/>
        <w:t>boringer</w:t>
      </w:r>
      <w:r>
        <w:rPr>
          <w:spacing w:val="-11"/>
        </w:rPr>
        <w:t> </w:t>
      </w:r>
      <w:r>
        <w:rPr/>
        <w:t>man</w:t>
      </w:r>
      <w:r>
        <w:rPr>
          <w:spacing w:val="-8"/>
        </w:rPr>
        <w:t> </w:t>
      </w:r>
      <w:r>
        <w:rPr/>
        <w:t>ser</w:t>
      </w:r>
      <w:r>
        <w:rPr>
          <w:spacing w:val="-8"/>
        </w:rPr>
        <w:t> </w:t>
      </w:r>
      <w:r>
        <w:rPr/>
        <w:t>med</w:t>
      </w:r>
      <w:r>
        <w:rPr>
          <w:spacing w:val="-8"/>
        </w:rPr>
        <w:t> </w:t>
      </w:r>
      <w:r>
        <w:rPr/>
        <w:t>en</w:t>
      </w:r>
      <w:r>
        <w:rPr>
          <w:spacing w:val="-7"/>
        </w:rPr>
        <w:t> </w:t>
      </w:r>
      <w:r>
        <w:rPr/>
        <w:t>fejl</w:t>
      </w:r>
      <w:r>
        <w:rPr>
          <w:spacing w:val="-10"/>
        </w:rPr>
        <w:t> </w:t>
      </w:r>
      <w:r>
        <w:rPr/>
        <w:t>på</w:t>
      </w:r>
      <w:r>
        <w:rPr>
          <w:spacing w:val="-8"/>
        </w:rPr>
        <w:t> </w:t>
      </w:r>
      <w:r>
        <w:rPr/>
        <w:t>ca.</w:t>
      </w:r>
      <w:r>
        <w:rPr>
          <w:spacing w:val="-8"/>
        </w:rPr>
        <w:t> </w:t>
      </w:r>
      <w:r>
        <w:rPr/>
        <w:t>8</w:t>
      </w:r>
      <w:r>
        <w:rPr>
          <w:spacing w:val="-11"/>
        </w:rPr>
        <w:t> </w:t>
      </w:r>
      <w:r>
        <w:rPr/>
        <w:t>meter</w:t>
      </w:r>
      <w:r>
        <w:rPr>
          <w:spacing w:val="-9"/>
        </w:rPr>
        <w:t> </w:t>
      </w:r>
      <w:r>
        <w:rPr/>
        <w:t>(rød</w:t>
      </w:r>
      <w:r>
        <w:rPr>
          <w:spacing w:val="-7"/>
        </w:rPr>
        <w:t> </w:t>
      </w:r>
      <w:r>
        <w:rPr/>
        <w:t>cirkel).</w:t>
      </w:r>
      <w:r>
        <w:rPr>
          <w:spacing w:val="-9"/>
        </w:rPr>
        <w:t> </w:t>
      </w:r>
      <w:r>
        <w:rPr/>
        <w:t>Dvs.</w:t>
      </w:r>
      <w:r>
        <w:rPr>
          <w:spacing w:val="-8"/>
        </w:rPr>
        <w:t> </w:t>
      </w:r>
      <w:r>
        <w:rPr/>
        <w:t>at</w:t>
      </w:r>
      <w:r>
        <w:rPr>
          <w:spacing w:val="-9"/>
        </w:rPr>
        <w:t> </w:t>
      </w:r>
      <w:r>
        <w:rPr/>
        <w:t>disse</w:t>
      </w:r>
      <w:r>
        <w:rPr>
          <w:spacing w:val="-8"/>
        </w:rPr>
        <w:t> </w:t>
      </w:r>
      <w:r>
        <w:rPr/>
        <w:t>boringer ville</w:t>
      </w:r>
      <w:r>
        <w:rPr>
          <w:spacing w:val="-17"/>
        </w:rPr>
        <w:t> </w:t>
      </w:r>
      <w:r>
        <w:rPr/>
        <w:t>dominere</w:t>
      </w:r>
      <w:r>
        <w:rPr>
          <w:spacing w:val="-17"/>
        </w:rPr>
        <w:t> </w:t>
      </w:r>
      <w:r>
        <w:rPr/>
        <w:t>kalibreringen</w:t>
      </w:r>
      <w:r>
        <w:rPr>
          <w:spacing w:val="-13"/>
        </w:rPr>
        <w:t> </w:t>
      </w:r>
      <w:r>
        <w:rPr/>
        <w:t>urimelig</w:t>
      </w:r>
      <w:r>
        <w:rPr>
          <w:spacing w:val="-17"/>
        </w:rPr>
        <w:t> </w:t>
      </w:r>
      <w:r>
        <w:rPr/>
        <w:t>meget,</w:t>
      </w:r>
      <w:r>
        <w:rPr>
          <w:spacing w:val="-16"/>
        </w:rPr>
        <w:t> </w:t>
      </w:r>
      <w:r>
        <w:rPr/>
        <w:t>selvom</w:t>
      </w:r>
      <w:r>
        <w:rPr>
          <w:spacing w:val="-14"/>
        </w:rPr>
        <w:t> </w:t>
      </w:r>
      <w:r>
        <w:rPr/>
        <w:t>de</w:t>
      </w:r>
      <w:r>
        <w:rPr>
          <w:spacing w:val="-16"/>
        </w:rPr>
        <w:t> </w:t>
      </w:r>
      <w:r>
        <w:rPr/>
        <w:t>kun</w:t>
      </w:r>
      <w:r>
        <w:rPr>
          <w:spacing w:val="-14"/>
        </w:rPr>
        <w:t> </w:t>
      </w:r>
      <w:r>
        <w:rPr/>
        <w:t>repræsenterer</w:t>
      </w:r>
      <w:r>
        <w:rPr>
          <w:spacing w:val="-14"/>
        </w:rPr>
        <w:t> </w:t>
      </w:r>
      <w:r>
        <w:rPr/>
        <w:t>en</w:t>
      </w:r>
      <w:r>
        <w:rPr>
          <w:spacing w:val="-16"/>
        </w:rPr>
        <w:t> </w:t>
      </w:r>
      <w:r>
        <w:rPr/>
        <w:t>enkelt</w:t>
      </w:r>
      <w:r>
        <w:rPr>
          <w:spacing w:val="-18"/>
        </w:rPr>
        <w:t> </w:t>
      </w:r>
      <w:r>
        <w:rPr/>
        <w:t>grid</w:t>
      </w:r>
      <w:r>
        <w:rPr>
          <w:spacing w:val="-15"/>
        </w:rPr>
        <w:t> </w:t>
      </w:r>
      <w:r>
        <w:rPr/>
        <w:t>celle i det samlede</w:t>
      </w:r>
      <w:r>
        <w:rPr>
          <w:spacing w:val="-4"/>
        </w:rPr>
        <w:t> </w:t>
      </w:r>
      <w:r>
        <w:rPr/>
        <w:t>modelområde.</w:t>
      </w:r>
    </w:p>
    <w:p>
      <w:pPr>
        <w:pStyle w:val="BodyText"/>
        <w:spacing w:before="1"/>
        <w:rPr>
          <w:sz w:val="20"/>
        </w:rPr>
      </w:pPr>
      <w:r>
        <w:rPr/>
        <w:pict>
          <v:group style="position:absolute;margin-left:108.918297pt;margin-top:14.001128pt;width:421.35pt;height:193pt;mso-position-horizontal-relative:page;mso-position-vertical-relative:paragraph;z-index:-376;mso-wrap-distance-left:0;mso-wrap-distance-right:0" coordorigin="2178,280" coordsize="8427,3860">
            <v:shape style="position:absolute;left:2178;top:280;width:8260;height:3860" type="#_x0000_t75" stroked="false">
              <v:imagedata r:id="rId52" o:title=""/>
            </v:shape>
            <v:shape style="position:absolute;left:9539;top:473;width:1056;height:501" coordorigin="9539,474" coordsize="1056,501" path="m9539,799l9560,711,9641,628,9701,590,9771,556,9851,526,9939,502,10033,485,10128,475,10219,474,10304,480,10381,493,10449,512,10505,538,10580,607,10595,649,10592,693,10540,780,10493,821,10433,858,10363,893,10283,922,10195,946,10101,963,10006,973,9915,975,9830,969,9753,956,9685,936,9629,910,9554,841,9539,799xe" filled="false" stroked="true" strokeweight="1.0pt" strokecolor="#ff0000">
              <v:path arrowok="t"/>
              <v:stroke dashstyle="solid"/>
            </v:shape>
            <v:shape style="position:absolute;left:9692;top:583;width:753;height:280" type="#_x0000_t75" stroked="false">
              <v:imagedata r:id="rId53" o:title=""/>
            </v:shape>
            <w10:wrap type="topAndBottom"/>
          </v:group>
        </w:pict>
      </w:r>
    </w:p>
    <w:p>
      <w:pPr>
        <w:pStyle w:val="BodyText"/>
        <w:spacing w:before="10"/>
        <w:rPr>
          <w:sz w:val="30"/>
        </w:rPr>
      </w:pPr>
    </w:p>
    <w:p>
      <w:pPr>
        <w:spacing w:before="0"/>
        <w:ind w:left="525" w:right="1031" w:firstLine="0"/>
        <w:jc w:val="left"/>
        <w:rPr>
          <w:rFonts w:ascii="Calibri" w:hAnsi="Calibri"/>
          <w:i/>
          <w:sz w:val="18"/>
        </w:rPr>
      </w:pPr>
      <w:bookmarkStart w:name="_bookmark46" w:id="65"/>
      <w:bookmarkEnd w:id="65"/>
      <w:r>
        <w:rPr/>
      </w:r>
      <w:r>
        <w:rPr>
          <w:rFonts w:ascii="Calibri" w:hAnsi="Calibri"/>
          <w:i/>
          <w:color w:val="44536A"/>
          <w:sz w:val="18"/>
        </w:rPr>
        <w:t>Figur 31 ECDF af middelfejlen </w:t>
      </w:r>
      <w:r>
        <w:rPr>
          <w:rFonts w:ascii="Calibri" w:hAnsi="Calibri"/>
          <w:b/>
          <w:i/>
          <w:color w:val="44536A"/>
          <w:sz w:val="18"/>
        </w:rPr>
        <w:t>per boring </w:t>
      </w:r>
      <w:r>
        <w:rPr>
          <w:rFonts w:ascii="Calibri" w:hAnsi="Calibri"/>
          <w:i/>
          <w:color w:val="44536A"/>
          <w:sz w:val="18"/>
        </w:rPr>
        <w:t>i sammenligning med simulerende trykniveau (ME vises som obs – sim). </w:t>
      </w:r>
      <w:r>
        <w:rPr>
          <w:rFonts w:ascii="Calibri" w:hAnsi="Calibri"/>
          <w:i/>
          <w:color w:val="44536A"/>
          <w:sz w:val="18"/>
        </w:rPr>
        <w:t>Simulerede værdier stammer fra en ‘første’ kalibreringskørsel.</w:t>
      </w:r>
    </w:p>
    <w:p>
      <w:pPr>
        <w:spacing w:after="0"/>
        <w:jc w:val="left"/>
        <w:rPr>
          <w:rFonts w:ascii="Calibri" w:hAnsi="Calibri"/>
          <w:sz w:val="18"/>
        </w:rPr>
        <w:sectPr>
          <w:pgSz w:w="11910" w:h="16850"/>
          <w:pgMar w:header="0" w:footer="857" w:top="1420" w:bottom="1120" w:left="1460" w:right="680"/>
        </w:sectPr>
      </w:pPr>
    </w:p>
    <w:p>
      <w:pPr>
        <w:pStyle w:val="BodyText"/>
        <w:spacing w:line="276" w:lineRule="auto" w:before="75"/>
        <w:ind w:left="525" w:right="729"/>
        <w:jc w:val="both"/>
      </w:pPr>
      <w:r>
        <w:rPr/>
        <w:t>Desuden</w:t>
      </w:r>
      <w:r>
        <w:rPr>
          <w:spacing w:val="-14"/>
        </w:rPr>
        <w:t> </w:t>
      </w:r>
      <w:r>
        <w:rPr/>
        <w:t>repræsenterer</w:t>
      </w:r>
      <w:r>
        <w:rPr>
          <w:spacing w:val="-14"/>
        </w:rPr>
        <w:t> </w:t>
      </w:r>
      <w:r>
        <w:rPr/>
        <w:t>de</w:t>
      </w:r>
      <w:r>
        <w:rPr>
          <w:spacing w:val="-14"/>
        </w:rPr>
        <w:t> </w:t>
      </w:r>
      <w:r>
        <w:rPr/>
        <w:t>terrænnære</w:t>
      </w:r>
      <w:r>
        <w:rPr>
          <w:spacing w:val="-13"/>
        </w:rPr>
        <w:t> </w:t>
      </w:r>
      <w:r>
        <w:rPr/>
        <w:t>boringer</w:t>
      </w:r>
      <w:r>
        <w:rPr>
          <w:spacing w:val="-15"/>
        </w:rPr>
        <w:t> </w:t>
      </w:r>
      <w:r>
        <w:rPr/>
        <w:t>ofte</w:t>
      </w:r>
      <w:r>
        <w:rPr>
          <w:spacing w:val="-13"/>
        </w:rPr>
        <w:t> </w:t>
      </w:r>
      <w:r>
        <w:rPr/>
        <w:t>urbane</w:t>
      </w:r>
      <w:r>
        <w:rPr>
          <w:spacing w:val="-13"/>
        </w:rPr>
        <w:t> </w:t>
      </w:r>
      <w:r>
        <w:rPr/>
        <w:t>områder,</w:t>
      </w:r>
      <w:r>
        <w:rPr>
          <w:spacing w:val="-16"/>
        </w:rPr>
        <w:t> </w:t>
      </w:r>
      <w:r>
        <w:rPr/>
        <w:t>hvor</w:t>
      </w:r>
      <w:r>
        <w:rPr>
          <w:spacing w:val="-14"/>
        </w:rPr>
        <w:t> </w:t>
      </w:r>
      <w:r>
        <w:rPr/>
        <w:t>grundvandet</w:t>
      </w:r>
      <w:r>
        <w:rPr>
          <w:spacing w:val="-13"/>
        </w:rPr>
        <w:t> </w:t>
      </w:r>
      <w:r>
        <w:rPr/>
        <w:t>kan være styret af strukturer, som ikke indgår i en landsdækkende oplandsmodel som DK-mo- dellen. De hydrogeologiske modeller i urbane områder er ofte tilpasset mere regionale geo- logiske</w:t>
      </w:r>
      <w:r>
        <w:rPr>
          <w:spacing w:val="-6"/>
        </w:rPr>
        <w:t> </w:t>
      </w:r>
      <w:r>
        <w:rPr/>
        <w:t>strukturer</w:t>
      </w:r>
      <w:r>
        <w:rPr>
          <w:spacing w:val="-6"/>
        </w:rPr>
        <w:t> </w:t>
      </w:r>
      <w:r>
        <w:rPr/>
        <w:t>som</w:t>
      </w:r>
      <w:r>
        <w:rPr>
          <w:spacing w:val="-6"/>
        </w:rPr>
        <w:t> </w:t>
      </w:r>
      <w:r>
        <w:rPr/>
        <w:t>muligvis</w:t>
      </w:r>
      <w:r>
        <w:rPr>
          <w:spacing w:val="-6"/>
        </w:rPr>
        <w:t> </w:t>
      </w:r>
      <w:r>
        <w:rPr/>
        <w:t>ikke</w:t>
      </w:r>
      <w:r>
        <w:rPr>
          <w:spacing w:val="-5"/>
        </w:rPr>
        <w:t> </w:t>
      </w:r>
      <w:r>
        <w:rPr/>
        <w:t>repræsenterer</w:t>
      </w:r>
      <w:r>
        <w:rPr>
          <w:spacing w:val="-6"/>
        </w:rPr>
        <w:t> </w:t>
      </w:r>
      <w:r>
        <w:rPr/>
        <w:t>by-geologien</w:t>
      </w:r>
      <w:r>
        <w:rPr>
          <w:spacing w:val="-6"/>
        </w:rPr>
        <w:t> </w:t>
      </w:r>
      <w:r>
        <w:rPr/>
        <w:t>tilstrækkeligt.</w:t>
      </w:r>
      <w:r>
        <w:rPr>
          <w:spacing w:val="-8"/>
        </w:rPr>
        <w:t> </w:t>
      </w:r>
      <w:r>
        <w:rPr/>
        <w:t>Det</w:t>
      </w:r>
      <w:r>
        <w:rPr>
          <w:spacing w:val="-6"/>
        </w:rPr>
        <w:t> </w:t>
      </w:r>
      <w:r>
        <w:rPr/>
        <w:t>antages</w:t>
      </w:r>
      <w:r>
        <w:rPr>
          <w:spacing w:val="-4"/>
        </w:rPr>
        <w:t> </w:t>
      </w:r>
      <w:r>
        <w:rPr/>
        <w:t>i øvrigt at terrænnære pejlinger kan udvise en større rumlig variation som følge</w:t>
      </w:r>
      <w:r>
        <w:rPr>
          <w:spacing w:val="-42"/>
        </w:rPr>
        <w:t> </w:t>
      </w:r>
      <w:r>
        <w:rPr/>
        <w:t>af lokale geo- logiske strukturer, som ikke indgår i den hydro-geologiske model og større afhængighed af topografisk</w:t>
      </w:r>
      <w:r>
        <w:rPr>
          <w:spacing w:val="-3"/>
        </w:rPr>
        <w:t> </w:t>
      </w:r>
      <w:r>
        <w:rPr/>
        <w:t>variation.</w:t>
      </w:r>
      <w:r>
        <w:rPr>
          <w:spacing w:val="-5"/>
        </w:rPr>
        <w:t> </w:t>
      </w:r>
      <w:r>
        <w:rPr/>
        <w:t>Der</w:t>
      </w:r>
      <w:r>
        <w:rPr>
          <w:spacing w:val="-8"/>
        </w:rPr>
        <w:t> </w:t>
      </w:r>
      <w:r>
        <w:rPr/>
        <w:t>kan</w:t>
      </w:r>
      <w:r>
        <w:rPr>
          <w:spacing w:val="-3"/>
        </w:rPr>
        <w:t> </w:t>
      </w:r>
      <w:r>
        <w:rPr/>
        <w:t>f.eks.</w:t>
      </w:r>
      <w:r>
        <w:rPr>
          <w:spacing w:val="-6"/>
        </w:rPr>
        <w:t> </w:t>
      </w:r>
      <w:r>
        <w:rPr/>
        <w:t>være</w:t>
      </w:r>
      <w:r>
        <w:rPr>
          <w:spacing w:val="-4"/>
        </w:rPr>
        <w:t> </w:t>
      </w:r>
      <w:r>
        <w:rPr/>
        <w:t>lokale</w:t>
      </w:r>
      <w:r>
        <w:rPr>
          <w:spacing w:val="-4"/>
        </w:rPr>
        <w:t> </w:t>
      </w:r>
      <w:r>
        <w:rPr/>
        <w:t>hængende</w:t>
      </w:r>
      <w:r>
        <w:rPr>
          <w:spacing w:val="-4"/>
        </w:rPr>
        <w:t> </w:t>
      </w:r>
      <w:r>
        <w:rPr/>
        <w:t>vandspejl,</w:t>
      </w:r>
      <w:r>
        <w:rPr>
          <w:spacing w:val="-5"/>
        </w:rPr>
        <w:t> </w:t>
      </w:r>
      <w:r>
        <w:rPr/>
        <w:t>som</w:t>
      </w:r>
      <w:r>
        <w:rPr>
          <w:spacing w:val="-3"/>
        </w:rPr>
        <w:t> </w:t>
      </w:r>
      <w:r>
        <w:rPr/>
        <w:t>observeres</w:t>
      </w:r>
      <w:r>
        <w:rPr>
          <w:spacing w:val="-4"/>
        </w:rPr>
        <w:t> </w:t>
      </w:r>
      <w:r>
        <w:rPr/>
        <w:t>i</w:t>
      </w:r>
      <w:r>
        <w:rPr>
          <w:spacing w:val="-4"/>
        </w:rPr>
        <w:t> </w:t>
      </w:r>
      <w:r>
        <w:rPr/>
        <w:t>ter- rænnære boringer, men som ikke gengives i en regional</w:t>
      </w:r>
      <w:r>
        <w:rPr>
          <w:spacing w:val="-12"/>
        </w:rPr>
        <w:t> </w:t>
      </w:r>
      <w:r>
        <w:rPr/>
        <w:t>grundvandsmodel.</w:t>
      </w:r>
    </w:p>
    <w:p>
      <w:pPr>
        <w:pStyle w:val="BodyText"/>
        <w:spacing w:line="276" w:lineRule="auto" w:before="159"/>
        <w:ind w:left="525" w:right="734"/>
        <w:jc w:val="both"/>
      </w:pPr>
      <w:r>
        <w:rPr/>
        <w:t>For at imødegå disse udfordringer i en kalibrering med særligt fokus på terrænnært grund- vand er der udviklet et nyt kalibrerings koncept. Konceptet bygger på to væsentlige ændrin- ger i forhold til den traditionelle DK-model kalibrering: Evaluering af modelfejl på gridniveau i stedet for på boringsniveau samt en objektiv funktion som baseres på performance af </w:t>
      </w:r>
      <w:r>
        <w:rPr>
          <w:spacing w:val="-3"/>
        </w:rPr>
        <w:t>de </w:t>
      </w:r>
      <w:r>
        <w:rPr/>
        <w:t>90 % bedst performende model grids med</w:t>
      </w:r>
      <w:r>
        <w:rPr>
          <w:spacing w:val="-8"/>
        </w:rPr>
        <w:t> </w:t>
      </w:r>
      <w:r>
        <w:rPr/>
        <w:t>pejleobservationer.</w:t>
      </w:r>
    </w:p>
    <w:p>
      <w:pPr>
        <w:pStyle w:val="BodyText"/>
        <w:spacing w:line="276" w:lineRule="auto" w:before="160"/>
        <w:ind w:left="525" w:right="734"/>
        <w:jc w:val="both"/>
      </w:pPr>
      <w:r>
        <w:rPr/>
        <w:t>At</w:t>
      </w:r>
      <w:r>
        <w:rPr>
          <w:spacing w:val="-6"/>
        </w:rPr>
        <w:t> </w:t>
      </w:r>
      <w:r>
        <w:rPr/>
        <w:t>sammenligne</w:t>
      </w:r>
      <w:r>
        <w:rPr>
          <w:spacing w:val="-7"/>
        </w:rPr>
        <w:t> </w:t>
      </w:r>
      <w:r>
        <w:rPr/>
        <w:t>model</w:t>
      </w:r>
      <w:r>
        <w:rPr>
          <w:spacing w:val="-3"/>
        </w:rPr>
        <w:t> </w:t>
      </w:r>
      <w:r>
        <w:rPr/>
        <w:t>performance</w:t>
      </w:r>
      <w:r>
        <w:rPr>
          <w:spacing w:val="-7"/>
        </w:rPr>
        <w:t> </w:t>
      </w:r>
      <w:r>
        <w:rPr/>
        <w:t>på</w:t>
      </w:r>
      <w:r>
        <w:rPr>
          <w:spacing w:val="-4"/>
        </w:rPr>
        <w:t> </w:t>
      </w:r>
      <w:r>
        <w:rPr/>
        <w:t>grid</w:t>
      </w:r>
      <w:r>
        <w:rPr>
          <w:spacing w:val="-4"/>
        </w:rPr>
        <w:t> </w:t>
      </w:r>
      <w:r>
        <w:rPr/>
        <w:t>niveau</w:t>
      </w:r>
      <w:r>
        <w:rPr>
          <w:spacing w:val="-7"/>
        </w:rPr>
        <w:t> </w:t>
      </w:r>
      <w:r>
        <w:rPr/>
        <w:t>betyder</w:t>
      </w:r>
      <w:r>
        <w:rPr>
          <w:spacing w:val="-4"/>
        </w:rPr>
        <w:t> </w:t>
      </w:r>
      <w:r>
        <w:rPr/>
        <w:t>at</w:t>
      </w:r>
      <w:r>
        <w:rPr>
          <w:spacing w:val="-6"/>
        </w:rPr>
        <w:t> </w:t>
      </w:r>
      <w:r>
        <w:rPr/>
        <w:t>performance</w:t>
      </w:r>
      <w:r>
        <w:rPr>
          <w:spacing w:val="-7"/>
        </w:rPr>
        <w:t> </w:t>
      </w:r>
      <w:r>
        <w:rPr/>
        <w:t>evalueres</w:t>
      </w:r>
      <w:r>
        <w:rPr>
          <w:spacing w:val="-4"/>
        </w:rPr>
        <w:t> </w:t>
      </w:r>
      <w:r>
        <w:rPr/>
        <w:t>ud</w:t>
      </w:r>
      <w:r>
        <w:rPr>
          <w:spacing w:val="-7"/>
        </w:rPr>
        <w:t> </w:t>
      </w:r>
      <w:r>
        <w:rPr/>
        <w:t>fra et givent grids root mean square afvigelse (RMSE) eller middelfejl (ME) i forhold til alle de pejlinger som måtte ligge indenfor dette grid. På denne måde vil et grid med én pejleboring som udgangspunkt have samme vægt som et grid med 40 boringer. Man kan så efterføl- gende</w:t>
      </w:r>
      <w:r>
        <w:rPr>
          <w:spacing w:val="-2"/>
        </w:rPr>
        <w:t> </w:t>
      </w:r>
      <w:r>
        <w:rPr/>
        <w:t>vægte</w:t>
      </w:r>
      <w:r>
        <w:rPr>
          <w:spacing w:val="-1"/>
        </w:rPr>
        <w:t> </w:t>
      </w:r>
      <w:r>
        <w:rPr/>
        <w:t>et</w:t>
      </w:r>
      <w:r>
        <w:rPr>
          <w:spacing w:val="-2"/>
        </w:rPr>
        <w:t> </w:t>
      </w:r>
      <w:r>
        <w:rPr/>
        <w:t>grid</w:t>
      </w:r>
      <w:r>
        <w:rPr>
          <w:spacing w:val="-5"/>
        </w:rPr>
        <w:t> </w:t>
      </w:r>
      <w:r>
        <w:rPr/>
        <w:t>med</w:t>
      </w:r>
      <w:r>
        <w:rPr>
          <w:spacing w:val="-4"/>
        </w:rPr>
        <w:t> </w:t>
      </w:r>
      <w:r>
        <w:rPr/>
        <w:t>mange</w:t>
      </w:r>
      <w:r>
        <w:rPr>
          <w:spacing w:val="-3"/>
        </w:rPr>
        <w:t> </w:t>
      </w:r>
      <w:r>
        <w:rPr/>
        <w:t>data</w:t>
      </w:r>
      <w:r>
        <w:rPr>
          <w:spacing w:val="-5"/>
        </w:rPr>
        <w:t> </w:t>
      </w:r>
      <w:r>
        <w:rPr/>
        <w:t>lidt</w:t>
      </w:r>
      <w:r>
        <w:rPr>
          <w:spacing w:val="-2"/>
        </w:rPr>
        <w:t> </w:t>
      </w:r>
      <w:r>
        <w:rPr/>
        <w:t>højere</w:t>
      </w:r>
      <w:r>
        <w:rPr>
          <w:spacing w:val="-1"/>
        </w:rPr>
        <w:t> </w:t>
      </w:r>
      <w:r>
        <w:rPr/>
        <w:t>end</w:t>
      </w:r>
      <w:r>
        <w:rPr>
          <w:spacing w:val="-1"/>
        </w:rPr>
        <w:t> </w:t>
      </w:r>
      <w:r>
        <w:rPr/>
        <w:t>et</w:t>
      </w:r>
      <w:r>
        <w:rPr>
          <w:spacing w:val="-3"/>
        </w:rPr>
        <w:t> </w:t>
      </w:r>
      <w:r>
        <w:rPr/>
        <w:t>grid</w:t>
      </w:r>
      <w:r>
        <w:rPr>
          <w:spacing w:val="-4"/>
        </w:rPr>
        <w:t> </w:t>
      </w:r>
      <w:r>
        <w:rPr/>
        <w:t>med</w:t>
      </w:r>
      <w:r>
        <w:rPr>
          <w:spacing w:val="-1"/>
        </w:rPr>
        <w:t> </w:t>
      </w:r>
      <w:r>
        <w:rPr/>
        <w:t>får</w:t>
      </w:r>
      <w:r>
        <w:rPr>
          <w:spacing w:val="-3"/>
        </w:rPr>
        <w:t> </w:t>
      </w:r>
      <w:r>
        <w:rPr/>
        <w:t>data,</w:t>
      </w:r>
      <w:r>
        <w:rPr>
          <w:spacing w:val="-2"/>
        </w:rPr>
        <w:t> </w:t>
      </w:r>
      <w:r>
        <w:rPr/>
        <w:t>uden</w:t>
      </w:r>
      <w:r>
        <w:rPr>
          <w:spacing w:val="-1"/>
        </w:rPr>
        <w:t> </w:t>
      </w:r>
      <w:r>
        <w:rPr/>
        <w:t>at</w:t>
      </w:r>
      <w:r>
        <w:rPr>
          <w:spacing w:val="-3"/>
        </w:rPr>
        <w:t> </w:t>
      </w:r>
      <w:r>
        <w:rPr/>
        <w:t>dette</w:t>
      </w:r>
      <w:r>
        <w:rPr>
          <w:spacing w:val="-1"/>
        </w:rPr>
        <w:t> </w:t>
      </w:r>
      <w:r>
        <w:rPr/>
        <w:t>dog bliver en faktor</w:t>
      </w:r>
      <w:r>
        <w:rPr>
          <w:spacing w:val="-7"/>
        </w:rPr>
        <w:t> </w:t>
      </w:r>
      <w:r>
        <w:rPr/>
        <w:t>1:40.</w:t>
      </w:r>
    </w:p>
    <w:p>
      <w:pPr>
        <w:pStyle w:val="BodyText"/>
        <w:spacing w:line="273" w:lineRule="auto" w:before="161"/>
        <w:ind w:left="525" w:right="731"/>
        <w:jc w:val="both"/>
      </w:pPr>
      <w:r>
        <w:rPr/>
        <w:t>Evaluering på gridniveau er illustreret på </w:t>
      </w:r>
      <w:hyperlink w:history="true" w:anchor="_bookmark47">
        <w:r>
          <w:rPr/>
          <w:t>figur 32</w:t>
        </w:r>
      </w:hyperlink>
      <w:r>
        <w:rPr/>
        <w:t>. Bemærk desuden at ved at skifte fra eva- luering af enkeltboringer til gridceller minimeres ’clustering’ effekten fra </w:t>
      </w:r>
      <w:hyperlink w:history="true" w:anchor="_bookmark45">
        <w:r>
          <w:rPr/>
          <w:t>figur 30</w:t>
        </w:r>
      </w:hyperlink>
      <w:r>
        <w:rPr/>
        <w:t>.</w:t>
      </w:r>
    </w:p>
    <w:p>
      <w:pPr>
        <w:pStyle w:val="BodyText"/>
        <w:rPr>
          <w:sz w:val="20"/>
        </w:rPr>
      </w:pPr>
    </w:p>
    <w:p>
      <w:pPr>
        <w:pStyle w:val="BodyText"/>
        <w:rPr>
          <w:sz w:val="20"/>
        </w:rPr>
      </w:pPr>
    </w:p>
    <w:p>
      <w:pPr>
        <w:pStyle w:val="BodyText"/>
        <w:spacing w:before="4"/>
      </w:pPr>
      <w:r>
        <w:rPr/>
        <w:drawing>
          <wp:anchor distT="0" distB="0" distL="0" distR="0" allowOverlap="1" layoutInCell="1" locked="0" behindDoc="0" simplePos="0" relativeHeight="28">
            <wp:simplePos x="0" y="0"/>
            <wp:positionH relativeFrom="page">
              <wp:posOffset>1385513</wp:posOffset>
            </wp:positionH>
            <wp:positionV relativeFrom="paragraph">
              <wp:posOffset>180874</wp:posOffset>
            </wp:positionV>
            <wp:extent cx="5206413" cy="2661285"/>
            <wp:effectExtent l="0" t="0" r="0" b="0"/>
            <wp:wrapTopAndBottom/>
            <wp:docPr id="69" name="image48.png" descr=""/>
            <wp:cNvGraphicFramePr>
              <a:graphicFrameLocks noChangeAspect="1"/>
            </wp:cNvGraphicFramePr>
            <a:graphic>
              <a:graphicData uri="http://schemas.openxmlformats.org/drawingml/2006/picture">
                <pic:pic>
                  <pic:nvPicPr>
                    <pic:cNvPr id="70" name="image48.png"/>
                    <pic:cNvPicPr/>
                  </pic:nvPicPr>
                  <pic:blipFill>
                    <a:blip r:embed="rId54" cstate="print"/>
                    <a:stretch>
                      <a:fillRect/>
                    </a:stretch>
                  </pic:blipFill>
                  <pic:spPr>
                    <a:xfrm>
                      <a:off x="0" y="0"/>
                      <a:ext cx="5206413" cy="2661285"/>
                    </a:xfrm>
                    <a:prstGeom prst="rect">
                      <a:avLst/>
                    </a:prstGeom>
                  </pic:spPr>
                </pic:pic>
              </a:graphicData>
            </a:graphic>
          </wp:anchor>
        </w:drawing>
      </w:r>
    </w:p>
    <w:p>
      <w:pPr>
        <w:pStyle w:val="BodyText"/>
        <w:rPr>
          <w:sz w:val="24"/>
        </w:rPr>
      </w:pPr>
    </w:p>
    <w:p>
      <w:pPr>
        <w:spacing w:before="213"/>
        <w:ind w:left="525" w:right="841" w:firstLine="0"/>
        <w:jc w:val="left"/>
        <w:rPr>
          <w:rFonts w:ascii="Calibri" w:hAnsi="Calibri"/>
          <w:i/>
          <w:sz w:val="18"/>
        </w:rPr>
      </w:pPr>
      <w:bookmarkStart w:name="_bookmark47" w:id="66"/>
      <w:bookmarkEnd w:id="66"/>
      <w:r>
        <w:rPr/>
      </w:r>
      <w:r>
        <w:rPr>
          <w:rFonts w:ascii="Calibri" w:hAnsi="Calibri"/>
          <w:i/>
          <w:color w:val="44536A"/>
          <w:sz w:val="18"/>
        </w:rPr>
        <w:t>Figur 32 ECDF af middelfejlen </w:t>
      </w:r>
      <w:r>
        <w:rPr>
          <w:rFonts w:ascii="Calibri" w:hAnsi="Calibri"/>
          <w:b/>
          <w:i/>
          <w:color w:val="44536A"/>
          <w:sz w:val="18"/>
        </w:rPr>
        <w:t>per grid celle </w:t>
      </w:r>
      <w:r>
        <w:rPr>
          <w:rFonts w:ascii="Calibri" w:hAnsi="Calibri"/>
          <w:i/>
          <w:color w:val="44536A"/>
          <w:sz w:val="18"/>
        </w:rPr>
        <w:t>i sammenligning med simulerende trykniveau (ME vises som obs – sim). </w:t>
      </w:r>
      <w:r>
        <w:rPr>
          <w:rFonts w:ascii="Calibri" w:hAnsi="Calibri"/>
          <w:i/>
          <w:color w:val="44536A"/>
          <w:sz w:val="18"/>
        </w:rPr>
        <w:t>Simulerede værdier stammer fra en første kalibreringskørsel. De vertikale linjer viser 2%, 5%, 10%, 20%, og 80%, 90%, 95%, 98% percentilen. De horizontale linier viser en fejl på +/-2m.</w:t>
      </w:r>
    </w:p>
    <w:p>
      <w:pPr>
        <w:pStyle w:val="BodyText"/>
        <w:spacing w:before="3"/>
        <w:rPr>
          <w:rFonts w:ascii="Calibri"/>
          <w:i/>
          <w:sz w:val="16"/>
        </w:rPr>
      </w:pPr>
    </w:p>
    <w:p>
      <w:pPr>
        <w:pStyle w:val="BodyText"/>
        <w:spacing w:line="276" w:lineRule="auto"/>
        <w:ind w:left="525" w:right="734"/>
        <w:jc w:val="both"/>
      </w:pPr>
      <w:r>
        <w:rPr/>
        <w:t>Det er i dette projekt valgt at lave en efterfølgende vægtning af modelgrids efter det totale antal observationer, både antal boringer og pejletidsserier, med højest vægt for mange ob- servationer. Desuden har de terrænnære boringer fået en 2 gange højere vægt end de dy- bere boringer.</w:t>
      </w:r>
    </w:p>
    <w:p>
      <w:pPr>
        <w:spacing w:after="0" w:line="276" w:lineRule="auto"/>
        <w:jc w:val="both"/>
        <w:sectPr>
          <w:pgSz w:w="11910" w:h="16850"/>
          <w:pgMar w:header="0" w:footer="857" w:top="1340" w:bottom="1120" w:left="1460" w:right="680"/>
        </w:sectPr>
      </w:pPr>
    </w:p>
    <w:p>
      <w:pPr>
        <w:pStyle w:val="BodyText"/>
        <w:spacing w:line="276" w:lineRule="auto" w:before="75"/>
        <w:ind w:left="525" w:right="731"/>
        <w:jc w:val="both"/>
      </w:pPr>
      <w:r>
        <w:rPr/>
        <w:t>Derudover</w:t>
      </w:r>
      <w:r>
        <w:rPr>
          <w:spacing w:val="-5"/>
        </w:rPr>
        <w:t> </w:t>
      </w:r>
      <w:r>
        <w:rPr/>
        <w:t>er</w:t>
      </w:r>
      <w:r>
        <w:rPr>
          <w:spacing w:val="-4"/>
        </w:rPr>
        <w:t> </w:t>
      </w:r>
      <w:r>
        <w:rPr/>
        <w:t>der</w:t>
      </w:r>
      <w:r>
        <w:rPr>
          <w:spacing w:val="-4"/>
        </w:rPr>
        <w:t> </w:t>
      </w:r>
      <w:r>
        <w:rPr/>
        <w:t>designet</w:t>
      </w:r>
      <w:r>
        <w:rPr>
          <w:spacing w:val="-7"/>
        </w:rPr>
        <w:t> </w:t>
      </w:r>
      <w:r>
        <w:rPr/>
        <w:t>en</w:t>
      </w:r>
      <w:r>
        <w:rPr>
          <w:spacing w:val="-3"/>
        </w:rPr>
        <w:t> </w:t>
      </w:r>
      <w:r>
        <w:rPr/>
        <w:t>objektivfunktion</w:t>
      </w:r>
      <w:r>
        <w:rPr>
          <w:spacing w:val="-3"/>
        </w:rPr>
        <w:t> </w:t>
      </w:r>
      <w:r>
        <w:rPr/>
        <w:t>for</w:t>
      </w:r>
      <w:r>
        <w:rPr>
          <w:spacing w:val="-4"/>
        </w:rPr>
        <w:t> </w:t>
      </w:r>
      <w:r>
        <w:rPr/>
        <w:t>pejlinger</w:t>
      </w:r>
      <w:r>
        <w:rPr>
          <w:spacing w:val="-4"/>
        </w:rPr>
        <w:t> </w:t>
      </w:r>
      <w:r>
        <w:rPr/>
        <w:t>som</w:t>
      </w:r>
      <w:r>
        <w:rPr>
          <w:spacing w:val="-2"/>
        </w:rPr>
        <w:t> </w:t>
      </w:r>
      <w:r>
        <w:rPr/>
        <w:t>beskriver</w:t>
      </w:r>
      <w:r>
        <w:rPr>
          <w:spacing w:val="-4"/>
        </w:rPr>
        <w:t> </w:t>
      </w:r>
      <w:r>
        <w:rPr/>
        <w:t>performance</w:t>
      </w:r>
      <w:r>
        <w:rPr>
          <w:spacing w:val="-3"/>
        </w:rPr>
        <w:t> </w:t>
      </w:r>
      <w:r>
        <w:rPr/>
        <w:t>af</w:t>
      </w:r>
      <w:r>
        <w:rPr>
          <w:spacing w:val="-3"/>
        </w:rPr>
        <w:t> </w:t>
      </w:r>
      <w:r>
        <w:rPr/>
        <w:t>de 90%</w:t>
      </w:r>
      <w:r>
        <w:rPr>
          <w:spacing w:val="-3"/>
        </w:rPr>
        <w:t> </w:t>
      </w:r>
      <w:r>
        <w:rPr/>
        <w:t>af</w:t>
      </w:r>
      <w:r>
        <w:rPr>
          <w:spacing w:val="-4"/>
        </w:rPr>
        <w:t> </w:t>
      </w:r>
      <w:r>
        <w:rPr/>
        <w:t>model</w:t>
      </w:r>
      <w:r>
        <w:rPr>
          <w:spacing w:val="-1"/>
        </w:rPr>
        <w:t> </w:t>
      </w:r>
      <w:r>
        <w:rPr/>
        <w:t>grids</w:t>
      </w:r>
      <w:r>
        <w:rPr>
          <w:spacing w:val="-5"/>
        </w:rPr>
        <w:t> </w:t>
      </w:r>
      <w:r>
        <w:rPr/>
        <w:t>som</w:t>
      </w:r>
      <w:r>
        <w:rPr>
          <w:spacing w:val="-2"/>
        </w:rPr>
        <w:t> </w:t>
      </w:r>
      <w:r>
        <w:rPr/>
        <w:t>har</w:t>
      </w:r>
      <w:r>
        <w:rPr>
          <w:spacing w:val="-3"/>
        </w:rPr>
        <w:t> </w:t>
      </w:r>
      <w:r>
        <w:rPr/>
        <w:t>mindst</w:t>
      </w:r>
      <w:r>
        <w:rPr>
          <w:spacing w:val="-6"/>
        </w:rPr>
        <w:t> </w:t>
      </w:r>
      <w:r>
        <w:rPr/>
        <w:t>middelfejl</w:t>
      </w:r>
      <w:r>
        <w:rPr>
          <w:spacing w:val="-1"/>
        </w:rPr>
        <w:t> </w:t>
      </w:r>
      <w:r>
        <w:rPr/>
        <w:t>(ME)</w:t>
      </w:r>
      <w:r>
        <w:rPr>
          <w:spacing w:val="-5"/>
        </w:rPr>
        <w:t> </w:t>
      </w:r>
      <w:r>
        <w:rPr/>
        <w:t>baseret</w:t>
      </w:r>
      <w:r>
        <w:rPr>
          <w:spacing w:val="-6"/>
        </w:rPr>
        <w:t> </w:t>
      </w:r>
      <w:r>
        <w:rPr/>
        <w:t>på</w:t>
      </w:r>
      <w:r>
        <w:rPr>
          <w:spacing w:val="-2"/>
        </w:rPr>
        <w:t> </w:t>
      </w:r>
      <w:r>
        <w:rPr/>
        <w:t>en ”Continuous</w:t>
      </w:r>
      <w:r>
        <w:rPr>
          <w:spacing w:val="-2"/>
        </w:rPr>
        <w:t> </w:t>
      </w:r>
      <w:r>
        <w:rPr/>
        <w:t>Ranked</w:t>
      </w:r>
      <w:r>
        <w:rPr>
          <w:spacing w:val="-4"/>
        </w:rPr>
        <w:t> </w:t>
      </w:r>
      <w:r>
        <w:rPr/>
        <w:t>Pro- bability Score” (CRPS)</w:t>
      </w:r>
      <w:r>
        <w:rPr>
          <w:position w:val="7"/>
          <w:sz w:val="14"/>
        </w:rPr>
        <w:t>3</w:t>
      </w:r>
      <w:r>
        <w:rPr/>
        <w:t>. CRPS er en score, som hyppigt bliver brugt til at evaluere perfor- mance af ensemble model simuleringer. I enkle ord beskriver </w:t>
      </w:r>
      <w:hyperlink w:history="true" w:anchor="_bookmark48">
        <w:r>
          <w:rPr/>
          <w:t>figur 33 </w:t>
        </w:r>
      </w:hyperlink>
      <w:r>
        <w:rPr/>
        <w:t>CRPS arealet mellem den forventede værdi (en fejl på 0 i vores tilfælde; rød) og cumulative density kurven af de simulerede værdier (blå). Tanken er, at CRPS beregnes for en prædefineret fraktil af data, fx kun for de 90% af modelgrid med mindst fejl. Metoden muliggør ligeledes en vægtning </w:t>
      </w:r>
      <w:r>
        <w:rPr>
          <w:spacing w:val="-3"/>
        </w:rPr>
        <w:t>af </w:t>
      </w:r>
      <w:r>
        <w:rPr/>
        <w:t>enkelte grids efter fx antal observationer indenfor et</w:t>
      </w:r>
      <w:r>
        <w:rPr>
          <w:spacing w:val="-14"/>
        </w:rPr>
        <w:t> </w:t>
      </w:r>
      <w:r>
        <w:rPr/>
        <w:t>grid.</w:t>
      </w:r>
    </w:p>
    <w:p>
      <w:pPr>
        <w:pStyle w:val="BodyText"/>
        <w:spacing w:line="276" w:lineRule="auto" w:before="155"/>
        <w:ind w:left="525" w:right="730"/>
        <w:jc w:val="both"/>
      </w:pPr>
      <w:r>
        <w:rPr/>
        <w:t>Målet med kalibrering mod denne objektivfunktion er at maksimere performance for de bed- ste 90% af model gridene uden at denne optimering begrænses af de dårligste 10 %. Dette er</w:t>
      </w:r>
      <w:r>
        <w:rPr>
          <w:spacing w:val="-10"/>
        </w:rPr>
        <w:t> </w:t>
      </w:r>
      <w:r>
        <w:rPr/>
        <w:t>vigtigt</w:t>
      </w:r>
      <w:r>
        <w:rPr>
          <w:spacing w:val="-10"/>
        </w:rPr>
        <w:t> </w:t>
      </w:r>
      <w:r>
        <w:rPr/>
        <w:t>fordi</w:t>
      </w:r>
      <w:r>
        <w:rPr>
          <w:spacing w:val="-8"/>
        </w:rPr>
        <w:t> </w:t>
      </w:r>
      <w:r>
        <w:rPr/>
        <w:t>optimeringsalgoritmen</w:t>
      </w:r>
      <w:r>
        <w:rPr>
          <w:spacing w:val="-11"/>
        </w:rPr>
        <w:t> </w:t>
      </w:r>
      <w:r>
        <w:rPr/>
        <w:t>normalt</w:t>
      </w:r>
      <w:r>
        <w:rPr>
          <w:spacing w:val="-9"/>
        </w:rPr>
        <w:t> </w:t>
      </w:r>
      <w:r>
        <w:rPr/>
        <w:t>arbejder</w:t>
      </w:r>
      <w:r>
        <w:rPr>
          <w:spacing w:val="-10"/>
        </w:rPr>
        <w:t> </w:t>
      </w:r>
      <w:r>
        <w:rPr/>
        <w:t>med</w:t>
      </w:r>
      <w:r>
        <w:rPr>
          <w:spacing w:val="-11"/>
        </w:rPr>
        <w:t> </w:t>
      </w:r>
      <w:r>
        <w:rPr/>
        <w:t>minimering</w:t>
      </w:r>
      <w:r>
        <w:rPr>
          <w:spacing w:val="-10"/>
        </w:rPr>
        <w:t> </w:t>
      </w:r>
      <w:r>
        <w:rPr/>
        <w:t>af</w:t>
      </w:r>
      <w:r>
        <w:rPr>
          <w:spacing w:val="-11"/>
        </w:rPr>
        <w:t> </w:t>
      </w:r>
      <w:r>
        <w:rPr/>
        <w:t>de</w:t>
      </w:r>
      <w:r>
        <w:rPr>
          <w:spacing w:val="-10"/>
        </w:rPr>
        <w:t> </w:t>
      </w:r>
      <w:r>
        <w:rPr/>
        <w:t>kvadrede</w:t>
      </w:r>
      <w:r>
        <w:rPr>
          <w:spacing w:val="-12"/>
        </w:rPr>
        <w:t> </w:t>
      </w:r>
      <w:r>
        <w:rPr/>
        <w:t>fejl</w:t>
      </w:r>
      <w:r>
        <w:rPr>
          <w:spacing w:val="-10"/>
        </w:rPr>
        <w:t> </w:t>
      </w:r>
      <w:r>
        <w:rPr/>
        <w:t>for de</w:t>
      </w:r>
      <w:r>
        <w:rPr>
          <w:spacing w:val="-6"/>
        </w:rPr>
        <w:t> </w:t>
      </w:r>
      <w:r>
        <w:rPr/>
        <w:t>enkelte</w:t>
      </w:r>
      <w:r>
        <w:rPr>
          <w:spacing w:val="-6"/>
        </w:rPr>
        <w:t> </w:t>
      </w:r>
      <w:r>
        <w:rPr/>
        <w:t>boringer/grids</w:t>
      </w:r>
      <w:r>
        <w:rPr>
          <w:spacing w:val="-6"/>
        </w:rPr>
        <w:t> </w:t>
      </w:r>
      <w:r>
        <w:rPr/>
        <w:t>og</w:t>
      </w:r>
      <w:r>
        <w:rPr>
          <w:spacing w:val="-5"/>
        </w:rPr>
        <w:t> </w:t>
      </w:r>
      <w:r>
        <w:rPr/>
        <w:t>derfor</w:t>
      </w:r>
      <w:r>
        <w:rPr>
          <w:spacing w:val="-7"/>
        </w:rPr>
        <w:t> </w:t>
      </w:r>
      <w:r>
        <w:rPr/>
        <w:t>er</w:t>
      </w:r>
      <w:r>
        <w:rPr>
          <w:spacing w:val="-7"/>
        </w:rPr>
        <w:t> </w:t>
      </w:r>
      <w:r>
        <w:rPr/>
        <w:t>særlig</w:t>
      </w:r>
      <w:r>
        <w:rPr>
          <w:spacing w:val="-5"/>
        </w:rPr>
        <w:t> </w:t>
      </w:r>
      <w:r>
        <w:rPr/>
        <w:t>følsom</w:t>
      </w:r>
      <w:r>
        <w:rPr>
          <w:spacing w:val="-5"/>
        </w:rPr>
        <w:t> </w:t>
      </w:r>
      <w:r>
        <w:rPr/>
        <w:t>overfor</w:t>
      </w:r>
      <w:r>
        <w:rPr>
          <w:spacing w:val="-7"/>
        </w:rPr>
        <w:t> </w:t>
      </w:r>
      <w:r>
        <w:rPr/>
        <w:t>store</w:t>
      </w:r>
      <w:r>
        <w:rPr>
          <w:spacing w:val="-5"/>
        </w:rPr>
        <w:t> </w:t>
      </w:r>
      <w:r>
        <w:rPr/>
        <w:t>fejl,</w:t>
      </w:r>
      <w:r>
        <w:rPr>
          <w:spacing w:val="-7"/>
        </w:rPr>
        <w:t> </w:t>
      </w:r>
      <w:r>
        <w:rPr/>
        <w:t>som</w:t>
      </w:r>
      <w:r>
        <w:rPr>
          <w:spacing w:val="-5"/>
        </w:rPr>
        <w:t> </w:t>
      </w:r>
      <w:r>
        <w:rPr/>
        <w:t>optimeringen</w:t>
      </w:r>
      <w:r>
        <w:rPr>
          <w:spacing w:val="-5"/>
        </w:rPr>
        <w:t> </w:t>
      </w:r>
      <w:r>
        <w:rPr/>
        <w:t>der- for primært forsøger at minimere. En anden fordel ved denne metode er at den tager højde for bias og skewness i fordelingen af fejl på simuleret</w:t>
      </w:r>
      <w:r>
        <w:rPr>
          <w:spacing w:val="-11"/>
        </w:rPr>
        <w:t> </w:t>
      </w:r>
      <w:r>
        <w:rPr/>
        <w:t>trykniveau.</w:t>
      </w:r>
    </w:p>
    <w:p>
      <w:pPr>
        <w:pStyle w:val="BodyText"/>
        <w:spacing w:before="6"/>
        <w:rPr>
          <w:sz w:val="29"/>
        </w:rPr>
      </w:pPr>
      <w:r>
        <w:rPr/>
        <w:pict>
          <v:group style="position:absolute;margin-left:118.941223pt;margin-top:19.445019pt;width:373.6pt;height:276.6pt;mso-position-horizontal-relative:page;mso-position-vertical-relative:paragraph;z-index:-328;mso-wrap-distance-left:0;mso-wrap-distance-right:0" coordorigin="2379,389" coordsize="7472,5532">
            <v:shape style="position:absolute;left:2378;top:388;width:7472;height:5532" type="#_x0000_t75" alt="Q:\Doc\Rapport\CRPS_Storaa_inv04_grids_tn.png" stroked="false">
              <v:imagedata r:id="rId55" o:title=""/>
            </v:shape>
            <v:shape style="position:absolute;left:6364;top:746;width:1073;height:1300" type="#_x0000_t75" stroked="false">
              <v:imagedata r:id="rId56" o:title=""/>
            </v:shape>
            <v:shape style="position:absolute;left:6364;top:746;width:1073;height:1300" coordorigin="6365,747" coordsize="1073,1300" path="m6377,757l7437,747,7177,987,7007,1087,6857,1077,6847,1177,6717,1217,6647,1317,6617,1417,6557,1447,6497,1517,6487,1657,6457,1667,6467,1837,6427,1887,6427,2037,6367,2047,6367,1966,6366,1884,6366,1803,6365,1722,6365,1641,6365,1560,6365,1479,6365,1398,6365,1317,6366,1237,6367,1156,6368,1076,6370,996,6372,916,6374,836,6377,757xe" filled="false" stroked="true" strokeweight="1pt" strokecolor="#41709c">
              <v:path arrowok="t"/>
              <v:stroke dashstyle="solid"/>
            </v:shape>
            <v:shape style="position:absolute;left:5145;top:2166;width:1200;height:3000" type="#_x0000_t75" stroked="false">
              <v:imagedata r:id="rId57" o:title=""/>
            </v:shape>
            <v:shape style="position:absolute;left:5145;top:2166;width:1200;height:3000" coordorigin="5145,2167" coordsize="1200,3000" path="m6345,2167l6345,5147,5145,5167,5145,5137,5265,5117,5295,5027,5455,4887,5585,4707,5585,4647,5685,4517,5715,4387,5805,4147,5865,4117,5865,3947,6035,3697,6035,3577,6065,3567,6075,3387,6125,3377,6125,3187,6145,3177,6165,3027,6185,3017,6205,2817,6235,2817,6255,2547,6285,2527,6285,2337,6315,2337,6345,2167xe" filled="false" stroked="true" strokeweight="1.0pt" strokecolor="#41709c">
              <v:path arrowok="t"/>
              <v:stroke dashstyle="solid"/>
            </v:shape>
            <w10:wrap type="topAndBottom"/>
          </v:group>
        </w:pict>
      </w:r>
    </w:p>
    <w:p>
      <w:pPr>
        <w:spacing w:before="198"/>
        <w:ind w:left="525" w:right="764" w:firstLine="0"/>
        <w:jc w:val="left"/>
        <w:rPr>
          <w:rFonts w:ascii="Calibri" w:hAnsi="Calibri"/>
          <w:i/>
          <w:sz w:val="18"/>
        </w:rPr>
      </w:pPr>
      <w:bookmarkStart w:name="_bookmark48" w:id="67"/>
      <w:bookmarkEnd w:id="67"/>
      <w:r>
        <w:rPr/>
      </w:r>
      <w:r>
        <w:rPr>
          <w:rFonts w:ascii="Calibri" w:hAnsi="Calibri"/>
          <w:i/>
          <w:color w:val="44536A"/>
          <w:sz w:val="18"/>
        </w:rPr>
        <w:t>Figur 33 CRPS af middelfejlen </w:t>
      </w:r>
      <w:r>
        <w:rPr>
          <w:rFonts w:ascii="Calibri" w:hAnsi="Calibri"/>
          <w:b/>
          <w:i/>
          <w:color w:val="44536A"/>
          <w:sz w:val="18"/>
        </w:rPr>
        <w:t>per grid celle </w:t>
      </w:r>
      <w:r>
        <w:rPr>
          <w:rFonts w:ascii="Calibri" w:hAnsi="Calibri"/>
          <w:i/>
          <w:color w:val="44536A"/>
          <w:sz w:val="18"/>
        </w:rPr>
        <w:t>i sammenligning med simulerende trykniveauer (ME vises som obs – </w:t>
      </w:r>
      <w:r>
        <w:rPr>
          <w:rFonts w:ascii="Calibri" w:hAnsi="Calibri"/>
          <w:i/>
          <w:color w:val="44536A"/>
          <w:sz w:val="18"/>
        </w:rPr>
        <w:t>sim). De horisontale stiplede linjer viser cutoff for de 10% af grids med størst absolut fejl. Det skraverede areal forsø- ges minimeret ved kalibrering.</w:t>
      </w:r>
    </w:p>
    <w:p>
      <w:pPr>
        <w:pStyle w:val="BodyText"/>
        <w:rPr>
          <w:rFonts w:ascii="Calibri"/>
          <w:i/>
          <w:sz w:val="18"/>
        </w:rPr>
      </w:pPr>
    </w:p>
    <w:p>
      <w:pPr>
        <w:pStyle w:val="BodyText"/>
        <w:rPr>
          <w:rFonts w:ascii="Calibri"/>
          <w:i/>
          <w:sz w:val="18"/>
        </w:rPr>
      </w:pPr>
    </w:p>
    <w:p>
      <w:pPr>
        <w:pStyle w:val="BodyText"/>
        <w:spacing w:before="1"/>
        <w:rPr>
          <w:rFonts w:ascii="Calibri"/>
          <w:i/>
          <w:sz w:val="16"/>
        </w:rPr>
      </w:pPr>
    </w:p>
    <w:p>
      <w:pPr>
        <w:pStyle w:val="BodyText"/>
        <w:spacing w:line="276" w:lineRule="auto"/>
        <w:ind w:left="525" w:right="733"/>
        <w:jc w:val="both"/>
      </w:pPr>
      <w:r>
        <w:rPr/>
        <w:t>Med</w:t>
      </w:r>
      <w:r>
        <w:rPr>
          <w:spacing w:val="-9"/>
        </w:rPr>
        <w:t> </w:t>
      </w:r>
      <w:r>
        <w:rPr/>
        <w:t>perfekte</w:t>
      </w:r>
      <w:r>
        <w:rPr>
          <w:spacing w:val="-12"/>
        </w:rPr>
        <w:t> </w:t>
      </w:r>
      <w:r>
        <w:rPr/>
        <w:t>observationer</w:t>
      </w:r>
      <w:r>
        <w:rPr>
          <w:spacing w:val="-10"/>
        </w:rPr>
        <w:t> </w:t>
      </w:r>
      <w:r>
        <w:rPr/>
        <w:t>og</w:t>
      </w:r>
      <w:r>
        <w:rPr>
          <w:spacing w:val="-9"/>
        </w:rPr>
        <w:t> </w:t>
      </w:r>
      <w:r>
        <w:rPr/>
        <w:t>en</w:t>
      </w:r>
      <w:r>
        <w:rPr>
          <w:spacing w:val="-9"/>
        </w:rPr>
        <w:t> </w:t>
      </w:r>
      <w:r>
        <w:rPr/>
        <w:t>perfekt</w:t>
      </w:r>
      <w:r>
        <w:rPr>
          <w:spacing w:val="-10"/>
        </w:rPr>
        <w:t> </w:t>
      </w:r>
      <w:r>
        <w:rPr/>
        <w:t>geologisk</w:t>
      </w:r>
      <w:r>
        <w:rPr>
          <w:spacing w:val="-12"/>
        </w:rPr>
        <w:t> </w:t>
      </w:r>
      <w:r>
        <w:rPr/>
        <w:t>model</w:t>
      </w:r>
      <w:r>
        <w:rPr>
          <w:spacing w:val="-5"/>
        </w:rPr>
        <w:t> </w:t>
      </w:r>
      <w:r>
        <w:rPr/>
        <w:t>og</w:t>
      </w:r>
      <w:r>
        <w:rPr>
          <w:spacing w:val="-11"/>
        </w:rPr>
        <w:t> </w:t>
      </w:r>
      <w:r>
        <w:rPr/>
        <w:t>modelstruktur</w:t>
      </w:r>
      <w:r>
        <w:rPr>
          <w:spacing w:val="-10"/>
        </w:rPr>
        <w:t> </w:t>
      </w:r>
      <w:r>
        <w:rPr/>
        <w:t>ville</w:t>
      </w:r>
      <w:r>
        <w:rPr>
          <w:spacing w:val="-9"/>
        </w:rPr>
        <w:t> </w:t>
      </w:r>
      <w:r>
        <w:rPr/>
        <w:t>fokus</w:t>
      </w:r>
      <w:r>
        <w:rPr>
          <w:spacing w:val="-9"/>
        </w:rPr>
        <w:t> </w:t>
      </w:r>
      <w:r>
        <w:rPr/>
        <w:t>på</w:t>
      </w:r>
      <w:r>
        <w:rPr>
          <w:spacing w:val="-9"/>
        </w:rPr>
        <w:t> </w:t>
      </w:r>
      <w:r>
        <w:rPr/>
        <w:t>de største</w:t>
      </w:r>
      <w:r>
        <w:rPr>
          <w:spacing w:val="-4"/>
        </w:rPr>
        <w:t> </w:t>
      </w:r>
      <w:r>
        <w:rPr/>
        <w:t>fejl</w:t>
      </w:r>
      <w:r>
        <w:rPr>
          <w:spacing w:val="-3"/>
        </w:rPr>
        <w:t> </w:t>
      </w:r>
      <w:r>
        <w:rPr/>
        <w:t>ikke</w:t>
      </w:r>
      <w:r>
        <w:rPr>
          <w:spacing w:val="-3"/>
        </w:rPr>
        <w:t> </w:t>
      </w:r>
      <w:r>
        <w:rPr/>
        <w:t>være</w:t>
      </w:r>
      <w:r>
        <w:rPr>
          <w:spacing w:val="-4"/>
        </w:rPr>
        <w:t> </w:t>
      </w:r>
      <w:r>
        <w:rPr/>
        <w:t>problematisk,</w:t>
      </w:r>
      <w:r>
        <w:rPr>
          <w:spacing w:val="-6"/>
        </w:rPr>
        <w:t> </w:t>
      </w:r>
      <w:r>
        <w:rPr/>
        <w:t>men</w:t>
      </w:r>
      <w:r>
        <w:rPr>
          <w:spacing w:val="-3"/>
        </w:rPr>
        <w:t> </w:t>
      </w:r>
      <w:r>
        <w:rPr/>
        <w:t>erfaringen</w:t>
      </w:r>
      <w:r>
        <w:rPr>
          <w:spacing w:val="-3"/>
        </w:rPr>
        <w:t> </w:t>
      </w:r>
      <w:r>
        <w:rPr/>
        <w:t>viser,</w:t>
      </w:r>
      <w:r>
        <w:rPr>
          <w:spacing w:val="-4"/>
        </w:rPr>
        <w:t> </w:t>
      </w:r>
      <w:r>
        <w:rPr/>
        <w:t>at</w:t>
      </w:r>
      <w:r>
        <w:rPr>
          <w:spacing w:val="-5"/>
        </w:rPr>
        <w:t> </w:t>
      </w:r>
      <w:r>
        <w:rPr/>
        <w:t>da</w:t>
      </w:r>
      <w:r>
        <w:rPr>
          <w:spacing w:val="-2"/>
        </w:rPr>
        <w:t> </w:t>
      </w:r>
      <w:r>
        <w:rPr/>
        <w:t>der</w:t>
      </w:r>
      <w:r>
        <w:rPr>
          <w:spacing w:val="-4"/>
        </w:rPr>
        <w:t> </w:t>
      </w:r>
      <w:r>
        <w:rPr/>
        <w:t>er</w:t>
      </w:r>
      <w:r>
        <w:rPr>
          <w:spacing w:val="-3"/>
        </w:rPr>
        <w:t> </w:t>
      </w:r>
      <w:r>
        <w:rPr/>
        <w:t>fejl</w:t>
      </w:r>
      <w:r>
        <w:rPr>
          <w:spacing w:val="-3"/>
        </w:rPr>
        <w:t> </w:t>
      </w:r>
      <w:r>
        <w:rPr/>
        <w:t>på</w:t>
      </w:r>
      <w:r>
        <w:rPr>
          <w:spacing w:val="-3"/>
        </w:rPr>
        <w:t> </w:t>
      </w:r>
      <w:r>
        <w:rPr/>
        <w:t>både</w:t>
      </w:r>
      <w:r>
        <w:rPr>
          <w:spacing w:val="-2"/>
        </w:rPr>
        <w:t> </w:t>
      </w:r>
      <w:r>
        <w:rPr/>
        <w:t>observati- oner og den geologiske model vil nogle simulerede trykniveauer udvise en meget stor fejl sammenlignet med pejleobservationer. I de tilfælde hvor en stor fejl udelukkende skyldes forkerte</w:t>
      </w:r>
      <w:r>
        <w:rPr>
          <w:spacing w:val="23"/>
        </w:rPr>
        <w:t> </w:t>
      </w:r>
      <w:r>
        <w:rPr/>
        <w:t>parameterværdier</w:t>
      </w:r>
      <w:r>
        <w:rPr>
          <w:spacing w:val="22"/>
        </w:rPr>
        <w:t> </w:t>
      </w:r>
      <w:r>
        <w:rPr/>
        <w:t>(typisk</w:t>
      </w:r>
      <w:r>
        <w:rPr>
          <w:spacing w:val="26"/>
        </w:rPr>
        <w:t> </w:t>
      </w:r>
      <w:r>
        <w:rPr/>
        <w:t>K-værdier)</w:t>
      </w:r>
      <w:r>
        <w:rPr>
          <w:spacing w:val="21"/>
        </w:rPr>
        <w:t> </w:t>
      </w:r>
      <w:r>
        <w:rPr/>
        <w:t>er</w:t>
      </w:r>
      <w:r>
        <w:rPr>
          <w:spacing w:val="22"/>
        </w:rPr>
        <w:t> </w:t>
      </w:r>
      <w:r>
        <w:rPr/>
        <w:t>det</w:t>
      </w:r>
      <w:r>
        <w:rPr>
          <w:spacing w:val="23"/>
        </w:rPr>
        <w:t> </w:t>
      </w:r>
      <w:r>
        <w:rPr/>
        <w:t>optimalt</w:t>
      </w:r>
      <w:r>
        <w:rPr>
          <w:spacing w:val="21"/>
        </w:rPr>
        <w:t> </w:t>
      </w:r>
      <w:r>
        <w:rPr/>
        <w:t>at</w:t>
      </w:r>
      <w:r>
        <w:rPr>
          <w:spacing w:val="23"/>
        </w:rPr>
        <w:t> </w:t>
      </w:r>
      <w:r>
        <w:rPr/>
        <w:t>minimere</w:t>
      </w:r>
      <w:r>
        <w:rPr>
          <w:spacing w:val="22"/>
        </w:rPr>
        <w:t> </w:t>
      </w:r>
      <w:r>
        <w:rPr/>
        <w:t>disse</w:t>
      </w:r>
      <w:r>
        <w:rPr>
          <w:spacing w:val="23"/>
        </w:rPr>
        <w:t> </w:t>
      </w:r>
      <w:r>
        <w:rPr/>
        <w:t>fejl</w:t>
      </w:r>
      <w:r>
        <w:rPr>
          <w:spacing w:val="24"/>
        </w:rPr>
        <w:t> </w:t>
      </w:r>
      <w:r>
        <w:rPr/>
        <w:t>ved</w:t>
      </w:r>
      <w:r>
        <w:rPr>
          <w:spacing w:val="23"/>
        </w:rPr>
        <w:t> </w:t>
      </w:r>
      <w:r>
        <w:rPr/>
        <w:t>at</w:t>
      </w:r>
    </w:p>
    <w:p>
      <w:pPr>
        <w:pStyle w:val="BodyText"/>
        <w:rPr>
          <w:sz w:val="20"/>
        </w:rPr>
      </w:pPr>
    </w:p>
    <w:p>
      <w:pPr>
        <w:pStyle w:val="BodyText"/>
        <w:spacing w:before="6"/>
        <w:rPr>
          <w:sz w:val="14"/>
        </w:rPr>
      </w:pPr>
      <w:r>
        <w:rPr/>
        <w:pict>
          <v:line style="position:absolute;mso-position-horizontal-relative:page;mso-position-vertical-relative:paragraph;z-index:-304;mso-wrap-distance-left:0;mso-wrap-distance-right:0" from="99.264pt,10.552993pt" to="243.284pt,10.552993pt" stroked="true" strokeweight=".48004pt" strokecolor="#000000">
            <v:stroke dashstyle="solid"/>
            <w10:wrap type="topAndBottom"/>
          </v:line>
        </w:pict>
      </w:r>
    </w:p>
    <w:p>
      <w:pPr>
        <w:spacing w:before="112"/>
        <w:ind w:left="525" w:right="0" w:firstLine="0"/>
        <w:jc w:val="left"/>
        <w:rPr>
          <w:sz w:val="20"/>
        </w:rPr>
      </w:pPr>
      <w:r>
        <w:rPr>
          <w:position w:val="6"/>
          <w:sz w:val="13"/>
        </w:rPr>
        <w:t>3 </w:t>
      </w:r>
      <w:r>
        <w:rPr>
          <w:sz w:val="20"/>
        </w:rPr>
        <w:t>Gneiting et al., 2005</w:t>
      </w:r>
    </w:p>
    <w:p>
      <w:pPr>
        <w:spacing w:after="0"/>
        <w:jc w:val="left"/>
        <w:rPr>
          <w:sz w:val="20"/>
        </w:rPr>
        <w:sectPr>
          <w:pgSz w:w="11910" w:h="16850"/>
          <w:pgMar w:header="0" w:footer="857" w:top="1340" w:bottom="1120" w:left="1460" w:right="680"/>
        </w:sectPr>
      </w:pPr>
    </w:p>
    <w:p>
      <w:pPr>
        <w:pStyle w:val="BodyText"/>
        <w:spacing w:line="276" w:lineRule="auto" w:before="75"/>
        <w:ind w:left="525" w:right="730"/>
        <w:jc w:val="both"/>
      </w:pPr>
      <w:r>
        <w:rPr/>
        <w:t>tilpasse K-værdierne. Men, hvis store fejl skyldes observationsfejl, randbetingelser eller lo- kale geologiske forhold, som ikke er repræsenteret i den regionale geologiske model, er det ikke ønskværdigt at tvinge parametrene til en minimering/kompensation af disse fejl. En så- dan parameter kompensation vil dels være ødelæggende for kalibreringen i forhold til andre steder i modellen og dels vil det medvirke til en underestimering af fejlen, der hvor der er strukturelle fejl i f.eks. geologien. Ved en accept af strukturelle fejl og mangler i modellen vil man derfor kunne optimere K-værdierne, så de tilgodeser det store flertal af pejledata </w:t>
      </w:r>
      <w:r>
        <w:rPr>
          <w:spacing w:val="-3"/>
        </w:rPr>
        <w:t>som </w:t>
      </w:r>
      <w:r>
        <w:rPr/>
        <w:t>passer ind i modellens struktur samtidigt med at de områder, hvor modellen har begræns- ninger</w:t>
      </w:r>
      <w:r>
        <w:rPr>
          <w:spacing w:val="-9"/>
        </w:rPr>
        <w:t> </w:t>
      </w:r>
      <w:r>
        <w:rPr/>
        <w:t>træder</w:t>
      </w:r>
      <w:r>
        <w:rPr>
          <w:spacing w:val="-9"/>
        </w:rPr>
        <w:t> </w:t>
      </w:r>
      <w:r>
        <w:rPr/>
        <w:t>tydeligt</w:t>
      </w:r>
      <w:r>
        <w:rPr>
          <w:spacing w:val="-8"/>
        </w:rPr>
        <w:t> </w:t>
      </w:r>
      <w:r>
        <w:rPr/>
        <w:t>frem</w:t>
      </w:r>
      <w:r>
        <w:rPr>
          <w:spacing w:val="-9"/>
        </w:rPr>
        <w:t> </w:t>
      </w:r>
      <w:r>
        <w:rPr/>
        <w:t>ved</w:t>
      </w:r>
      <w:r>
        <w:rPr>
          <w:spacing w:val="-6"/>
        </w:rPr>
        <w:t> </w:t>
      </w:r>
      <w:r>
        <w:rPr/>
        <w:t>store</w:t>
      </w:r>
      <w:r>
        <w:rPr>
          <w:spacing w:val="-8"/>
        </w:rPr>
        <w:t> </w:t>
      </w:r>
      <w:r>
        <w:rPr/>
        <w:t>systematiske</w:t>
      </w:r>
      <w:r>
        <w:rPr>
          <w:spacing w:val="-8"/>
        </w:rPr>
        <w:t> </w:t>
      </w:r>
      <w:r>
        <w:rPr/>
        <w:t>fejl</w:t>
      </w:r>
      <w:r>
        <w:rPr>
          <w:spacing w:val="-8"/>
        </w:rPr>
        <w:t> </w:t>
      </w:r>
      <w:r>
        <w:rPr/>
        <w:t>forårsaget</w:t>
      </w:r>
      <w:r>
        <w:rPr>
          <w:spacing w:val="-8"/>
        </w:rPr>
        <w:t> </w:t>
      </w:r>
      <w:r>
        <w:rPr/>
        <w:t>af</w:t>
      </w:r>
      <w:r>
        <w:rPr>
          <w:spacing w:val="-7"/>
        </w:rPr>
        <w:t> </w:t>
      </w:r>
      <w:r>
        <w:rPr/>
        <w:t>f.eks.</w:t>
      </w:r>
      <w:r>
        <w:rPr>
          <w:spacing w:val="-8"/>
        </w:rPr>
        <w:t> </w:t>
      </w:r>
      <w:r>
        <w:rPr/>
        <w:t>mangler</w:t>
      </w:r>
      <w:r>
        <w:rPr>
          <w:spacing w:val="-9"/>
        </w:rPr>
        <w:t> </w:t>
      </w:r>
      <w:r>
        <w:rPr/>
        <w:t>i</w:t>
      </w:r>
      <w:r>
        <w:rPr>
          <w:spacing w:val="-8"/>
        </w:rPr>
        <w:t> </w:t>
      </w:r>
      <w:r>
        <w:rPr/>
        <w:t>den</w:t>
      </w:r>
      <w:r>
        <w:rPr>
          <w:spacing w:val="-4"/>
        </w:rPr>
        <w:t> </w:t>
      </w:r>
      <w:r>
        <w:rPr/>
        <w:t>geo- logiske model eller forkerte</w:t>
      </w:r>
      <w:r>
        <w:rPr>
          <w:spacing w:val="-7"/>
        </w:rPr>
        <w:t> </w:t>
      </w:r>
      <w:r>
        <w:rPr/>
        <w:t>randbetingelser.</w:t>
      </w:r>
    </w:p>
    <w:p>
      <w:pPr>
        <w:pStyle w:val="BodyText"/>
        <w:spacing w:line="276" w:lineRule="auto" w:before="161"/>
        <w:ind w:left="525" w:right="730"/>
        <w:jc w:val="both"/>
      </w:pPr>
      <w:r>
        <w:rPr/>
        <w:t>En anden mulighed for at imødekomme de ovenfor skitserede udfordringer kunne være at lave en udvælgelse af pejleboringer forud for kalibrering. Således kunne man reducere den tidslige opløsning på pejletidsserier, udvælge enkelte boringer fra en ’cluster’ af boringer og fjerne</w:t>
      </w:r>
      <w:r>
        <w:rPr>
          <w:spacing w:val="-8"/>
        </w:rPr>
        <w:t> </w:t>
      </w:r>
      <w:r>
        <w:rPr/>
        <w:t>’outliers’</w:t>
      </w:r>
      <w:r>
        <w:rPr>
          <w:spacing w:val="-5"/>
        </w:rPr>
        <w:t> </w:t>
      </w:r>
      <w:r>
        <w:rPr/>
        <w:t>i</w:t>
      </w:r>
      <w:r>
        <w:rPr>
          <w:spacing w:val="-6"/>
        </w:rPr>
        <w:t> </w:t>
      </w:r>
      <w:r>
        <w:rPr/>
        <w:t>datasættet.</w:t>
      </w:r>
      <w:r>
        <w:rPr>
          <w:spacing w:val="-9"/>
        </w:rPr>
        <w:t> </w:t>
      </w:r>
      <w:r>
        <w:rPr/>
        <w:t>Dels</w:t>
      </w:r>
      <w:r>
        <w:rPr>
          <w:spacing w:val="-7"/>
        </w:rPr>
        <w:t> </w:t>
      </w:r>
      <w:r>
        <w:rPr/>
        <w:t>er</w:t>
      </w:r>
      <w:r>
        <w:rPr>
          <w:spacing w:val="-8"/>
        </w:rPr>
        <w:t> </w:t>
      </w:r>
      <w:r>
        <w:rPr/>
        <w:t>det</w:t>
      </w:r>
      <w:r>
        <w:rPr>
          <w:spacing w:val="-8"/>
        </w:rPr>
        <w:t> </w:t>
      </w:r>
      <w:r>
        <w:rPr/>
        <w:t>altid</w:t>
      </w:r>
      <w:r>
        <w:rPr>
          <w:spacing w:val="-9"/>
        </w:rPr>
        <w:t> </w:t>
      </w:r>
      <w:r>
        <w:rPr/>
        <w:t>problematisk</w:t>
      </w:r>
      <w:r>
        <w:rPr>
          <w:spacing w:val="-6"/>
        </w:rPr>
        <w:t> </w:t>
      </w:r>
      <w:r>
        <w:rPr/>
        <w:t>at</w:t>
      </w:r>
      <w:r>
        <w:rPr>
          <w:spacing w:val="-8"/>
        </w:rPr>
        <w:t> </w:t>
      </w:r>
      <w:r>
        <w:rPr/>
        <w:t>fjerne</w:t>
      </w:r>
      <w:r>
        <w:rPr>
          <w:spacing w:val="-7"/>
        </w:rPr>
        <w:t> </w:t>
      </w:r>
      <w:r>
        <w:rPr/>
        <w:t>’outliers’</w:t>
      </w:r>
      <w:r>
        <w:rPr>
          <w:spacing w:val="-5"/>
        </w:rPr>
        <w:t> </w:t>
      </w:r>
      <w:r>
        <w:rPr/>
        <w:t>og</w:t>
      </w:r>
      <w:r>
        <w:rPr>
          <w:spacing w:val="-9"/>
        </w:rPr>
        <w:t> </w:t>
      </w:r>
      <w:r>
        <w:rPr/>
        <w:t>dels</w:t>
      </w:r>
      <w:r>
        <w:rPr>
          <w:spacing w:val="-7"/>
        </w:rPr>
        <w:t> </w:t>
      </w:r>
      <w:r>
        <w:rPr/>
        <w:t>ved</w:t>
      </w:r>
      <w:r>
        <w:rPr>
          <w:spacing w:val="-9"/>
        </w:rPr>
        <w:t> </w:t>
      </w:r>
      <w:r>
        <w:rPr/>
        <w:t>man i sagens natur ikke, hvordan de endelige fejl fordeler sig efter kalibrering ved en sådan ud- vælgelse.</w:t>
      </w:r>
      <w:r>
        <w:rPr>
          <w:spacing w:val="-5"/>
        </w:rPr>
        <w:t> </w:t>
      </w:r>
      <w:r>
        <w:rPr/>
        <w:t>Derfor</w:t>
      </w:r>
      <w:r>
        <w:rPr>
          <w:spacing w:val="-3"/>
        </w:rPr>
        <w:t> </w:t>
      </w:r>
      <w:r>
        <w:rPr/>
        <w:t>vurderer</w:t>
      </w:r>
      <w:r>
        <w:rPr>
          <w:spacing w:val="-3"/>
        </w:rPr>
        <w:t> </w:t>
      </w:r>
      <w:r>
        <w:rPr/>
        <w:t>vi,</w:t>
      </w:r>
      <w:r>
        <w:rPr>
          <w:spacing w:val="-4"/>
        </w:rPr>
        <w:t> </w:t>
      </w:r>
      <w:r>
        <w:rPr/>
        <w:t>at</w:t>
      </w:r>
      <w:r>
        <w:rPr>
          <w:spacing w:val="-1"/>
        </w:rPr>
        <w:t> </w:t>
      </w:r>
      <w:r>
        <w:rPr/>
        <w:t>den</w:t>
      </w:r>
      <w:r>
        <w:rPr>
          <w:spacing w:val="-2"/>
        </w:rPr>
        <w:t> </w:t>
      </w:r>
      <w:r>
        <w:rPr/>
        <w:t>bedste</w:t>
      </w:r>
      <w:r>
        <w:rPr>
          <w:spacing w:val="-3"/>
        </w:rPr>
        <w:t> </w:t>
      </w:r>
      <w:r>
        <w:rPr/>
        <w:t>strategi</w:t>
      </w:r>
      <w:r>
        <w:rPr>
          <w:spacing w:val="-2"/>
        </w:rPr>
        <w:t> </w:t>
      </w:r>
      <w:r>
        <w:rPr/>
        <w:t>er</w:t>
      </w:r>
      <w:r>
        <w:rPr>
          <w:spacing w:val="-4"/>
        </w:rPr>
        <w:t> </w:t>
      </w:r>
      <w:r>
        <w:rPr/>
        <w:t>at</w:t>
      </w:r>
      <w:r>
        <w:rPr>
          <w:spacing w:val="-4"/>
        </w:rPr>
        <w:t> </w:t>
      </w:r>
      <w:r>
        <w:rPr/>
        <w:t>inkludere</w:t>
      </w:r>
      <w:r>
        <w:rPr>
          <w:spacing w:val="-3"/>
        </w:rPr>
        <w:t> </w:t>
      </w:r>
      <w:r>
        <w:rPr/>
        <w:t>alt</w:t>
      </w:r>
      <w:r>
        <w:rPr>
          <w:spacing w:val="-4"/>
        </w:rPr>
        <w:t> </w:t>
      </w:r>
      <w:r>
        <w:rPr/>
        <w:t>data</w:t>
      </w:r>
      <w:r>
        <w:rPr>
          <w:spacing w:val="-1"/>
        </w:rPr>
        <w:t> </w:t>
      </w:r>
      <w:r>
        <w:rPr/>
        <w:t>(bortset</w:t>
      </w:r>
      <w:r>
        <w:rPr>
          <w:spacing w:val="-4"/>
        </w:rPr>
        <w:t> </w:t>
      </w:r>
      <w:r>
        <w:rPr/>
        <w:t>fra</w:t>
      </w:r>
      <w:r>
        <w:rPr>
          <w:spacing w:val="-3"/>
        </w:rPr>
        <w:t> </w:t>
      </w:r>
      <w:r>
        <w:rPr/>
        <w:t>åben- lyse observationsfejl), men til gengæld acceptere at en vis fraktion repræsenterer pejlinger, som ikke harmonerer med modelkonceptet og som derfor ikke skal ”ødelægge” parameter optimeringen for de pejlinger som harmonerer med modelkonceptet. Samtlige målinger ind- går</w:t>
      </w:r>
      <w:r>
        <w:rPr>
          <w:spacing w:val="-7"/>
        </w:rPr>
        <w:t> </w:t>
      </w:r>
      <w:r>
        <w:rPr/>
        <w:t>i</w:t>
      </w:r>
      <w:r>
        <w:rPr>
          <w:spacing w:val="-6"/>
        </w:rPr>
        <w:t> </w:t>
      </w:r>
      <w:r>
        <w:rPr/>
        <w:t>øvrigt</w:t>
      </w:r>
      <w:r>
        <w:rPr>
          <w:spacing w:val="-8"/>
        </w:rPr>
        <w:t> </w:t>
      </w:r>
      <w:r>
        <w:rPr/>
        <w:t>i</w:t>
      </w:r>
      <w:r>
        <w:rPr>
          <w:spacing w:val="-6"/>
        </w:rPr>
        <w:t> </w:t>
      </w:r>
      <w:r>
        <w:rPr/>
        <w:t>valideringen</w:t>
      </w:r>
      <w:r>
        <w:rPr>
          <w:spacing w:val="-6"/>
        </w:rPr>
        <w:t> </w:t>
      </w:r>
      <w:r>
        <w:rPr/>
        <w:t>af</w:t>
      </w:r>
      <w:r>
        <w:rPr>
          <w:spacing w:val="-8"/>
        </w:rPr>
        <w:t> </w:t>
      </w:r>
      <w:r>
        <w:rPr/>
        <w:t>modellen</w:t>
      </w:r>
      <w:r>
        <w:rPr>
          <w:spacing w:val="-7"/>
        </w:rPr>
        <w:t> </w:t>
      </w:r>
      <w:r>
        <w:rPr/>
        <w:t>og</w:t>
      </w:r>
      <w:r>
        <w:rPr>
          <w:spacing w:val="-7"/>
        </w:rPr>
        <w:t> </w:t>
      </w:r>
      <w:r>
        <w:rPr/>
        <w:t>udfra</w:t>
      </w:r>
      <w:r>
        <w:rPr>
          <w:spacing w:val="-7"/>
        </w:rPr>
        <w:t> </w:t>
      </w:r>
      <w:r>
        <w:rPr/>
        <w:t>afvigelser</w:t>
      </w:r>
      <w:r>
        <w:rPr>
          <w:spacing w:val="-7"/>
        </w:rPr>
        <w:t> </w:t>
      </w:r>
      <w:r>
        <w:rPr/>
        <w:t>kan</w:t>
      </w:r>
      <w:r>
        <w:rPr>
          <w:spacing w:val="-7"/>
        </w:rPr>
        <w:t> </w:t>
      </w:r>
      <w:r>
        <w:rPr/>
        <w:t>evt.</w:t>
      </w:r>
      <w:r>
        <w:rPr>
          <w:spacing w:val="-8"/>
        </w:rPr>
        <w:t> </w:t>
      </w:r>
      <w:r>
        <w:rPr/>
        <w:t>problemområder</w:t>
      </w:r>
      <w:r>
        <w:rPr>
          <w:spacing w:val="-7"/>
        </w:rPr>
        <w:t> </w:t>
      </w:r>
      <w:r>
        <w:rPr/>
        <w:t>identifice- res.</w:t>
      </w:r>
      <w:r>
        <w:rPr>
          <w:spacing w:val="-17"/>
        </w:rPr>
        <w:t> </w:t>
      </w:r>
      <w:r>
        <w:rPr/>
        <w:t>Desuden</w:t>
      </w:r>
      <w:r>
        <w:rPr>
          <w:spacing w:val="-16"/>
        </w:rPr>
        <w:t> </w:t>
      </w:r>
      <w:r>
        <w:rPr/>
        <w:t>giver</w:t>
      </w:r>
      <w:r>
        <w:rPr>
          <w:spacing w:val="-16"/>
        </w:rPr>
        <w:t> </w:t>
      </w:r>
      <w:r>
        <w:rPr/>
        <w:t>de</w:t>
      </w:r>
      <w:r>
        <w:rPr>
          <w:spacing w:val="-15"/>
        </w:rPr>
        <w:t> </w:t>
      </w:r>
      <w:r>
        <w:rPr/>
        <w:t>store</w:t>
      </w:r>
      <w:r>
        <w:rPr>
          <w:spacing w:val="-16"/>
        </w:rPr>
        <w:t> </w:t>
      </w:r>
      <w:r>
        <w:rPr/>
        <w:t>fejl</w:t>
      </w:r>
      <w:r>
        <w:rPr>
          <w:spacing w:val="-15"/>
        </w:rPr>
        <w:t> </w:t>
      </w:r>
      <w:r>
        <w:rPr/>
        <w:t>efter</w:t>
      </w:r>
      <w:r>
        <w:rPr>
          <w:spacing w:val="-16"/>
        </w:rPr>
        <w:t> </w:t>
      </w:r>
      <w:r>
        <w:rPr/>
        <w:t>endt</w:t>
      </w:r>
      <w:r>
        <w:rPr>
          <w:spacing w:val="-16"/>
        </w:rPr>
        <w:t> </w:t>
      </w:r>
      <w:r>
        <w:rPr/>
        <w:t>kalibrering</w:t>
      </w:r>
      <w:r>
        <w:rPr>
          <w:spacing w:val="-18"/>
        </w:rPr>
        <w:t> </w:t>
      </w:r>
      <w:r>
        <w:rPr/>
        <w:t>værdifuld</w:t>
      </w:r>
      <w:r>
        <w:rPr>
          <w:spacing w:val="-16"/>
        </w:rPr>
        <w:t> </w:t>
      </w:r>
      <w:r>
        <w:rPr/>
        <w:t>information</w:t>
      </w:r>
      <w:r>
        <w:rPr>
          <w:spacing w:val="-16"/>
        </w:rPr>
        <w:t> </w:t>
      </w:r>
      <w:r>
        <w:rPr/>
        <w:t>om,</w:t>
      </w:r>
      <w:r>
        <w:rPr>
          <w:spacing w:val="-17"/>
        </w:rPr>
        <w:t> </w:t>
      </w:r>
      <w:r>
        <w:rPr/>
        <w:t>hvor</w:t>
      </w:r>
      <w:r>
        <w:rPr>
          <w:spacing w:val="-16"/>
        </w:rPr>
        <w:t> </w:t>
      </w:r>
      <w:r>
        <w:rPr/>
        <w:t>modellen skal</w:t>
      </w:r>
      <w:r>
        <w:rPr>
          <w:spacing w:val="-6"/>
        </w:rPr>
        <w:t> </w:t>
      </w:r>
      <w:r>
        <w:rPr/>
        <w:t>forbedres</w:t>
      </w:r>
      <w:r>
        <w:rPr>
          <w:spacing w:val="-6"/>
        </w:rPr>
        <w:t> </w:t>
      </w:r>
      <w:r>
        <w:rPr/>
        <w:t>i</w:t>
      </w:r>
      <w:r>
        <w:rPr>
          <w:spacing w:val="-5"/>
        </w:rPr>
        <w:t> </w:t>
      </w:r>
      <w:r>
        <w:rPr/>
        <w:t>forhold</w:t>
      </w:r>
      <w:r>
        <w:rPr>
          <w:spacing w:val="-7"/>
        </w:rPr>
        <w:t> </w:t>
      </w:r>
      <w:r>
        <w:rPr/>
        <w:t>til</w:t>
      </w:r>
      <w:r>
        <w:rPr>
          <w:spacing w:val="-5"/>
        </w:rPr>
        <w:t> </w:t>
      </w:r>
      <w:r>
        <w:rPr/>
        <w:t>geologi</w:t>
      </w:r>
      <w:r>
        <w:rPr>
          <w:spacing w:val="-5"/>
        </w:rPr>
        <w:t> </w:t>
      </w:r>
      <w:r>
        <w:rPr/>
        <w:t>og</w:t>
      </w:r>
      <w:r>
        <w:rPr>
          <w:spacing w:val="-7"/>
        </w:rPr>
        <w:t> </w:t>
      </w:r>
      <w:r>
        <w:rPr/>
        <w:t>randbetingelser,</w:t>
      </w:r>
      <w:r>
        <w:rPr>
          <w:spacing w:val="-7"/>
        </w:rPr>
        <w:t> </w:t>
      </w:r>
      <w:r>
        <w:rPr/>
        <w:t>hvis</w:t>
      </w:r>
      <w:r>
        <w:rPr>
          <w:spacing w:val="-6"/>
        </w:rPr>
        <w:t> </w:t>
      </w:r>
      <w:r>
        <w:rPr/>
        <w:t>en</w:t>
      </w:r>
      <w:r>
        <w:rPr>
          <w:spacing w:val="-7"/>
        </w:rPr>
        <w:t> </w:t>
      </w:r>
      <w:r>
        <w:rPr/>
        <w:t>endnu</w:t>
      </w:r>
      <w:r>
        <w:rPr>
          <w:spacing w:val="-6"/>
        </w:rPr>
        <w:t> </w:t>
      </w:r>
      <w:r>
        <w:rPr/>
        <w:t>bedre</w:t>
      </w:r>
      <w:r>
        <w:rPr>
          <w:spacing w:val="-6"/>
        </w:rPr>
        <w:t> </w:t>
      </w:r>
      <w:r>
        <w:rPr/>
        <w:t>performance</w:t>
      </w:r>
      <w:r>
        <w:rPr>
          <w:spacing w:val="-6"/>
        </w:rPr>
        <w:t> </w:t>
      </w:r>
      <w:r>
        <w:rPr/>
        <w:t>skal opnås. Det større antal pejlinger med Regionernes data vil her give en forbedret mulighed for at validere modellen og</w:t>
      </w:r>
      <w:r>
        <w:rPr>
          <w:spacing w:val="-12"/>
        </w:rPr>
        <w:t> </w:t>
      </w:r>
      <w:r>
        <w:rPr/>
        <w:t>”gennemsigtigheden”.</w:t>
      </w:r>
    </w:p>
    <w:p>
      <w:pPr>
        <w:pStyle w:val="Heading5"/>
        <w:spacing w:before="159"/>
        <w:jc w:val="both"/>
        <w:rPr>
          <w:i/>
        </w:rPr>
      </w:pPr>
      <w:r>
        <w:rPr>
          <w:i/>
        </w:rPr>
        <w:t>Test af CRPS konceptet</w:t>
      </w:r>
    </w:p>
    <w:p>
      <w:pPr>
        <w:pStyle w:val="BodyText"/>
        <w:spacing w:line="276" w:lineRule="auto" w:before="49"/>
        <w:ind w:left="525" w:right="732"/>
        <w:jc w:val="both"/>
      </w:pPr>
      <w:r>
        <w:rPr/>
        <w:t>Inden den endelige formulering af performance statistik og valg af objektiv funktioner er der foretaget en test af CRPS metoden. Denne test er udført på 500 m modellen for Storå og omfatter en sammenligning mellem CRPS og den klassiske sum af kvadrerede fejl metode (SQE) og ikke kvadrerede (”middel absolut fejl” dvs. mean absolute error, MAE) metode.</w:t>
      </w:r>
    </w:p>
    <w:p>
      <w:pPr>
        <w:pStyle w:val="BodyText"/>
        <w:spacing w:line="276" w:lineRule="auto" w:before="159"/>
        <w:ind w:left="525" w:right="732"/>
        <w:jc w:val="both"/>
      </w:pPr>
      <w:r>
        <w:rPr/>
        <w:t>Både</w:t>
      </w:r>
      <w:r>
        <w:rPr>
          <w:spacing w:val="-13"/>
        </w:rPr>
        <w:t> </w:t>
      </w:r>
      <w:r>
        <w:rPr/>
        <w:t>SQE</w:t>
      </w:r>
      <w:r>
        <w:rPr>
          <w:spacing w:val="-13"/>
        </w:rPr>
        <w:t> </w:t>
      </w:r>
      <w:r>
        <w:rPr/>
        <w:t>og</w:t>
      </w:r>
      <w:r>
        <w:rPr>
          <w:spacing w:val="-13"/>
        </w:rPr>
        <w:t> </w:t>
      </w:r>
      <w:r>
        <w:rPr/>
        <w:t>MAE</w:t>
      </w:r>
      <w:r>
        <w:rPr>
          <w:spacing w:val="-15"/>
        </w:rPr>
        <w:t> </w:t>
      </w:r>
      <w:r>
        <w:rPr/>
        <w:t>kriterierne</w:t>
      </w:r>
      <w:r>
        <w:rPr>
          <w:spacing w:val="-13"/>
        </w:rPr>
        <w:t> </w:t>
      </w:r>
      <w:r>
        <w:rPr/>
        <w:t>har</w:t>
      </w:r>
      <w:r>
        <w:rPr>
          <w:spacing w:val="-14"/>
        </w:rPr>
        <w:t> </w:t>
      </w:r>
      <w:r>
        <w:rPr/>
        <w:t>en</w:t>
      </w:r>
      <w:r>
        <w:rPr>
          <w:spacing w:val="-12"/>
        </w:rPr>
        <w:t> </w:t>
      </w:r>
      <w:r>
        <w:rPr/>
        <w:t>tendens</w:t>
      </w:r>
      <w:r>
        <w:rPr>
          <w:spacing w:val="-13"/>
        </w:rPr>
        <w:t> </w:t>
      </w:r>
      <w:r>
        <w:rPr/>
        <w:t>til</w:t>
      </w:r>
      <w:r>
        <w:rPr>
          <w:spacing w:val="-12"/>
        </w:rPr>
        <w:t> </w:t>
      </w:r>
      <w:r>
        <w:rPr/>
        <w:t>at</w:t>
      </w:r>
      <w:r>
        <w:rPr>
          <w:spacing w:val="-14"/>
        </w:rPr>
        <w:t> </w:t>
      </w:r>
      <w:r>
        <w:rPr/>
        <w:t>favorisere</w:t>
      </w:r>
      <w:r>
        <w:rPr>
          <w:spacing w:val="-13"/>
        </w:rPr>
        <w:t> </w:t>
      </w:r>
      <w:r>
        <w:rPr/>
        <w:t>de</w:t>
      </w:r>
      <w:r>
        <w:rPr>
          <w:spacing w:val="-13"/>
        </w:rPr>
        <w:t> </w:t>
      </w:r>
      <w:r>
        <w:rPr/>
        <w:t>største</w:t>
      </w:r>
      <w:r>
        <w:rPr>
          <w:spacing w:val="-12"/>
        </w:rPr>
        <w:t> </w:t>
      </w:r>
      <w:r>
        <w:rPr/>
        <w:t>fejl</w:t>
      </w:r>
      <w:r>
        <w:rPr>
          <w:spacing w:val="-12"/>
        </w:rPr>
        <w:t> </w:t>
      </w:r>
      <w:r>
        <w:rPr/>
        <w:t>under</w:t>
      </w:r>
      <w:r>
        <w:rPr>
          <w:spacing w:val="-14"/>
        </w:rPr>
        <w:t> </w:t>
      </w:r>
      <w:r>
        <w:rPr/>
        <w:t>kalibrering, og</w:t>
      </w:r>
      <w:r>
        <w:rPr>
          <w:spacing w:val="-8"/>
        </w:rPr>
        <w:t> </w:t>
      </w:r>
      <w:r>
        <w:rPr/>
        <w:t>desuden</w:t>
      </w:r>
      <w:r>
        <w:rPr>
          <w:spacing w:val="-10"/>
        </w:rPr>
        <w:t> </w:t>
      </w:r>
      <w:r>
        <w:rPr/>
        <w:t>garanterer</w:t>
      </w:r>
      <w:r>
        <w:rPr>
          <w:spacing w:val="-8"/>
        </w:rPr>
        <w:t> </w:t>
      </w:r>
      <w:r>
        <w:rPr/>
        <w:t>de</w:t>
      </w:r>
      <w:r>
        <w:rPr>
          <w:spacing w:val="-13"/>
        </w:rPr>
        <w:t> </w:t>
      </w:r>
      <w:r>
        <w:rPr/>
        <w:t>ikke</w:t>
      </w:r>
      <w:r>
        <w:rPr>
          <w:spacing w:val="-10"/>
        </w:rPr>
        <w:t> </w:t>
      </w:r>
      <w:r>
        <w:rPr/>
        <w:t>en</w:t>
      </w:r>
      <w:r>
        <w:rPr>
          <w:spacing w:val="-10"/>
        </w:rPr>
        <w:t> </w:t>
      </w:r>
      <w:r>
        <w:rPr/>
        <w:t>minimering</w:t>
      </w:r>
      <w:r>
        <w:rPr>
          <w:spacing w:val="-10"/>
        </w:rPr>
        <w:t> </w:t>
      </w:r>
      <w:r>
        <w:rPr/>
        <w:t>af</w:t>
      </w:r>
      <w:r>
        <w:rPr>
          <w:spacing w:val="-6"/>
        </w:rPr>
        <w:t> </w:t>
      </w:r>
      <w:r>
        <w:rPr/>
        <w:t>bias.</w:t>
      </w:r>
      <w:r>
        <w:rPr>
          <w:spacing w:val="-12"/>
        </w:rPr>
        <w:t> </w:t>
      </w:r>
      <w:r>
        <w:rPr/>
        <w:t>Desuden</w:t>
      </w:r>
      <w:r>
        <w:rPr>
          <w:spacing w:val="-7"/>
        </w:rPr>
        <w:t> </w:t>
      </w:r>
      <w:r>
        <w:rPr/>
        <w:t>er</w:t>
      </w:r>
      <w:r>
        <w:rPr>
          <w:spacing w:val="-11"/>
        </w:rPr>
        <w:t> </w:t>
      </w:r>
      <w:r>
        <w:rPr/>
        <w:t>der</w:t>
      </w:r>
      <w:r>
        <w:rPr>
          <w:spacing w:val="-9"/>
        </w:rPr>
        <w:t> </w:t>
      </w:r>
      <w:r>
        <w:rPr/>
        <w:t>udført</w:t>
      </w:r>
      <w:r>
        <w:rPr>
          <w:spacing w:val="-9"/>
        </w:rPr>
        <w:t> </w:t>
      </w:r>
      <w:r>
        <w:rPr/>
        <w:t>en</w:t>
      </w:r>
      <w:r>
        <w:rPr>
          <w:spacing w:val="-13"/>
        </w:rPr>
        <w:t> </w:t>
      </w:r>
      <w:r>
        <w:rPr/>
        <w:t>test</w:t>
      </w:r>
      <w:r>
        <w:rPr>
          <w:spacing w:val="-8"/>
        </w:rPr>
        <w:t> </w:t>
      </w:r>
      <w:r>
        <w:rPr/>
        <w:t>for,</w:t>
      </w:r>
      <w:r>
        <w:rPr>
          <w:spacing w:val="-10"/>
        </w:rPr>
        <w:t> </w:t>
      </w:r>
      <w:r>
        <w:rPr/>
        <w:t>hvad valg</w:t>
      </w:r>
      <w:r>
        <w:rPr>
          <w:spacing w:val="-14"/>
        </w:rPr>
        <w:t> </w:t>
      </w:r>
      <w:r>
        <w:rPr/>
        <w:t>af</w:t>
      </w:r>
      <w:r>
        <w:rPr>
          <w:spacing w:val="-12"/>
        </w:rPr>
        <w:t> </w:t>
      </w:r>
      <w:r>
        <w:rPr/>
        <w:t>procentfraktil</w:t>
      </w:r>
      <w:r>
        <w:rPr>
          <w:spacing w:val="-12"/>
        </w:rPr>
        <w:t> </w:t>
      </w:r>
      <w:r>
        <w:rPr/>
        <w:t>betyder</w:t>
      </w:r>
      <w:r>
        <w:rPr>
          <w:spacing w:val="-14"/>
        </w:rPr>
        <w:t> </w:t>
      </w:r>
      <w:r>
        <w:rPr/>
        <w:t>for</w:t>
      </w:r>
      <w:r>
        <w:rPr>
          <w:spacing w:val="-17"/>
        </w:rPr>
        <w:t> </w:t>
      </w:r>
      <w:r>
        <w:rPr/>
        <w:t>kalibrering</w:t>
      </w:r>
      <w:r>
        <w:rPr>
          <w:spacing w:val="-16"/>
        </w:rPr>
        <w:t> </w:t>
      </w:r>
      <w:r>
        <w:rPr/>
        <w:t>med</w:t>
      </w:r>
      <w:r>
        <w:rPr>
          <w:spacing w:val="-15"/>
        </w:rPr>
        <w:t> </w:t>
      </w:r>
      <w:r>
        <w:rPr/>
        <w:t>CRPS</w:t>
      </w:r>
      <w:r>
        <w:rPr>
          <w:spacing w:val="-13"/>
        </w:rPr>
        <w:t> </w:t>
      </w:r>
      <w:r>
        <w:rPr/>
        <w:t>metoden,</w:t>
      </w:r>
      <w:r>
        <w:rPr>
          <w:spacing w:val="-15"/>
        </w:rPr>
        <w:t> </w:t>
      </w:r>
      <w:r>
        <w:rPr/>
        <w:t>ved</w:t>
      </w:r>
      <w:r>
        <w:rPr>
          <w:spacing w:val="-13"/>
        </w:rPr>
        <w:t> </w:t>
      </w:r>
      <w:r>
        <w:rPr/>
        <w:t>at</w:t>
      </w:r>
      <w:r>
        <w:rPr>
          <w:spacing w:val="-14"/>
        </w:rPr>
        <w:t> </w:t>
      </w:r>
      <w:r>
        <w:rPr/>
        <w:t>kalibrerede</w:t>
      </w:r>
      <w:r>
        <w:rPr>
          <w:spacing w:val="-15"/>
        </w:rPr>
        <w:t> </w:t>
      </w:r>
      <w:r>
        <w:rPr/>
        <w:t>med</w:t>
      </w:r>
      <w:r>
        <w:rPr>
          <w:spacing w:val="-15"/>
        </w:rPr>
        <w:t> </w:t>
      </w:r>
      <w:r>
        <w:rPr/>
        <w:t>hhv. 100%, 90% og 80% som fraktilværdi. </w:t>
      </w:r>
      <w:hyperlink w:history="true" w:anchor="_bookmark49">
        <w:r>
          <w:rPr/>
          <w:t>Figur 34 </w:t>
        </w:r>
      </w:hyperlink>
      <w:r>
        <w:rPr/>
        <w:t>viser de sorterede kurver for kalibrering mod hhv. SQE, MAE og CRPS90%. Det fremgår tydeligt af </w:t>
      </w:r>
      <w:hyperlink w:history="true" w:anchor="_bookmark49">
        <w:r>
          <w:rPr/>
          <w:t>figur 34 </w:t>
        </w:r>
      </w:hyperlink>
      <w:r>
        <w:rPr/>
        <w:t>og </w:t>
      </w:r>
      <w:hyperlink w:history="true" w:anchor="_bookmark50">
        <w:r>
          <w:rPr/>
          <w:t>tabel 6 </w:t>
        </w:r>
      </w:hyperlink>
      <w:r>
        <w:rPr/>
        <w:t>at CRPS metoden sikrer mindre bias og en større andel af grids med en fejl under f.eks. 3</w:t>
      </w:r>
      <w:r>
        <w:rPr>
          <w:spacing w:val="-14"/>
        </w:rPr>
        <w:t> </w:t>
      </w:r>
      <w:r>
        <w:rPr/>
        <w:t>m.</w:t>
      </w:r>
    </w:p>
    <w:p>
      <w:pPr>
        <w:pStyle w:val="BodyText"/>
        <w:spacing w:line="276" w:lineRule="auto" w:before="160"/>
        <w:ind w:left="525" w:right="732"/>
        <w:jc w:val="both"/>
      </w:pPr>
      <w:hyperlink w:history="true" w:anchor="_bookmark51">
        <w:r>
          <w:rPr/>
          <w:t>Figur 35 </w:t>
        </w:r>
      </w:hyperlink>
      <w:r>
        <w:rPr/>
        <w:t>viser resultaterne for tre kalibreringer med varierende procentfraktil for CRPS me- toden. Her ses det at ved anvendelse af 80% og 90% opnås en smule mindre bias end ved anvendelse</w:t>
      </w:r>
      <w:r>
        <w:rPr>
          <w:spacing w:val="-16"/>
        </w:rPr>
        <w:t> </w:t>
      </w:r>
      <w:r>
        <w:rPr/>
        <w:t>af</w:t>
      </w:r>
      <w:r>
        <w:rPr>
          <w:spacing w:val="-14"/>
        </w:rPr>
        <w:t> </w:t>
      </w:r>
      <w:r>
        <w:rPr/>
        <w:t>alle</w:t>
      </w:r>
      <w:r>
        <w:rPr>
          <w:spacing w:val="-16"/>
        </w:rPr>
        <w:t> </w:t>
      </w:r>
      <w:r>
        <w:rPr/>
        <w:t>grids</w:t>
      </w:r>
      <w:r>
        <w:rPr>
          <w:spacing w:val="-16"/>
        </w:rPr>
        <w:t> </w:t>
      </w:r>
      <w:r>
        <w:rPr/>
        <w:t>(100%).</w:t>
      </w:r>
      <w:r>
        <w:rPr>
          <w:spacing w:val="-17"/>
        </w:rPr>
        <w:t> </w:t>
      </w:r>
      <w:r>
        <w:rPr/>
        <w:t>På</w:t>
      </w:r>
      <w:r>
        <w:rPr>
          <w:spacing w:val="-16"/>
        </w:rPr>
        <w:t> </w:t>
      </w:r>
      <w:r>
        <w:rPr/>
        <w:t>baggrund</w:t>
      </w:r>
      <w:r>
        <w:rPr>
          <w:spacing w:val="-15"/>
        </w:rPr>
        <w:t> </w:t>
      </w:r>
      <w:r>
        <w:rPr/>
        <w:t>af</w:t>
      </w:r>
      <w:r>
        <w:rPr>
          <w:spacing w:val="-14"/>
        </w:rPr>
        <w:t> </w:t>
      </w:r>
      <w:r>
        <w:rPr/>
        <w:t>disse</w:t>
      </w:r>
      <w:r>
        <w:rPr>
          <w:spacing w:val="-16"/>
        </w:rPr>
        <w:t> </w:t>
      </w:r>
      <w:r>
        <w:rPr/>
        <w:t>resultater</w:t>
      </w:r>
      <w:r>
        <w:rPr>
          <w:spacing w:val="-16"/>
        </w:rPr>
        <w:t> </w:t>
      </w:r>
      <w:r>
        <w:rPr/>
        <w:t>opnået</w:t>
      </w:r>
      <w:r>
        <w:rPr>
          <w:spacing w:val="-16"/>
        </w:rPr>
        <w:t> </w:t>
      </w:r>
      <w:r>
        <w:rPr/>
        <w:t>med</w:t>
      </w:r>
      <w:r>
        <w:rPr>
          <w:spacing w:val="-15"/>
        </w:rPr>
        <w:t> </w:t>
      </w:r>
      <w:r>
        <w:rPr/>
        <w:t>500</w:t>
      </w:r>
      <w:r>
        <w:rPr>
          <w:spacing w:val="-11"/>
        </w:rPr>
        <w:t> </w:t>
      </w:r>
      <w:r>
        <w:rPr/>
        <w:t>m</w:t>
      </w:r>
      <w:r>
        <w:rPr>
          <w:spacing w:val="-14"/>
        </w:rPr>
        <w:t> </w:t>
      </w:r>
      <w:r>
        <w:rPr/>
        <w:t>modellen </w:t>
      </w:r>
      <w:r>
        <w:rPr>
          <w:position w:val="2"/>
        </w:rPr>
        <w:t>for Storå er det besluttet at fortsætte med CRPS</w:t>
      </w:r>
      <w:r>
        <w:rPr>
          <w:sz w:val="14"/>
        </w:rPr>
        <w:t>90% </w:t>
      </w:r>
      <w:r>
        <w:rPr>
          <w:position w:val="2"/>
        </w:rPr>
        <w:t>metoden for kalibrering af</w:t>
      </w:r>
      <w:r>
        <w:rPr>
          <w:spacing w:val="-21"/>
          <w:position w:val="2"/>
        </w:rPr>
        <w:t> </w:t>
      </w:r>
      <w:r>
        <w:rPr>
          <w:position w:val="2"/>
        </w:rPr>
        <w:t>trykniveau.</w:t>
      </w:r>
    </w:p>
    <w:p>
      <w:pPr>
        <w:spacing w:after="0" w:line="276" w:lineRule="auto"/>
        <w:jc w:val="both"/>
        <w:sectPr>
          <w:pgSz w:w="11910" w:h="16850"/>
          <w:pgMar w:header="0" w:footer="857" w:top="1340" w:bottom="1120" w:left="1460" w:right="680"/>
        </w:sectPr>
      </w:pPr>
    </w:p>
    <w:p>
      <w:pPr>
        <w:pStyle w:val="BodyText"/>
        <w:ind w:left="1162"/>
        <w:rPr>
          <w:sz w:val="20"/>
        </w:rPr>
      </w:pPr>
      <w:r>
        <w:rPr>
          <w:sz w:val="20"/>
        </w:rPr>
        <w:drawing>
          <wp:inline distT="0" distB="0" distL="0" distR="0">
            <wp:extent cx="4489463" cy="2256281"/>
            <wp:effectExtent l="0" t="0" r="0" b="0"/>
            <wp:docPr id="71" name="image52.png" descr="Q:\Storaa_calibration_comparison\Figures\figure_SQE_MAE_CRPS.png"/>
            <wp:cNvGraphicFramePr>
              <a:graphicFrameLocks noChangeAspect="1"/>
            </wp:cNvGraphicFramePr>
            <a:graphic>
              <a:graphicData uri="http://schemas.openxmlformats.org/drawingml/2006/picture">
                <pic:pic>
                  <pic:nvPicPr>
                    <pic:cNvPr id="72" name="image52.png"/>
                    <pic:cNvPicPr/>
                  </pic:nvPicPr>
                  <pic:blipFill>
                    <a:blip r:embed="rId58" cstate="print"/>
                    <a:stretch>
                      <a:fillRect/>
                    </a:stretch>
                  </pic:blipFill>
                  <pic:spPr>
                    <a:xfrm>
                      <a:off x="0" y="0"/>
                      <a:ext cx="4489463" cy="2256281"/>
                    </a:xfrm>
                    <a:prstGeom prst="rect">
                      <a:avLst/>
                    </a:prstGeom>
                  </pic:spPr>
                </pic:pic>
              </a:graphicData>
            </a:graphic>
          </wp:inline>
        </w:drawing>
      </w:r>
      <w:r>
        <w:rPr>
          <w:sz w:val="20"/>
        </w:rPr>
      </w:r>
    </w:p>
    <w:p>
      <w:pPr>
        <w:pStyle w:val="BodyText"/>
        <w:spacing w:before="9"/>
        <w:rPr>
          <w:sz w:val="18"/>
        </w:rPr>
      </w:pPr>
    </w:p>
    <w:p>
      <w:pPr>
        <w:spacing w:before="64"/>
        <w:ind w:left="525" w:right="779" w:firstLine="0"/>
        <w:jc w:val="left"/>
        <w:rPr>
          <w:rFonts w:ascii="Calibri"/>
          <w:i/>
          <w:sz w:val="18"/>
        </w:rPr>
      </w:pPr>
      <w:bookmarkStart w:name="_bookmark49" w:id="68"/>
      <w:bookmarkEnd w:id="68"/>
      <w:r>
        <w:rPr/>
      </w:r>
      <w:r>
        <w:rPr>
          <w:rFonts w:ascii="Calibri"/>
          <w:i/>
          <w:color w:val="44536A"/>
          <w:sz w:val="18"/>
        </w:rPr>
        <w:t>Figur 34 Sammenligning af tre forskellige kalbreringsmetoder: SQE (kvadreret fejl akkumulering), MAE (absolut mid- </w:t>
      </w:r>
      <w:r>
        <w:rPr>
          <w:rFonts w:ascii="Calibri"/>
          <w:i/>
          <w:color w:val="44536A"/>
          <w:sz w:val="18"/>
        </w:rPr>
        <w:t>delfejl akkumulering) og CRPS (Continous Ranked Probability Score).</w:t>
      </w:r>
    </w:p>
    <w:p>
      <w:pPr>
        <w:pStyle w:val="BodyText"/>
        <w:spacing w:before="6"/>
        <w:rPr>
          <w:rFonts w:ascii="Calibri"/>
          <w:i/>
          <w:sz w:val="16"/>
        </w:rPr>
      </w:pPr>
    </w:p>
    <w:p>
      <w:pPr>
        <w:spacing w:before="0"/>
        <w:ind w:left="525" w:right="1046" w:firstLine="0"/>
        <w:jc w:val="left"/>
        <w:rPr>
          <w:rFonts w:ascii="Calibri" w:hAnsi="Calibri"/>
          <w:i/>
          <w:sz w:val="18"/>
        </w:rPr>
      </w:pPr>
      <w:bookmarkStart w:name="_bookmark50" w:id="69"/>
      <w:bookmarkEnd w:id="69"/>
      <w:r>
        <w:rPr/>
      </w:r>
      <w:r>
        <w:rPr>
          <w:rFonts w:ascii="Calibri" w:hAnsi="Calibri"/>
          <w:i/>
          <w:color w:val="44536A"/>
          <w:sz w:val="18"/>
        </w:rPr>
        <w:t>Tabel 6 Performance statistik for simuleret trykniveau på modelgrid niveau for de tre kalibreringer (SQE, MAE og </w:t>
      </w:r>
      <w:r>
        <w:rPr>
          <w:rFonts w:ascii="Calibri" w:hAnsi="Calibri"/>
          <w:i/>
          <w:color w:val="44536A"/>
          <w:position w:val="2"/>
          <w:sz w:val="18"/>
        </w:rPr>
        <w:t>CRPS</w:t>
      </w:r>
      <w:r>
        <w:rPr>
          <w:rFonts w:ascii="Calibri" w:hAnsi="Calibri"/>
          <w:i/>
          <w:color w:val="44536A"/>
          <w:sz w:val="12"/>
        </w:rPr>
        <w:t>90%</w:t>
      </w:r>
      <w:r>
        <w:rPr>
          <w:rFonts w:ascii="Calibri" w:hAnsi="Calibri"/>
          <w:i/>
          <w:color w:val="44536A"/>
          <w:position w:val="2"/>
          <w:sz w:val="18"/>
        </w:rPr>
        <w:t>). Statistik er vist samlet for alle pejle data fra Jupiter og Regioner.</w:t>
      </w:r>
    </w:p>
    <w:p>
      <w:pPr>
        <w:pStyle w:val="BodyText"/>
        <w:spacing w:before="11"/>
        <w:rPr>
          <w:rFonts w:ascii="Calibri"/>
          <w:i/>
          <w:sz w:val="15"/>
        </w:r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25"/>
        <w:gridCol w:w="1841"/>
        <w:gridCol w:w="1985"/>
        <w:gridCol w:w="1985"/>
      </w:tblGrid>
      <w:tr>
        <w:trPr>
          <w:trHeight w:val="537" w:hRule="atLeast"/>
        </w:trPr>
        <w:tc>
          <w:tcPr>
            <w:tcW w:w="2125" w:type="dxa"/>
          </w:tcPr>
          <w:p>
            <w:pPr>
              <w:pStyle w:val="TableParagraph"/>
              <w:spacing w:before="11"/>
              <w:jc w:val="left"/>
              <w:rPr>
                <w:rFonts w:ascii="Calibri"/>
                <w:i/>
                <w:sz w:val="21"/>
              </w:rPr>
            </w:pPr>
          </w:p>
          <w:p>
            <w:pPr>
              <w:pStyle w:val="TableParagraph"/>
              <w:spacing w:line="249" w:lineRule="exact"/>
              <w:ind w:left="107"/>
              <w:jc w:val="left"/>
              <w:rPr>
                <w:rFonts w:ascii="Calibri"/>
                <w:b/>
                <w:sz w:val="22"/>
              </w:rPr>
            </w:pPr>
            <w:r>
              <w:rPr>
                <w:rFonts w:ascii="Calibri"/>
                <w:b/>
                <w:sz w:val="22"/>
              </w:rPr>
              <w:t>Kalibrering</w:t>
            </w:r>
          </w:p>
        </w:tc>
        <w:tc>
          <w:tcPr>
            <w:tcW w:w="1841" w:type="dxa"/>
          </w:tcPr>
          <w:p>
            <w:pPr>
              <w:pStyle w:val="TableParagraph"/>
              <w:spacing w:line="267" w:lineRule="exact" w:before="1"/>
              <w:ind w:left="224" w:right="216"/>
              <w:rPr>
                <w:rFonts w:ascii="Calibri"/>
                <w:b/>
                <w:sz w:val="22"/>
              </w:rPr>
            </w:pPr>
            <w:r>
              <w:rPr>
                <w:rFonts w:ascii="Calibri"/>
                <w:b/>
                <w:sz w:val="22"/>
              </w:rPr>
              <w:t>SQE</w:t>
            </w:r>
          </w:p>
          <w:p>
            <w:pPr>
              <w:pStyle w:val="TableParagraph"/>
              <w:spacing w:line="248" w:lineRule="exact"/>
              <w:ind w:left="224" w:right="217"/>
              <w:rPr>
                <w:rFonts w:ascii="Calibri"/>
                <w:b/>
                <w:sz w:val="22"/>
              </w:rPr>
            </w:pPr>
            <w:r>
              <w:rPr>
                <w:rFonts w:ascii="Calibri"/>
                <w:b/>
                <w:sz w:val="22"/>
              </w:rPr>
              <w:t>50DK_Jup+Reg</w:t>
            </w:r>
          </w:p>
        </w:tc>
        <w:tc>
          <w:tcPr>
            <w:tcW w:w="1985" w:type="dxa"/>
          </w:tcPr>
          <w:p>
            <w:pPr>
              <w:pStyle w:val="TableParagraph"/>
              <w:spacing w:line="267" w:lineRule="exact" w:before="1"/>
              <w:ind w:left="280" w:right="272"/>
              <w:rPr>
                <w:rFonts w:ascii="Calibri"/>
                <w:b/>
                <w:sz w:val="22"/>
              </w:rPr>
            </w:pPr>
            <w:r>
              <w:rPr>
                <w:rFonts w:ascii="Calibri"/>
                <w:b/>
                <w:sz w:val="22"/>
              </w:rPr>
              <w:t>MAE</w:t>
            </w:r>
          </w:p>
          <w:p>
            <w:pPr>
              <w:pStyle w:val="TableParagraph"/>
              <w:spacing w:line="248" w:lineRule="exact"/>
              <w:ind w:left="280" w:right="272"/>
              <w:rPr>
                <w:rFonts w:ascii="Calibri"/>
                <w:b/>
                <w:sz w:val="22"/>
              </w:rPr>
            </w:pPr>
            <w:r>
              <w:rPr>
                <w:rFonts w:ascii="Calibri"/>
                <w:b/>
                <w:sz w:val="22"/>
              </w:rPr>
              <w:t>500m_Jup+Reg</w:t>
            </w:r>
          </w:p>
        </w:tc>
        <w:tc>
          <w:tcPr>
            <w:tcW w:w="1985" w:type="dxa"/>
          </w:tcPr>
          <w:p>
            <w:pPr>
              <w:pStyle w:val="TableParagraph"/>
              <w:spacing w:line="268" w:lineRule="exact"/>
              <w:ind w:left="275" w:right="272"/>
              <w:rPr>
                <w:rFonts w:ascii="Calibri"/>
                <w:b/>
                <w:sz w:val="14"/>
              </w:rPr>
            </w:pPr>
            <w:r>
              <w:rPr>
                <w:rFonts w:ascii="Calibri"/>
                <w:b/>
                <w:position w:val="2"/>
                <w:sz w:val="22"/>
              </w:rPr>
              <w:t>CRPS</w:t>
            </w:r>
            <w:r>
              <w:rPr>
                <w:rFonts w:ascii="Calibri"/>
                <w:b/>
                <w:sz w:val="14"/>
              </w:rPr>
              <w:t>90%</w:t>
            </w:r>
          </w:p>
          <w:p>
            <w:pPr>
              <w:pStyle w:val="TableParagraph"/>
              <w:spacing w:line="249" w:lineRule="exact"/>
              <w:ind w:left="281" w:right="272"/>
              <w:rPr>
                <w:rFonts w:ascii="Calibri"/>
                <w:b/>
                <w:sz w:val="22"/>
              </w:rPr>
            </w:pPr>
            <w:r>
              <w:rPr>
                <w:rFonts w:ascii="Calibri"/>
                <w:b/>
                <w:sz w:val="22"/>
              </w:rPr>
              <w:t>500m_Jup+Reg</w:t>
            </w:r>
          </w:p>
        </w:tc>
      </w:tr>
      <w:tr>
        <w:trPr>
          <w:trHeight w:val="268" w:hRule="atLeast"/>
        </w:trPr>
        <w:tc>
          <w:tcPr>
            <w:tcW w:w="2125" w:type="dxa"/>
          </w:tcPr>
          <w:p>
            <w:pPr>
              <w:pStyle w:val="TableParagraph"/>
              <w:spacing w:line="248" w:lineRule="exact"/>
              <w:ind w:left="107"/>
              <w:jc w:val="left"/>
              <w:rPr>
                <w:rFonts w:ascii="Calibri"/>
                <w:sz w:val="22"/>
              </w:rPr>
            </w:pPr>
            <w:r>
              <w:rPr>
                <w:rFonts w:ascii="Calibri"/>
                <w:sz w:val="22"/>
              </w:rPr>
              <w:t>ME</w:t>
            </w:r>
          </w:p>
        </w:tc>
        <w:tc>
          <w:tcPr>
            <w:tcW w:w="1841" w:type="dxa"/>
          </w:tcPr>
          <w:p>
            <w:pPr>
              <w:pStyle w:val="TableParagraph"/>
              <w:spacing w:line="248" w:lineRule="exact"/>
              <w:ind w:left="224" w:right="215"/>
              <w:rPr>
                <w:rFonts w:ascii="Calibri"/>
                <w:sz w:val="22"/>
              </w:rPr>
            </w:pPr>
            <w:r>
              <w:rPr>
                <w:rFonts w:ascii="Calibri"/>
                <w:sz w:val="22"/>
              </w:rPr>
              <w:t>-1.91</w:t>
            </w:r>
          </w:p>
        </w:tc>
        <w:tc>
          <w:tcPr>
            <w:tcW w:w="1985" w:type="dxa"/>
          </w:tcPr>
          <w:p>
            <w:pPr>
              <w:pStyle w:val="TableParagraph"/>
              <w:spacing w:line="248" w:lineRule="exact"/>
              <w:ind w:left="281" w:right="272"/>
              <w:rPr>
                <w:rFonts w:ascii="Calibri"/>
                <w:sz w:val="22"/>
              </w:rPr>
            </w:pPr>
            <w:r>
              <w:rPr>
                <w:rFonts w:ascii="Calibri"/>
                <w:sz w:val="22"/>
              </w:rPr>
              <w:t>-1.67</w:t>
            </w:r>
          </w:p>
        </w:tc>
        <w:tc>
          <w:tcPr>
            <w:tcW w:w="1985" w:type="dxa"/>
          </w:tcPr>
          <w:p>
            <w:pPr>
              <w:pStyle w:val="TableParagraph"/>
              <w:spacing w:line="248" w:lineRule="exact"/>
              <w:ind w:left="281" w:right="272"/>
              <w:rPr>
                <w:rFonts w:ascii="Calibri"/>
                <w:sz w:val="22"/>
              </w:rPr>
            </w:pPr>
            <w:r>
              <w:rPr>
                <w:rFonts w:ascii="Calibri"/>
                <w:sz w:val="22"/>
              </w:rPr>
              <w:t>-0.41</w:t>
            </w:r>
          </w:p>
        </w:tc>
      </w:tr>
      <w:tr>
        <w:trPr>
          <w:trHeight w:val="270" w:hRule="atLeast"/>
        </w:trPr>
        <w:tc>
          <w:tcPr>
            <w:tcW w:w="2125" w:type="dxa"/>
          </w:tcPr>
          <w:p>
            <w:pPr>
              <w:pStyle w:val="TableParagraph"/>
              <w:spacing w:line="249" w:lineRule="exact" w:before="1"/>
              <w:ind w:left="107"/>
              <w:jc w:val="left"/>
              <w:rPr>
                <w:rFonts w:ascii="Calibri"/>
                <w:sz w:val="22"/>
              </w:rPr>
            </w:pPr>
            <w:r>
              <w:rPr>
                <w:rFonts w:ascii="Calibri"/>
                <w:sz w:val="22"/>
              </w:rPr>
              <w:t>RMSE</w:t>
            </w:r>
          </w:p>
        </w:tc>
        <w:tc>
          <w:tcPr>
            <w:tcW w:w="1841" w:type="dxa"/>
          </w:tcPr>
          <w:p>
            <w:pPr>
              <w:pStyle w:val="TableParagraph"/>
              <w:spacing w:line="249" w:lineRule="exact" w:before="1"/>
              <w:ind w:left="224" w:right="215"/>
              <w:rPr>
                <w:rFonts w:ascii="Calibri"/>
                <w:sz w:val="22"/>
              </w:rPr>
            </w:pPr>
            <w:r>
              <w:rPr>
                <w:rFonts w:ascii="Calibri"/>
                <w:sz w:val="22"/>
              </w:rPr>
              <w:t>4.80</w:t>
            </w:r>
          </w:p>
        </w:tc>
        <w:tc>
          <w:tcPr>
            <w:tcW w:w="1985" w:type="dxa"/>
          </w:tcPr>
          <w:p>
            <w:pPr>
              <w:pStyle w:val="TableParagraph"/>
              <w:spacing w:line="249" w:lineRule="exact" w:before="1"/>
              <w:ind w:left="281" w:right="272"/>
              <w:rPr>
                <w:rFonts w:ascii="Calibri"/>
                <w:sz w:val="22"/>
              </w:rPr>
            </w:pPr>
            <w:r>
              <w:rPr>
                <w:rFonts w:ascii="Calibri"/>
                <w:sz w:val="22"/>
              </w:rPr>
              <w:t>4.66</w:t>
            </w:r>
          </w:p>
        </w:tc>
        <w:tc>
          <w:tcPr>
            <w:tcW w:w="1985" w:type="dxa"/>
          </w:tcPr>
          <w:p>
            <w:pPr>
              <w:pStyle w:val="TableParagraph"/>
              <w:spacing w:line="249" w:lineRule="exact" w:before="1"/>
              <w:ind w:left="281" w:right="272"/>
              <w:rPr>
                <w:rFonts w:ascii="Calibri"/>
                <w:sz w:val="22"/>
              </w:rPr>
            </w:pPr>
            <w:r>
              <w:rPr>
                <w:rFonts w:ascii="Calibri"/>
                <w:sz w:val="22"/>
              </w:rPr>
              <w:t>4.35</w:t>
            </w:r>
          </w:p>
        </w:tc>
      </w:tr>
      <w:tr>
        <w:trPr>
          <w:trHeight w:val="268" w:hRule="atLeast"/>
        </w:trPr>
        <w:tc>
          <w:tcPr>
            <w:tcW w:w="2125" w:type="dxa"/>
          </w:tcPr>
          <w:p>
            <w:pPr>
              <w:pStyle w:val="TableParagraph"/>
              <w:spacing w:line="248" w:lineRule="exact"/>
              <w:ind w:left="107"/>
              <w:jc w:val="left"/>
              <w:rPr>
                <w:rFonts w:ascii="Calibri"/>
                <w:sz w:val="14"/>
              </w:rPr>
            </w:pPr>
            <w:r>
              <w:rPr>
                <w:rFonts w:ascii="Calibri"/>
                <w:position w:val="2"/>
                <w:sz w:val="22"/>
              </w:rPr>
              <w:t>ME</w:t>
            </w:r>
            <w:r>
              <w:rPr>
                <w:rFonts w:ascii="Calibri"/>
                <w:sz w:val="14"/>
              </w:rPr>
              <w:t>90Q</w:t>
            </w:r>
          </w:p>
        </w:tc>
        <w:tc>
          <w:tcPr>
            <w:tcW w:w="1841" w:type="dxa"/>
          </w:tcPr>
          <w:p>
            <w:pPr>
              <w:pStyle w:val="TableParagraph"/>
              <w:spacing w:line="248" w:lineRule="exact"/>
              <w:ind w:left="224" w:right="215"/>
              <w:rPr>
                <w:rFonts w:ascii="Calibri"/>
                <w:sz w:val="22"/>
              </w:rPr>
            </w:pPr>
            <w:r>
              <w:rPr>
                <w:rFonts w:ascii="Calibri"/>
                <w:sz w:val="22"/>
              </w:rPr>
              <w:t>-1.40</w:t>
            </w:r>
          </w:p>
        </w:tc>
        <w:tc>
          <w:tcPr>
            <w:tcW w:w="1985" w:type="dxa"/>
          </w:tcPr>
          <w:p>
            <w:pPr>
              <w:pStyle w:val="TableParagraph"/>
              <w:spacing w:line="248" w:lineRule="exact"/>
              <w:ind w:left="281" w:right="272"/>
              <w:rPr>
                <w:rFonts w:ascii="Calibri"/>
                <w:sz w:val="22"/>
              </w:rPr>
            </w:pPr>
            <w:r>
              <w:rPr>
                <w:rFonts w:ascii="Calibri"/>
                <w:sz w:val="22"/>
              </w:rPr>
              <w:t>-1.28</w:t>
            </w:r>
          </w:p>
        </w:tc>
        <w:tc>
          <w:tcPr>
            <w:tcW w:w="1985" w:type="dxa"/>
          </w:tcPr>
          <w:p>
            <w:pPr>
              <w:pStyle w:val="TableParagraph"/>
              <w:spacing w:line="248" w:lineRule="exact"/>
              <w:ind w:left="281" w:right="272"/>
              <w:rPr>
                <w:rFonts w:ascii="Calibri"/>
                <w:sz w:val="22"/>
              </w:rPr>
            </w:pPr>
            <w:r>
              <w:rPr>
                <w:rFonts w:ascii="Calibri"/>
                <w:sz w:val="22"/>
              </w:rPr>
              <w:t>-0.51</w:t>
            </w:r>
          </w:p>
        </w:tc>
      </w:tr>
      <w:tr>
        <w:trPr>
          <w:trHeight w:val="268" w:hRule="atLeast"/>
        </w:trPr>
        <w:tc>
          <w:tcPr>
            <w:tcW w:w="2125" w:type="dxa"/>
          </w:tcPr>
          <w:p>
            <w:pPr>
              <w:pStyle w:val="TableParagraph"/>
              <w:spacing w:line="248" w:lineRule="exact"/>
              <w:ind w:left="107"/>
              <w:jc w:val="left"/>
              <w:rPr>
                <w:rFonts w:ascii="Calibri"/>
                <w:sz w:val="14"/>
              </w:rPr>
            </w:pPr>
            <w:r>
              <w:rPr>
                <w:rFonts w:ascii="Calibri"/>
                <w:position w:val="2"/>
                <w:sz w:val="22"/>
              </w:rPr>
              <w:t>RMSE</w:t>
            </w:r>
            <w:r>
              <w:rPr>
                <w:rFonts w:ascii="Calibri"/>
                <w:sz w:val="14"/>
              </w:rPr>
              <w:t>90Q</w:t>
            </w:r>
          </w:p>
        </w:tc>
        <w:tc>
          <w:tcPr>
            <w:tcW w:w="1841" w:type="dxa"/>
          </w:tcPr>
          <w:p>
            <w:pPr>
              <w:pStyle w:val="TableParagraph"/>
              <w:spacing w:line="248" w:lineRule="exact"/>
              <w:ind w:left="224" w:right="215"/>
              <w:rPr>
                <w:rFonts w:ascii="Calibri"/>
                <w:sz w:val="22"/>
              </w:rPr>
            </w:pPr>
            <w:r>
              <w:rPr>
                <w:rFonts w:ascii="Calibri"/>
                <w:sz w:val="22"/>
              </w:rPr>
              <w:t>2.97</w:t>
            </w:r>
          </w:p>
        </w:tc>
        <w:tc>
          <w:tcPr>
            <w:tcW w:w="1985" w:type="dxa"/>
          </w:tcPr>
          <w:p>
            <w:pPr>
              <w:pStyle w:val="TableParagraph"/>
              <w:spacing w:line="248" w:lineRule="exact"/>
              <w:ind w:left="281" w:right="272"/>
              <w:rPr>
                <w:rFonts w:ascii="Calibri"/>
                <w:sz w:val="22"/>
              </w:rPr>
            </w:pPr>
            <w:r>
              <w:rPr>
                <w:rFonts w:ascii="Calibri"/>
                <w:sz w:val="22"/>
              </w:rPr>
              <w:t>2.87</w:t>
            </w:r>
          </w:p>
        </w:tc>
        <w:tc>
          <w:tcPr>
            <w:tcW w:w="1985" w:type="dxa"/>
          </w:tcPr>
          <w:p>
            <w:pPr>
              <w:pStyle w:val="TableParagraph"/>
              <w:spacing w:line="248" w:lineRule="exact"/>
              <w:ind w:left="281" w:right="272"/>
              <w:rPr>
                <w:rFonts w:ascii="Calibri"/>
                <w:sz w:val="22"/>
              </w:rPr>
            </w:pPr>
            <w:r>
              <w:rPr>
                <w:rFonts w:ascii="Calibri"/>
                <w:sz w:val="22"/>
              </w:rPr>
              <w:t>2.51</w:t>
            </w:r>
          </w:p>
        </w:tc>
      </w:tr>
    </w:tbl>
    <w:p>
      <w:pPr>
        <w:pStyle w:val="BodyText"/>
        <w:spacing w:before="8"/>
        <w:rPr>
          <w:rFonts w:ascii="Calibri"/>
          <w:i/>
          <w:sz w:val="28"/>
        </w:rPr>
      </w:pPr>
      <w:r>
        <w:rPr/>
        <w:drawing>
          <wp:anchor distT="0" distB="0" distL="0" distR="0" allowOverlap="1" layoutInCell="1" locked="0" behindDoc="0" simplePos="0" relativeHeight="31">
            <wp:simplePos x="0" y="0"/>
            <wp:positionH relativeFrom="page">
              <wp:posOffset>1285805</wp:posOffset>
            </wp:positionH>
            <wp:positionV relativeFrom="paragraph">
              <wp:posOffset>246991</wp:posOffset>
            </wp:positionV>
            <wp:extent cx="5065746" cy="2544318"/>
            <wp:effectExtent l="0" t="0" r="0" b="0"/>
            <wp:wrapTopAndBottom/>
            <wp:docPr id="73" name="image53.png" descr="Q:\Storaa_calibration_comparison\Figures\figure_CRPS_threshold.png"/>
            <wp:cNvGraphicFramePr>
              <a:graphicFrameLocks noChangeAspect="1"/>
            </wp:cNvGraphicFramePr>
            <a:graphic>
              <a:graphicData uri="http://schemas.openxmlformats.org/drawingml/2006/picture">
                <pic:pic>
                  <pic:nvPicPr>
                    <pic:cNvPr id="74" name="image53.png"/>
                    <pic:cNvPicPr/>
                  </pic:nvPicPr>
                  <pic:blipFill>
                    <a:blip r:embed="rId59" cstate="print"/>
                    <a:stretch>
                      <a:fillRect/>
                    </a:stretch>
                  </pic:blipFill>
                  <pic:spPr>
                    <a:xfrm>
                      <a:off x="0" y="0"/>
                      <a:ext cx="5065746" cy="2544318"/>
                    </a:xfrm>
                    <a:prstGeom prst="rect">
                      <a:avLst/>
                    </a:prstGeom>
                  </pic:spPr>
                </pic:pic>
              </a:graphicData>
            </a:graphic>
          </wp:anchor>
        </w:drawing>
      </w:r>
    </w:p>
    <w:p>
      <w:pPr>
        <w:pStyle w:val="BodyText"/>
        <w:spacing w:before="8"/>
        <w:rPr>
          <w:rFonts w:ascii="Calibri"/>
          <w:i/>
          <w:sz w:val="20"/>
        </w:rPr>
      </w:pPr>
    </w:p>
    <w:p>
      <w:pPr>
        <w:spacing w:before="0"/>
        <w:ind w:left="525" w:right="739" w:firstLine="0"/>
        <w:jc w:val="left"/>
        <w:rPr>
          <w:rFonts w:ascii="Calibri" w:hAnsi="Calibri"/>
          <w:i/>
          <w:sz w:val="18"/>
        </w:rPr>
      </w:pPr>
      <w:bookmarkStart w:name="_bookmark51" w:id="70"/>
      <w:bookmarkEnd w:id="70"/>
      <w:r>
        <w:rPr/>
      </w:r>
      <w:r>
        <w:rPr>
          <w:rFonts w:ascii="Calibri" w:hAnsi="Calibri"/>
          <w:i/>
          <w:color w:val="44536A"/>
          <w:sz w:val="18"/>
        </w:rPr>
        <w:t>Figur 35 Sammenligning af resultater af invers kalibrering med tre forskellige afskæringsniveauer på CRPS med 500 </w:t>
      </w:r>
      <w:r>
        <w:rPr>
          <w:rFonts w:ascii="Calibri" w:hAnsi="Calibri"/>
          <w:i/>
          <w:color w:val="44536A"/>
          <w:sz w:val="18"/>
        </w:rPr>
        <w:t>m model for Storå (hhv. 100 % dvs. alle ”grids med observationsdata” tages med, 90 % og 80 % af alle grids med pej- leobservationerne tages med i optimeringen)</w:t>
      </w:r>
    </w:p>
    <w:p>
      <w:pPr>
        <w:pStyle w:val="BodyText"/>
        <w:rPr>
          <w:rFonts w:ascii="Calibri"/>
          <w:i/>
          <w:sz w:val="18"/>
        </w:rPr>
      </w:pPr>
    </w:p>
    <w:p>
      <w:pPr>
        <w:pStyle w:val="BodyText"/>
        <w:spacing w:before="11"/>
        <w:rPr>
          <w:rFonts w:ascii="Calibri"/>
          <w:i/>
        </w:rPr>
      </w:pPr>
    </w:p>
    <w:p>
      <w:pPr>
        <w:pStyle w:val="BodyText"/>
        <w:spacing w:line="276" w:lineRule="auto"/>
        <w:ind w:left="525" w:right="733"/>
        <w:jc w:val="both"/>
      </w:pPr>
      <w:r>
        <w:rPr/>
        <w:t>Som det fremgår af </w:t>
      </w:r>
      <w:hyperlink w:history="true" w:anchor="_bookmark51">
        <w:r>
          <w:rPr/>
          <w:t>figur 35 </w:t>
        </w:r>
      </w:hyperlink>
      <w:r>
        <w:rPr/>
        <w:t>så afhænger forskellen ikke markant af om man tager alle grids med, eller kun de 90 % som GEUS har vurderet vil være mest optimalt (forskellen er langt mindre end den ville have være jf. en SQE og MAE tilgang, hvor det er langt vigtigere at</w:t>
      </w:r>
    </w:p>
    <w:p>
      <w:pPr>
        <w:spacing w:after="0" w:line="276" w:lineRule="auto"/>
        <w:jc w:val="both"/>
        <w:sectPr>
          <w:pgSz w:w="11910" w:h="16850"/>
          <w:pgMar w:header="0" w:footer="857" w:top="1500" w:bottom="1120" w:left="1460" w:right="680"/>
        </w:sectPr>
      </w:pPr>
    </w:p>
    <w:p>
      <w:pPr>
        <w:pStyle w:val="BodyText"/>
        <w:spacing w:line="276" w:lineRule="auto" w:before="75"/>
        <w:ind w:left="525" w:right="732"/>
        <w:jc w:val="both"/>
      </w:pPr>
      <w:r>
        <w:rPr/>
        <w:t>frasortere</w:t>
      </w:r>
      <w:r>
        <w:rPr>
          <w:spacing w:val="-4"/>
        </w:rPr>
        <w:t> </w:t>
      </w:r>
      <w:r>
        <w:rPr/>
        <w:t>de</w:t>
      </w:r>
      <w:r>
        <w:rPr>
          <w:spacing w:val="-3"/>
        </w:rPr>
        <w:t> </w:t>
      </w:r>
      <w:r>
        <w:rPr/>
        <w:t>største</w:t>
      </w:r>
      <w:r>
        <w:rPr>
          <w:spacing w:val="-2"/>
        </w:rPr>
        <w:t> </w:t>
      </w:r>
      <w:r>
        <w:rPr/>
        <w:t>’outliers’</w:t>
      </w:r>
      <w:r>
        <w:rPr>
          <w:spacing w:val="-3"/>
        </w:rPr>
        <w:t> </w:t>
      </w:r>
      <w:r>
        <w:rPr/>
        <w:t>fra,</w:t>
      </w:r>
      <w:r>
        <w:rPr>
          <w:spacing w:val="-5"/>
        </w:rPr>
        <w:t> </w:t>
      </w:r>
      <w:r>
        <w:rPr/>
        <w:t>når</w:t>
      </w:r>
      <w:r>
        <w:rPr>
          <w:spacing w:val="-5"/>
        </w:rPr>
        <w:t> </w:t>
      </w:r>
      <w:r>
        <w:rPr/>
        <w:t>man</w:t>
      </w:r>
      <w:r>
        <w:rPr>
          <w:spacing w:val="-3"/>
        </w:rPr>
        <w:t> </w:t>
      </w:r>
      <w:r>
        <w:rPr/>
        <w:t>ønsker</w:t>
      </w:r>
      <w:r>
        <w:rPr>
          <w:spacing w:val="-4"/>
        </w:rPr>
        <w:t> </w:t>
      </w:r>
      <w:r>
        <w:rPr/>
        <w:t>at</w:t>
      </w:r>
      <w:r>
        <w:rPr>
          <w:spacing w:val="-4"/>
        </w:rPr>
        <w:t> </w:t>
      </w:r>
      <w:r>
        <w:rPr/>
        <w:t>kalibrering</w:t>
      </w:r>
      <w:r>
        <w:rPr>
          <w:spacing w:val="-4"/>
        </w:rPr>
        <w:t> </w:t>
      </w:r>
      <w:r>
        <w:rPr/>
        <w:t>til</w:t>
      </w:r>
      <w:r>
        <w:rPr>
          <w:spacing w:val="-3"/>
        </w:rPr>
        <w:t> </w:t>
      </w:r>
      <w:r>
        <w:rPr/>
        <w:t>den</w:t>
      </w:r>
      <w:r>
        <w:rPr>
          <w:spacing w:val="-3"/>
        </w:rPr>
        <w:t> </w:t>
      </w:r>
      <w:r>
        <w:rPr/>
        <w:t>modelstruktur</w:t>
      </w:r>
      <w:r>
        <w:rPr>
          <w:spacing w:val="-4"/>
        </w:rPr>
        <w:t> </w:t>
      </w:r>
      <w:r>
        <w:rPr/>
        <w:t>en</w:t>
      </w:r>
      <w:r>
        <w:rPr>
          <w:spacing w:val="-6"/>
        </w:rPr>
        <w:t> </w:t>
      </w:r>
      <w:r>
        <w:rPr/>
        <w:t>mo- del repræsenterer). For områder med mange systematiske ’outliers’ må man så forbedre modelstrukturen.</w:t>
      </w:r>
    </w:p>
    <w:p>
      <w:pPr>
        <w:pStyle w:val="BodyText"/>
        <w:spacing w:before="1"/>
      </w:pPr>
    </w:p>
    <w:p>
      <w:pPr>
        <w:pStyle w:val="Heading5"/>
        <w:jc w:val="both"/>
        <w:rPr>
          <w:i/>
        </w:rPr>
      </w:pPr>
      <w:r>
        <w:rPr>
          <w:i/>
        </w:rPr>
        <w:t>Objektivfunktioner og vægtning</w:t>
      </w:r>
    </w:p>
    <w:p>
      <w:pPr>
        <w:pStyle w:val="BodyText"/>
        <w:spacing w:line="276" w:lineRule="auto" w:before="46"/>
        <w:ind w:left="525" w:right="732"/>
        <w:jc w:val="both"/>
      </w:pPr>
      <w:r>
        <w:rPr/>
        <w:t>Det</w:t>
      </w:r>
      <w:r>
        <w:rPr>
          <w:spacing w:val="-7"/>
        </w:rPr>
        <w:t> </w:t>
      </w:r>
      <w:r>
        <w:rPr/>
        <w:t>endelige</w:t>
      </w:r>
      <w:r>
        <w:rPr>
          <w:spacing w:val="-4"/>
        </w:rPr>
        <w:t> </w:t>
      </w:r>
      <w:r>
        <w:rPr/>
        <w:t>design</w:t>
      </w:r>
      <w:r>
        <w:rPr>
          <w:spacing w:val="-4"/>
        </w:rPr>
        <w:t> </w:t>
      </w:r>
      <w:r>
        <w:rPr/>
        <w:t>af</w:t>
      </w:r>
      <w:r>
        <w:rPr>
          <w:spacing w:val="-4"/>
        </w:rPr>
        <w:t> </w:t>
      </w:r>
      <w:r>
        <w:rPr/>
        <w:t>objektiv</w:t>
      </w:r>
      <w:r>
        <w:rPr>
          <w:spacing w:val="-7"/>
        </w:rPr>
        <w:t> </w:t>
      </w:r>
      <w:r>
        <w:rPr/>
        <w:t>funktioner</w:t>
      </w:r>
      <w:r>
        <w:rPr>
          <w:spacing w:val="-5"/>
        </w:rPr>
        <w:t> </w:t>
      </w:r>
      <w:r>
        <w:rPr/>
        <w:t>og</w:t>
      </w:r>
      <w:r>
        <w:rPr>
          <w:spacing w:val="-5"/>
        </w:rPr>
        <w:t> </w:t>
      </w:r>
      <w:r>
        <w:rPr/>
        <w:t>vægtning</w:t>
      </w:r>
      <w:r>
        <w:rPr>
          <w:spacing w:val="-4"/>
        </w:rPr>
        <w:t> </w:t>
      </w:r>
      <w:r>
        <w:rPr/>
        <w:t>er</w:t>
      </w:r>
      <w:r>
        <w:rPr>
          <w:spacing w:val="-5"/>
        </w:rPr>
        <w:t> </w:t>
      </w:r>
      <w:r>
        <w:rPr/>
        <w:t>en</w:t>
      </w:r>
      <w:r>
        <w:rPr>
          <w:spacing w:val="-5"/>
        </w:rPr>
        <w:t> </w:t>
      </w:r>
      <w:r>
        <w:rPr/>
        <w:t>subjektiv</w:t>
      </w:r>
      <w:r>
        <w:rPr>
          <w:spacing w:val="-7"/>
        </w:rPr>
        <w:t> </w:t>
      </w:r>
      <w:r>
        <w:rPr/>
        <w:t>proces,</w:t>
      </w:r>
      <w:r>
        <w:rPr>
          <w:spacing w:val="-8"/>
        </w:rPr>
        <w:t> </w:t>
      </w:r>
      <w:r>
        <w:rPr/>
        <w:t>som</w:t>
      </w:r>
      <w:r>
        <w:rPr>
          <w:spacing w:val="-4"/>
        </w:rPr>
        <w:t> </w:t>
      </w:r>
      <w:r>
        <w:rPr/>
        <w:t>forsøges tilpasset til modellens formål. Der ønskes i dette projekt fokus på den integrerede model og god</w:t>
      </w:r>
      <w:r>
        <w:rPr>
          <w:spacing w:val="-10"/>
        </w:rPr>
        <w:t> </w:t>
      </w:r>
      <w:r>
        <w:rPr/>
        <w:t>performance</w:t>
      </w:r>
      <w:r>
        <w:rPr>
          <w:spacing w:val="-9"/>
        </w:rPr>
        <w:t> </w:t>
      </w:r>
      <w:r>
        <w:rPr/>
        <w:t>på</w:t>
      </w:r>
      <w:r>
        <w:rPr>
          <w:spacing w:val="-9"/>
        </w:rPr>
        <w:t> </w:t>
      </w:r>
      <w:r>
        <w:rPr/>
        <w:t>afstrømningsdynamik</w:t>
      </w:r>
      <w:r>
        <w:rPr>
          <w:spacing w:val="-7"/>
        </w:rPr>
        <w:t> </w:t>
      </w:r>
      <w:r>
        <w:rPr/>
        <w:t>(særligt</w:t>
      </w:r>
      <w:r>
        <w:rPr>
          <w:spacing w:val="-10"/>
        </w:rPr>
        <w:t> </w:t>
      </w:r>
      <w:r>
        <w:rPr/>
        <w:t>peakflow)</w:t>
      </w:r>
      <w:r>
        <w:rPr>
          <w:spacing w:val="-10"/>
        </w:rPr>
        <w:t> </w:t>
      </w:r>
      <w:r>
        <w:rPr/>
        <w:t>og</w:t>
      </w:r>
      <w:r>
        <w:rPr>
          <w:spacing w:val="-9"/>
        </w:rPr>
        <w:t> </w:t>
      </w:r>
      <w:r>
        <w:rPr/>
        <w:t>det</w:t>
      </w:r>
      <w:r>
        <w:rPr>
          <w:spacing w:val="-10"/>
        </w:rPr>
        <w:t> </w:t>
      </w:r>
      <w:r>
        <w:rPr/>
        <w:t>terrænnære</w:t>
      </w:r>
      <w:r>
        <w:rPr>
          <w:spacing w:val="-9"/>
        </w:rPr>
        <w:t> </w:t>
      </w:r>
      <w:r>
        <w:rPr/>
        <w:t>grundvand. Objektivfunktionerne for vandføring er baseret på Nash-Sutcliffe efficiency (NSE), den over- ordnede</w:t>
      </w:r>
      <w:r>
        <w:rPr>
          <w:spacing w:val="-4"/>
        </w:rPr>
        <w:t> </w:t>
      </w:r>
      <w:r>
        <w:rPr/>
        <w:t>vandbalance</w:t>
      </w:r>
      <w:r>
        <w:rPr>
          <w:spacing w:val="-4"/>
        </w:rPr>
        <w:t> </w:t>
      </w:r>
      <w:r>
        <w:rPr/>
        <w:t>(WBL)</w:t>
      </w:r>
      <w:r>
        <w:rPr>
          <w:spacing w:val="-5"/>
        </w:rPr>
        <w:t> </w:t>
      </w:r>
      <w:r>
        <w:rPr/>
        <w:t>og</w:t>
      </w:r>
      <w:r>
        <w:rPr>
          <w:spacing w:val="-4"/>
        </w:rPr>
        <w:t> </w:t>
      </w:r>
      <w:r>
        <w:rPr/>
        <w:t>vandbalancen</w:t>
      </w:r>
      <w:r>
        <w:rPr>
          <w:spacing w:val="-7"/>
        </w:rPr>
        <w:t> </w:t>
      </w:r>
      <w:r>
        <w:rPr/>
        <w:t>i</w:t>
      </w:r>
      <w:r>
        <w:rPr>
          <w:spacing w:val="-4"/>
        </w:rPr>
        <w:t> </w:t>
      </w:r>
      <w:r>
        <w:rPr/>
        <w:t>sommermånederne</w:t>
      </w:r>
      <w:r>
        <w:rPr>
          <w:spacing w:val="-4"/>
        </w:rPr>
        <w:t> </w:t>
      </w:r>
      <w:r>
        <w:rPr/>
        <w:t>(WBL</w:t>
      </w:r>
      <w:r>
        <w:rPr>
          <w:spacing w:val="-4"/>
        </w:rPr>
        <w:t> </w:t>
      </w:r>
      <w:r>
        <w:rPr/>
        <w:t>sommer).</w:t>
      </w:r>
      <w:r>
        <w:rPr>
          <w:spacing w:val="-6"/>
        </w:rPr>
        <w:t> </w:t>
      </w:r>
      <w:r>
        <w:rPr/>
        <w:t>Der</w:t>
      </w:r>
      <w:r>
        <w:rPr>
          <w:spacing w:val="-5"/>
        </w:rPr>
        <w:t> </w:t>
      </w:r>
      <w:r>
        <w:rPr/>
        <w:t>gi- ves her størst vægt til NSE, som primært beskriver afstrømningsdynamikken med særligt fokus på de maksimale</w:t>
      </w:r>
      <w:r>
        <w:rPr>
          <w:spacing w:val="-5"/>
        </w:rPr>
        <w:t> </w:t>
      </w:r>
      <w:r>
        <w:rPr/>
        <w:t>vandføringer.</w:t>
      </w:r>
    </w:p>
    <w:p>
      <w:pPr>
        <w:pStyle w:val="BodyText"/>
        <w:spacing w:line="273" w:lineRule="auto" w:before="160"/>
        <w:ind w:left="525" w:right="731"/>
        <w:jc w:val="both"/>
      </w:pPr>
      <w:r>
        <w:rPr>
          <w:position w:val="2"/>
        </w:rPr>
        <w:t>Objektivfunktionerne</w:t>
      </w:r>
      <w:r>
        <w:rPr>
          <w:spacing w:val="-7"/>
          <w:position w:val="2"/>
        </w:rPr>
        <w:t> </w:t>
      </w:r>
      <w:r>
        <w:rPr>
          <w:position w:val="2"/>
        </w:rPr>
        <w:t>for</w:t>
      </w:r>
      <w:r>
        <w:rPr>
          <w:spacing w:val="-7"/>
          <w:position w:val="2"/>
        </w:rPr>
        <w:t> </w:t>
      </w:r>
      <w:r>
        <w:rPr>
          <w:position w:val="2"/>
        </w:rPr>
        <w:t>grundvandsstand</w:t>
      </w:r>
      <w:r>
        <w:rPr>
          <w:spacing w:val="-6"/>
          <w:position w:val="2"/>
        </w:rPr>
        <w:t> </w:t>
      </w:r>
      <w:r>
        <w:rPr>
          <w:position w:val="2"/>
        </w:rPr>
        <w:t>er</w:t>
      </w:r>
      <w:r>
        <w:rPr>
          <w:spacing w:val="-7"/>
          <w:position w:val="2"/>
        </w:rPr>
        <w:t> </w:t>
      </w:r>
      <w:r>
        <w:rPr>
          <w:position w:val="2"/>
        </w:rPr>
        <w:t>baseret</w:t>
      </w:r>
      <w:r>
        <w:rPr>
          <w:spacing w:val="-7"/>
          <w:position w:val="2"/>
        </w:rPr>
        <w:t> </w:t>
      </w:r>
      <w:r>
        <w:rPr>
          <w:position w:val="2"/>
        </w:rPr>
        <w:t>på</w:t>
      </w:r>
      <w:r>
        <w:rPr>
          <w:spacing w:val="-6"/>
          <w:position w:val="2"/>
        </w:rPr>
        <w:t> </w:t>
      </w:r>
      <w:r>
        <w:rPr>
          <w:position w:val="2"/>
        </w:rPr>
        <w:t>CRPS</w:t>
      </w:r>
      <w:r>
        <w:rPr>
          <w:sz w:val="14"/>
        </w:rPr>
        <w:t>90%</w:t>
      </w:r>
      <w:r>
        <w:rPr>
          <w:spacing w:val="-2"/>
          <w:sz w:val="14"/>
        </w:rPr>
        <w:t> </w:t>
      </w:r>
      <w:r>
        <w:rPr>
          <w:position w:val="2"/>
        </w:rPr>
        <w:t>performance</w:t>
      </w:r>
      <w:r>
        <w:rPr>
          <w:spacing w:val="-8"/>
          <w:position w:val="2"/>
        </w:rPr>
        <w:t> </w:t>
      </w:r>
      <w:r>
        <w:rPr>
          <w:position w:val="2"/>
        </w:rPr>
        <w:t>kriteriet</w:t>
      </w:r>
      <w:r>
        <w:rPr>
          <w:spacing w:val="-7"/>
          <w:position w:val="2"/>
        </w:rPr>
        <w:t> </w:t>
      </w:r>
      <w:r>
        <w:rPr>
          <w:position w:val="2"/>
        </w:rPr>
        <w:t>hvor </w:t>
      </w:r>
      <w:r>
        <w:rPr/>
        <w:t>hvert model grid er vægtet efter antallet af observationer indenfor gridded og hvor der desu- den er foretaget en højere vægtning af de terrænnære pejlinger end de dybe, </w:t>
      </w:r>
      <w:hyperlink w:history="true" w:anchor="_bookmark52">
        <w:r>
          <w:rPr/>
          <w:t>tabel</w:t>
        </w:r>
        <w:r>
          <w:rPr>
            <w:spacing w:val="-16"/>
          </w:rPr>
          <w:t> </w:t>
        </w:r>
        <w:r>
          <w:rPr/>
          <w:t>7</w:t>
        </w:r>
      </w:hyperlink>
      <w:r>
        <w:rPr/>
        <w:t>.</w:t>
      </w:r>
    </w:p>
    <w:p>
      <w:pPr>
        <w:spacing w:before="166"/>
        <w:ind w:left="525" w:right="831" w:firstLine="0"/>
        <w:jc w:val="left"/>
        <w:rPr>
          <w:rFonts w:ascii="Calibri" w:hAnsi="Calibri"/>
          <w:i/>
          <w:sz w:val="18"/>
        </w:rPr>
      </w:pPr>
      <w:bookmarkStart w:name="_bookmark52" w:id="71"/>
      <w:bookmarkEnd w:id="71"/>
      <w:r>
        <w:rPr/>
      </w:r>
      <w:r>
        <w:rPr>
          <w:rFonts w:ascii="Calibri" w:hAnsi="Calibri"/>
          <w:i/>
          <w:color w:val="44536A"/>
          <w:sz w:val="18"/>
        </w:rPr>
        <w:t>Tabel 7 Oversigt over objektivfunktioner og vægtning i forhold til kvadrerede fejl baseret på initialparametersættet, </w:t>
      </w:r>
      <w:r>
        <w:rPr>
          <w:rFonts w:ascii="Calibri" w:hAnsi="Calibri"/>
          <w:i/>
          <w:color w:val="44536A"/>
          <w:sz w:val="18"/>
        </w:rPr>
        <w:t>tn indikerer terrænære boringer.</w:t>
      </w:r>
    </w:p>
    <w:p>
      <w:pPr>
        <w:pStyle w:val="BodyText"/>
        <w:spacing w:before="8" w:after="1"/>
        <w:rPr>
          <w:rFonts w:ascii="Calibri"/>
          <w:i/>
          <w:sz w:val="16"/>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38"/>
        <w:gridCol w:w="1686"/>
        <w:gridCol w:w="795"/>
        <w:gridCol w:w="1652"/>
      </w:tblGrid>
      <w:tr>
        <w:trPr>
          <w:trHeight w:val="286" w:hRule="atLeast"/>
        </w:trPr>
        <w:tc>
          <w:tcPr>
            <w:tcW w:w="1338" w:type="dxa"/>
            <w:tcBorders>
              <w:bottom w:val="single" w:sz="4" w:space="0" w:color="000000"/>
            </w:tcBorders>
          </w:tcPr>
          <w:p>
            <w:pPr>
              <w:pStyle w:val="TableParagraph"/>
              <w:jc w:val="left"/>
              <w:rPr>
                <w:rFonts w:ascii="Times New Roman"/>
                <w:sz w:val="20"/>
              </w:rPr>
            </w:pPr>
          </w:p>
        </w:tc>
        <w:tc>
          <w:tcPr>
            <w:tcW w:w="1686" w:type="dxa"/>
            <w:tcBorders>
              <w:bottom w:val="single" w:sz="4" w:space="0" w:color="000000"/>
            </w:tcBorders>
          </w:tcPr>
          <w:p>
            <w:pPr>
              <w:pStyle w:val="TableParagraph"/>
              <w:jc w:val="left"/>
              <w:rPr>
                <w:rFonts w:ascii="Times New Roman"/>
                <w:sz w:val="20"/>
              </w:rPr>
            </w:pPr>
          </w:p>
        </w:tc>
        <w:tc>
          <w:tcPr>
            <w:tcW w:w="795" w:type="dxa"/>
            <w:tcBorders>
              <w:bottom w:val="single" w:sz="4" w:space="0" w:color="000000"/>
            </w:tcBorders>
          </w:tcPr>
          <w:p>
            <w:pPr>
              <w:pStyle w:val="TableParagraph"/>
              <w:spacing w:line="247" w:lineRule="exact"/>
              <w:ind w:left="80" w:right="148"/>
              <w:rPr>
                <w:sz w:val="22"/>
              </w:rPr>
            </w:pPr>
            <w:r>
              <w:rPr>
                <w:sz w:val="22"/>
              </w:rPr>
              <w:t>Vægt</w:t>
            </w:r>
          </w:p>
        </w:tc>
        <w:tc>
          <w:tcPr>
            <w:tcW w:w="1652" w:type="dxa"/>
            <w:tcBorders>
              <w:bottom w:val="single" w:sz="4" w:space="0" w:color="000000"/>
            </w:tcBorders>
          </w:tcPr>
          <w:p>
            <w:pPr>
              <w:pStyle w:val="TableParagraph"/>
              <w:spacing w:line="247" w:lineRule="exact"/>
              <w:ind w:left="148" w:right="154"/>
              <w:rPr>
                <w:sz w:val="22"/>
              </w:rPr>
            </w:pPr>
            <w:r>
              <w:rPr>
                <w:sz w:val="22"/>
              </w:rPr>
              <w:t>Q-H fordeling</w:t>
            </w:r>
          </w:p>
        </w:tc>
      </w:tr>
      <w:tr>
        <w:trPr>
          <w:trHeight w:val="274" w:hRule="atLeast"/>
        </w:trPr>
        <w:tc>
          <w:tcPr>
            <w:tcW w:w="1338" w:type="dxa"/>
            <w:tcBorders>
              <w:top w:val="single" w:sz="4" w:space="0" w:color="000000"/>
            </w:tcBorders>
            <w:shd w:val="clear" w:color="auto" w:fill="BCD5ED"/>
          </w:tcPr>
          <w:p>
            <w:pPr>
              <w:pStyle w:val="TableParagraph"/>
              <w:jc w:val="left"/>
              <w:rPr>
                <w:rFonts w:ascii="Times New Roman"/>
                <w:sz w:val="20"/>
              </w:rPr>
            </w:pPr>
          </w:p>
        </w:tc>
        <w:tc>
          <w:tcPr>
            <w:tcW w:w="1686" w:type="dxa"/>
            <w:tcBorders>
              <w:top w:val="single" w:sz="4" w:space="0" w:color="000000"/>
            </w:tcBorders>
            <w:shd w:val="clear" w:color="auto" w:fill="BCD5ED"/>
          </w:tcPr>
          <w:p>
            <w:pPr>
              <w:pStyle w:val="TableParagraph"/>
              <w:ind w:left="193"/>
              <w:jc w:val="left"/>
              <w:rPr>
                <w:sz w:val="22"/>
              </w:rPr>
            </w:pPr>
            <w:r>
              <w:rPr>
                <w:sz w:val="22"/>
              </w:rPr>
              <w:t>NSE</w:t>
            </w:r>
          </w:p>
        </w:tc>
        <w:tc>
          <w:tcPr>
            <w:tcW w:w="795" w:type="dxa"/>
            <w:tcBorders>
              <w:top w:val="single" w:sz="4" w:space="0" w:color="000000"/>
            </w:tcBorders>
            <w:shd w:val="clear" w:color="auto" w:fill="BCD5ED"/>
          </w:tcPr>
          <w:p>
            <w:pPr>
              <w:pStyle w:val="TableParagraph"/>
              <w:ind w:left="80" w:right="147"/>
              <w:rPr>
                <w:sz w:val="22"/>
              </w:rPr>
            </w:pPr>
            <w:r>
              <w:rPr>
                <w:sz w:val="22"/>
              </w:rPr>
              <w:t>2.5</w:t>
            </w:r>
          </w:p>
        </w:tc>
        <w:tc>
          <w:tcPr>
            <w:tcW w:w="1652" w:type="dxa"/>
            <w:tcBorders>
              <w:top w:val="single" w:sz="4" w:space="0" w:color="000000"/>
            </w:tcBorders>
            <w:shd w:val="clear" w:color="auto" w:fill="BCD5ED"/>
          </w:tcPr>
          <w:p>
            <w:pPr>
              <w:pStyle w:val="TableParagraph"/>
              <w:jc w:val="left"/>
              <w:rPr>
                <w:rFonts w:ascii="Times New Roman"/>
                <w:sz w:val="20"/>
              </w:rPr>
            </w:pPr>
          </w:p>
        </w:tc>
      </w:tr>
      <w:tr>
        <w:trPr>
          <w:trHeight w:val="290" w:hRule="atLeast"/>
        </w:trPr>
        <w:tc>
          <w:tcPr>
            <w:tcW w:w="1338" w:type="dxa"/>
            <w:shd w:val="clear" w:color="auto" w:fill="BCD5ED"/>
          </w:tcPr>
          <w:p>
            <w:pPr>
              <w:pStyle w:val="TableParagraph"/>
              <w:spacing w:before="15"/>
              <w:ind w:left="69"/>
              <w:jc w:val="left"/>
              <w:rPr>
                <w:sz w:val="22"/>
              </w:rPr>
            </w:pPr>
            <w:r>
              <w:rPr>
                <w:sz w:val="22"/>
              </w:rPr>
              <w:t>Vandføring</w:t>
            </w:r>
          </w:p>
        </w:tc>
        <w:tc>
          <w:tcPr>
            <w:tcW w:w="1686" w:type="dxa"/>
            <w:shd w:val="clear" w:color="auto" w:fill="BCD5ED"/>
          </w:tcPr>
          <w:p>
            <w:pPr>
              <w:pStyle w:val="TableParagraph"/>
              <w:spacing w:before="15"/>
              <w:ind w:left="193"/>
              <w:jc w:val="left"/>
              <w:rPr>
                <w:sz w:val="22"/>
              </w:rPr>
            </w:pPr>
            <w:r>
              <w:rPr>
                <w:sz w:val="22"/>
              </w:rPr>
              <w:t>WBL</w:t>
            </w:r>
          </w:p>
        </w:tc>
        <w:tc>
          <w:tcPr>
            <w:tcW w:w="795" w:type="dxa"/>
            <w:shd w:val="clear" w:color="auto" w:fill="BCD5ED"/>
          </w:tcPr>
          <w:p>
            <w:pPr>
              <w:pStyle w:val="TableParagraph"/>
              <w:spacing w:before="15"/>
              <w:ind w:left="80" w:right="147"/>
              <w:rPr>
                <w:sz w:val="22"/>
              </w:rPr>
            </w:pPr>
            <w:r>
              <w:rPr>
                <w:sz w:val="22"/>
              </w:rPr>
              <w:t>1.0</w:t>
            </w:r>
          </w:p>
        </w:tc>
        <w:tc>
          <w:tcPr>
            <w:tcW w:w="1652" w:type="dxa"/>
            <w:shd w:val="clear" w:color="auto" w:fill="BCD5ED"/>
          </w:tcPr>
          <w:p>
            <w:pPr>
              <w:pStyle w:val="TableParagraph"/>
              <w:spacing w:before="15"/>
              <w:ind w:left="148" w:right="149"/>
              <w:rPr>
                <w:sz w:val="22"/>
              </w:rPr>
            </w:pPr>
            <w:r>
              <w:rPr>
                <w:sz w:val="22"/>
              </w:rPr>
              <w:t>0.33</w:t>
            </w:r>
          </w:p>
        </w:tc>
      </w:tr>
      <w:tr>
        <w:trPr>
          <w:trHeight w:val="307" w:hRule="atLeast"/>
        </w:trPr>
        <w:tc>
          <w:tcPr>
            <w:tcW w:w="1338" w:type="dxa"/>
            <w:tcBorders>
              <w:bottom w:val="single" w:sz="4" w:space="0" w:color="000000"/>
            </w:tcBorders>
            <w:shd w:val="clear" w:color="auto" w:fill="BCD5ED"/>
          </w:tcPr>
          <w:p>
            <w:pPr>
              <w:pStyle w:val="TableParagraph"/>
              <w:jc w:val="left"/>
              <w:rPr>
                <w:rFonts w:ascii="Times New Roman"/>
                <w:sz w:val="20"/>
              </w:rPr>
            </w:pPr>
          </w:p>
        </w:tc>
        <w:tc>
          <w:tcPr>
            <w:tcW w:w="1686" w:type="dxa"/>
            <w:tcBorders>
              <w:bottom w:val="single" w:sz="4" w:space="0" w:color="000000"/>
            </w:tcBorders>
            <w:shd w:val="clear" w:color="auto" w:fill="BCD5ED"/>
          </w:tcPr>
          <w:p>
            <w:pPr>
              <w:pStyle w:val="TableParagraph"/>
              <w:spacing w:before="14"/>
              <w:ind w:left="193"/>
              <w:jc w:val="left"/>
              <w:rPr>
                <w:sz w:val="14"/>
              </w:rPr>
            </w:pPr>
            <w:r>
              <w:rPr>
                <w:position w:val="2"/>
                <w:sz w:val="22"/>
              </w:rPr>
              <w:t>WBL</w:t>
            </w:r>
            <w:r>
              <w:rPr>
                <w:sz w:val="14"/>
              </w:rPr>
              <w:t>sommer</w:t>
            </w:r>
          </w:p>
        </w:tc>
        <w:tc>
          <w:tcPr>
            <w:tcW w:w="795" w:type="dxa"/>
            <w:tcBorders>
              <w:bottom w:val="single" w:sz="4" w:space="0" w:color="000000"/>
            </w:tcBorders>
            <w:shd w:val="clear" w:color="auto" w:fill="BCD5ED"/>
          </w:tcPr>
          <w:p>
            <w:pPr>
              <w:pStyle w:val="TableParagraph"/>
              <w:spacing w:before="15"/>
              <w:ind w:left="80" w:right="147"/>
              <w:rPr>
                <w:sz w:val="22"/>
              </w:rPr>
            </w:pPr>
            <w:r>
              <w:rPr>
                <w:sz w:val="22"/>
              </w:rPr>
              <w:t>0.5</w:t>
            </w:r>
          </w:p>
        </w:tc>
        <w:tc>
          <w:tcPr>
            <w:tcW w:w="1652" w:type="dxa"/>
            <w:tcBorders>
              <w:bottom w:val="single" w:sz="4" w:space="0" w:color="000000"/>
            </w:tcBorders>
            <w:shd w:val="clear" w:color="auto" w:fill="BCD5ED"/>
          </w:tcPr>
          <w:p>
            <w:pPr>
              <w:pStyle w:val="TableParagraph"/>
              <w:jc w:val="left"/>
              <w:rPr>
                <w:rFonts w:ascii="Times New Roman"/>
                <w:sz w:val="20"/>
              </w:rPr>
            </w:pPr>
          </w:p>
        </w:tc>
      </w:tr>
      <w:tr>
        <w:trPr>
          <w:trHeight w:val="334" w:hRule="atLeast"/>
        </w:trPr>
        <w:tc>
          <w:tcPr>
            <w:tcW w:w="1338" w:type="dxa"/>
            <w:tcBorders>
              <w:top w:val="single" w:sz="4" w:space="0" w:color="000000"/>
            </w:tcBorders>
            <w:shd w:val="clear" w:color="auto" w:fill="FFE499"/>
          </w:tcPr>
          <w:p>
            <w:pPr>
              <w:pStyle w:val="TableParagraph"/>
              <w:spacing w:before="38"/>
              <w:ind w:left="69"/>
              <w:jc w:val="left"/>
              <w:rPr>
                <w:sz w:val="22"/>
              </w:rPr>
            </w:pPr>
            <w:r>
              <w:rPr>
                <w:sz w:val="22"/>
              </w:rPr>
              <w:t>Trykniveau</w:t>
            </w:r>
          </w:p>
        </w:tc>
        <w:tc>
          <w:tcPr>
            <w:tcW w:w="1686" w:type="dxa"/>
            <w:tcBorders>
              <w:top w:val="single" w:sz="4" w:space="0" w:color="000000"/>
            </w:tcBorders>
            <w:shd w:val="clear" w:color="auto" w:fill="FFE499"/>
          </w:tcPr>
          <w:p>
            <w:pPr>
              <w:pStyle w:val="TableParagraph"/>
              <w:spacing w:before="37"/>
              <w:ind w:left="193"/>
              <w:jc w:val="left"/>
              <w:rPr>
                <w:sz w:val="22"/>
              </w:rPr>
            </w:pPr>
            <w:r>
              <w:rPr>
                <w:position w:val="2"/>
                <w:sz w:val="22"/>
              </w:rPr>
              <w:t>CRPS</w:t>
            </w:r>
            <w:r>
              <w:rPr>
                <w:sz w:val="14"/>
              </w:rPr>
              <w:t>90% </w:t>
            </w:r>
            <w:r>
              <w:rPr>
                <w:position w:val="2"/>
                <w:sz w:val="22"/>
              </w:rPr>
              <w:t>tn</w:t>
            </w:r>
          </w:p>
        </w:tc>
        <w:tc>
          <w:tcPr>
            <w:tcW w:w="795" w:type="dxa"/>
            <w:tcBorders>
              <w:top w:val="single" w:sz="4" w:space="0" w:color="000000"/>
            </w:tcBorders>
            <w:shd w:val="clear" w:color="auto" w:fill="FFE499"/>
          </w:tcPr>
          <w:p>
            <w:pPr>
              <w:pStyle w:val="TableParagraph"/>
              <w:spacing w:before="38"/>
              <w:ind w:left="80" w:right="145"/>
              <w:rPr>
                <w:sz w:val="22"/>
              </w:rPr>
            </w:pPr>
            <w:r>
              <w:rPr>
                <w:sz w:val="22"/>
              </w:rPr>
              <w:t>5.0</w:t>
            </w:r>
          </w:p>
        </w:tc>
        <w:tc>
          <w:tcPr>
            <w:tcW w:w="1652" w:type="dxa"/>
            <w:tcBorders>
              <w:top w:val="single" w:sz="4" w:space="0" w:color="000000"/>
            </w:tcBorders>
            <w:shd w:val="clear" w:color="auto" w:fill="FFE499"/>
          </w:tcPr>
          <w:p>
            <w:pPr>
              <w:pStyle w:val="TableParagraph"/>
              <w:spacing w:before="38"/>
              <w:ind w:left="148" w:right="149"/>
              <w:rPr>
                <w:sz w:val="22"/>
              </w:rPr>
            </w:pPr>
            <w:r>
              <w:rPr>
                <w:sz w:val="22"/>
              </w:rPr>
              <w:t>0.67</w:t>
            </w:r>
          </w:p>
        </w:tc>
      </w:tr>
      <w:tr>
        <w:trPr>
          <w:trHeight w:val="327" w:hRule="atLeast"/>
        </w:trPr>
        <w:tc>
          <w:tcPr>
            <w:tcW w:w="1338" w:type="dxa"/>
            <w:shd w:val="clear" w:color="auto" w:fill="FFE499"/>
          </w:tcPr>
          <w:p>
            <w:pPr>
              <w:pStyle w:val="TableParagraph"/>
              <w:jc w:val="left"/>
              <w:rPr>
                <w:rFonts w:ascii="Times New Roman"/>
                <w:sz w:val="20"/>
              </w:rPr>
            </w:pPr>
          </w:p>
        </w:tc>
        <w:tc>
          <w:tcPr>
            <w:tcW w:w="1686" w:type="dxa"/>
            <w:shd w:val="clear" w:color="auto" w:fill="FFE499"/>
          </w:tcPr>
          <w:p>
            <w:pPr>
              <w:pStyle w:val="TableParagraph"/>
              <w:spacing w:before="34"/>
              <w:ind w:left="193"/>
              <w:jc w:val="left"/>
              <w:rPr>
                <w:sz w:val="22"/>
              </w:rPr>
            </w:pPr>
            <w:r>
              <w:rPr>
                <w:position w:val="2"/>
                <w:sz w:val="22"/>
              </w:rPr>
              <w:t>CRPS</w:t>
            </w:r>
            <w:r>
              <w:rPr>
                <w:sz w:val="14"/>
              </w:rPr>
              <w:t>90% </w:t>
            </w:r>
            <w:r>
              <w:rPr>
                <w:position w:val="2"/>
                <w:sz w:val="22"/>
              </w:rPr>
              <w:t>dyb</w:t>
            </w:r>
          </w:p>
        </w:tc>
        <w:tc>
          <w:tcPr>
            <w:tcW w:w="795" w:type="dxa"/>
            <w:shd w:val="clear" w:color="auto" w:fill="FFE499"/>
          </w:tcPr>
          <w:p>
            <w:pPr>
              <w:pStyle w:val="TableParagraph"/>
              <w:spacing w:before="35"/>
              <w:ind w:left="80" w:right="145"/>
              <w:rPr>
                <w:sz w:val="22"/>
              </w:rPr>
            </w:pPr>
            <w:r>
              <w:rPr>
                <w:sz w:val="22"/>
              </w:rPr>
              <w:t>3.0</w:t>
            </w:r>
          </w:p>
        </w:tc>
        <w:tc>
          <w:tcPr>
            <w:tcW w:w="1652" w:type="dxa"/>
            <w:shd w:val="clear" w:color="auto" w:fill="FFE499"/>
          </w:tcPr>
          <w:p>
            <w:pPr>
              <w:pStyle w:val="TableParagraph"/>
              <w:jc w:val="left"/>
              <w:rPr>
                <w:rFonts w:ascii="Times New Roman"/>
                <w:sz w:val="20"/>
              </w:rPr>
            </w:pPr>
          </w:p>
        </w:tc>
      </w:tr>
    </w:tbl>
    <w:p>
      <w:pPr>
        <w:pStyle w:val="BodyText"/>
        <w:rPr>
          <w:rFonts w:ascii="Calibri"/>
          <w:i/>
          <w:sz w:val="18"/>
        </w:rPr>
      </w:pPr>
    </w:p>
    <w:p>
      <w:pPr>
        <w:pStyle w:val="BodyText"/>
        <w:rPr>
          <w:rFonts w:ascii="Calibri"/>
          <w:i/>
          <w:sz w:val="18"/>
        </w:rPr>
      </w:pPr>
    </w:p>
    <w:p>
      <w:pPr>
        <w:pStyle w:val="Heading2"/>
        <w:numPr>
          <w:ilvl w:val="1"/>
          <w:numId w:val="12"/>
        </w:numPr>
        <w:tabs>
          <w:tab w:pos="1142" w:val="left" w:leader="none"/>
        </w:tabs>
        <w:spacing w:line="240" w:lineRule="auto" w:before="138" w:after="0"/>
        <w:ind w:left="1142" w:right="0" w:hanging="617"/>
        <w:jc w:val="both"/>
      </w:pPr>
      <w:bookmarkStart w:name="_bookmark53" w:id="72"/>
      <w:bookmarkEnd w:id="72"/>
      <w:r>
        <w:rPr>
          <w:b w:val="0"/>
        </w:rPr>
      </w:r>
      <w:bookmarkStart w:name="_bookmark53" w:id="73"/>
      <w:bookmarkEnd w:id="73"/>
      <w:r>
        <w:rPr/>
        <w:t>M</w:t>
      </w:r>
      <w:r>
        <w:rPr/>
        <w:t>etode til kalibrering af vandstand i</w:t>
      </w:r>
      <w:r>
        <w:rPr>
          <w:spacing w:val="-4"/>
        </w:rPr>
        <w:t> </w:t>
      </w:r>
      <w:r>
        <w:rPr/>
        <w:t>vandløb</w:t>
      </w:r>
    </w:p>
    <w:p>
      <w:pPr>
        <w:pStyle w:val="BodyText"/>
        <w:spacing w:line="276" w:lineRule="auto" w:before="240"/>
        <w:ind w:left="525" w:right="730"/>
        <w:jc w:val="both"/>
      </w:pPr>
      <w:r>
        <w:rPr/>
        <w:t>Kalibrering</w:t>
      </w:r>
      <w:r>
        <w:rPr>
          <w:spacing w:val="-8"/>
        </w:rPr>
        <w:t> </w:t>
      </w:r>
      <w:r>
        <w:rPr/>
        <w:t>af</w:t>
      </w:r>
      <w:r>
        <w:rPr>
          <w:spacing w:val="-7"/>
        </w:rPr>
        <w:t> </w:t>
      </w:r>
      <w:r>
        <w:rPr/>
        <w:t>vandstand</w:t>
      </w:r>
      <w:r>
        <w:rPr>
          <w:spacing w:val="-8"/>
        </w:rPr>
        <w:t> </w:t>
      </w:r>
      <w:r>
        <w:rPr/>
        <w:t>vil</w:t>
      </w:r>
      <w:r>
        <w:rPr>
          <w:spacing w:val="-8"/>
        </w:rPr>
        <w:t> </w:t>
      </w:r>
      <w:r>
        <w:rPr/>
        <w:t>i</w:t>
      </w:r>
      <w:r>
        <w:rPr>
          <w:spacing w:val="-7"/>
        </w:rPr>
        <w:t> </w:t>
      </w:r>
      <w:r>
        <w:rPr/>
        <w:t>dette</w:t>
      </w:r>
      <w:r>
        <w:rPr>
          <w:spacing w:val="-8"/>
        </w:rPr>
        <w:t> </w:t>
      </w:r>
      <w:r>
        <w:rPr/>
        <w:t>projekt</w:t>
      </w:r>
      <w:r>
        <w:rPr>
          <w:spacing w:val="-8"/>
        </w:rPr>
        <w:t> </w:t>
      </w:r>
      <w:r>
        <w:rPr/>
        <w:t>være</w:t>
      </w:r>
      <w:r>
        <w:rPr>
          <w:spacing w:val="-8"/>
        </w:rPr>
        <w:t> </w:t>
      </w:r>
      <w:r>
        <w:rPr/>
        <w:t>baseret</w:t>
      </w:r>
      <w:r>
        <w:rPr>
          <w:spacing w:val="-8"/>
        </w:rPr>
        <w:t> </w:t>
      </w:r>
      <w:r>
        <w:rPr/>
        <w:t>på</w:t>
      </w:r>
      <w:r>
        <w:rPr>
          <w:spacing w:val="-8"/>
        </w:rPr>
        <w:t> </w:t>
      </w:r>
      <w:r>
        <w:rPr/>
        <w:t>en</w:t>
      </w:r>
      <w:r>
        <w:rPr>
          <w:spacing w:val="-7"/>
        </w:rPr>
        <w:t> </w:t>
      </w:r>
      <w:r>
        <w:rPr/>
        <w:t>kalibrering</w:t>
      </w:r>
      <w:r>
        <w:rPr>
          <w:spacing w:val="-8"/>
        </w:rPr>
        <w:t> </w:t>
      </w:r>
      <w:r>
        <w:rPr/>
        <w:t>af</w:t>
      </w:r>
      <w:r>
        <w:rPr>
          <w:spacing w:val="-6"/>
        </w:rPr>
        <w:t> </w:t>
      </w:r>
      <w:r>
        <w:rPr/>
        <w:t>Manningtallet</w:t>
      </w:r>
      <w:r>
        <w:rPr>
          <w:spacing w:val="-9"/>
        </w:rPr>
        <w:t> </w:t>
      </w:r>
      <w:r>
        <w:rPr/>
        <w:t>for vandløbene i en koblet MIKE SHE – MIKE HYDRO River model. Dermed vil fejl i den simu- lerede vandføring fra MIKE SHE videreføres til vandstandssimuleringen i MIKE HYDRO Ri- ver. Ideelt set skulle hele den koblede model re-kalibreres da ændringer i vandstand i vand- løb kan have en vis indvirkning på trykniveauerne i MIKE SHE modellen. Der er dog fare for at kalibrering med fokus på vandstand ville kunne ændre uhensigtsmæssigt på den simule- rede vandføring i stedet for at tilpasse Manningtallet. Desuden vil en sådan re-kalibrering være enormt tidskrævende, da den vil indeholde et relativt stort antal frie parametre. Det er derfor besluttet at basere den hydrodynamiske model på den kalibrerede 100 m model og begrænse kalibreringen af MIKE HYDRO til en kalibrering af Manningtallet med vandstand som</w:t>
      </w:r>
      <w:r>
        <w:rPr>
          <w:spacing w:val="-10"/>
        </w:rPr>
        <w:t> </w:t>
      </w:r>
      <w:r>
        <w:rPr/>
        <w:t>eneste</w:t>
      </w:r>
      <w:r>
        <w:rPr>
          <w:spacing w:val="-11"/>
        </w:rPr>
        <w:t> </w:t>
      </w:r>
      <w:r>
        <w:rPr/>
        <w:t>objektivfunktion.</w:t>
      </w:r>
      <w:r>
        <w:rPr>
          <w:spacing w:val="-13"/>
        </w:rPr>
        <w:t> </w:t>
      </w:r>
      <w:r>
        <w:rPr/>
        <w:t>Modellen</w:t>
      </w:r>
      <w:r>
        <w:rPr>
          <w:spacing w:val="-11"/>
        </w:rPr>
        <w:t> </w:t>
      </w:r>
      <w:r>
        <w:rPr/>
        <w:t>køres</w:t>
      </w:r>
      <w:r>
        <w:rPr>
          <w:spacing w:val="-11"/>
        </w:rPr>
        <w:t> </w:t>
      </w:r>
      <w:r>
        <w:rPr/>
        <w:t>dog</w:t>
      </w:r>
      <w:r>
        <w:rPr>
          <w:spacing w:val="-11"/>
        </w:rPr>
        <w:t> </w:t>
      </w:r>
      <w:r>
        <w:rPr/>
        <w:t>fortsat</w:t>
      </w:r>
      <w:r>
        <w:rPr>
          <w:spacing w:val="-12"/>
        </w:rPr>
        <w:t> </w:t>
      </w:r>
      <w:r>
        <w:rPr/>
        <w:t>som</w:t>
      </w:r>
      <w:r>
        <w:rPr>
          <w:spacing w:val="-9"/>
        </w:rPr>
        <w:t> </w:t>
      </w:r>
      <w:r>
        <w:rPr/>
        <w:t>en</w:t>
      </w:r>
      <w:r>
        <w:rPr>
          <w:spacing w:val="-11"/>
        </w:rPr>
        <w:t> </w:t>
      </w:r>
      <w:r>
        <w:rPr/>
        <w:t>koblet</w:t>
      </w:r>
      <w:r>
        <w:rPr>
          <w:spacing w:val="-14"/>
        </w:rPr>
        <w:t> </w:t>
      </w:r>
      <w:r>
        <w:rPr/>
        <w:t>model</w:t>
      </w:r>
      <w:r>
        <w:rPr>
          <w:spacing w:val="-13"/>
        </w:rPr>
        <w:t> </w:t>
      </w:r>
      <w:r>
        <w:rPr/>
        <w:t>for</w:t>
      </w:r>
      <w:r>
        <w:rPr>
          <w:spacing w:val="-11"/>
        </w:rPr>
        <w:t> </w:t>
      </w:r>
      <w:r>
        <w:rPr/>
        <w:t>at</w:t>
      </w:r>
      <w:r>
        <w:rPr>
          <w:spacing w:val="-12"/>
        </w:rPr>
        <w:t> </w:t>
      </w:r>
      <w:r>
        <w:rPr/>
        <w:t>sikre</w:t>
      </w:r>
      <w:r>
        <w:rPr>
          <w:spacing w:val="-12"/>
        </w:rPr>
        <w:t> </w:t>
      </w:r>
      <w:r>
        <w:rPr/>
        <w:t>den optimale</w:t>
      </w:r>
      <w:r>
        <w:rPr>
          <w:spacing w:val="-6"/>
        </w:rPr>
        <w:t> </w:t>
      </w:r>
      <w:r>
        <w:rPr/>
        <w:t>interaktion</w:t>
      </w:r>
      <w:r>
        <w:rPr>
          <w:spacing w:val="-8"/>
        </w:rPr>
        <w:t> </w:t>
      </w:r>
      <w:r>
        <w:rPr/>
        <w:t>mellem</w:t>
      </w:r>
      <w:r>
        <w:rPr>
          <w:spacing w:val="-5"/>
        </w:rPr>
        <w:t> </w:t>
      </w:r>
      <w:r>
        <w:rPr/>
        <w:t>grundvand</w:t>
      </w:r>
      <w:r>
        <w:rPr>
          <w:spacing w:val="-5"/>
        </w:rPr>
        <w:t> </w:t>
      </w:r>
      <w:r>
        <w:rPr/>
        <w:t>og</w:t>
      </w:r>
      <w:r>
        <w:rPr>
          <w:spacing w:val="-5"/>
        </w:rPr>
        <w:t> </w:t>
      </w:r>
      <w:r>
        <w:rPr/>
        <w:t>overfladevand.</w:t>
      </w:r>
      <w:r>
        <w:rPr>
          <w:spacing w:val="-7"/>
        </w:rPr>
        <w:t> </w:t>
      </w:r>
      <w:r>
        <w:rPr/>
        <w:t>Kalibreringsperioden</w:t>
      </w:r>
      <w:r>
        <w:rPr>
          <w:spacing w:val="-6"/>
        </w:rPr>
        <w:t> </w:t>
      </w:r>
      <w:r>
        <w:rPr/>
        <w:t>reduceres</w:t>
      </w:r>
      <w:r>
        <w:rPr>
          <w:spacing w:val="-6"/>
        </w:rPr>
        <w:t> </w:t>
      </w:r>
      <w:r>
        <w:rPr/>
        <w:t>til årene 2007-2008, for at begrænse simuleringstiden. 2007-2008 udgør en periode med høje vandstande og er derfor egnet til dette projekt med fokus på ekstremhændelser og vand på terræn.</w:t>
      </w:r>
      <w:r>
        <w:rPr>
          <w:spacing w:val="-8"/>
        </w:rPr>
        <w:t> </w:t>
      </w:r>
      <w:r>
        <w:rPr/>
        <w:t>Desuden</w:t>
      </w:r>
      <w:r>
        <w:rPr>
          <w:spacing w:val="-6"/>
        </w:rPr>
        <w:t> </w:t>
      </w:r>
      <w:r>
        <w:rPr/>
        <w:t>er</w:t>
      </w:r>
      <w:r>
        <w:rPr>
          <w:spacing w:val="-7"/>
        </w:rPr>
        <w:t> </w:t>
      </w:r>
      <w:r>
        <w:rPr/>
        <w:t>der</w:t>
      </w:r>
      <w:r>
        <w:rPr>
          <w:spacing w:val="-6"/>
        </w:rPr>
        <w:t> </w:t>
      </w:r>
      <w:r>
        <w:rPr/>
        <w:t>flest</w:t>
      </w:r>
      <w:r>
        <w:rPr>
          <w:spacing w:val="-7"/>
        </w:rPr>
        <w:t> </w:t>
      </w:r>
      <w:r>
        <w:rPr/>
        <w:t>h-stationer</w:t>
      </w:r>
      <w:r>
        <w:rPr>
          <w:spacing w:val="-6"/>
        </w:rPr>
        <w:t> </w:t>
      </w:r>
      <w:r>
        <w:rPr/>
        <w:t>tilgængelige</w:t>
      </w:r>
      <w:r>
        <w:rPr>
          <w:spacing w:val="-6"/>
        </w:rPr>
        <w:t> </w:t>
      </w:r>
      <w:r>
        <w:rPr/>
        <w:t>for</w:t>
      </w:r>
      <w:r>
        <w:rPr>
          <w:spacing w:val="-7"/>
        </w:rPr>
        <w:t> </w:t>
      </w:r>
      <w:r>
        <w:rPr/>
        <w:t>denne</w:t>
      </w:r>
      <w:r>
        <w:rPr>
          <w:spacing w:val="-6"/>
        </w:rPr>
        <w:t> </w:t>
      </w:r>
      <w:r>
        <w:rPr/>
        <w:t>periode</w:t>
      </w:r>
      <w:r>
        <w:rPr>
          <w:spacing w:val="-6"/>
        </w:rPr>
        <w:t> </w:t>
      </w:r>
      <w:r>
        <w:rPr/>
        <w:t>og</w:t>
      </w:r>
      <w:r>
        <w:rPr>
          <w:spacing w:val="-6"/>
        </w:rPr>
        <w:t> </w:t>
      </w:r>
      <w:r>
        <w:rPr/>
        <w:t>perioden</w:t>
      </w:r>
      <w:r>
        <w:rPr>
          <w:spacing w:val="-6"/>
        </w:rPr>
        <w:t> </w:t>
      </w:r>
      <w:r>
        <w:rPr/>
        <w:t>overlap- per med kalibreringsperioden for terrænnært grundvand</w:t>
      </w:r>
      <w:r>
        <w:rPr>
          <w:spacing w:val="-10"/>
        </w:rPr>
        <w:t> </w:t>
      </w:r>
      <w:r>
        <w:rPr/>
        <w:t>(2000-2008).</w:t>
      </w:r>
    </w:p>
    <w:p>
      <w:pPr>
        <w:pStyle w:val="BodyText"/>
        <w:spacing w:line="276" w:lineRule="auto" w:before="161"/>
        <w:ind w:left="525" w:right="735"/>
        <w:jc w:val="both"/>
      </w:pPr>
      <w:r>
        <w:rPr/>
        <w:t>Manningtallet er den centrale parameter for konvertering fra vandføring til vandstand og en korrekt</w:t>
      </w:r>
      <w:r>
        <w:rPr>
          <w:spacing w:val="-8"/>
        </w:rPr>
        <w:t> </w:t>
      </w:r>
      <w:r>
        <w:rPr/>
        <w:t>parametrisering</w:t>
      </w:r>
      <w:r>
        <w:rPr>
          <w:spacing w:val="-7"/>
        </w:rPr>
        <w:t> </w:t>
      </w:r>
      <w:r>
        <w:rPr/>
        <w:t>er</w:t>
      </w:r>
      <w:r>
        <w:rPr>
          <w:spacing w:val="-7"/>
        </w:rPr>
        <w:t> </w:t>
      </w:r>
      <w:r>
        <w:rPr/>
        <w:t>derfor</w:t>
      </w:r>
      <w:r>
        <w:rPr>
          <w:spacing w:val="-8"/>
        </w:rPr>
        <w:t> </w:t>
      </w:r>
      <w:r>
        <w:rPr/>
        <w:t>afgørende</w:t>
      </w:r>
      <w:r>
        <w:rPr>
          <w:spacing w:val="-8"/>
        </w:rPr>
        <w:t> </w:t>
      </w:r>
      <w:r>
        <w:rPr/>
        <w:t>for</w:t>
      </w:r>
      <w:r>
        <w:rPr>
          <w:spacing w:val="-10"/>
        </w:rPr>
        <w:t> </w:t>
      </w:r>
      <w:r>
        <w:rPr/>
        <w:t>modellens</w:t>
      </w:r>
      <w:r>
        <w:rPr>
          <w:spacing w:val="-7"/>
        </w:rPr>
        <w:t> </w:t>
      </w:r>
      <w:r>
        <w:rPr/>
        <w:t>evne</w:t>
      </w:r>
      <w:r>
        <w:rPr>
          <w:spacing w:val="-6"/>
        </w:rPr>
        <w:t> </w:t>
      </w:r>
      <w:r>
        <w:rPr/>
        <w:t>til</w:t>
      </w:r>
      <w:r>
        <w:rPr>
          <w:spacing w:val="-6"/>
        </w:rPr>
        <w:t> </w:t>
      </w:r>
      <w:r>
        <w:rPr/>
        <w:t>at</w:t>
      </w:r>
      <w:r>
        <w:rPr>
          <w:spacing w:val="-7"/>
        </w:rPr>
        <w:t> </w:t>
      </w:r>
      <w:r>
        <w:rPr/>
        <w:t>simulere</w:t>
      </w:r>
      <w:r>
        <w:rPr>
          <w:spacing w:val="-7"/>
        </w:rPr>
        <w:t> </w:t>
      </w:r>
      <w:r>
        <w:rPr/>
        <w:t>vandstand.</w:t>
      </w:r>
      <w:r>
        <w:rPr>
          <w:spacing w:val="-7"/>
        </w:rPr>
        <w:t> </w:t>
      </w:r>
      <w:r>
        <w:rPr/>
        <w:t>Da</w:t>
      </w:r>
    </w:p>
    <w:p>
      <w:pPr>
        <w:spacing w:after="0" w:line="276" w:lineRule="auto"/>
        <w:jc w:val="both"/>
        <w:sectPr>
          <w:pgSz w:w="11910" w:h="16850"/>
          <w:pgMar w:header="0" w:footer="857" w:top="1340" w:bottom="1120" w:left="1460" w:right="680"/>
        </w:sectPr>
      </w:pPr>
    </w:p>
    <w:p>
      <w:pPr>
        <w:pStyle w:val="BodyText"/>
        <w:spacing w:line="276" w:lineRule="auto" w:before="75"/>
        <w:ind w:left="525" w:right="730"/>
        <w:jc w:val="both"/>
      </w:pPr>
      <w:r>
        <w:rPr/>
        <w:t>maanningtallet</w:t>
      </w:r>
      <w:r>
        <w:rPr>
          <w:spacing w:val="-6"/>
        </w:rPr>
        <w:t> </w:t>
      </w:r>
      <w:r>
        <w:rPr/>
        <w:t>varierer</w:t>
      </w:r>
      <w:r>
        <w:rPr>
          <w:spacing w:val="-7"/>
        </w:rPr>
        <w:t> </w:t>
      </w:r>
      <w:r>
        <w:rPr/>
        <w:t>både</w:t>
      </w:r>
      <w:r>
        <w:rPr>
          <w:spacing w:val="-3"/>
        </w:rPr>
        <w:t> </w:t>
      </w:r>
      <w:r>
        <w:rPr/>
        <w:t>i</w:t>
      </w:r>
      <w:r>
        <w:rPr>
          <w:spacing w:val="-3"/>
        </w:rPr>
        <w:t> </w:t>
      </w:r>
      <w:r>
        <w:rPr/>
        <w:t>tid</w:t>
      </w:r>
      <w:r>
        <w:rPr>
          <w:spacing w:val="-6"/>
        </w:rPr>
        <w:t> </w:t>
      </w:r>
      <w:r>
        <w:rPr/>
        <w:t>og</w:t>
      </w:r>
      <w:r>
        <w:rPr>
          <w:spacing w:val="-3"/>
        </w:rPr>
        <w:t> </w:t>
      </w:r>
      <w:r>
        <w:rPr/>
        <w:t>rum</w:t>
      </w:r>
      <w:r>
        <w:rPr>
          <w:spacing w:val="-5"/>
        </w:rPr>
        <w:t> </w:t>
      </w:r>
      <w:r>
        <w:rPr/>
        <w:t>er</w:t>
      </w:r>
      <w:r>
        <w:rPr>
          <w:spacing w:val="-4"/>
        </w:rPr>
        <w:t> </w:t>
      </w:r>
      <w:r>
        <w:rPr/>
        <w:t>det</w:t>
      </w:r>
      <w:r>
        <w:rPr>
          <w:spacing w:val="-7"/>
        </w:rPr>
        <w:t> </w:t>
      </w:r>
      <w:r>
        <w:rPr/>
        <w:t>nærliggende</w:t>
      </w:r>
      <w:r>
        <w:rPr>
          <w:spacing w:val="-4"/>
        </w:rPr>
        <w:t> </w:t>
      </w:r>
      <w:r>
        <w:rPr/>
        <w:t>at</w:t>
      </w:r>
      <w:r>
        <w:rPr>
          <w:spacing w:val="-7"/>
        </w:rPr>
        <w:t> </w:t>
      </w:r>
      <w:r>
        <w:rPr/>
        <w:t>kalibrere</w:t>
      </w:r>
      <w:r>
        <w:rPr>
          <w:spacing w:val="-4"/>
        </w:rPr>
        <w:t> </w:t>
      </w:r>
      <w:r>
        <w:rPr/>
        <w:t>det</w:t>
      </w:r>
      <w:r>
        <w:rPr>
          <w:spacing w:val="-5"/>
        </w:rPr>
        <w:t> </w:t>
      </w:r>
      <w:r>
        <w:rPr/>
        <w:t>for</w:t>
      </w:r>
      <w:r>
        <w:rPr>
          <w:spacing w:val="-7"/>
        </w:rPr>
        <w:t> </w:t>
      </w:r>
      <w:r>
        <w:rPr/>
        <w:t>hvert</w:t>
      </w:r>
      <w:r>
        <w:rPr>
          <w:spacing w:val="-5"/>
        </w:rPr>
        <w:t> </w:t>
      </w:r>
      <w:r>
        <w:rPr/>
        <w:t>tilgæn- gelig h-station. Det vil dog sandsynligvis resultere i en overfitting og strider imod DK-Model konceptet, hvor parameter regionalisering er afgørende og hvor en simpel robust parametri- sering</w:t>
      </w:r>
      <w:r>
        <w:rPr>
          <w:spacing w:val="-5"/>
        </w:rPr>
        <w:t> </w:t>
      </w:r>
      <w:r>
        <w:rPr/>
        <w:t>og</w:t>
      </w:r>
      <w:r>
        <w:rPr>
          <w:spacing w:val="-3"/>
        </w:rPr>
        <w:t> </w:t>
      </w:r>
      <w:r>
        <w:rPr/>
        <w:t>validerings</w:t>
      </w:r>
      <w:r>
        <w:rPr>
          <w:spacing w:val="-7"/>
        </w:rPr>
        <w:t> </w:t>
      </w:r>
      <w:r>
        <w:rPr/>
        <w:t>performance</w:t>
      </w:r>
      <w:r>
        <w:rPr>
          <w:spacing w:val="-6"/>
        </w:rPr>
        <w:t> </w:t>
      </w:r>
      <w:r>
        <w:rPr/>
        <w:t>er</w:t>
      </w:r>
      <w:r>
        <w:rPr>
          <w:spacing w:val="-4"/>
        </w:rPr>
        <w:t> </w:t>
      </w:r>
      <w:r>
        <w:rPr/>
        <w:t>at</w:t>
      </w:r>
      <w:r>
        <w:rPr>
          <w:spacing w:val="-6"/>
        </w:rPr>
        <w:t> </w:t>
      </w:r>
      <w:r>
        <w:rPr/>
        <w:t>foretrække</w:t>
      </w:r>
      <w:r>
        <w:rPr>
          <w:spacing w:val="-6"/>
        </w:rPr>
        <w:t> </w:t>
      </w:r>
      <w:r>
        <w:rPr/>
        <w:t>frem</w:t>
      </w:r>
      <w:r>
        <w:rPr>
          <w:spacing w:val="-4"/>
        </w:rPr>
        <w:t> </w:t>
      </w:r>
      <w:r>
        <w:rPr/>
        <w:t>for</w:t>
      </w:r>
      <w:r>
        <w:rPr>
          <w:spacing w:val="-5"/>
        </w:rPr>
        <w:t> </w:t>
      </w:r>
      <w:r>
        <w:rPr/>
        <w:t>bedst</w:t>
      </w:r>
      <w:r>
        <w:rPr>
          <w:spacing w:val="-7"/>
        </w:rPr>
        <w:t> </w:t>
      </w:r>
      <w:r>
        <w:rPr/>
        <w:t>mulige</w:t>
      </w:r>
      <w:r>
        <w:rPr>
          <w:spacing w:val="-5"/>
        </w:rPr>
        <w:t> </w:t>
      </w:r>
      <w:r>
        <w:rPr/>
        <w:t>kalibrerings</w:t>
      </w:r>
      <w:r>
        <w:rPr>
          <w:spacing w:val="-5"/>
        </w:rPr>
        <w:t> </w:t>
      </w:r>
      <w:r>
        <w:rPr/>
        <w:t>perfor- mance. Det blev derfor besluttet at lade Manningtallet følge en fast sæsonvariation som af- spejler grødens generelle variation samt en variation på tværs af vandløbsstørrelser. Dette koncept</w:t>
      </w:r>
      <w:r>
        <w:rPr>
          <w:spacing w:val="-6"/>
        </w:rPr>
        <w:t> </w:t>
      </w:r>
      <w:r>
        <w:rPr/>
        <w:t>er</w:t>
      </w:r>
      <w:r>
        <w:rPr>
          <w:spacing w:val="-5"/>
        </w:rPr>
        <w:t> </w:t>
      </w:r>
      <w:r>
        <w:rPr/>
        <w:t>inspireret</w:t>
      </w:r>
      <w:r>
        <w:rPr>
          <w:spacing w:val="-6"/>
        </w:rPr>
        <w:t> </w:t>
      </w:r>
      <w:r>
        <w:rPr/>
        <w:t>af</w:t>
      </w:r>
      <w:r>
        <w:rPr>
          <w:spacing w:val="-3"/>
        </w:rPr>
        <w:t> </w:t>
      </w:r>
      <w:r>
        <w:rPr/>
        <w:t>Ovesen</w:t>
      </w:r>
      <w:r>
        <w:rPr>
          <w:spacing w:val="-7"/>
        </w:rPr>
        <w:t> </w:t>
      </w:r>
      <w:r>
        <w:rPr/>
        <w:t>et</w:t>
      </w:r>
      <w:r>
        <w:rPr>
          <w:spacing w:val="-5"/>
        </w:rPr>
        <w:t> </w:t>
      </w:r>
      <w:r>
        <w:rPr/>
        <w:t>al.</w:t>
      </w:r>
      <w:r>
        <w:rPr>
          <w:spacing w:val="-6"/>
        </w:rPr>
        <w:t> </w:t>
      </w:r>
      <w:r>
        <w:rPr/>
        <w:t>(2015)</w:t>
      </w:r>
      <w:r>
        <w:rPr>
          <w:spacing w:val="-5"/>
        </w:rPr>
        <w:t> </w:t>
      </w:r>
      <w:r>
        <w:rPr/>
        <w:t>som</w:t>
      </w:r>
      <w:r>
        <w:rPr>
          <w:spacing w:val="-3"/>
        </w:rPr>
        <w:t> </w:t>
      </w:r>
      <w:r>
        <w:rPr/>
        <w:t>beskriver</w:t>
      </w:r>
      <w:r>
        <w:rPr>
          <w:spacing w:val="-5"/>
        </w:rPr>
        <w:t> </w:t>
      </w:r>
      <w:r>
        <w:rPr/>
        <w:t>sæsonvariationer</w:t>
      </w:r>
      <w:r>
        <w:rPr>
          <w:spacing w:val="-7"/>
        </w:rPr>
        <w:t> </w:t>
      </w:r>
      <w:r>
        <w:rPr/>
        <w:t>i</w:t>
      </w:r>
      <w:r>
        <w:rPr>
          <w:spacing w:val="-5"/>
        </w:rPr>
        <w:t> </w:t>
      </w:r>
      <w:r>
        <w:rPr/>
        <w:t>Manningtallet og det generelle størrelse som funktion af</w:t>
      </w:r>
      <w:r>
        <w:rPr>
          <w:spacing w:val="-7"/>
        </w:rPr>
        <w:t> </w:t>
      </w:r>
      <w:r>
        <w:rPr/>
        <w:t>vandløbsstørrelse.</w:t>
      </w:r>
    </w:p>
    <w:p>
      <w:pPr>
        <w:pStyle w:val="BodyText"/>
        <w:spacing w:line="276" w:lineRule="auto" w:before="159"/>
        <w:ind w:left="525" w:right="731"/>
        <w:jc w:val="both"/>
      </w:pPr>
      <w:r>
        <w:rPr/>
        <w:t>Vi har valgt at beskrive sæsonudviklingen som en sinus-lignende funktion og lade Manning- tallet variere mellem en minimumsværdi i september og en maksimumsværdi i april. Til kali- brering</w:t>
      </w:r>
      <w:r>
        <w:rPr>
          <w:spacing w:val="-14"/>
        </w:rPr>
        <w:t> </w:t>
      </w:r>
      <w:r>
        <w:rPr/>
        <w:t>indføres</w:t>
      </w:r>
      <w:r>
        <w:rPr>
          <w:spacing w:val="-13"/>
        </w:rPr>
        <w:t> </w:t>
      </w:r>
      <w:r>
        <w:rPr/>
        <w:t>to</w:t>
      </w:r>
      <w:r>
        <w:rPr>
          <w:spacing w:val="-13"/>
        </w:rPr>
        <w:t> </w:t>
      </w:r>
      <w:r>
        <w:rPr/>
        <w:t>parametre</w:t>
      </w:r>
      <w:r>
        <w:rPr>
          <w:spacing w:val="-13"/>
        </w:rPr>
        <w:t> </w:t>
      </w:r>
      <w:r>
        <w:rPr/>
        <w:t>for</w:t>
      </w:r>
      <w:r>
        <w:rPr>
          <w:spacing w:val="-14"/>
        </w:rPr>
        <w:t> </w:t>
      </w:r>
      <w:r>
        <w:rPr/>
        <w:t>Manningtallets</w:t>
      </w:r>
      <w:r>
        <w:rPr>
          <w:spacing w:val="-13"/>
        </w:rPr>
        <w:t> </w:t>
      </w:r>
      <w:r>
        <w:rPr/>
        <w:t>tidslige</w:t>
      </w:r>
      <w:r>
        <w:rPr>
          <w:spacing w:val="-14"/>
        </w:rPr>
        <w:t> </w:t>
      </w:r>
      <w:r>
        <w:rPr/>
        <w:t>udvikling;</w:t>
      </w:r>
      <w:r>
        <w:rPr>
          <w:spacing w:val="-16"/>
        </w:rPr>
        <w:t> </w:t>
      </w:r>
      <w:r>
        <w:rPr/>
        <w:t>minimums</w:t>
      </w:r>
      <w:r>
        <w:rPr>
          <w:spacing w:val="-13"/>
        </w:rPr>
        <w:t> </w:t>
      </w:r>
      <w:r>
        <w:rPr/>
        <w:t>værdien</w:t>
      </w:r>
      <w:r>
        <w:rPr>
          <w:spacing w:val="-13"/>
        </w:rPr>
        <w:t> </w:t>
      </w:r>
      <w:r>
        <w:rPr/>
        <w:t>og</w:t>
      </w:r>
      <w:r>
        <w:rPr>
          <w:spacing w:val="-13"/>
        </w:rPr>
        <w:t> </w:t>
      </w:r>
      <w:r>
        <w:rPr/>
        <w:t>am- plituden. Med disse to parametre kan Manningtallets variation beskrives med udgangspunkt i en fast sæsonvariation. Ideen er således at bestemme minimumsværdi og amplitude for forskellige klasser af</w:t>
      </w:r>
      <w:r>
        <w:rPr>
          <w:spacing w:val="-6"/>
        </w:rPr>
        <w:t> </w:t>
      </w:r>
      <w:r>
        <w:rPr/>
        <w:t>vandløbsstrækninger.</w:t>
      </w:r>
    </w:p>
    <w:p>
      <w:pPr>
        <w:pStyle w:val="BodyText"/>
        <w:spacing w:line="276" w:lineRule="auto" w:before="161"/>
        <w:ind w:left="525" w:right="729"/>
        <w:jc w:val="both"/>
      </w:pPr>
      <w:r>
        <w:rPr/>
        <w:t>Det har dog vist sig at MIKE HYDRO River ikke på nuværende tidspunkt er i stand til at håndtere vandløbsspecifikke tidsvarierende Manningtal. Denne brug løses formentligt i den næste</w:t>
      </w:r>
      <w:r>
        <w:rPr>
          <w:spacing w:val="-7"/>
        </w:rPr>
        <w:t> </w:t>
      </w:r>
      <w:r>
        <w:rPr/>
        <w:t>service</w:t>
      </w:r>
      <w:r>
        <w:rPr>
          <w:spacing w:val="-6"/>
        </w:rPr>
        <w:t> </w:t>
      </w:r>
      <w:r>
        <w:rPr/>
        <w:t>pack</w:t>
      </w:r>
      <w:r>
        <w:rPr>
          <w:spacing w:val="-3"/>
        </w:rPr>
        <w:t> </w:t>
      </w:r>
      <w:r>
        <w:rPr/>
        <w:t>af</w:t>
      </w:r>
      <w:r>
        <w:rPr>
          <w:spacing w:val="-4"/>
        </w:rPr>
        <w:t> </w:t>
      </w:r>
      <w:r>
        <w:rPr/>
        <w:t>MIKE</w:t>
      </w:r>
      <w:r>
        <w:rPr>
          <w:spacing w:val="-6"/>
        </w:rPr>
        <w:t> </w:t>
      </w:r>
      <w:r>
        <w:rPr/>
        <w:t>HYDRO</w:t>
      </w:r>
      <w:r>
        <w:rPr>
          <w:spacing w:val="-9"/>
        </w:rPr>
        <w:t> </w:t>
      </w:r>
      <w:r>
        <w:rPr/>
        <w:t>River.</w:t>
      </w:r>
      <w:r>
        <w:rPr>
          <w:spacing w:val="-7"/>
        </w:rPr>
        <w:t> </w:t>
      </w:r>
      <w:r>
        <w:rPr/>
        <w:t>Indtil</w:t>
      </w:r>
      <w:r>
        <w:rPr>
          <w:spacing w:val="-5"/>
        </w:rPr>
        <w:t> </w:t>
      </w:r>
      <w:r>
        <w:rPr/>
        <w:t>da</w:t>
      </w:r>
      <w:r>
        <w:rPr>
          <w:spacing w:val="-8"/>
        </w:rPr>
        <w:t> </w:t>
      </w:r>
      <w:r>
        <w:rPr/>
        <w:t>er</w:t>
      </w:r>
      <w:r>
        <w:rPr>
          <w:spacing w:val="-7"/>
        </w:rPr>
        <w:t> </w:t>
      </w:r>
      <w:r>
        <w:rPr/>
        <w:t>det</w:t>
      </w:r>
      <w:r>
        <w:rPr>
          <w:spacing w:val="-7"/>
        </w:rPr>
        <w:t> </w:t>
      </w:r>
      <w:r>
        <w:rPr/>
        <w:t>valgt</w:t>
      </w:r>
      <w:r>
        <w:rPr>
          <w:spacing w:val="-7"/>
        </w:rPr>
        <w:t> </w:t>
      </w:r>
      <w:r>
        <w:rPr/>
        <w:t>at</w:t>
      </w:r>
      <w:r>
        <w:rPr>
          <w:spacing w:val="-7"/>
        </w:rPr>
        <w:t> </w:t>
      </w:r>
      <w:r>
        <w:rPr/>
        <w:t>fokusere</w:t>
      </w:r>
      <w:r>
        <w:rPr>
          <w:spacing w:val="-6"/>
        </w:rPr>
        <w:t> </w:t>
      </w:r>
      <w:r>
        <w:rPr/>
        <w:t>på</w:t>
      </w:r>
      <w:r>
        <w:rPr>
          <w:spacing w:val="-8"/>
        </w:rPr>
        <w:t> </w:t>
      </w:r>
      <w:r>
        <w:rPr/>
        <w:t>kalibrering</w:t>
      </w:r>
      <w:r>
        <w:rPr>
          <w:spacing w:val="-6"/>
        </w:rPr>
        <w:t> </w:t>
      </w:r>
      <w:r>
        <w:rPr/>
        <w:t>af den</w:t>
      </w:r>
      <w:r>
        <w:rPr>
          <w:spacing w:val="-6"/>
        </w:rPr>
        <w:t> </w:t>
      </w:r>
      <w:r>
        <w:rPr/>
        <w:t>tidslige</w:t>
      </w:r>
      <w:r>
        <w:rPr>
          <w:spacing w:val="-6"/>
        </w:rPr>
        <w:t> </w:t>
      </w:r>
      <w:r>
        <w:rPr/>
        <w:t>dynamik</w:t>
      </w:r>
      <w:r>
        <w:rPr>
          <w:spacing w:val="-4"/>
        </w:rPr>
        <w:t> </w:t>
      </w:r>
      <w:r>
        <w:rPr/>
        <w:t>i</w:t>
      </w:r>
      <w:r>
        <w:rPr>
          <w:spacing w:val="-5"/>
        </w:rPr>
        <w:t> </w:t>
      </w:r>
      <w:r>
        <w:rPr/>
        <w:t>Manningtallet.</w:t>
      </w:r>
      <w:r>
        <w:rPr>
          <w:spacing w:val="-7"/>
        </w:rPr>
        <w:t> </w:t>
      </w:r>
      <w:r>
        <w:rPr/>
        <w:t>Det</w:t>
      </w:r>
      <w:r>
        <w:rPr>
          <w:spacing w:val="-7"/>
        </w:rPr>
        <w:t> </w:t>
      </w:r>
      <w:r>
        <w:rPr/>
        <w:t>antages</w:t>
      </w:r>
      <w:r>
        <w:rPr>
          <w:spacing w:val="-6"/>
        </w:rPr>
        <w:t> </w:t>
      </w:r>
      <w:r>
        <w:rPr/>
        <w:t>at</w:t>
      </w:r>
      <w:r>
        <w:rPr>
          <w:spacing w:val="-7"/>
        </w:rPr>
        <w:t> </w:t>
      </w:r>
      <w:r>
        <w:rPr/>
        <w:t>dette</w:t>
      </w:r>
      <w:r>
        <w:rPr>
          <w:spacing w:val="-6"/>
        </w:rPr>
        <w:t> </w:t>
      </w:r>
      <w:r>
        <w:rPr/>
        <w:t>er</w:t>
      </w:r>
      <w:r>
        <w:rPr>
          <w:spacing w:val="-7"/>
        </w:rPr>
        <w:t> </w:t>
      </w:r>
      <w:r>
        <w:rPr/>
        <w:t>den</w:t>
      </w:r>
      <w:r>
        <w:rPr>
          <w:spacing w:val="-3"/>
        </w:rPr>
        <w:t> </w:t>
      </w:r>
      <w:r>
        <w:rPr/>
        <w:t>væsentligste</w:t>
      </w:r>
      <w:r>
        <w:rPr>
          <w:spacing w:val="-5"/>
        </w:rPr>
        <w:t> </w:t>
      </w:r>
      <w:r>
        <w:rPr/>
        <w:t>variation</w:t>
      </w:r>
      <w:r>
        <w:rPr>
          <w:spacing w:val="-6"/>
        </w:rPr>
        <w:t> </w:t>
      </w:r>
      <w:r>
        <w:rPr/>
        <w:t>sær- ligt da alle h-stationer er placeret i hovedvandløb. </w:t>
      </w:r>
      <w:hyperlink w:history="true" w:anchor="_bookmark54">
        <w:r>
          <w:rPr/>
          <w:t>Figur 36 </w:t>
        </w:r>
      </w:hyperlink>
      <w:r>
        <w:rPr/>
        <w:t>og 37 illustrerer den tidslige vari- ation</w:t>
      </w:r>
      <w:r>
        <w:rPr>
          <w:spacing w:val="-10"/>
        </w:rPr>
        <w:t> </w:t>
      </w:r>
      <w:r>
        <w:rPr/>
        <w:t>i</w:t>
      </w:r>
      <w:r>
        <w:rPr>
          <w:spacing w:val="-8"/>
        </w:rPr>
        <w:t> </w:t>
      </w:r>
      <w:r>
        <w:rPr/>
        <w:t>Manningtallet,</w:t>
      </w:r>
      <w:r>
        <w:rPr>
          <w:spacing w:val="-9"/>
        </w:rPr>
        <w:t> </w:t>
      </w:r>
      <w:r>
        <w:rPr/>
        <w:t>dels</w:t>
      </w:r>
      <w:r>
        <w:rPr>
          <w:spacing w:val="-11"/>
        </w:rPr>
        <w:t> </w:t>
      </w:r>
      <w:r>
        <w:rPr/>
        <w:t>baseret</w:t>
      </w:r>
      <w:r>
        <w:rPr>
          <w:spacing w:val="-8"/>
        </w:rPr>
        <w:t> </w:t>
      </w:r>
      <w:r>
        <w:rPr/>
        <w:t>på</w:t>
      </w:r>
      <w:r>
        <w:rPr>
          <w:spacing w:val="-7"/>
        </w:rPr>
        <w:t> </w:t>
      </w:r>
      <w:r>
        <w:rPr/>
        <w:t>observationer</w:t>
      </w:r>
      <w:r>
        <w:rPr>
          <w:spacing w:val="-11"/>
        </w:rPr>
        <w:t> </w:t>
      </w:r>
      <w:r>
        <w:rPr/>
        <w:t>fra</w:t>
      </w:r>
      <w:r>
        <w:rPr>
          <w:spacing w:val="-8"/>
        </w:rPr>
        <w:t> </w:t>
      </w:r>
      <w:r>
        <w:rPr/>
        <w:t>Spang</w:t>
      </w:r>
      <w:r>
        <w:rPr>
          <w:spacing w:val="-7"/>
        </w:rPr>
        <w:t> </w:t>
      </w:r>
      <w:r>
        <w:rPr/>
        <w:t>Å</w:t>
      </w:r>
      <w:r>
        <w:rPr>
          <w:spacing w:val="-8"/>
        </w:rPr>
        <w:t> </w:t>
      </w:r>
      <w:r>
        <w:rPr/>
        <w:t>(Ovesen</w:t>
      </w:r>
      <w:r>
        <w:rPr>
          <w:spacing w:val="-10"/>
        </w:rPr>
        <w:t> </w:t>
      </w:r>
      <w:r>
        <w:rPr/>
        <w:t>et</w:t>
      </w:r>
      <w:r>
        <w:rPr>
          <w:spacing w:val="-9"/>
        </w:rPr>
        <w:t> </w:t>
      </w:r>
      <w:r>
        <w:rPr/>
        <w:t>al.</w:t>
      </w:r>
      <w:r>
        <w:rPr>
          <w:spacing w:val="-8"/>
        </w:rPr>
        <w:t> </w:t>
      </w:r>
      <w:r>
        <w:rPr/>
        <w:t>2015)</w:t>
      </w:r>
      <w:r>
        <w:rPr>
          <w:spacing w:val="-9"/>
        </w:rPr>
        <w:t> </w:t>
      </w:r>
      <w:r>
        <w:rPr/>
        <w:t>og</w:t>
      </w:r>
      <w:r>
        <w:rPr>
          <w:spacing w:val="-8"/>
        </w:rPr>
        <w:t> </w:t>
      </w:r>
      <w:r>
        <w:rPr/>
        <w:t>dels som implementeret i parametriseringen i MIKE</w:t>
      </w:r>
      <w:r>
        <w:rPr>
          <w:spacing w:val="-5"/>
        </w:rPr>
        <w:t> </w:t>
      </w:r>
      <w:r>
        <w:rPr/>
        <w:t>HYDRO.</w:t>
      </w:r>
    </w:p>
    <w:p>
      <w:pPr>
        <w:pStyle w:val="BodyText"/>
        <w:spacing w:before="8"/>
        <w:rPr>
          <w:sz w:val="10"/>
        </w:rPr>
      </w:pPr>
      <w:r>
        <w:rPr/>
        <w:drawing>
          <wp:anchor distT="0" distB="0" distL="0" distR="0" allowOverlap="1" layoutInCell="1" locked="0" behindDoc="0" simplePos="0" relativeHeight="32">
            <wp:simplePos x="0" y="0"/>
            <wp:positionH relativeFrom="page">
              <wp:posOffset>1260475</wp:posOffset>
            </wp:positionH>
            <wp:positionV relativeFrom="paragraph">
              <wp:posOffset>103422</wp:posOffset>
            </wp:positionV>
            <wp:extent cx="5182090" cy="3101340"/>
            <wp:effectExtent l="0" t="0" r="0" b="0"/>
            <wp:wrapTopAndBottom/>
            <wp:docPr id="75" name="image54.png" descr=""/>
            <wp:cNvGraphicFramePr>
              <a:graphicFrameLocks noChangeAspect="1"/>
            </wp:cNvGraphicFramePr>
            <a:graphic>
              <a:graphicData uri="http://schemas.openxmlformats.org/drawingml/2006/picture">
                <pic:pic>
                  <pic:nvPicPr>
                    <pic:cNvPr id="76" name="image54.png"/>
                    <pic:cNvPicPr/>
                  </pic:nvPicPr>
                  <pic:blipFill>
                    <a:blip r:embed="rId60" cstate="print"/>
                    <a:stretch>
                      <a:fillRect/>
                    </a:stretch>
                  </pic:blipFill>
                  <pic:spPr>
                    <a:xfrm>
                      <a:off x="0" y="0"/>
                      <a:ext cx="5182090" cy="3101340"/>
                    </a:xfrm>
                    <a:prstGeom prst="rect">
                      <a:avLst/>
                    </a:prstGeom>
                  </pic:spPr>
                </pic:pic>
              </a:graphicData>
            </a:graphic>
          </wp:anchor>
        </w:drawing>
      </w:r>
    </w:p>
    <w:p>
      <w:pPr>
        <w:spacing w:before="145"/>
        <w:ind w:left="525" w:right="0" w:firstLine="0"/>
        <w:jc w:val="both"/>
        <w:rPr>
          <w:rFonts w:ascii="Calibri" w:hAnsi="Calibri"/>
          <w:i/>
          <w:sz w:val="18"/>
        </w:rPr>
      </w:pPr>
      <w:bookmarkStart w:name="_bookmark54" w:id="74"/>
      <w:bookmarkEnd w:id="74"/>
      <w:r>
        <w:rPr/>
      </w:r>
      <w:r>
        <w:rPr>
          <w:rFonts w:ascii="Calibri" w:hAnsi="Calibri"/>
          <w:i/>
          <w:color w:val="44536A"/>
          <w:sz w:val="18"/>
        </w:rPr>
        <w:t>Figur 36 Observeret sæsonvariation i Manningtal (m</w:t>
      </w:r>
      <w:r>
        <w:rPr>
          <w:rFonts w:ascii="Calibri" w:hAnsi="Calibri"/>
          <w:i/>
          <w:color w:val="44536A"/>
          <w:position w:val="5"/>
          <w:sz w:val="12"/>
        </w:rPr>
        <w:t>1/3</w:t>
      </w:r>
      <w:r>
        <w:rPr>
          <w:rFonts w:ascii="Calibri" w:hAnsi="Calibri"/>
          <w:i/>
          <w:color w:val="44536A"/>
          <w:sz w:val="18"/>
        </w:rPr>
        <w:t>/s) for Spang Å (Ovesen et al., 2015).</w:t>
      </w:r>
    </w:p>
    <w:p>
      <w:pPr>
        <w:spacing w:after="0"/>
        <w:jc w:val="both"/>
        <w:rPr>
          <w:rFonts w:ascii="Calibri" w:hAnsi="Calibri"/>
          <w:sz w:val="18"/>
        </w:rPr>
        <w:sectPr>
          <w:pgSz w:w="11910" w:h="16850"/>
          <w:pgMar w:header="0" w:footer="857" w:top="1340" w:bottom="1120" w:left="1460" w:right="680"/>
        </w:sectPr>
      </w:pPr>
    </w:p>
    <w:p>
      <w:pPr>
        <w:pStyle w:val="BodyText"/>
        <w:spacing w:before="9"/>
        <w:rPr>
          <w:rFonts w:ascii="Calibri"/>
          <w:i/>
          <w:sz w:val="7"/>
        </w:rPr>
      </w:pPr>
    </w:p>
    <w:p>
      <w:pPr>
        <w:pStyle w:val="BodyText"/>
        <w:ind w:left="525"/>
        <w:rPr>
          <w:rFonts w:ascii="Calibri"/>
          <w:sz w:val="20"/>
        </w:rPr>
      </w:pPr>
      <w:r>
        <w:rPr>
          <w:rFonts w:ascii="Calibri"/>
          <w:sz w:val="20"/>
        </w:rPr>
        <w:drawing>
          <wp:inline distT="0" distB="0" distL="0" distR="0">
            <wp:extent cx="4832287" cy="2258949"/>
            <wp:effectExtent l="0" t="0" r="0" b="0"/>
            <wp:docPr id="77" name="image55.png" descr=""/>
            <wp:cNvGraphicFramePr>
              <a:graphicFrameLocks noChangeAspect="1"/>
            </wp:cNvGraphicFramePr>
            <a:graphic>
              <a:graphicData uri="http://schemas.openxmlformats.org/drawingml/2006/picture">
                <pic:pic>
                  <pic:nvPicPr>
                    <pic:cNvPr id="78" name="image55.png"/>
                    <pic:cNvPicPr/>
                  </pic:nvPicPr>
                  <pic:blipFill>
                    <a:blip r:embed="rId61" cstate="print"/>
                    <a:stretch>
                      <a:fillRect/>
                    </a:stretch>
                  </pic:blipFill>
                  <pic:spPr>
                    <a:xfrm>
                      <a:off x="0" y="0"/>
                      <a:ext cx="4832287" cy="2258949"/>
                    </a:xfrm>
                    <a:prstGeom prst="rect">
                      <a:avLst/>
                    </a:prstGeom>
                  </pic:spPr>
                </pic:pic>
              </a:graphicData>
            </a:graphic>
          </wp:inline>
        </w:drawing>
      </w:r>
      <w:r>
        <w:rPr>
          <w:rFonts w:ascii="Calibri"/>
          <w:sz w:val="20"/>
        </w:rPr>
      </w:r>
    </w:p>
    <w:p>
      <w:pPr>
        <w:pStyle w:val="BodyText"/>
        <w:spacing w:before="8"/>
        <w:rPr>
          <w:rFonts w:ascii="Calibri"/>
          <w:i/>
          <w:sz w:val="11"/>
        </w:rPr>
      </w:pPr>
    </w:p>
    <w:p>
      <w:pPr>
        <w:spacing w:before="69"/>
        <w:ind w:left="525" w:right="0" w:firstLine="0"/>
        <w:jc w:val="left"/>
        <w:rPr>
          <w:rFonts w:ascii="Calibri" w:hAnsi="Calibri"/>
          <w:i/>
          <w:sz w:val="18"/>
        </w:rPr>
      </w:pPr>
      <w:r>
        <w:rPr>
          <w:rFonts w:ascii="Calibri" w:hAnsi="Calibri"/>
          <w:i/>
          <w:color w:val="44536A"/>
          <w:sz w:val="18"/>
        </w:rPr>
        <w:t>Figur 37 Eksempel på kurve for sæsonvariation i Manningtal (m</w:t>
      </w:r>
      <w:r>
        <w:rPr>
          <w:rFonts w:ascii="Calibri" w:hAnsi="Calibri"/>
          <w:i/>
          <w:color w:val="44536A"/>
          <w:position w:val="5"/>
          <w:sz w:val="12"/>
        </w:rPr>
        <w:t>1/3</w:t>
      </w:r>
      <w:r>
        <w:rPr>
          <w:rFonts w:ascii="Calibri" w:hAnsi="Calibri"/>
          <w:i/>
          <w:color w:val="44536A"/>
          <w:sz w:val="18"/>
        </w:rPr>
        <w:t>/s) til parametrisering i MIKE HYDRO River.</w:t>
      </w:r>
    </w:p>
    <w:p>
      <w:pPr>
        <w:pStyle w:val="BodyText"/>
        <w:spacing w:before="1"/>
        <w:rPr>
          <w:rFonts w:ascii="Calibri"/>
          <w:i/>
          <w:sz w:val="16"/>
        </w:rPr>
      </w:pPr>
    </w:p>
    <w:p>
      <w:pPr>
        <w:pStyle w:val="Heading5"/>
        <w:rPr>
          <w:i/>
        </w:rPr>
      </w:pPr>
      <w:r>
        <w:rPr>
          <w:i/>
        </w:rPr>
        <w:t>Objektivfunktioner og vægtning</w:t>
      </w:r>
    </w:p>
    <w:p>
      <w:pPr>
        <w:pStyle w:val="BodyText"/>
        <w:spacing w:line="276" w:lineRule="auto" w:before="34"/>
        <w:ind w:left="525" w:right="728"/>
        <w:jc w:val="both"/>
      </w:pPr>
      <w:r>
        <w:rPr/>
        <w:t>Som objektiv funktion for vandstand er valgt Nash-Sutcliffe efficiency (NSE) på vandstand baseret på 3-timers data. NSE er et gennemtestet statistisk udtryk som ofte anvendes til vurdering</w:t>
      </w:r>
      <w:r>
        <w:rPr>
          <w:spacing w:val="-14"/>
        </w:rPr>
        <w:t> </w:t>
      </w:r>
      <w:r>
        <w:rPr/>
        <w:t>af</w:t>
      </w:r>
      <w:r>
        <w:rPr>
          <w:spacing w:val="-10"/>
        </w:rPr>
        <w:t> </w:t>
      </w:r>
      <w:r>
        <w:rPr/>
        <w:t>vandstandssimuleringer.</w:t>
      </w:r>
      <w:r>
        <w:rPr>
          <w:spacing w:val="-13"/>
        </w:rPr>
        <w:t> </w:t>
      </w:r>
      <w:r>
        <w:rPr/>
        <w:t>Desuden</w:t>
      </w:r>
      <w:r>
        <w:rPr>
          <w:spacing w:val="-10"/>
        </w:rPr>
        <w:t> </w:t>
      </w:r>
      <w:r>
        <w:rPr/>
        <w:t>har</w:t>
      </w:r>
      <w:r>
        <w:rPr>
          <w:spacing w:val="-14"/>
        </w:rPr>
        <w:t> </w:t>
      </w:r>
      <w:r>
        <w:rPr/>
        <w:t>NSE</w:t>
      </w:r>
      <w:r>
        <w:rPr>
          <w:spacing w:val="-10"/>
        </w:rPr>
        <w:t> </w:t>
      </w:r>
      <w:r>
        <w:rPr/>
        <w:t>en</w:t>
      </w:r>
      <w:r>
        <w:rPr>
          <w:spacing w:val="-11"/>
        </w:rPr>
        <w:t> </w:t>
      </w:r>
      <w:r>
        <w:rPr/>
        <w:t>tendens</w:t>
      </w:r>
      <w:r>
        <w:rPr>
          <w:spacing w:val="-10"/>
        </w:rPr>
        <w:t> </w:t>
      </w:r>
      <w:r>
        <w:rPr/>
        <w:t>til</w:t>
      </w:r>
      <w:r>
        <w:rPr>
          <w:spacing w:val="-10"/>
        </w:rPr>
        <w:t> </w:t>
      </w:r>
      <w:r>
        <w:rPr/>
        <w:t>at</w:t>
      </w:r>
      <w:r>
        <w:rPr>
          <w:spacing w:val="-15"/>
        </w:rPr>
        <w:t> </w:t>
      </w:r>
      <w:r>
        <w:rPr/>
        <w:t>ligge</w:t>
      </w:r>
      <w:r>
        <w:rPr>
          <w:spacing w:val="-13"/>
        </w:rPr>
        <w:t> </w:t>
      </w:r>
      <w:r>
        <w:rPr/>
        <w:t>vægt</w:t>
      </w:r>
      <w:r>
        <w:rPr>
          <w:spacing w:val="-12"/>
        </w:rPr>
        <w:t> </w:t>
      </w:r>
      <w:r>
        <w:rPr/>
        <w:t>på</w:t>
      </w:r>
      <w:r>
        <w:rPr>
          <w:spacing w:val="-10"/>
        </w:rPr>
        <w:t> </w:t>
      </w:r>
      <w:r>
        <w:rPr/>
        <w:t>peak- værdier,</w:t>
      </w:r>
      <w:r>
        <w:rPr>
          <w:spacing w:val="-8"/>
        </w:rPr>
        <w:t> </w:t>
      </w:r>
      <w:r>
        <w:rPr/>
        <w:t>som</w:t>
      </w:r>
      <w:r>
        <w:rPr>
          <w:spacing w:val="-4"/>
        </w:rPr>
        <w:t> </w:t>
      </w:r>
      <w:r>
        <w:rPr/>
        <w:t>er</w:t>
      </w:r>
      <w:r>
        <w:rPr>
          <w:spacing w:val="-7"/>
        </w:rPr>
        <w:t> </w:t>
      </w:r>
      <w:r>
        <w:rPr/>
        <w:t>af</w:t>
      </w:r>
      <w:r>
        <w:rPr>
          <w:spacing w:val="-5"/>
        </w:rPr>
        <w:t> </w:t>
      </w:r>
      <w:r>
        <w:rPr/>
        <w:t>særlig</w:t>
      </w:r>
      <w:r>
        <w:rPr>
          <w:spacing w:val="-6"/>
        </w:rPr>
        <w:t> </w:t>
      </w:r>
      <w:r>
        <w:rPr/>
        <w:t>interesse</w:t>
      </w:r>
      <w:r>
        <w:rPr>
          <w:spacing w:val="-7"/>
        </w:rPr>
        <w:t> </w:t>
      </w:r>
      <w:r>
        <w:rPr/>
        <w:t>i</w:t>
      </w:r>
      <w:r>
        <w:rPr>
          <w:spacing w:val="-5"/>
        </w:rPr>
        <w:t> </w:t>
      </w:r>
      <w:r>
        <w:rPr/>
        <w:t>denne</w:t>
      </w:r>
      <w:r>
        <w:rPr>
          <w:spacing w:val="-6"/>
        </w:rPr>
        <w:t> </w:t>
      </w:r>
      <w:r>
        <w:rPr/>
        <w:t>kalibrering,</w:t>
      </w:r>
      <w:r>
        <w:rPr>
          <w:spacing w:val="-7"/>
        </w:rPr>
        <w:t> </w:t>
      </w:r>
      <w:r>
        <w:rPr/>
        <w:t>som</w:t>
      </w:r>
      <w:r>
        <w:rPr>
          <w:spacing w:val="-4"/>
        </w:rPr>
        <w:t> </w:t>
      </w:r>
      <w:r>
        <w:rPr/>
        <w:t>fokuserer</w:t>
      </w:r>
      <w:r>
        <w:rPr>
          <w:spacing w:val="-8"/>
        </w:rPr>
        <w:t> </w:t>
      </w:r>
      <w:r>
        <w:rPr/>
        <w:t>på</w:t>
      </w:r>
      <w:r>
        <w:rPr>
          <w:spacing w:val="-6"/>
        </w:rPr>
        <w:t> </w:t>
      </w:r>
      <w:r>
        <w:rPr/>
        <w:t>ekstremhændelser uden dog ensidigt at beskrive disse. Der kunne designes specifikke objektiv funktioner til beskrivelse af ekstremhændelser, men en robust parameter optimering som ikke ’overfitter’ opnås bedst ved en balanceret performance indikator. Ud over NSE afrapporteres ligeledes NSE</w:t>
      </w:r>
      <w:r>
        <w:rPr>
          <w:spacing w:val="-6"/>
        </w:rPr>
        <w:t> </w:t>
      </w:r>
      <w:r>
        <w:rPr/>
        <w:t>på</w:t>
      </w:r>
      <w:r>
        <w:rPr>
          <w:spacing w:val="-6"/>
        </w:rPr>
        <w:t> </w:t>
      </w:r>
      <w:r>
        <w:rPr/>
        <w:t>biaskorrigerede</w:t>
      </w:r>
      <w:r>
        <w:rPr>
          <w:spacing w:val="-5"/>
        </w:rPr>
        <w:t> </w:t>
      </w:r>
      <w:r>
        <w:rPr/>
        <w:t>data</w:t>
      </w:r>
      <w:r>
        <w:rPr>
          <w:spacing w:val="-6"/>
        </w:rPr>
        <w:t> </w:t>
      </w:r>
      <w:r>
        <w:rPr/>
        <w:t>samt</w:t>
      </w:r>
      <w:r>
        <w:rPr>
          <w:spacing w:val="-6"/>
        </w:rPr>
        <w:t> </w:t>
      </w:r>
      <w:r>
        <w:rPr/>
        <w:t>ME</w:t>
      </w:r>
      <w:r>
        <w:rPr>
          <w:spacing w:val="-6"/>
        </w:rPr>
        <w:t> </w:t>
      </w:r>
      <w:r>
        <w:rPr/>
        <w:t>og</w:t>
      </w:r>
      <w:r>
        <w:rPr>
          <w:spacing w:val="-6"/>
        </w:rPr>
        <w:t> </w:t>
      </w:r>
      <w:r>
        <w:rPr/>
        <w:t>RMSE.</w:t>
      </w:r>
      <w:r>
        <w:rPr>
          <w:spacing w:val="-4"/>
        </w:rPr>
        <w:t> </w:t>
      </w:r>
      <w:r>
        <w:rPr/>
        <w:t>Alle</w:t>
      </w:r>
      <w:r>
        <w:rPr>
          <w:spacing w:val="-5"/>
        </w:rPr>
        <w:t> </w:t>
      </w:r>
      <w:r>
        <w:rPr/>
        <w:t>4-6</w:t>
      </w:r>
      <w:r>
        <w:rPr>
          <w:spacing w:val="-5"/>
        </w:rPr>
        <w:t> </w:t>
      </w:r>
      <w:r>
        <w:rPr/>
        <w:t>vandstandsstationer</w:t>
      </w:r>
      <w:r>
        <w:rPr>
          <w:spacing w:val="-9"/>
        </w:rPr>
        <w:t> </w:t>
      </w:r>
      <w:r>
        <w:rPr/>
        <w:t>for</w:t>
      </w:r>
      <w:r>
        <w:rPr>
          <w:spacing w:val="-6"/>
        </w:rPr>
        <w:t> </w:t>
      </w:r>
      <w:r>
        <w:rPr/>
        <w:t>hvert</w:t>
      </w:r>
      <w:r>
        <w:rPr>
          <w:spacing w:val="-5"/>
        </w:rPr>
        <w:t> </w:t>
      </w:r>
      <w:r>
        <w:rPr/>
        <w:t>mo- delopland er vægtet</w:t>
      </w:r>
      <w:r>
        <w:rPr>
          <w:spacing w:val="-5"/>
        </w:rPr>
        <w:t> </w:t>
      </w:r>
      <w:r>
        <w:rPr/>
        <w:t>ligeligt.</w:t>
      </w:r>
    </w:p>
    <w:p>
      <w:pPr>
        <w:pStyle w:val="BodyText"/>
        <w:spacing w:before="1"/>
        <w:rPr>
          <w:sz w:val="24"/>
        </w:rPr>
      </w:pPr>
    </w:p>
    <w:p>
      <w:pPr>
        <w:pStyle w:val="Heading2"/>
        <w:numPr>
          <w:ilvl w:val="1"/>
          <w:numId w:val="12"/>
        </w:numPr>
        <w:tabs>
          <w:tab w:pos="1141" w:val="left" w:leader="none"/>
          <w:tab w:pos="1142" w:val="left" w:leader="none"/>
        </w:tabs>
        <w:spacing w:line="240" w:lineRule="auto" w:before="1" w:after="0"/>
        <w:ind w:left="1142" w:right="0" w:hanging="617"/>
        <w:jc w:val="left"/>
      </w:pPr>
      <w:bookmarkStart w:name="_bookmark55" w:id="75"/>
      <w:bookmarkEnd w:id="75"/>
      <w:r>
        <w:rPr>
          <w:b w:val="0"/>
        </w:rPr>
      </w:r>
      <w:bookmarkStart w:name="_bookmark55" w:id="76"/>
      <w:bookmarkEnd w:id="76"/>
      <w:r>
        <w:rPr/>
        <w:t>M</w:t>
      </w:r>
      <w:r>
        <w:rPr/>
        <w:t>etode til nedskalering af dybde til</w:t>
      </w:r>
      <w:r>
        <w:rPr>
          <w:spacing w:val="-5"/>
        </w:rPr>
        <w:t> </w:t>
      </w:r>
      <w:r>
        <w:rPr/>
        <w:t>grundvandspejl</w:t>
      </w:r>
    </w:p>
    <w:p>
      <w:pPr>
        <w:pStyle w:val="BodyText"/>
        <w:spacing w:line="276" w:lineRule="auto" w:before="242"/>
        <w:ind w:left="525" w:right="734"/>
        <w:jc w:val="both"/>
      </w:pPr>
      <w:r>
        <w:rPr/>
        <w:t>Uanset om den hydrologiske model regner i et 100 m eller et 500 m grid vil den simulerede grundvandsstand repræsentere en grov diskretisering sammenlignet med de tilgængelige højdemodeller. Der er derfor arbejdet med udvikling af en simpel metode til at nedskalere simulerede dybder til grundvandsspejl ud fra mere detaljeret information fra</w:t>
      </w:r>
      <w:r>
        <w:rPr>
          <w:spacing w:val="-21"/>
        </w:rPr>
        <w:t> </w:t>
      </w:r>
      <w:r>
        <w:rPr/>
        <w:t>højdemodellen.</w:t>
      </w:r>
    </w:p>
    <w:p>
      <w:pPr>
        <w:pStyle w:val="BodyText"/>
        <w:spacing w:line="276" w:lineRule="auto" w:before="159"/>
        <w:ind w:left="525" w:right="731"/>
        <w:jc w:val="both"/>
      </w:pPr>
      <w:r>
        <w:rPr/>
        <w:t>Princippet bag denne nedskalering baserer sig på to ekstreme hypoteser for, hvordan dyb- den til grundvandsspejlet fordeler sig indenfor en given simuleret gridcelle (f.eks. 500 m x 500 m). Den ene hypotese (H0) er, at grundvandsspejlet overalt følger terrænet og derfor</w:t>
      </w:r>
      <w:r>
        <w:rPr>
          <w:spacing w:val="-35"/>
        </w:rPr>
        <w:t> </w:t>
      </w:r>
      <w:r>
        <w:rPr/>
        <w:t>er den simulerede dybde til grundvandet den samme overalt indenfor en gridcelle. Eksemplet i </w:t>
      </w:r>
      <w:hyperlink w:history="true" w:anchor="_bookmark56">
        <w:r>
          <w:rPr/>
          <w:t>figur 38 </w:t>
        </w:r>
      </w:hyperlink>
      <w:r>
        <w:rPr/>
        <w:t>viser nedskalering af en 500 m gridcelle med middel topografi på 82.7 m og en simuleret dybde til grundvandet på 1.0 m. Her er H0 illustreret ved den grønne linje, som følger den detaljerede topografi med en konstant dybde på 1.0 m. Den anden ekstreme hy- potese</w:t>
      </w:r>
      <w:r>
        <w:rPr>
          <w:spacing w:val="-7"/>
        </w:rPr>
        <w:t> </w:t>
      </w:r>
      <w:r>
        <w:rPr/>
        <w:t>(H1)</w:t>
      </w:r>
      <w:r>
        <w:rPr>
          <w:spacing w:val="-7"/>
        </w:rPr>
        <w:t> </w:t>
      </w:r>
      <w:r>
        <w:rPr/>
        <w:t>er,</w:t>
      </w:r>
      <w:r>
        <w:rPr>
          <w:spacing w:val="-8"/>
        </w:rPr>
        <w:t> </w:t>
      </w:r>
      <w:r>
        <w:rPr/>
        <w:t>at</w:t>
      </w:r>
      <w:r>
        <w:rPr>
          <w:spacing w:val="-7"/>
        </w:rPr>
        <w:t> </w:t>
      </w:r>
      <w:r>
        <w:rPr/>
        <w:t>grundvandspejlet</w:t>
      </w:r>
      <w:r>
        <w:rPr>
          <w:spacing w:val="-8"/>
        </w:rPr>
        <w:t> </w:t>
      </w:r>
      <w:r>
        <w:rPr/>
        <w:t>er</w:t>
      </w:r>
      <w:r>
        <w:rPr>
          <w:spacing w:val="-7"/>
        </w:rPr>
        <w:t> </w:t>
      </w:r>
      <w:r>
        <w:rPr/>
        <w:t>fuldkomment</w:t>
      </w:r>
      <w:r>
        <w:rPr>
          <w:spacing w:val="-10"/>
        </w:rPr>
        <w:t> </w:t>
      </w:r>
      <w:r>
        <w:rPr/>
        <w:t>horisontalt</w:t>
      </w:r>
      <w:r>
        <w:rPr>
          <w:spacing w:val="-7"/>
        </w:rPr>
        <w:t> </w:t>
      </w:r>
      <w:r>
        <w:rPr/>
        <w:t>og</w:t>
      </w:r>
      <w:r>
        <w:rPr>
          <w:spacing w:val="-7"/>
        </w:rPr>
        <w:t> </w:t>
      </w:r>
      <w:r>
        <w:rPr/>
        <w:t>dermed</w:t>
      </w:r>
      <w:r>
        <w:rPr>
          <w:spacing w:val="-6"/>
        </w:rPr>
        <w:t> </w:t>
      </w:r>
      <w:r>
        <w:rPr/>
        <w:t>upåvirket</w:t>
      </w:r>
      <w:r>
        <w:rPr>
          <w:spacing w:val="-8"/>
        </w:rPr>
        <w:t> </w:t>
      </w:r>
      <w:r>
        <w:rPr/>
        <w:t>af</w:t>
      </w:r>
      <w:r>
        <w:rPr>
          <w:spacing w:val="-5"/>
        </w:rPr>
        <w:t> </w:t>
      </w:r>
      <w:r>
        <w:rPr/>
        <w:t>topo- grafien, hvilket er illustreret ved den gule linje i </w:t>
      </w:r>
      <w:hyperlink w:history="true" w:anchor="_bookmark56">
        <w:r>
          <w:rPr/>
          <w:t>figur 38</w:t>
        </w:r>
      </w:hyperlink>
      <w:r>
        <w:rPr/>
        <w:t>. Under H1 vil områder med en topo- grafi lavere end den simulerede middel grundvandskote fremstå som oversvømmede,</w:t>
      </w:r>
      <w:r>
        <w:rPr>
          <w:spacing w:val="-38"/>
        </w:rPr>
        <w:t> </w:t>
      </w:r>
      <w:r>
        <w:rPr/>
        <w:t>mens dybden til grundvandspejlet vil være stor på bakketoppene. Den simple nedskaleringsme- tode, som foreslås her, er at antage at hverken H0 eller H1 giver et sandt billede af grund- vandsspejlets</w:t>
      </w:r>
      <w:r>
        <w:rPr>
          <w:spacing w:val="-7"/>
        </w:rPr>
        <w:t> </w:t>
      </w:r>
      <w:r>
        <w:rPr/>
        <w:t>variation</w:t>
      </w:r>
      <w:r>
        <w:rPr>
          <w:spacing w:val="-6"/>
        </w:rPr>
        <w:t> </w:t>
      </w:r>
      <w:r>
        <w:rPr/>
        <w:t>indenfor</w:t>
      </w:r>
      <w:r>
        <w:rPr>
          <w:spacing w:val="-7"/>
        </w:rPr>
        <w:t> </w:t>
      </w:r>
      <w:r>
        <w:rPr/>
        <w:t>en</w:t>
      </w:r>
      <w:r>
        <w:rPr>
          <w:spacing w:val="-6"/>
        </w:rPr>
        <w:t> </w:t>
      </w:r>
      <w:r>
        <w:rPr/>
        <w:t>gridcelle,</w:t>
      </w:r>
      <w:r>
        <w:rPr>
          <w:spacing w:val="-7"/>
        </w:rPr>
        <w:t> </w:t>
      </w:r>
      <w:r>
        <w:rPr/>
        <w:t>men</w:t>
      </w:r>
      <w:r>
        <w:rPr>
          <w:spacing w:val="-6"/>
        </w:rPr>
        <w:t> </w:t>
      </w:r>
      <w:r>
        <w:rPr/>
        <w:t>at</w:t>
      </w:r>
      <w:r>
        <w:rPr>
          <w:spacing w:val="-7"/>
        </w:rPr>
        <w:t> </w:t>
      </w:r>
      <w:r>
        <w:rPr/>
        <w:t>det</w:t>
      </w:r>
      <w:r>
        <w:rPr>
          <w:spacing w:val="-7"/>
        </w:rPr>
        <w:t> </w:t>
      </w:r>
      <w:r>
        <w:rPr/>
        <w:t>bedste</w:t>
      </w:r>
      <w:r>
        <w:rPr>
          <w:spacing w:val="-6"/>
        </w:rPr>
        <w:t> </w:t>
      </w:r>
      <w:r>
        <w:rPr/>
        <w:t>bud</w:t>
      </w:r>
      <w:r>
        <w:rPr>
          <w:spacing w:val="-6"/>
        </w:rPr>
        <w:t> </w:t>
      </w:r>
      <w:r>
        <w:rPr/>
        <w:t>vil</w:t>
      </w:r>
      <w:r>
        <w:rPr>
          <w:spacing w:val="-5"/>
        </w:rPr>
        <w:t> </w:t>
      </w:r>
      <w:r>
        <w:rPr/>
        <w:t>være</w:t>
      </w:r>
      <w:r>
        <w:rPr>
          <w:spacing w:val="-6"/>
        </w:rPr>
        <w:t> </w:t>
      </w:r>
      <w:r>
        <w:rPr/>
        <w:t>en</w:t>
      </w:r>
      <w:r>
        <w:rPr>
          <w:spacing w:val="-6"/>
        </w:rPr>
        <w:t> </w:t>
      </w:r>
      <w:r>
        <w:rPr/>
        <w:t>kombination af de to ekstreme antagelser. Derfor foreslås der en tredje hypotese (H2), som beregnes som</w:t>
      </w:r>
      <w:r>
        <w:rPr>
          <w:spacing w:val="-8"/>
        </w:rPr>
        <w:t> </w:t>
      </w:r>
      <w:r>
        <w:rPr/>
        <w:t>middelværdien</w:t>
      </w:r>
      <w:r>
        <w:rPr>
          <w:spacing w:val="-6"/>
        </w:rPr>
        <w:t> </w:t>
      </w:r>
      <w:r>
        <w:rPr/>
        <w:t>af</w:t>
      </w:r>
      <w:r>
        <w:rPr>
          <w:spacing w:val="-7"/>
        </w:rPr>
        <w:t> </w:t>
      </w:r>
      <w:r>
        <w:rPr/>
        <w:t>H0</w:t>
      </w:r>
      <w:r>
        <w:rPr>
          <w:spacing w:val="-8"/>
        </w:rPr>
        <w:t> </w:t>
      </w:r>
      <w:r>
        <w:rPr/>
        <w:t>og</w:t>
      </w:r>
      <w:r>
        <w:rPr>
          <w:spacing w:val="-6"/>
        </w:rPr>
        <w:t> </w:t>
      </w:r>
      <w:r>
        <w:rPr/>
        <w:t>H1.</w:t>
      </w:r>
      <w:r>
        <w:rPr>
          <w:spacing w:val="-8"/>
        </w:rPr>
        <w:t> </w:t>
      </w:r>
      <w:r>
        <w:rPr/>
        <w:t>H2</w:t>
      </w:r>
      <w:r>
        <w:rPr>
          <w:spacing w:val="-6"/>
        </w:rPr>
        <w:t> </w:t>
      </w:r>
      <w:r>
        <w:rPr/>
        <w:t>er</w:t>
      </w:r>
      <w:r>
        <w:rPr>
          <w:spacing w:val="-7"/>
        </w:rPr>
        <w:t> </w:t>
      </w:r>
      <w:r>
        <w:rPr/>
        <w:t>illustreret</w:t>
      </w:r>
      <w:r>
        <w:rPr>
          <w:spacing w:val="-7"/>
        </w:rPr>
        <w:t> </w:t>
      </w:r>
      <w:r>
        <w:rPr/>
        <w:t>ved</w:t>
      </w:r>
      <w:r>
        <w:rPr>
          <w:spacing w:val="-6"/>
        </w:rPr>
        <w:t> </w:t>
      </w:r>
      <w:r>
        <w:rPr/>
        <w:t>den</w:t>
      </w:r>
      <w:r>
        <w:rPr>
          <w:spacing w:val="-9"/>
        </w:rPr>
        <w:t> </w:t>
      </w:r>
      <w:r>
        <w:rPr/>
        <w:t>blå</w:t>
      </w:r>
      <w:r>
        <w:rPr>
          <w:spacing w:val="-8"/>
        </w:rPr>
        <w:t> </w:t>
      </w:r>
      <w:r>
        <w:rPr/>
        <w:t>linje</w:t>
      </w:r>
      <w:r>
        <w:rPr>
          <w:spacing w:val="-6"/>
        </w:rPr>
        <w:t> </w:t>
      </w:r>
      <w:r>
        <w:rPr/>
        <w:t>i</w:t>
      </w:r>
      <w:r>
        <w:rPr>
          <w:spacing w:val="-7"/>
        </w:rPr>
        <w:t> </w:t>
      </w:r>
      <w:hyperlink w:history="true" w:anchor="_bookmark56">
        <w:r>
          <w:rPr/>
          <w:t>figur</w:t>
        </w:r>
        <w:r>
          <w:rPr>
            <w:spacing w:val="-6"/>
          </w:rPr>
          <w:t> </w:t>
        </w:r>
        <w:r>
          <w:rPr/>
          <w:t>38</w:t>
        </w:r>
        <w:r>
          <w:rPr>
            <w:spacing w:val="-7"/>
          </w:rPr>
          <w:t> </w:t>
        </w:r>
      </w:hyperlink>
      <w:r>
        <w:rPr/>
        <w:t>og</w:t>
      </w:r>
      <w:r>
        <w:rPr>
          <w:spacing w:val="-8"/>
        </w:rPr>
        <w:t> </w:t>
      </w:r>
      <w:r>
        <w:rPr/>
        <w:t>viser</w:t>
      </w:r>
      <w:r>
        <w:rPr>
          <w:spacing w:val="-7"/>
        </w:rPr>
        <w:t> </w:t>
      </w:r>
      <w:r>
        <w:rPr/>
        <w:t>hvordan</w:t>
      </w:r>
    </w:p>
    <w:p>
      <w:pPr>
        <w:spacing w:after="0" w:line="276" w:lineRule="auto"/>
        <w:jc w:val="both"/>
        <w:sectPr>
          <w:pgSz w:w="11910" w:h="16850"/>
          <w:pgMar w:header="0" w:footer="857" w:top="1600" w:bottom="1120" w:left="1460" w:right="680"/>
        </w:sectPr>
      </w:pPr>
    </w:p>
    <w:p>
      <w:pPr>
        <w:pStyle w:val="BodyText"/>
        <w:spacing w:line="273" w:lineRule="auto" w:before="75"/>
        <w:ind w:left="525" w:right="731"/>
        <w:jc w:val="both"/>
      </w:pPr>
      <w:r>
        <w:rPr/>
        <w:t>grundvandsspejlet</w:t>
      </w:r>
      <w:r>
        <w:rPr>
          <w:spacing w:val="-7"/>
        </w:rPr>
        <w:t> </w:t>
      </w:r>
      <w:r>
        <w:rPr/>
        <w:t>følger</w:t>
      </w:r>
      <w:r>
        <w:rPr>
          <w:spacing w:val="-6"/>
        </w:rPr>
        <w:t> </w:t>
      </w:r>
      <w:r>
        <w:rPr/>
        <w:t>topografien,</w:t>
      </w:r>
      <w:r>
        <w:rPr>
          <w:spacing w:val="-4"/>
        </w:rPr>
        <w:t> </w:t>
      </w:r>
      <w:r>
        <w:rPr/>
        <w:t>men</w:t>
      </w:r>
      <w:r>
        <w:rPr>
          <w:spacing w:val="-6"/>
        </w:rPr>
        <w:t> </w:t>
      </w:r>
      <w:r>
        <w:rPr/>
        <w:t>samtidigt</w:t>
      </w:r>
      <w:r>
        <w:rPr>
          <w:spacing w:val="-6"/>
        </w:rPr>
        <w:t> </w:t>
      </w:r>
      <w:r>
        <w:rPr/>
        <w:t>at</w:t>
      </w:r>
      <w:r>
        <w:rPr>
          <w:spacing w:val="-5"/>
        </w:rPr>
        <w:t> </w:t>
      </w:r>
      <w:r>
        <w:rPr/>
        <w:t>lavninger</w:t>
      </w:r>
      <w:r>
        <w:rPr>
          <w:spacing w:val="-7"/>
        </w:rPr>
        <w:t> </w:t>
      </w:r>
      <w:r>
        <w:rPr/>
        <w:t>har</w:t>
      </w:r>
      <w:r>
        <w:rPr>
          <w:spacing w:val="-5"/>
        </w:rPr>
        <w:t> </w:t>
      </w:r>
      <w:r>
        <w:rPr/>
        <w:t>mindre</w:t>
      </w:r>
      <w:r>
        <w:rPr>
          <w:spacing w:val="-6"/>
        </w:rPr>
        <w:t> </w:t>
      </w:r>
      <w:r>
        <w:rPr/>
        <w:t>dybde</w:t>
      </w:r>
      <w:r>
        <w:rPr>
          <w:spacing w:val="-5"/>
        </w:rPr>
        <w:t> </w:t>
      </w:r>
      <w:r>
        <w:rPr/>
        <w:t>til</w:t>
      </w:r>
      <w:r>
        <w:rPr>
          <w:spacing w:val="-5"/>
        </w:rPr>
        <w:t> </w:t>
      </w:r>
      <w:r>
        <w:rPr/>
        <w:t>grund- vandsspejlet end</w:t>
      </w:r>
      <w:r>
        <w:rPr>
          <w:spacing w:val="-3"/>
        </w:rPr>
        <w:t> </w:t>
      </w:r>
      <w:r>
        <w:rPr/>
        <w:t>bakketoppe.</w:t>
      </w:r>
    </w:p>
    <w:p>
      <w:pPr>
        <w:pStyle w:val="BodyText"/>
        <w:spacing w:before="1"/>
        <w:rPr>
          <w:sz w:val="11"/>
        </w:rPr>
      </w:pPr>
      <w:r>
        <w:rPr/>
        <w:drawing>
          <wp:anchor distT="0" distB="0" distL="0" distR="0" allowOverlap="1" layoutInCell="1" locked="0" behindDoc="0" simplePos="0" relativeHeight="33">
            <wp:simplePos x="0" y="0"/>
            <wp:positionH relativeFrom="page">
              <wp:posOffset>1292225</wp:posOffset>
            </wp:positionH>
            <wp:positionV relativeFrom="paragraph">
              <wp:posOffset>106188</wp:posOffset>
            </wp:positionV>
            <wp:extent cx="5158865" cy="1722120"/>
            <wp:effectExtent l="0" t="0" r="0" b="0"/>
            <wp:wrapTopAndBottom/>
            <wp:docPr id="79" name="image56.png" descr=""/>
            <wp:cNvGraphicFramePr>
              <a:graphicFrameLocks noChangeAspect="1"/>
            </wp:cNvGraphicFramePr>
            <a:graphic>
              <a:graphicData uri="http://schemas.openxmlformats.org/drawingml/2006/picture">
                <pic:pic>
                  <pic:nvPicPr>
                    <pic:cNvPr id="80" name="image56.png"/>
                    <pic:cNvPicPr/>
                  </pic:nvPicPr>
                  <pic:blipFill>
                    <a:blip r:embed="rId62" cstate="print"/>
                    <a:stretch>
                      <a:fillRect/>
                    </a:stretch>
                  </pic:blipFill>
                  <pic:spPr>
                    <a:xfrm>
                      <a:off x="0" y="0"/>
                      <a:ext cx="5158865" cy="1722120"/>
                    </a:xfrm>
                    <a:prstGeom prst="rect">
                      <a:avLst/>
                    </a:prstGeom>
                  </pic:spPr>
                </pic:pic>
              </a:graphicData>
            </a:graphic>
          </wp:anchor>
        </w:drawing>
      </w:r>
    </w:p>
    <w:p>
      <w:pPr>
        <w:spacing w:before="169"/>
        <w:ind w:left="525" w:right="0" w:firstLine="0"/>
        <w:jc w:val="left"/>
        <w:rPr>
          <w:rFonts w:ascii="Calibri" w:hAnsi="Calibri"/>
          <w:i/>
          <w:sz w:val="18"/>
        </w:rPr>
      </w:pPr>
      <w:bookmarkStart w:name="_bookmark56" w:id="77"/>
      <w:bookmarkEnd w:id="77"/>
      <w:r>
        <w:rPr/>
      </w:r>
      <w:r>
        <w:rPr>
          <w:rFonts w:ascii="Calibri" w:hAnsi="Calibri"/>
          <w:i/>
          <w:color w:val="44536A"/>
          <w:sz w:val="18"/>
        </w:rPr>
        <w:t>Figur 38 Eksempel på nedskalering af 500 m grid til højere opløsning vha. H0, H1 og H2.</w:t>
      </w:r>
    </w:p>
    <w:p>
      <w:pPr>
        <w:pStyle w:val="BodyText"/>
        <w:spacing w:before="2"/>
        <w:rPr>
          <w:rFonts w:ascii="Calibri"/>
          <w:i/>
          <w:sz w:val="16"/>
        </w:rPr>
      </w:pPr>
    </w:p>
    <w:p>
      <w:pPr>
        <w:pStyle w:val="BodyText"/>
        <w:spacing w:line="276" w:lineRule="auto"/>
        <w:ind w:left="525" w:right="733"/>
        <w:jc w:val="both"/>
      </w:pPr>
      <w:r>
        <w:rPr/>
        <w:t>En fordel ved denne nedskaleringsmetode er, at den er simpel at beregne i GIS og udeluk- kende kræver simuleret dybde til grundvandsspejl i den grove opløsning samt tilhørende topografi</w:t>
      </w:r>
      <w:r>
        <w:rPr>
          <w:spacing w:val="-18"/>
        </w:rPr>
        <w:t> </w:t>
      </w:r>
      <w:r>
        <w:rPr/>
        <w:t>i</w:t>
      </w:r>
      <w:r>
        <w:rPr>
          <w:spacing w:val="-15"/>
        </w:rPr>
        <w:t> </w:t>
      </w:r>
      <w:r>
        <w:rPr/>
        <w:t>hhv.</w:t>
      </w:r>
      <w:r>
        <w:rPr>
          <w:spacing w:val="-16"/>
        </w:rPr>
        <w:t> </w:t>
      </w:r>
      <w:r>
        <w:rPr/>
        <w:t>grov</w:t>
      </w:r>
      <w:r>
        <w:rPr>
          <w:spacing w:val="-18"/>
        </w:rPr>
        <w:t> </w:t>
      </w:r>
      <w:r>
        <w:rPr/>
        <w:t>og</w:t>
      </w:r>
      <w:r>
        <w:rPr>
          <w:spacing w:val="-15"/>
        </w:rPr>
        <w:t> </w:t>
      </w:r>
      <w:r>
        <w:rPr/>
        <w:t>fin</w:t>
      </w:r>
      <w:r>
        <w:rPr>
          <w:spacing w:val="-16"/>
        </w:rPr>
        <w:t> </w:t>
      </w:r>
      <w:r>
        <w:rPr/>
        <w:t>opløsning.</w:t>
      </w:r>
      <w:r>
        <w:rPr>
          <w:spacing w:val="-16"/>
        </w:rPr>
        <w:t> </w:t>
      </w:r>
      <w:r>
        <w:rPr/>
        <w:t>Desuden</w:t>
      </w:r>
      <w:r>
        <w:rPr>
          <w:spacing w:val="-14"/>
        </w:rPr>
        <w:t> </w:t>
      </w:r>
      <w:r>
        <w:rPr/>
        <w:t>bibeholder</w:t>
      </w:r>
      <w:r>
        <w:rPr>
          <w:spacing w:val="-16"/>
        </w:rPr>
        <w:t> </w:t>
      </w:r>
      <w:r>
        <w:rPr/>
        <w:t>metoden</w:t>
      </w:r>
      <w:r>
        <w:rPr>
          <w:spacing w:val="-17"/>
        </w:rPr>
        <w:t> </w:t>
      </w:r>
      <w:r>
        <w:rPr/>
        <w:t>middelværdien</w:t>
      </w:r>
      <w:r>
        <w:rPr>
          <w:spacing w:val="-16"/>
        </w:rPr>
        <w:t> </w:t>
      </w:r>
      <w:r>
        <w:rPr/>
        <w:t>af</w:t>
      </w:r>
      <w:r>
        <w:rPr>
          <w:spacing w:val="-15"/>
        </w:rPr>
        <w:t> </w:t>
      </w:r>
      <w:r>
        <w:rPr/>
        <w:t>dybden til</w:t>
      </w:r>
      <w:r>
        <w:rPr>
          <w:spacing w:val="-7"/>
        </w:rPr>
        <w:t> </w:t>
      </w:r>
      <w:r>
        <w:rPr/>
        <w:t>grundvandsspejlet</w:t>
      </w:r>
      <w:r>
        <w:rPr>
          <w:spacing w:val="-8"/>
        </w:rPr>
        <w:t> </w:t>
      </w:r>
      <w:r>
        <w:rPr/>
        <w:t>fra</w:t>
      </w:r>
      <w:r>
        <w:rPr>
          <w:spacing w:val="-7"/>
        </w:rPr>
        <w:t> </w:t>
      </w:r>
      <w:r>
        <w:rPr/>
        <w:t>simuleringen</w:t>
      </w:r>
      <w:r>
        <w:rPr>
          <w:spacing w:val="-10"/>
        </w:rPr>
        <w:t> </w:t>
      </w:r>
      <w:r>
        <w:rPr/>
        <w:t>og</w:t>
      </w:r>
      <w:r>
        <w:rPr>
          <w:spacing w:val="-9"/>
        </w:rPr>
        <w:t> </w:t>
      </w:r>
      <w:r>
        <w:rPr/>
        <w:t>indfører</w:t>
      </w:r>
      <w:r>
        <w:rPr>
          <w:spacing w:val="-8"/>
        </w:rPr>
        <w:t> </w:t>
      </w:r>
      <w:r>
        <w:rPr/>
        <w:t>dermed</w:t>
      </w:r>
      <w:r>
        <w:rPr>
          <w:spacing w:val="-8"/>
        </w:rPr>
        <w:t> </w:t>
      </w:r>
      <w:r>
        <w:rPr/>
        <w:t>ikke</w:t>
      </w:r>
      <w:r>
        <w:rPr>
          <w:spacing w:val="-9"/>
        </w:rPr>
        <w:t> </w:t>
      </w:r>
      <w:r>
        <w:rPr/>
        <w:t>en</w:t>
      </w:r>
      <w:r>
        <w:rPr>
          <w:spacing w:val="-7"/>
        </w:rPr>
        <w:t> </w:t>
      </w:r>
      <w:r>
        <w:rPr/>
        <w:t>bias</w:t>
      </w:r>
      <w:r>
        <w:rPr>
          <w:spacing w:val="-10"/>
        </w:rPr>
        <w:t> </w:t>
      </w:r>
      <w:r>
        <w:rPr/>
        <w:t>ift.</w:t>
      </w:r>
      <w:r>
        <w:rPr>
          <w:spacing w:val="-8"/>
        </w:rPr>
        <w:t> </w:t>
      </w:r>
      <w:r>
        <w:rPr/>
        <w:t>modelberegninger.</w:t>
      </w:r>
    </w:p>
    <w:p>
      <w:pPr>
        <w:pStyle w:val="BodyText"/>
        <w:spacing w:line="288" w:lineRule="auto" w:before="159"/>
        <w:ind w:left="525" w:right="731"/>
        <w:jc w:val="both"/>
      </w:pPr>
      <w:r>
        <w:rPr/>
        <w:t>Den skitserede nedskaleringsmetode er forsøgt underbygget af dels pejleobservationer og model</w:t>
      </w:r>
      <w:r>
        <w:rPr>
          <w:spacing w:val="-5"/>
        </w:rPr>
        <w:t> </w:t>
      </w:r>
      <w:r>
        <w:rPr/>
        <w:t>simuleringer.</w:t>
      </w:r>
      <w:r>
        <w:rPr>
          <w:spacing w:val="-6"/>
        </w:rPr>
        <w:t> </w:t>
      </w:r>
      <w:r>
        <w:rPr/>
        <w:t>Til</w:t>
      </w:r>
      <w:r>
        <w:rPr>
          <w:spacing w:val="-5"/>
        </w:rPr>
        <w:t> </w:t>
      </w:r>
      <w:r>
        <w:rPr/>
        <w:t>denne</w:t>
      </w:r>
      <w:r>
        <w:rPr>
          <w:spacing w:val="-4"/>
        </w:rPr>
        <w:t> </w:t>
      </w:r>
      <w:r>
        <w:rPr/>
        <w:t>analyse</w:t>
      </w:r>
      <w:r>
        <w:rPr>
          <w:spacing w:val="-7"/>
        </w:rPr>
        <w:t> </w:t>
      </w:r>
      <w:r>
        <w:rPr/>
        <w:t>er</w:t>
      </w:r>
      <w:r>
        <w:rPr>
          <w:spacing w:val="-6"/>
        </w:rPr>
        <w:t> </w:t>
      </w:r>
      <w:r>
        <w:rPr/>
        <w:t>anvendt</w:t>
      </w:r>
      <w:r>
        <w:rPr>
          <w:spacing w:val="-5"/>
        </w:rPr>
        <w:t> </w:t>
      </w:r>
      <w:r>
        <w:rPr/>
        <w:t>1983</w:t>
      </w:r>
      <w:r>
        <w:rPr>
          <w:spacing w:val="-4"/>
        </w:rPr>
        <w:t> </w:t>
      </w:r>
      <w:r>
        <w:rPr/>
        <w:t>terrænnære</w:t>
      </w:r>
      <w:r>
        <w:rPr>
          <w:spacing w:val="-6"/>
        </w:rPr>
        <w:t> </w:t>
      </w:r>
      <w:r>
        <w:rPr/>
        <w:t>grundvandspejlinger</w:t>
      </w:r>
      <w:r>
        <w:rPr>
          <w:spacing w:val="-5"/>
        </w:rPr>
        <w:t> </w:t>
      </w:r>
      <w:r>
        <w:rPr/>
        <w:t>for Storåen og Odense Å oplandene samt tilsvarende model simuleringer af dybden til grund- vandsspejlet. Desuden er alle pejlinger inddelt i tre kategorier efter deres Topografical Wet- ness</w:t>
      </w:r>
      <w:r>
        <w:rPr>
          <w:spacing w:val="-9"/>
        </w:rPr>
        <w:t> </w:t>
      </w:r>
      <w:r>
        <w:rPr/>
        <w:t>Index</w:t>
      </w:r>
      <w:r>
        <w:rPr>
          <w:spacing w:val="-9"/>
        </w:rPr>
        <w:t> </w:t>
      </w:r>
      <w:r>
        <w:rPr/>
        <w:t>(TWI).</w:t>
      </w:r>
      <w:r>
        <w:rPr>
          <w:spacing w:val="-9"/>
        </w:rPr>
        <w:t> </w:t>
      </w:r>
      <w:r>
        <w:rPr/>
        <w:t>TWI</w:t>
      </w:r>
      <w:r>
        <w:rPr>
          <w:spacing w:val="-10"/>
        </w:rPr>
        <w:t> </w:t>
      </w:r>
      <w:r>
        <w:rPr/>
        <w:t>er</w:t>
      </w:r>
      <w:r>
        <w:rPr>
          <w:spacing w:val="-12"/>
        </w:rPr>
        <w:t> </w:t>
      </w:r>
      <w:r>
        <w:rPr/>
        <w:t>et</w:t>
      </w:r>
      <w:r>
        <w:rPr>
          <w:spacing w:val="-9"/>
        </w:rPr>
        <w:t> </w:t>
      </w:r>
      <w:r>
        <w:rPr/>
        <w:t>højdemodel</w:t>
      </w:r>
      <w:r>
        <w:rPr>
          <w:spacing w:val="-9"/>
        </w:rPr>
        <w:t> </w:t>
      </w:r>
      <w:r>
        <w:rPr/>
        <w:t>baseret</w:t>
      </w:r>
      <w:r>
        <w:rPr>
          <w:spacing w:val="-11"/>
        </w:rPr>
        <w:t> </w:t>
      </w:r>
      <w:r>
        <w:rPr/>
        <w:t>index</w:t>
      </w:r>
      <w:r>
        <w:rPr>
          <w:spacing w:val="-8"/>
        </w:rPr>
        <w:t> </w:t>
      </w:r>
      <w:r>
        <w:rPr/>
        <w:t>som</w:t>
      </w:r>
      <w:r>
        <w:rPr>
          <w:spacing w:val="-8"/>
        </w:rPr>
        <w:t> </w:t>
      </w:r>
      <w:r>
        <w:rPr/>
        <w:t>beskriver</w:t>
      </w:r>
      <w:r>
        <w:rPr>
          <w:spacing w:val="-10"/>
        </w:rPr>
        <w:t> </w:t>
      </w:r>
      <w:r>
        <w:rPr/>
        <w:t>den</w:t>
      </w:r>
      <w:r>
        <w:rPr>
          <w:spacing w:val="-8"/>
        </w:rPr>
        <w:t> </w:t>
      </w:r>
      <w:r>
        <w:rPr/>
        <w:t>topografiske</w:t>
      </w:r>
      <w:r>
        <w:rPr>
          <w:spacing w:val="-9"/>
        </w:rPr>
        <w:t> </w:t>
      </w:r>
      <w:r>
        <w:rPr/>
        <w:t>effekt på hydrologiske strømningsprocesser. Den beregnes som en funktion af opstrømsareal og hældning i et givent grid i en højdemodel. I denne analyse anvendes TWI til at inddele op- landene i kategorierne; </w:t>
      </w:r>
      <w:r>
        <w:rPr>
          <w:u w:val="single"/>
        </w:rPr>
        <w:t>ådal</w:t>
      </w:r>
      <w:r>
        <w:rPr/>
        <w:t>, </w:t>
      </w:r>
      <w:r>
        <w:rPr>
          <w:u w:val="single"/>
        </w:rPr>
        <w:t>bakke</w:t>
      </w:r>
      <w:r>
        <w:rPr/>
        <w:t> og overgang </w:t>
      </w:r>
      <w:r>
        <w:rPr>
          <w:u w:val="single"/>
        </w:rPr>
        <w:t>mellem</w:t>
      </w:r>
      <w:r>
        <w:rPr/>
        <w:t> ådal og bakke, </w:t>
      </w:r>
      <w:hyperlink w:history="true" w:anchor="_bookmark57">
        <w:r>
          <w:rPr/>
          <w:t>figur</w:t>
        </w:r>
        <w:r>
          <w:rPr>
            <w:spacing w:val="-18"/>
          </w:rPr>
          <w:t> </w:t>
        </w:r>
        <w:r>
          <w:rPr/>
          <w:t>39</w:t>
        </w:r>
      </w:hyperlink>
      <w:r>
        <w:rPr/>
        <w:t>.</w:t>
      </w:r>
    </w:p>
    <w:p>
      <w:pPr>
        <w:pStyle w:val="BodyText"/>
        <w:spacing w:before="7"/>
        <w:rPr>
          <w:sz w:val="27"/>
        </w:rPr>
      </w:pPr>
      <w:r>
        <w:rPr/>
        <w:drawing>
          <wp:anchor distT="0" distB="0" distL="0" distR="0" allowOverlap="1" layoutInCell="1" locked="0" behindDoc="0" simplePos="0" relativeHeight="34">
            <wp:simplePos x="0" y="0"/>
            <wp:positionH relativeFrom="page">
              <wp:posOffset>1278771</wp:posOffset>
            </wp:positionH>
            <wp:positionV relativeFrom="paragraph">
              <wp:posOffset>226669</wp:posOffset>
            </wp:positionV>
            <wp:extent cx="5378673" cy="3150108"/>
            <wp:effectExtent l="0" t="0" r="0" b="0"/>
            <wp:wrapTopAndBottom/>
            <wp:docPr id="81" name="image57.jpeg" descr="Q:\rapport\TWI_dtp\TWI_example_bakke_dal.png"/>
            <wp:cNvGraphicFramePr>
              <a:graphicFrameLocks noChangeAspect="1"/>
            </wp:cNvGraphicFramePr>
            <a:graphic>
              <a:graphicData uri="http://schemas.openxmlformats.org/drawingml/2006/picture">
                <pic:pic>
                  <pic:nvPicPr>
                    <pic:cNvPr id="82" name="image57.jpeg"/>
                    <pic:cNvPicPr/>
                  </pic:nvPicPr>
                  <pic:blipFill>
                    <a:blip r:embed="rId63" cstate="print"/>
                    <a:stretch>
                      <a:fillRect/>
                    </a:stretch>
                  </pic:blipFill>
                  <pic:spPr>
                    <a:xfrm>
                      <a:off x="0" y="0"/>
                      <a:ext cx="5378673" cy="3150108"/>
                    </a:xfrm>
                    <a:prstGeom prst="rect">
                      <a:avLst/>
                    </a:prstGeom>
                  </pic:spPr>
                </pic:pic>
              </a:graphicData>
            </a:graphic>
          </wp:anchor>
        </w:drawing>
      </w:r>
    </w:p>
    <w:p>
      <w:pPr>
        <w:spacing w:before="65"/>
        <w:ind w:left="525" w:right="0" w:firstLine="0"/>
        <w:jc w:val="left"/>
        <w:rPr>
          <w:rFonts w:ascii="Calibri" w:hAnsi="Calibri"/>
          <w:i/>
          <w:sz w:val="18"/>
        </w:rPr>
      </w:pPr>
      <w:bookmarkStart w:name="_bookmark57" w:id="78"/>
      <w:bookmarkEnd w:id="78"/>
      <w:r>
        <w:rPr/>
      </w:r>
      <w:r>
        <w:rPr>
          <w:rFonts w:ascii="Calibri" w:hAnsi="Calibri"/>
          <w:i/>
          <w:color w:val="44536A"/>
          <w:sz w:val="18"/>
        </w:rPr>
        <w:t>Figur 39 Kategorisering baseret på TWI for udsnit af Storå oplandet</w:t>
      </w:r>
    </w:p>
    <w:p>
      <w:pPr>
        <w:spacing w:after="0"/>
        <w:jc w:val="left"/>
        <w:rPr>
          <w:rFonts w:ascii="Calibri" w:hAnsi="Calibri"/>
          <w:sz w:val="18"/>
        </w:rPr>
        <w:sectPr>
          <w:pgSz w:w="11910" w:h="16850"/>
          <w:pgMar w:header="0" w:footer="857" w:top="1340" w:bottom="1120" w:left="1460" w:right="680"/>
        </w:sectPr>
      </w:pPr>
    </w:p>
    <w:p>
      <w:pPr>
        <w:pStyle w:val="BodyText"/>
        <w:spacing w:line="288" w:lineRule="auto" w:before="75"/>
        <w:ind w:left="525" w:right="731"/>
        <w:jc w:val="both"/>
      </w:pPr>
      <w:r>
        <w:rPr/>
        <w:t>Baseret på denne inddeling er den statistiske fordeling af dybden til grundvandsspejlet be- regnet for hhv. observationer og simuleringer. Dette er illustreret for de 1983 pejleobserva- tioner i </w:t>
      </w:r>
      <w:hyperlink w:history="true" w:anchor="_bookmark58">
        <w:r>
          <w:rPr/>
          <w:t>figur 40</w:t>
        </w:r>
      </w:hyperlink>
      <w:r>
        <w:rPr/>
        <w:t>, som viser en tydelig tendens til stigende dybde til grundvandsspejl fra ådal til bakke. En tilsvarende statistik er beregnet for simuleringer svarende til pejlingerne, </w:t>
      </w:r>
      <w:hyperlink w:history="true" w:anchor="_bookmark59">
        <w:r>
          <w:rPr/>
          <w:t>figur</w:t>
        </w:r>
      </w:hyperlink>
    </w:p>
    <w:p>
      <w:pPr>
        <w:pStyle w:val="BodyText"/>
        <w:spacing w:line="288" w:lineRule="auto"/>
        <w:ind w:left="525" w:right="730"/>
        <w:jc w:val="both"/>
      </w:pPr>
      <w:hyperlink w:history="true" w:anchor="_bookmark59">
        <w:r>
          <w:rPr/>
          <w:t>41</w:t>
        </w:r>
      </w:hyperlink>
      <w:r>
        <w:rPr/>
        <w:t>.</w:t>
      </w:r>
      <w:r>
        <w:rPr>
          <w:spacing w:val="-6"/>
        </w:rPr>
        <w:t> </w:t>
      </w:r>
      <w:r>
        <w:rPr/>
        <w:t>Her</w:t>
      </w:r>
      <w:r>
        <w:rPr>
          <w:spacing w:val="-4"/>
        </w:rPr>
        <w:t> </w:t>
      </w:r>
      <w:r>
        <w:rPr/>
        <w:t>ses</w:t>
      </w:r>
      <w:r>
        <w:rPr>
          <w:spacing w:val="-5"/>
        </w:rPr>
        <w:t> </w:t>
      </w:r>
      <w:r>
        <w:rPr/>
        <w:t>en</w:t>
      </w:r>
      <w:r>
        <w:rPr>
          <w:spacing w:val="-4"/>
        </w:rPr>
        <w:t> </w:t>
      </w:r>
      <w:r>
        <w:rPr/>
        <w:t>tilsvarende</w:t>
      </w:r>
      <w:r>
        <w:rPr>
          <w:spacing w:val="-7"/>
        </w:rPr>
        <w:t> </w:t>
      </w:r>
      <w:r>
        <w:rPr/>
        <w:t>tendens,</w:t>
      </w:r>
      <w:r>
        <w:rPr>
          <w:spacing w:val="-5"/>
        </w:rPr>
        <w:t> </w:t>
      </w:r>
      <w:r>
        <w:rPr/>
        <w:t>men</w:t>
      </w:r>
      <w:r>
        <w:rPr>
          <w:spacing w:val="-4"/>
        </w:rPr>
        <w:t> </w:t>
      </w:r>
      <w:r>
        <w:rPr/>
        <w:t>den</w:t>
      </w:r>
      <w:r>
        <w:rPr>
          <w:spacing w:val="-4"/>
        </w:rPr>
        <w:t> </w:t>
      </w:r>
      <w:r>
        <w:rPr/>
        <w:t>er</w:t>
      </w:r>
      <w:r>
        <w:rPr>
          <w:spacing w:val="-4"/>
        </w:rPr>
        <w:t> </w:t>
      </w:r>
      <w:r>
        <w:rPr/>
        <w:t>endnu</w:t>
      </w:r>
      <w:r>
        <w:rPr>
          <w:spacing w:val="-7"/>
        </w:rPr>
        <w:t> </w:t>
      </w:r>
      <w:r>
        <w:rPr/>
        <w:t>kraftigere</w:t>
      </w:r>
      <w:r>
        <w:rPr>
          <w:spacing w:val="-4"/>
        </w:rPr>
        <w:t> </w:t>
      </w:r>
      <w:r>
        <w:rPr/>
        <w:t>end</w:t>
      </w:r>
      <w:r>
        <w:rPr>
          <w:spacing w:val="-5"/>
        </w:rPr>
        <w:t> </w:t>
      </w:r>
      <w:r>
        <w:rPr/>
        <w:t>den</w:t>
      </w:r>
      <w:r>
        <w:rPr>
          <w:spacing w:val="-4"/>
        </w:rPr>
        <w:t> </w:t>
      </w:r>
      <w:r>
        <w:rPr/>
        <w:t>observerede,</w:t>
      </w:r>
      <w:r>
        <w:rPr>
          <w:spacing w:val="-6"/>
        </w:rPr>
        <w:t> </w:t>
      </w:r>
      <w:r>
        <w:rPr/>
        <w:t>hvil- ket indikerer, at modellerne med deres 100 m gridopløsning har tendens til at undervurdere den lokale topografis betydning for dybden til grundvandsspejlet (svarende til begrænsnin- gerne</w:t>
      </w:r>
      <w:r>
        <w:rPr>
          <w:spacing w:val="-11"/>
        </w:rPr>
        <w:t> </w:t>
      </w:r>
      <w:r>
        <w:rPr/>
        <w:t>ved</w:t>
      </w:r>
      <w:r>
        <w:rPr>
          <w:spacing w:val="-11"/>
        </w:rPr>
        <w:t> </w:t>
      </w:r>
      <w:r>
        <w:rPr/>
        <w:t>H1).</w:t>
      </w:r>
      <w:r>
        <w:rPr>
          <w:spacing w:val="-11"/>
        </w:rPr>
        <w:t> </w:t>
      </w:r>
      <w:r>
        <w:rPr/>
        <w:t>Omvendt</w:t>
      </w:r>
      <w:r>
        <w:rPr>
          <w:spacing w:val="-10"/>
        </w:rPr>
        <w:t> </w:t>
      </w:r>
      <w:r>
        <w:rPr/>
        <w:t>viser</w:t>
      </w:r>
      <w:r>
        <w:rPr>
          <w:spacing w:val="-10"/>
        </w:rPr>
        <w:t> </w:t>
      </w:r>
      <w:r>
        <w:rPr/>
        <w:t>observationernes</w:t>
      </w:r>
      <w:r>
        <w:rPr>
          <w:spacing w:val="-9"/>
        </w:rPr>
        <w:t> </w:t>
      </w:r>
      <w:r>
        <w:rPr/>
        <w:t>tydelige</w:t>
      </w:r>
      <w:r>
        <w:rPr>
          <w:spacing w:val="-9"/>
        </w:rPr>
        <w:t> </w:t>
      </w:r>
      <w:r>
        <w:rPr/>
        <w:t>relation</w:t>
      </w:r>
      <w:r>
        <w:rPr>
          <w:spacing w:val="-12"/>
        </w:rPr>
        <w:t> </w:t>
      </w:r>
      <w:r>
        <w:rPr/>
        <w:t>mellem</w:t>
      </w:r>
      <w:r>
        <w:rPr>
          <w:spacing w:val="-9"/>
        </w:rPr>
        <w:t> </w:t>
      </w:r>
      <w:r>
        <w:rPr/>
        <w:t>placering</w:t>
      </w:r>
      <w:r>
        <w:rPr>
          <w:spacing w:val="-12"/>
        </w:rPr>
        <w:t> </w:t>
      </w:r>
      <w:r>
        <w:rPr/>
        <w:t>i</w:t>
      </w:r>
      <w:r>
        <w:rPr>
          <w:spacing w:val="-9"/>
        </w:rPr>
        <w:t> </w:t>
      </w:r>
      <w:r>
        <w:rPr/>
        <w:t>topogra- fien (kategori) og dybden til grundvandsspejlet at hypotese om at grundvandet følger den lokale</w:t>
      </w:r>
      <w:r>
        <w:rPr>
          <w:spacing w:val="-6"/>
        </w:rPr>
        <w:t> </w:t>
      </w:r>
      <w:r>
        <w:rPr/>
        <w:t>topografi</w:t>
      </w:r>
      <w:r>
        <w:rPr>
          <w:spacing w:val="-4"/>
        </w:rPr>
        <w:t> </w:t>
      </w:r>
      <w:r>
        <w:rPr/>
        <w:t>fuldstændigt</w:t>
      </w:r>
      <w:r>
        <w:rPr>
          <w:spacing w:val="-6"/>
        </w:rPr>
        <w:t> </w:t>
      </w:r>
      <w:r>
        <w:rPr/>
        <w:t>(H0)</w:t>
      </w:r>
      <w:r>
        <w:rPr>
          <w:spacing w:val="-5"/>
        </w:rPr>
        <w:t> </w:t>
      </w:r>
      <w:r>
        <w:rPr/>
        <w:t>ligeledes</w:t>
      </w:r>
      <w:r>
        <w:rPr>
          <w:spacing w:val="-5"/>
        </w:rPr>
        <w:t> </w:t>
      </w:r>
      <w:r>
        <w:rPr/>
        <w:t>er</w:t>
      </w:r>
      <w:r>
        <w:rPr>
          <w:spacing w:val="-6"/>
        </w:rPr>
        <w:t> </w:t>
      </w:r>
      <w:r>
        <w:rPr/>
        <w:t>forkert.</w:t>
      </w:r>
      <w:r>
        <w:rPr>
          <w:spacing w:val="-6"/>
        </w:rPr>
        <w:t> </w:t>
      </w:r>
      <w:r>
        <w:rPr/>
        <w:t>Derfor</w:t>
      </w:r>
      <w:r>
        <w:rPr>
          <w:spacing w:val="-5"/>
        </w:rPr>
        <w:t> </w:t>
      </w:r>
      <w:r>
        <w:rPr/>
        <w:t>understøtter</w:t>
      </w:r>
      <w:r>
        <w:rPr>
          <w:spacing w:val="-4"/>
        </w:rPr>
        <w:t> </w:t>
      </w:r>
      <w:r>
        <w:rPr/>
        <w:t>H2</w:t>
      </w:r>
      <w:r>
        <w:rPr>
          <w:spacing w:val="-5"/>
        </w:rPr>
        <w:t> </w:t>
      </w:r>
      <w:r>
        <w:rPr/>
        <w:t>hypotesen</w:t>
      </w:r>
      <w:r>
        <w:rPr>
          <w:spacing w:val="-5"/>
        </w:rPr>
        <w:t> </w:t>
      </w:r>
      <w:r>
        <w:rPr/>
        <w:t>om, at en mellemting mellem H0 og H1 er det mest</w:t>
      </w:r>
      <w:r>
        <w:rPr>
          <w:spacing w:val="-18"/>
        </w:rPr>
        <w:t> </w:t>
      </w:r>
      <w:r>
        <w:rPr/>
        <w:t>realistiske.</w:t>
      </w:r>
    </w:p>
    <w:p>
      <w:pPr>
        <w:pStyle w:val="BodyText"/>
        <w:rPr>
          <w:sz w:val="22"/>
        </w:rPr>
      </w:pPr>
      <w:r>
        <w:rPr/>
        <w:drawing>
          <wp:anchor distT="0" distB="0" distL="0" distR="0" allowOverlap="1" layoutInCell="1" locked="0" behindDoc="0" simplePos="0" relativeHeight="35">
            <wp:simplePos x="0" y="0"/>
            <wp:positionH relativeFrom="page">
              <wp:posOffset>1260475</wp:posOffset>
            </wp:positionH>
            <wp:positionV relativeFrom="paragraph">
              <wp:posOffset>185845</wp:posOffset>
            </wp:positionV>
            <wp:extent cx="4612371" cy="2880360"/>
            <wp:effectExtent l="0" t="0" r="0" b="0"/>
            <wp:wrapTopAndBottom/>
            <wp:docPr id="83" name="image58.png" descr="cid:image001.png@01D430C1.D0325D50"/>
            <wp:cNvGraphicFramePr>
              <a:graphicFrameLocks noChangeAspect="1"/>
            </wp:cNvGraphicFramePr>
            <a:graphic>
              <a:graphicData uri="http://schemas.openxmlformats.org/drawingml/2006/picture">
                <pic:pic>
                  <pic:nvPicPr>
                    <pic:cNvPr id="84" name="image58.png"/>
                    <pic:cNvPicPr/>
                  </pic:nvPicPr>
                  <pic:blipFill>
                    <a:blip r:embed="rId64" cstate="print"/>
                    <a:stretch>
                      <a:fillRect/>
                    </a:stretch>
                  </pic:blipFill>
                  <pic:spPr>
                    <a:xfrm>
                      <a:off x="0" y="0"/>
                      <a:ext cx="4612371" cy="2880360"/>
                    </a:xfrm>
                    <a:prstGeom prst="rect">
                      <a:avLst/>
                    </a:prstGeom>
                  </pic:spPr>
                </pic:pic>
              </a:graphicData>
            </a:graphic>
          </wp:anchor>
        </w:drawing>
      </w:r>
    </w:p>
    <w:p>
      <w:pPr>
        <w:spacing w:before="14"/>
        <w:ind w:left="525" w:right="0" w:firstLine="0"/>
        <w:jc w:val="both"/>
        <w:rPr>
          <w:rFonts w:ascii="Calibri" w:hAnsi="Calibri"/>
          <w:i/>
          <w:sz w:val="18"/>
        </w:rPr>
      </w:pPr>
      <w:bookmarkStart w:name="_bookmark58" w:id="79"/>
      <w:bookmarkEnd w:id="79"/>
      <w:r>
        <w:rPr/>
      </w:r>
      <w:r>
        <w:rPr>
          <w:rFonts w:ascii="Calibri" w:hAnsi="Calibri"/>
          <w:i/>
          <w:color w:val="44536A"/>
          <w:sz w:val="18"/>
        </w:rPr>
        <w:t>Figur 40 Statistik for observeret dybde til grundvandsspejlet på tværs af topografiske kategorier</w:t>
      </w:r>
    </w:p>
    <w:p>
      <w:pPr>
        <w:pStyle w:val="BodyText"/>
        <w:rPr>
          <w:rFonts w:ascii="Calibri"/>
          <w:i/>
          <w:sz w:val="20"/>
        </w:rPr>
      </w:pPr>
    </w:p>
    <w:p>
      <w:pPr>
        <w:pStyle w:val="BodyText"/>
        <w:spacing w:before="10"/>
        <w:rPr>
          <w:rFonts w:ascii="Calibri"/>
          <w:i/>
          <w:sz w:val="16"/>
        </w:rPr>
      </w:pPr>
      <w:r>
        <w:rPr/>
        <w:drawing>
          <wp:anchor distT="0" distB="0" distL="0" distR="0" allowOverlap="1" layoutInCell="1" locked="0" behindDoc="0" simplePos="0" relativeHeight="36">
            <wp:simplePos x="0" y="0"/>
            <wp:positionH relativeFrom="page">
              <wp:posOffset>1260475</wp:posOffset>
            </wp:positionH>
            <wp:positionV relativeFrom="paragraph">
              <wp:posOffset>155151</wp:posOffset>
            </wp:positionV>
            <wp:extent cx="4554327" cy="2844355"/>
            <wp:effectExtent l="0" t="0" r="0" b="0"/>
            <wp:wrapTopAndBottom/>
            <wp:docPr id="85" name="image59.png" descr="cid:image002.png@01D430C1.D0325D50"/>
            <wp:cNvGraphicFramePr>
              <a:graphicFrameLocks noChangeAspect="1"/>
            </wp:cNvGraphicFramePr>
            <a:graphic>
              <a:graphicData uri="http://schemas.openxmlformats.org/drawingml/2006/picture">
                <pic:pic>
                  <pic:nvPicPr>
                    <pic:cNvPr id="86" name="image59.png"/>
                    <pic:cNvPicPr/>
                  </pic:nvPicPr>
                  <pic:blipFill>
                    <a:blip r:embed="rId65" cstate="print"/>
                    <a:stretch>
                      <a:fillRect/>
                    </a:stretch>
                  </pic:blipFill>
                  <pic:spPr>
                    <a:xfrm>
                      <a:off x="0" y="0"/>
                      <a:ext cx="4554327" cy="2844355"/>
                    </a:xfrm>
                    <a:prstGeom prst="rect">
                      <a:avLst/>
                    </a:prstGeom>
                  </pic:spPr>
                </pic:pic>
              </a:graphicData>
            </a:graphic>
          </wp:anchor>
        </w:drawing>
      </w:r>
    </w:p>
    <w:p>
      <w:pPr>
        <w:spacing w:before="50"/>
        <w:ind w:left="525" w:right="0" w:firstLine="0"/>
        <w:jc w:val="both"/>
        <w:rPr>
          <w:rFonts w:ascii="Calibri" w:hAnsi="Calibri"/>
          <w:i/>
          <w:sz w:val="18"/>
        </w:rPr>
      </w:pPr>
      <w:bookmarkStart w:name="_bookmark59" w:id="80"/>
      <w:bookmarkEnd w:id="80"/>
      <w:r>
        <w:rPr/>
      </w:r>
      <w:r>
        <w:rPr>
          <w:rFonts w:ascii="Calibri" w:hAnsi="Calibri"/>
          <w:i/>
          <w:color w:val="44536A"/>
          <w:sz w:val="18"/>
        </w:rPr>
        <w:t>Figur 41 Statistik for simuleret dybde til grundvandsspejlet på tværs af topografiske kategorier.</w:t>
      </w:r>
    </w:p>
    <w:p>
      <w:pPr>
        <w:spacing w:after="0"/>
        <w:jc w:val="both"/>
        <w:rPr>
          <w:rFonts w:ascii="Calibri" w:hAnsi="Calibri"/>
          <w:sz w:val="18"/>
        </w:rPr>
        <w:sectPr>
          <w:pgSz w:w="11910" w:h="16850"/>
          <w:pgMar w:header="0" w:footer="857" w:top="1340" w:bottom="1120" w:left="1460" w:right="680"/>
        </w:sectPr>
      </w:pPr>
    </w:p>
    <w:p>
      <w:pPr>
        <w:pStyle w:val="BodyText"/>
        <w:spacing w:line="276" w:lineRule="auto" w:before="75"/>
        <w:ind w:left="525" w:right="729"/>
        <w:jc w:val="both"/>
      </w:pPr>
      <w:r>
        <w:rPr/>
        <w:t>Metoden</w:t>
      </w:r>
      <w:r>
        <w:rPr>
          <w:spacing w:val="-13"/>
        </w:rPr>
        <w:t> </w:t>
      </w:r>
      <w:r>
        <w:rPr/>
        <w:t>er</w:t>
      </w:r>
      <w:r>
        <w:rPr>
          <w:spacing w:val="-14"/>
        </w:rPr>
        <w:t> </w:t>
      </w:r>
      <w:r>
        <w:rPr/>
        <w:t>efterfølgende</w:t>
      </w:r>
      <w:r>
        <w:rPr>
          <w:spacing w:val="-11"/>
        </w:rPr>
        <w:t> </w:t>
      </w:r>
      <w:r>
        <w:rPr/>
        <w:t>testet</w:t>
      </w:r>
      <w:r>
        <w:rPr>
          <w:spacing w:val="-14"/>
        </w:rPr>
        <w:t> </w:t>
      </w:r>
      <w:r>
        <w:rPr/>
        <w:t>ved</w:t>
      </w:r>
      <w:r>
        <w:rPr>
          <w:spacing w:val="-13"/>
        </w:rPr>
        <w:t> </w:t>
      </w:r>
      <w:r>
        <w:rPr/>
        <w:t>at</w:t>
      </w:r>
      <w:r>
        <w:rPr>
          <w:spacing w:val="-14"/>
        </w:rPr>
        <w:t> </w:t>
      </w:r>
      <w:r>
        <w:rPr/>
        <w:t>nedskalere</w:t>
      </w:r>
      <w:r>
        <w:rPr>
          <w:spacing w:val="-14"/>
        </w:rPr>
        <w:t> </w:t>
      </w:r>
      <w:r>
        <w:rPr/>
        <w:t>en</w:t>
      </w:r>
      <w:r>
        <w:rPr>
          <w:spacing w:val="-16"/>
        </w:rPr>
        <w:t> </w:t>
      </w:r>
      <w:r>
        <w:rPr/>
        <w:t>500</w:t>
      </w:r>
      <w:r>
        <w:rPr>
          <w:spacing w:val="-14"/>
        </w:rPr>
        <w:t> </w:t>
      </w:r>
      <w:r>
        <w:rPr/>
        <w:t>m</w:t>
      </w:r>
      <w:r>
        <w:rPr>
          <w:spacing w:val="-12"/>
        </w:rPr>
        <w:t> </w:t>
      </w:r>
      <w:r>
        <w:rPr/>
        <w:t>model</w:t>
      </w:r>
      <w:r>
        <w:rPr>
          <w:spacing w:val="-12"/>
        </w:rPr>
        <w:t> </w:t>
      </w:r>
      <w:r>
        <w:rPr/>
        <w:t>til</w:t>
      </w:r>
      <w:r>
        <w:rPr>
          <w:spacing w:val="-12"/>
        </w:rPr>
        <w:t> </w:t>
      </w:r>
      <w:r>
        <w:rPr/>
        <w:t>en</w:t>
      </w:r>
      <w:r>
        <w:rPr>
          <w:spacing w:val="-13"/>
        </w:rPr>
        <w:t> </w:t>
      </w:r>
      <w:r>
        <w:rPr/>
        <w:t>100</w:t>
      </w:r>
      <w:r>
        <w:rPr>
          <w:spacing w:val="-14"/>
        </w:rPr>
        <w:t> </w:t>
      </w:r>
      <w:r>
        <w:rPr/>
        <w:t>m</w:t>
      </w:r>
      <w:r>
        <w:rPr>
          <w:spacing w:val="-14"/>
        </w:rPr>
        <w:t> </w:t>
      </w:r>
      <w:r>
        <w:rPr/>
        <w:t>model,</w:t>
      </w:r>
      <w:r>
        <w:rPr>
          <w:spacing w:val="-14"/>
        </w:rPr>
        <w:t> </w:t>
      </w:r>
      <w:r>
        <w:rPr/>
        <w:t>hvilket betyder,</w:t>
      </w:r>
      <w:r>
        <w:rPr>
          <w:spacing w:val="-9"/>
        </w:rPr>
        <w:t> </w:t>
      </w:r>
      <w:r>
        <w:rPr/>
        <w:t>at</w:t>
      </w:r>
      <w:r>
        <w:rPr>
          <w:spacing w:val="-8"/>
        </w:rPr>
        <w:t> </w:t>
      </w:r>
      <w:r>
        <w:rPr/>
        <w:t>vi</w:t>
      </w:r>
      <w:r>
        <w:rPr>
          <w:spacing w:val="-6"/>
        </w:rPr>
        <w:t> </w:t>
      </w:r>
      <w:r>
        <w:rPr/>
        <w:t>kan</w:t>
      </w:r>
      <w:r>
        <w:rPr>
          <w:spacing w:val="-9"/>
        </w:rPr>
        <w:t> </w:t>
      </w:r>
      <w:r>
        <w:rPr/>
        <w:t>anvende</w:t>
      </w:r>
      <w:r>
        <w:rPr>
          <w:spacing w:val="-9"/>
        </w:rPr>
        <w:t> </w:t>
      </w:r>
      <w:r>
        <w:rPr/>
        <w:t>100</w:t>
      </w:r>
      <w:r>
        <w:rPr>
          <w:spacing w:val="-8"/>
        </w:rPr>
        <w:t> </w:t>
      </w:r>
      <w:r>
        <w:rPr/>
        <w:t>m</w:t>
      </w:r>
      <w:r>
        <w:rPr>
          <w:spacing w:val="-8"/>
        </w:rPr>
        <w:t> </w:t>
      </w:r>
      <w:r>
        <w:rPr/>
        <w:t>DK-modellen</w:t>
      </w:r>
      <w:r>
        <w:rPr>
          <w:spacing w:val="-7"/>
        </w:rPr>
        <w:t> </w:t>
      </w:r>
      <w:r>
        <w:rPr/>
        <w:t>som</w:t>
      </w:r>
      <w:r>
        <w:rPr>
          <w:spacing w:val="-8"/>
        </w:rPr>
        <w:t> </w:t>
      </w:r>
      <w:r>
        <w:rPr/>
        <w:t>”observation”,</w:t>
      </w:r>
      <w:r>
        <w:rPr>
          <w:spacing w:val="-8"/>
        </w:rPr>
        <w:t> </w:t>
      </w:r>
      <w:r>
        <w:rPr/>
        <w:t>altså</w:t>
      </w:r>
      <w:r>
        <w:rPr>
          <w:spacing w:val="-8"/>
        </w:rPr>
        <w:t> </w:t>
      </w:r>
      <w:r>
        <w:rPr/>
        <w:t>det</w:t>
      </w:r>
      <w:r>
        <w:rPr>
          <w:spacing w:val="-8"/>
        </w:rPr>
        <w:t> </w:t>
      </w:r>
      <w:r>
        <w:rPr/>
        <w:t>resultat</w:t>
      </w:r>
      <w:r>
        <w:rPr>
          <w:spacing w:val="-8"/>
        </w:rPr>
        <w:t> </w:t>
      </w:r>
      <w:r>
        <w:rPr/>
        <w:t>vi</w:t>
      </w:r>
      <w:r>
        <w:rPr>
          <w:spacing w:val="-6"/>
        </w:rPr>
        <w:t> </w:t>
      </w:r>
      <w:r>
        <w:rPr/>
        <w:t>gerne vil</w:t>
      </w:r>
      <w:r>
        <w:rPr>
          <w:spacing w:val="-5"/>
        </w:rPr>
        <w:t> </w:t>
      </w:r>
      <w:r>
        <w:rPr/>
        <w:t>opnå</w:t>
      </w:r>
      <w:r>
        <w:rPr>
          <w:spacing w:val="-4"/>
        </w:rPr>
        <w:t> </w:t>
      </w:r>
      <w:r>
        <w:rPr/>
        <w:t>uden</w:t>
      </w:r>
      <w:r>
        <w:rPr>
          <w:spacing w:val="-4"/>
        </w:rPr>
        <w:t> </w:t>
      </w:r>
      <w:r>
        <w:rPr/>
        <w:t>at</w:t>
      </w:r>
      <w:r>
        <w:rPr>
          <w:spacing w:val="-6"/>
        </w:rPr>
        <w:t> </w:t>
      </w:r>
      <w:r>
        <w:rPr/>
        <w:t>lave</w:t>
      </w:r>
      <w:r>
        <w:rPr>
          <w:spacing w:val="-5"/>
        </w:rPr>
        <w:t> </w:t>
      </w:r>
      <w:r>
        <w:rPr/>
        <w:t>en</w:t>
      </w:r>
      <w:r>
        <w:rPr>
          <w:spacing w:val="-4"/>
        </w:rPr>
        <w:t> </w:t>
      </w:r>
      <w:r>
        <w:rPr/>
        <w:t>faktisk</w:t>
      </w:r>
      <w:r>
        <w:rPr>
          <w:spacing w:val="-3"/>
        </w:rPr>
        <w:t> </w:t>
      </w:r>
      <w:r>
        <w:rPr/>
        <w:t>hydrologisk</w:t>
      </w:r>
      <w:r>
        <w:rPr>
          <w:spacing w:val="-5"/>
        </w:rPr>
        <w:t> </w:t>
      </w:r>
      <w:r>
        <w:rPr/>
        <w:t>modelberegning</w:t>
      </w:r>
      <w:r>
        <w:rPr>
          <w:spacing w:val="-4"/>
        </w:rPr>
        <w:t> </w:t>
      </w:r>
      <w:r>
        <w:rPr/>
        <w:t>i</w:t>
      </w:r>
      <w:r>
        <w:rPr>
          <w:spacing w:val="-4"/>
        </w:rPr>
        <w:t> </w:t>
      </w:r>
      <w:r>
        <w:rPr/>
        <w:t>100 m</w:t>
      </w:r>
      <w:r>
        <w:rPr>
          <w:spacing w:val="-3"/>
        </w:rPr>
        <w:t> </w:t>
      </w:r>
      <w:r>
        <w:rPr/>
        <w:t>opløsning.</w:t>
      </w:r>
      <w:r>
        <w:rPr>
          <w:spacing w:val="-6"/>
        </w:rPr>
        <w:t> </w:t>
      </w:r>
      <w:r>
        <w:rPr/>
        <w:t>Denne</w:t>
      </w:r>
      <w:r>
        <w:rPr>
          <w:spacing w:val="-4"/>
        </w:rPr>
        <w:t> </w:t>
      </w:r>
      <w:r>
        <w:rPr/>
        <w:t>sam- menligning</w:t>
      </w:r>
      <w:r>
        <w:rPr>
          <w:spacing w:val="-9"/>
        </w:rPr>
        <w:t> </w:t>
      </w:r>
      <w:r>
        <w:rPr/>
        <w:t>er</w:t>
      </w:r>
      <w:r>
        <w:rPr>
          <w:spacing w:val="-10"/>
        </w:rPr>
        <w:t> </w:t>
      </w:r>
      <w:r>
        <w:rPr/>
        <w:t>illustreret</w:t>
      </w:r>
      <w:r>
        <w:rPr>
          <w:spacing w:val="-11"/>
        </w:rPr>
        <w:t> </w:t>
      </w:r>
      <w:r>
        <w:rPr/>
        <w:t>i</w:t>
      </w:r>
      <w:r>
        <w:rPr>
          <w:spacing w:val="-8"/>
        </w:rPr>
        <w:t> </w:t>
      </w:r>
      <w:hyperlink w:history="true" w:anchor="_bookmark60">
        <w:r>
          <w:rPr/>
          <w:t>figur</w:t>
        </w:r>
        <w:r>
          <w:rPr>
            <w:spacing w:val="-10"/>
          </w:rPr>
          <w:t> </w:t>
        </w:r>
        <w:r>
          <w:rPr/>
          <w:t>42</w:t>
        </w:r>
      </w:hyperlink>
      <w:r>
        <w:rPr/>
        <w:t>,</w:t>
      </w:r>
      <w:r>
        <w:rPr>
          <w:spacing w:val="-10"/>
        </w:rPr>
        <w:t> </w:t>
      </w:r>
      <w:r>
        <w:rPr/>
        <w:t>som</w:t>
      </w:r>
      <w:r>
        <w:rPr>
          <w:spacing w:val="-9"/>
        </w:rPr>
        <w:t> </w:t>
      </w:r>
      <w:r>
        <w:rPr/>
        <w:t>illustrerer</w:t>
      </w:r>
      <w:r>
        <w:rPr>
          <w:spacing w:val="-10"/>
        </w:rPr>
        <w:t> </w:t>
      </w:r>
      <w:r>
        <w:rPr/>
        <w:t>hvordan</w:t>
      </w:r>
      <w:r>
        <w:rPr>
          <w:spacing w:val="-12"/>
        </w:rPr>
        <w:t> </w:t>
      </w:r>
      <w:r>
        <w:rPr/>
        <w:t>korrelationen</w:t>
      </w:r>
      <w:r>
        <w:rPr>
          <w:spacing w:val="-8"/>
        </w:rPr>
        <w:t> </w:t>
      </w:r>
      <w:r>
        <w:rPr/>
        <w:t>(Pearsons-R)</w:t>
      </w:r>
      <w:r>
        <w:rPr>
          <w:spacing w:val="-10"/>
        </w:rPr>
        <w:t> </w:t>
      </w:r>
      <w:r>
        <w:rPr/>
        <w:t>forbed- res betydeligt med 100 m modellen ved at gå fra 500 m opløsning til nedskaleret 100 m opløsning</w:t>
      </w:r>
      <w:r>
        <w:rPr>
          <w:spacing w:val="-1"/>
        </w:rPr>
        <w:t> </w:t>
      </w:r>
      <w:r>
        <w:rPr/>
        <w:t>(H2).</w:t>
      </w:r>
    </w:p>
    <w:p>
      <w:pPr>
        <w:pStyle w:val="BodyText"/>
        <w:rPr>
          <w:sz w:val="20"/>
        </w:rPr>
      </w:pPr>
    </w:p>
    <w:p>
      <w:pPr>
        <w:pStyle w:val="BodyText"/>
        <w:spacing w:before="8"/>
        <w:rPr>
          <w:sz w:val="28"/>
        </w:rPr>
      </w:pPr>
      <w:r>
        <w:rPr/>
        <w:drawing>
          <wp:anchor distT="0" distB="0" distL="0" distR="0" allowOverlap="1" layoutInCell="1" locked="0" behindDoc="0" simplePos="0" relativeHeight="37">
            <wp:simplePos x="0" y="0"/>
            <wp:positionH relativeFrom="page">
              <wp:posOffset>1260475</wp:posOffset>
            </wp:positionH>
            <wp:positionV relativeFrom="paragraph">
              <wp:posOffset>234829</wp:posOffset>
            </wp:positionV>
            <wp:extent cx="5338059" cy="5657564"/>
            <wp:effectExtent l="0" t="0" r="0" b="0"/>
            <wp:wrapTopAndBottom/>
            <wp:docPr id="87" name="image60.jpeg" descr=""/>
            <wp:cNvGraphicFramePr>
              <a:graphicFrameLocks noChangeAspect="1"/>
            </wp:cNvGraphicFramePr>
            <a:graphic>
              <a:graphicData uri="http://schemas.openxmlformats.org/drawingml/2006/picture">
                <pic:pic>
                  <pic:nvPicPr>
                    <pic:cNvPr id="88" name="image60.jpeg"/>
                    <pic:cNvPicPr/>
                  </pic:nvPicPr>
                  <pic:blipFill>
                    <a:blip r:embed="rId66" cstate="print"/>
                    <a:stretch>
                      <a:fillRect/>
                    </a:stretch>
                  </pic:blipFill>
                  <pic:spPr>
                    <a:xfrm>
                      <a:off x="0" y="0"/>
                      <a:ext cx="5338059" cy="5657564"/>
                    </a:xfrm>
                    <a:prstGeom prst="rect">
                      <a:avLst/>
                    </a:prstGeom>
                  </pic:spPr>
                </pic:pic>
              </a:graphicData>
            </a:graphic>
          </wp:anchor>
        </w:drawing>
      </w:r>
    </w:p>
    <w:p>
      <w:pPr>
        <w:pStyle w:val="BodyText"/>
        <w:spacing w:before="8"/>
        <w:rPr>
          <w:sz w:val="23"/>
        </w:rPr>
      </w:pPr>
    </w:p>
    <w:p>
      <w:pPr>
        <w:spacing w:before="1"/>
        <w:ind w:left="525" w:right="871" w:firstLine="0"/>
        <w:jc w:val="left"/>
        <w:rPr>
          <w:rFonts w:ascii="Calibri" w:hAnsi="Calibri"/>
          <w:i/>
          <w:sz w:val="18"/>
        </w:rPr>
      </w:pPr>
      <w:bookmarkStart w:name="_bookmark60" w:id="81"/>
      <w:bookmarkEnd w:id="81"/>
      <w:r>
        <w:rPr/>
      </w:r>
      <w:r>
        <w:rPr>
          <w:rFonts w:ascii="Calibri" w:hAnsi="Calibri"/>
          <w:i/>
          <w:color w:val="44536A"/>
          <w:sz w:val="18"/>
        </w:rPr>
        <w:t>Figur 42 Illustration af nedskalering af 500 m model simulering til 100 m opløsning vha. 100 m højdemodel. R angi- </w:t>
      </w:r>
      <w:r>
        <w:rPr>
          <w:rFonts w:ascii="Calibri" w:hAnsi="Calibri"/>
          <w:i/>
          <w:color w:val="44536A"/>
          <w:sz w:val="18"/>
        </w:rPr>
        <w:t>ver Pearsons R.</w:t>
      </w:r>
    </w:p>
    <w:p>
      <w:pPr>
        <w:pStyle w:val="BodyText"/>
        <w:spacing w:before="2"/>
        <w:rPr>
          <w:rFonts w:ascii="Calibri"/>
          <w:i/>
          <w:sz w:val="16"/>
        </w:rPr>
      </w:pPr>
    </w:p>
    <w:p>
      <w:pPr>
        <w:pStyle w:val="BodyText"/>
        <w:spacing w:line="276" w:lineRule="auto"/>
        <w:ind w:left="525" w:right="733"/>
        <w:jc w:val="both"/>
      </w:pPr>
      <w:r>
        <w:rPr/>
        <w:t>Sammenligningen mellem 500 m og 100 m opfattes primært som en test af konceptet, som er interessant da resultatet kan testes mod en 100 m model. I praksis vil det ofte være</w:t>
      </w:r>
      <w:r>
        <w:rPr>
          <w:spacing w:val="-41"/>
        </w:rPr>
        <w:t> </w:t>
      </w:r>
      <w:r>
        <w:rPr/>
        <w:t>mere interessant at nedskalere til meget finere skala, da højdemodel i høj kvalitet er</w:t>
      </w:r>
      <w:r>
        <w:rPr>
          <w:spacing w:val="28"/>
        </w:rPr>
        <w:t> </w:t>
      </w:r>
      <w:r>
        <w:rPr/>
        <w:t>tilgængelige</w:t>
      </w:r>
    </w:p>
    <w:p>
      <w:pPr>
        <w:spacing w:after="0" w:line="276" w:lineRule="auto"/>
        <w:jc w:val="both"/>
        <w:sectPr>
          <w:pgSz w:w="11910" w:h="16850"/>
          <w:pgMar w:header="0" w:footer="857" w:top="1340" w:bottom="1120" w:left="1460" w:right="680"/>
        </w:sectPr>
      </w:pPr>
    </w:p>
    <w:p>
      <w:pPr>
        <w:pStyle w:val="BodyText"/>
        <w:spacing w:line="273" w:lineRule="auto" w:before="75"/>
        <w:ind w:left="525" w:right="729"/>
        <w:jc w:val="both"/>
      </w:pPr>
      <w:r>
        <w:rPr/>
        <w:t>helt</w:t>
      </w:r>
      <w:r>
        <w:rPr>
          <w:spacing w:val="-5"/>
        </w:rPr>
        <w:t> </w:t>
      </w:r>
      <w:r>
        <w:rPr/>
        <w:t>ned</w:t>
      </w:r>
      <w:r>
        <w:rPr>
          <w:spacing w:val="-4"/>
        </w:rPr>
        <w:t> </w:t>
      </w:r>
      <w:r>
        <w:rPr/>
        <w:t>til</w:t>
      </w:r>
      <w:r>
        <w:rPr>
          <w:spacing w:val="-5"/>
        </w:rPr>
        <w:t> </w:t>
      </w:r>
      <w:r>
        <w:rPr/>
        <w:t>meter</w:t>
      </w:r>
      <w:r>
        <w:rPr>
          <w:spacing w:val="-4"/>
        </w:rPr>
        <w:t> </w:t>
      </w:r>
      <w:r>
        <w:rPr/>
        <w:t>skala.</w:t>
      </w:r>
      <w:r>
        <w:rPr>
          <w:spacing w:val="-4"/>
        </w:rPr>
        <w:t> </w:t>
      </w:r>
      <w:r>
        <w:rPr/>
        <w:t>Der</w:t>
      </w:r>
      <w:r>
        <w:rPr>
          <w:spacing w:val="-4"/>
        </w:rPr>
        <w:t> </w:t>
      </w:r>
      <w:r>
        <w:rPr/>
        <w:t>er</w:t>
      </w:r>
      <w:r>
        <w:rPr>
          <w:spacing w:val="-4"/>
        </w:rPr>
        <w:t> </w:t>
      </w:r>
      <w:r>
        <w:rPr/>
        <w:t>derfor</w:t>
      </w:r>
      <w:r>
        <w:rPr>
          <w:spacing w:val="-4"/>
        </w:rPr>
        <w:t> </w:t>
      </w:r>
      <w:r>
        <w:rPr/>
        <w:t>arbejdet</w:t>
      </w:r>
      <w:r>
        <w:rPr>
          <w:spacing w:val="-7"/>
        </w:rPr>
        <w:t> </w:t>
      </w:r>
      <w:r>
        <w:rPr/>
        <w:t>med</w:t>
      </w:r>
      <w:r>
        <w:rPr>
          <w:spacing w:val="-3"/>
        </w:rPr>
        <w:t> </w:t>
      </w:r>
      <w:r>
        <w:rPr/>
        <w:t>nedskalering</w:t>
      </w:r>
      <w:r>
        <w:rPr>
          <w:spacing w:val="-4"/>
        </w:rPr>
        <w:t> </w:t>
      </w:r>
      <w:r>
        <w:rPr/>
        <w:t>af</w:t>
      </w:r>
      <w:r>
        <w:rPr>
          <w:spacing w:val="-3"/>
        </w:rPr>
        <w:t> </w:t>
      </w:r>
      <w:r>
        <w:rPr/>
        <w:t>100</w:t>
      </w:r>
      <w:r>
        <w:rPr>
          <w:spacing w:val="-4"/>
        </w:rPr>
        <w:t> </w:t>
      </w:r>
      <w:r>
        <w:rPr/>
        <w:t>m</w:t>
      </w:r>
      <w:r>
        <w:rPr>
          <w:spacing w:val="-3"/>
        </w:rPr>
        <w:t> </w:t>
      </w:r>
      <w:r>
        <w:rPr/>
        <w:t>DK-model</w:t>
      </w:r>
      <w:r>
        <w:rPr>
          <w:spacing w:val="-2"/>
        </w:rPr>
        <w:t> </w:t>
      </w:r>
      <w:r>
        <w:rPr/>
        <w:t>simule- ringer til 10 m opløsning for at forbedre estimaterne primært i ådale, hvor den præcise topo- grafi er afgørende for dybden til grundvandsspejlet og vand på</w:t>
      </w:r>
      <w:r>
        <w:rPr>
          <w:spacing w:val="-17"/>
        </w:rPr>
        <w:t> </w:t>
      </w:r>
      <w:r>
        <w:rPr/>
        <w:t>terræn.</w:t>
      </w:r>
    </w:p>
    <w:p>
      <w:pPr>
        <w:pStyle w:val="BodyText"/>
        <w:spacing w:before="6"/>
        <w:rPr>
          <w:sz w:val="10"/>
        </w:rPr>
      </w:pPr>
      <w:r>
        <w:rPr/>
        <w:pict>
          <v:group style="position:absolute;margin-left:99.25pt;margin-top:8.517007pt;width:419.9pt;height:231.25pt;mso-position-horizontal-relative:page;mso-position-vertical-relative:paragraph;z-index:-112;mso-wrap-distance-left:0;mso-wrap-distance-right:0" coordorigin="1985,170" coordsize="8398,4625">
            <v:shape style="position:absolute;left:1985;top:170;width:4614;height:4625" type="#_x0000_t75" alt="F:\SDFE\Downscaling\Simple approach\Downscaling_Model_Test_100-10m_zoom.png" stroked="false">
              <v:imagedata r:id="rId67" o:title=""/>
            </v:shape>
            <v:shape style="position:absolute;left:6663;top:170;width:3719;height:4625" type="#_x0000_t75" alt="F:\SDFE\Downscaling\Simple approach\Downscaling_Model_Test_100-10m_vpt.png" stroked="false">
              <v:imagedata r:id="rId68" o:title=""/>
            </v:shape>
            <w10:wrap type="topAndBottom"/>
          </v:group>
        </w:pict>
      </w:r>
    </w:p>
    <w:p>
      <w:pPr>
        <w:spacing w:before="157"/>
        <w:ind w:left="525" w:right="1051" w:firstLine="0"/>
        <w:jc w:val="left"/>
        <w:rPr>
          <w:rFonts w:ascii="Calibri" w:hAnsi="Calibri"/>
          <w:i/>
          <w:sz w:val="18"/>
        </w:rPr>
      </w:pPr>
      <w:bookmarkStart w:name="_bookmark61" w:id="82"/>
      <w:bookmarkEnd w:id="82"/>
      <w:r>
        <w:rPr/>
      </w:r>
      <w:r>
        <w:rPr>
          <w:rFonts w:ascii="Calibri" w:hAnsi="Calibri"/>
          <w:i/>
          <w:color w:val="44536A"/>
          <w:sz w:val="18"/>
        </w:rPr>
        <w:t>Figur 43 Illustration af nedskalering af 100 m model simulering til 10 m opløsning vha. 10 m højdemodel for hhv. </w:t>
      </w:r>
      <w:r>
        <w:rPr>
          <w:rFonts w:ascii="Calibri" w:hAnsi="Calibri"/>
          <w:i/>
          <w:color w:val="44536A"/>
          <w:sz w:val="18"/>
        </w:rPr>
        <w:t>dybde til grundvandsspejl og resulterende vand på terræn.</w:t>
      </w:r>
    </w:p>
    <w:p>
      <w:pPr>
        <w:pStyle w:val="BodyText"/>
        <w:spacing w:before="2"/>
        <w:rPr>
          <w:rFonts w:ascii="Calibri"/>
          <w:i/>
          <w:sz w:val="16"/>
        </w:rPr>
      </w:pPr>
    </w:p>
    <w:p>
      <w:pPr>
        <w:pStyle w:val="BodyText"/>
        <w:spacing w:line="276" w:lineRule="auto"/>
        <w:ind w:left="525" w:right="731"/>
        <w:jc w:val="both"/>
      </w:pPr>
      <w:hyperlink w:history="true" w:anchor="_bookmark61">
        <w:r>
          <w:rPr/>
          <w:t>Figur</w:t>
        </w:r>
        <w:r>
          <w:rPr>
            <w:spacing w:val="-6"/>
          </w:rPr>
          <w:t> </w:t>
        </w:r>
        <w:r>
          <w:rPr/>
          <w:t>43</w:t>
        </w:r>
        <w:r>
          <w:rPr>
            <w:spacing w:val="-6"/>
          </w:rPr>
          <w:t> </w:t>
        </w:r>
      </w:hyperlink>
      <w:r>
        <w:rPr/>
        <w:t>illustrerer</w:t>
      </w:r>
      <w:r>
        <w:rPr>
          <w:spacing w:val="-7"/>
        </w:rPr>
        <w:t> </w:t>
      </w:r>
      <w:r>
        <w:rPr/>
        <w:t>tydeligt</w:t>
      </w:r>
      <w:r>
        <w:rPr>
          <w:spacing w:val="-9"/>
        </w:rPr>
        <w:t> </w:t>
      </w:r>
      <w:r>
        <w:rPr/>
        <w:t>potentialet</w:t>
      </w:r>
      <w:r>
        <w:rPr>
          <w:spacing w:val="-7"/>
        </w:rPr>
        <w:t> </w:t>
      </w:r>
      <w:r>
        <w:rPr/>
        <w:t>i</w:t>
      </w:r>
      <w:r>
        <w:rPr>
          <w:spacing w:val="-5"/>
        </w:rPr>
        <w:t> </w:t>
      </w:r>
      <w:r>
        <w:rPr/>
        <w:t>at</w:t>
      </w:r>
      <w:r>
        <w:rPr>
          <w:spacing w:val="-7"/>
        </w:rPr>
        <w:t> </w:t>
      </w:r>
      <w:r>
        <w:rPr/>
        <w:t>nedskalere</w:t>
      </w:r>
      <w:r>
        <w:rPr>
          <w:spacing w:val="-9"/>
        </w:rPr>
        <w:t> </w:t>
      </w:r>
      <w:r>
        <w:rPr/>
        <w:t>den</w:t>
      </w:r>
      <w:r>
        <w:rPr>
          <w:spacing w:val="-6"/>
        </w:rPr>
        <w:t> </w:t>
      </w:r>
      <w:r>
        <w:rPr/>
        <w:t>grove</w:t>
      </w:r>
      <w:r>
        <w:rPr>
          <w:spacing w:val="-6"/>
        </w:rPr>
        <w:t> </w:t>
      </w:r>
      <w:r>
        <w:rPr/>
        <w:t>model</w:t>
      </w:r>
      <w:r>
        <w:rPr>
          <w:spacing w:val="-5"/>
        </w:rPr>
        <w:t> </w:t>
      </w:r>
      <w:r>
        <w:rPr/>
        <w:t>beregning</w:t>
      </w:r>
      <w:r>
        <w:rPr>
          <w:spacing w:val="-6"/>
        </w:rPr>
        <w:t> </w:t>
      </w:r>
      <w:r>
        <w:rPr/>
        <w:t>til</w:t>
      </w:r>
      <w:r>
        <w:rPr>
          <w:spacing w:val="-5"/>
        </w:rPr>
        <w:t> </w:t>
      </w:r>
      <w:r>
        <w:rPr/>
        <w:t>en</w:t>
      </w:r>
      <w:r>
        <w:rPr>
          <w:spacing w:val="-6"/>
        </w:rPr>
        <w:t> </w:t>
      </w:r>
      <w:r>
        <w:rPr/>
        <w:t>finere diskretisering, hvor de lokale højdeforhold repræsenteres. Ligeledes viser </w:t>
      </w:r>
      <w:hyperlink w:history="true" w:anchor="_bookmark61">
        <w:r>
          <w:rPr/>
          <w:t>figur 43 </w:t>
        </w:r>
      </w:hyperlink>
      <w:r>
        <w:rPr/>
        <w:t>hvordan de områder, som udpeges som havende vand på terræn, ændres ved en sådan nedskale- ring. Det er dog vigtigt at understrege, at nedskaleringen udelukkende er baseret på topo- grafien, og at den bygger på antagelsen om at grundvandsspejlet følger terrænet men at lavereliggende områder samtidigt har mindre dybde til grundvandet end</w:t>
      </w:r>
      <w:r>
        <w:rPr>
          <w:spacing w:val="-20"/>
        </w:rPr>
        <w:t> </w:t>
      </w:r>
      <w:r>
        <w:rPr/>
        <w:t>højtliggende.</w:t>
      </w:r>
    </w:p>
    <w:p>
      <w:pPr>
        <w:pStyle w:val="BodyText"/>
        <w:rPr>
          <w:sz w:val="24"/>
        </w:rPr>
      </w:pPr>
    </w:p>
    <w:p>
      <w:pPr>
        <w:pStyle w:val="Heading2"/>
        <w:numPr>
          <w:ilvl w:val="1"/>
          <w:numId w:val="12"/>
        </w:numPr>
        <w:tabs>
          <w:tab w:pos="1142" w:val="left" w:leader="none"/>
        </w:tabs>
        <w:spacing w:line="240" w:lineRule="auto" w:before="163" w:after="0"/>
        <w:ind w:left="1142" w:right="0" w:hanging="617"/>
        <w:jc w:val="both"/>
      </w:pPr>
      <w:bookmarkStart w:name="_bookmark62" w:id="83"/>
      <w:bookmarkEnd w:id="83"/>
      <w:r>
        <w:rPr>
          <w:b w:val="0"/>
        </w:rPr>
      </w:r>
      <w:bookmarkStart w:name="_bookmark62" w:id="84"/>
      <w:bookmarkEnd w:id="84"/>
      <w:r>
        <w:rPr/>
        <w:t>Eksternt</w:t>
      </w:r>
      <w:r>
        <w:rPr/>
        <w:t> midtvejsreview i maj</w:t>
      </w:r>
      <w:r>
        <w:rPr>
          <w:spacing w:val="-2"/>
        </w:rPr>
        <w:t> </w:t>
      </w:r>
      <w:r>
        <w:rPr/>
        <w:t>2018</w:t>
      </w:r>
    </w:p>
    <w:p>
      <w:pPr>
        <w:pStyle w:val="BodyText"/>
        <w:spacing w:line="276" w:lineRule="auto" w:before="240"/>
        <w:ind w:left="525" w:right="732"/>
        <w:jc w:val="both"/>
      </w:pPr>
      <w:r>
        <w:rPr/>
        <w:t>Der</w:t>
      </w:r>
      <w:r>
        <w:rPr>
          <w:spacing w:val="-14"/>
        </w:rPr>
        <w:t> </w:t>
      </w:r>
      <w:r>
        <w:rPr/>
        <w:t>er</w:t>
      </w:r>
      <w:r>
        <w:rPr>
          <w:spacing w:val="-14"/>
        </w:rPr>
        <w:t> </w:t>
      </w:r>
      <w:r>
        <w:rPr/>
        <w:t>foretaget</w:t>
      </w:r>
      <w:r>
        <w:rPr>
          <w:spacing w:val="-14"/>
        </w:rPr>
        <w:t> </w:t>
      </w:r>
      <w:r>
        <w:rPr/>
        <w:t>et</w:t>
      </w:r>
      <w:r>
        <w:rPr>
          <w:spacing w:val="-13"/>
        </w:rPr>
        <w:t> </w:t>
      </w:r>
      <w:r>
        <w:rPr/>
        <w:t>fagligt</w:t>
      </w:r>
      <w:r>
        <w:rPr>
          <w:spacing w:val="-14"/>
        </w:rPr>
        <w:t> </w:t>
      </w:r>
      <w:r>
        <w:rPr/>
        <w:t>midtvejsreview</w:t>
      </w:r>
      <w:r>
        <w:rPr>
          <w:spacing w:val="-14"/>
        </w:rPr>
        <w:t> </w:t>
      </w:r>
      <w:r>
        <w:rPr/>
        <w:t>af</w:t>
      </w:r>
      <w:r>
        <w:rPr>
          <w:spacing w:val="-12"/>
        </w:rPr>
        <w:t> </w:t>
      </w:r>
      <w:r>
        <w:rPr/>
        <w:t>et</w:t>
      </w:r>
      <w:r>
        <w:rPr>
          <w:spacing w:val="-13"/>
        </w:rPr>
        <w:t> </w:t>
      </w:r>
      <w:r>
        <w:rPr/>
        <w:t>ekspertpanel</w:t>
      </w:r>
      <w:r>
        <w:rPr>
          <w:spacing w:val="-12"/>
        </w:rPr>
        <w:t> </w:t>
      </w:r>
      <w:r>
        <w:rPr/>
        <w:t>bestående</w:t>
      </w:r>
      <w:r>
        <w:rPr>
          <w:spacing w:val="-13"/>
        </w:rPr>
        <w:t> </w:t>
      </w:r>
      <w:r>
        <w:rPr/>
        <w:t>af</w:t>
      </w:r>
      <w:r>
        <w:rPr>
          <w:spacing w:val="-13"/>
        </w:rPr>
        <w:t> </w:t>
      </w:r>
      <w:r>
        <w:rPr/>
        <w:t>Henrik</w:t>
      </w:r>
      <w:r>
        <w:rPr>
          <w:spacing w:val="-11"/>
        </w:rPr>
        <w:t> </w:t>
      </w:r>
      <w:r>
        <w:rPr/>
        <w:t>Madsen</w:t>
      </w:r>
      <w:r>
        <w:rPr>
          <w:spacing w:val="-13"/>
        </w:rPr>
        <w:t> </w:t>
      </w:r>
      <w:r>
        <w:rPr/>
        <w:t>DHI og Peter Bauer-Gottwein DTU. Formålet med review har været at vurdere kvaliteten af mo- dellerings- og kalibreringsmetodik udviklet i projektet, baseret på en midtvejs rapport udar- bejdet</w:t>
      </w:r>
      <w:r>
        <w:rPr>
          <w:spacing w:val="-10"/>
        </w:rPr>
        <w:t> </w:t>
      </w:r>
      <w:r>
        <w:rPr/>
        <w:t>af</w:t>
      </w:r>
      <w:r>
        <w:rPr>
          <w:spacing w:val="-7"/>
        </w:rPr>
        <w:t> </w:t>
      </w:r>
      <w:r>
        <w:rPr/>
        <w:t>GEUS</w:t>
      </w:r>
      <w:r>
        <w:rPr>
          <w:spacing w:val="-8"/>
        </w:rPr>
        <w:t> </w:t>
      </w:r>
      <w:r>
        <w:rPr/>
        <w:t>(5.</w:t>
      </w:r>
      <w:r>
        <w:rPr>
          <w:spacing w:val="-9"/>
        </w:rPr>
        <w:t> </w:t>
      </w:r>
      <w:r>
        <w:rPr/>
        <w:t>April</w:t>
      </w:r>
      <w:r>
        <w:rPr>
          <w:spacing w:val="-8"/>
        </w:rPr>
        <w:t> </w:t>
      </w:r>
      <w:r>
        <w:rPr/>
        <w:t>2018).</w:t>
      </w:r>
      <w:r>
        <w:rPr>
          <w:spacing w:val="-10"/>
        </w:rPr>
        <w:t> </w:t>
      </w:r>
      <w:r>
        <w:rPr/>
        <w:t>I</w:t>
      </w:r>
      <w:r>
        <w:rPr>
          <w:spacing w:val="-9"/>
        </w:rPr>
        <w:t> </w:t>
      </w:r>
      <w:r>
        <w:rPr/>
        <w:t>forbindelse</w:t>
      </w:r>
      <w:r>
        <w:rPr>
          <w:spacing w:val="-8"/>
        </w:rPr>
        <w:t> </w:t>
      </w:r>
      <w:r>
        <w:rPr/>
        <w:t>med</w:t>
      </w:r>
      <w:r>
        <w:rPr>
          <w:spacing w:val="-8"/>
        </w:rPr>
        <w:t> </w:t>
      </w:r>
      <w:r>
        <w:rPr/>
        <w:t>review-seminar</w:t>
      </w:r>
      <w:r>
        <w:rPr>
          <w:spacing w:val="-9"/>
        </w:rPr>
        <w:t> </w:t>
      </w:r>
      <w:r>
        <w:rPr/>
        <w:t>præsenterede</w:t>
      </w:r>
      <w:r>
        <w:rPr>
          <w:spacing w:val="-8"/>
        </w:rPr>
        <w:t> </w:t>
      </w:r>
      <w:r>
        <w:rPr/>
        <w:t>GEUS</w:t>
      </w:r>
      <w:r>
        <w:rPr>
          <w:spacing w:val="-10"/>
        </w:rPr>
        <w:t> </w:t>
      </w:r>
      <w:r>
        <w:rPr/>
        <w:t>midt- vejsrapporten og de første resultater af kalibrering- og validering (13. April 2018). Under og efter præsentationen blev metodik diskuteret mellem reviewere og GEUS modellører. Der har ikke været tale om modelaudit, men et review baseret på fakta og resultater af kommu- nikationen mellem parterne i forbindelse med reviewet og et skriftlig review afsluttende sky- pemøde ultimo</w:t>
      </w:r>
      <w:r>
        <w:rPr>
          <w:spacing w:val="-6"/>
        </w:rPr>
        <w:t> </w:t>
      </w:r>
      <w:r>
        <w:rPr/>
        <w:t>April.</w:t>
      </w:r>
    </w:p>
    <w:p>
      <w:pPr>
        <w:pStyle w:val="BodyText"/>
        <w:spacing w:before="2"/>
        <w:rPr>
          <w:sz w:val="24"/>
        </w:rPr>
      </w:pPr>
    </w:p>
    <w:p>
      <w:pPr>
        <w:pStyle w:val="BodyText"/>
        <w:spacing w:line="276" w:lineRule="auto"/>
        <w:ind w:left="525" w:right="733"/>
        <w:jc w:val="both"/>
      </w:pPr>
      <w:r>
        <w:rPr/>
        <w:t>Panelet</w:t>
      </w:r>
      <w:r>
        <w:rPr>
          <w:spacing w:val="-18"/>
        </w:rPr>
        <w:t> </w:t>
      </w:r>
      <w:r>
        <w:rPr/>
        <w:t>kom</w:t>
      </w:r>
      <w:r>
        <w:rPr>
          <w:spacing w:val="-15"/>
        </w:rPr>
        <w:t> </w:t>
      </w:r>
      <w:r>
        <w:rPr/>
        <w:t>med</w:t>
      </w:r>
      <w:r>
        <w:rPr>
          <w:spacing w:val="-14"/>
        </w:rPr>
        <w:t> </w:t>
      </w:r>
      <w:r>
        <w:rPr/>
        <w:t>en</w:t>
      </w:r>
      <w:r>
        <w:rPr>
          <w:spacing w:val="-14"/>
        </w:rPr>
        <w:t> </w:t>
      </w:r>
      <w:r>
        <w:rPr/>
        <w:t>række</w:t>
      </w:r>
      <w:r>
        <w:rPr>
          <w:spacing w:val="-17"/>
        </w:rPr>
        <w:t> </w:t>
      </w:r>
      <w:r>
        <w:rPr/>
        <w:t>konstruktive</w:t>
      </w:r>
      <w:r>
        <w:rPr>
          <w:spacing w:val="-14"/>
        </w:rPr>
        <w:t> </w:t>
      </w:r>
      <w:r>
        <w:rPr/>
        <w:t>forslag</w:t>
      </w:r>
      <w:r>
        <w:rPr>
          <w:spacing w:val="-14"/>
        </w:rPr>
        <w:t> </w:t>
      </w:r>
      <w:r>
        <w:rPr/>
        <w:t>til</w:t>
      </w:r>
      <w:r>
        <w:rPr>
          <w:spacing w:val="-16"/>
        </w:rPr>
        <w:t> </w:t>
      </w:r>
      <w:r>
        <w:rPr/>
        <w:t>øget</w:t>
      </w:r>
      <w:r>
        <w:rPr>
          <w:spacing w:val="-15"/>
        </w:rPr>
        <w:t> </w:t>
      </w:r>
      <w:r>
        <w:rPr/>
        <w:t>fokus</w:t>
      </w:r>
      <w:r>
        <w:rPr>
          <w:spacing w:val="-14"/>
        </w:rPr>
        <w:t> </w:t>
      </w:r>
      <w:r>
        <w:rPr/>
        <w:t>på</w:t>
      </w:r>
      <w:r>
        <w:rPr>
          <w:spacing w:val="-14"/>
        </w:rPr>
        <w:t> </w:t>
      </w:r>
      <w:r>
        <w:rPr/>
        <w:t>distribueret</w:t>
      </w:r>
      <w:r>
        <w:rPr>
          <w:spacing w:val="-18"/>
        </w:rPr>
        <w:t> </w:t>
      </w:r>
      <w:r>
        <w:rPr/>
        <w:t>drænopsætning, anvendelse af simplere hydrodynamisk løsning, mere systematisk undersøgelse af betyd- ning af ny kalibreringsmetodik i forhold til terrænnært grundvand, mere fokus på repræsen- tativitet af pejleobservationer, inddragelse af alternative data til simulering af oversvømmel- ser samt fokus på validering af simulerede</w:t>
      </w:r>
      <w:r>
        <w:rPr>
          <w:spacing w:val="-9"/>
        </w:rPr>
        <w:t> </w:t>
      </w:r>
      <w:r>
        <w:rPr/>
        <w:t>oversvømmelser.</w:t>
      </w:r>
    </w:p>
    <w:p>
      <w:pPr>
        <w:spacing w:after="0" w:line="276" w:lineRule="auto"/>
        <w:jc w:val="both"/>
        <w:sectPr>
          <w:pgSz w:w="11910" w:h="16850"/>
          <w:pgMar w:header="0" w:footer="857" w:top="1340" w:bottom="1120" w:left="1460" w:right="680"/>
        </w:sectPr>
      </w:pPr>
    </w:p>
    <w:p>
      <w:pPr>
        <w:pStyle w:val="BodyText"/>
        <w:spacing w:line="276" w:lineRule="auto" w:before="75"/>
        <w:ind w:left="525" w:right="732"/>
        <w:jc w:val="both"/>
      </w:pPr>
      <w:r>
        <w:rPr/>
        <w:t>GEUS gav udtryk for at man er enig i den konstruktive kritik omkring drænopsætning. En distribueret drænopsætning har været forsøgt i andre GEUS projekter (fx Kolding) uden at det imidlertid har været muligt at kvantificere effekterne heraf. På basis af review kommen- tarer har GEUS imidlertid foretaget et sensitivitetsanalyser for Storå og Odense Å ud fra en distribuering af dræntidskonstanten på basis af vurderet drænbehov (Møller et al. 2018), og der er sammenlignet med en klassisk ’homogen’ drænopsætning og søgt valideret i forhold til FOT tema vedr. vådområder (se kapitel 7 vedr. visualisering).</w:t>
      </w:r>
    </w:p>
    <w:p>
      <w:pPr>
        <w:pStyle w:val="BodyText"/>
        <w:rPr>
          <w:sz w:val="24"/>
        </w:rPr>
      </w:pPr>
    </w:p>
    <w:p>
      <w:pPr>
        <w:pStyle w:val="BodyText"/>
        <w:spacing w:line="276" w:lineRule="auto"/>
        <w:ind w:left="525" w:right="731"/>
        <w:jc w:val="both"/>
      </w:pPr>
      <w:r>
        <w:rPr/>
        <w:t>Forslaget om at anvende Diffusive Wave approksimation i stedet for den anvendte fulde hy- drodynamiske</w:t>
      </w:r>
      <w:r>
        <w:rPr>
          <w:spacing w:val="-14"/>
        </w:rPr>
        <w:t> </w:t>
      </w:r>
      <w:r>
        <w:rPr/>
        <w:t>løsning</w:t>
      </w:r>
      <w:r>
        <w:rPr>
          <w:spacing w:val="-10"/>
        </w:rPr>
        <w:t> </w:t>
      </w:r>
      <w:r>
        <w:rPr/>
        <w:t>i</w:t>
      </w:r>
      <w:r>
        <w:rPr>
          <w:spacing w:val="-10"/>
        </w:rPr>
        <w:t> </w:t>
      </w:r>
      <w:r>
        <w:rPr/>
        <w:t>MIKE</w:t>
      </w:r>
      <w:r>
        <w:rPr>
          <w:spacing w:val="-11"/>
        </w:rPr>
        <w:t> </w:t>
      </w:r>
      <w:r>
        <w:rPr/>
        <w:t>HYDRO</w:t>
      </w:r>
      <w:r>
        <w:rPr>
          <w:spacing w:val="-14"/>
        </w:rPr>
        <w:t> </w:t>
      </w:r>
      <w:r>
        <w:rPr/>
        <w:t>River)</w:t>
      </w:r>
      <w:r>
        <w:rPr>
          <w:spacing w:val="-12"/>
        </w:rPr>
        <w:t> </w:t>
      </w:r>
      <w:r>
        <w:rPr/>
        <w:t>noteres.</w:t>
      </w:r>
      <w:r>
        <w:rPr>
          <w:spacing w:val="-12"/>
        </w:rPr>
        <w:t> </w:t>
      </w:r>
      <w:r>
        <w:rPr/>
        <w:t>Efterfølgende</w:t>
      </w:r>
      <w:r>
        <w:rPr>
          <w:spacing w:val="-10"/>
        </w:rPr>
        <w:t> </w:t>
      </w:r>
      <w:r>
        <w:rPr/>
        <w:t>er</w:t>
      </w:r>
      <w:r>
        <w:rPr>
          <w:spacing w:val="-15"/>
        </w:rPr>
        <w:t> </w:t>
      </w:r>
      <w:r>
        <w:rPr/>
        <w:t>Diffusive</w:t>
      </w:r>
      <w:r>
        <w:rPr>
          <w:spacing w:val="-15"/>
        </w:rPr>
        <w:t> </w:t>
      </w:r>
      <w:r>
        <w:rPr/>
        <w:t>Wave</w:t>
      </w:r>
      <w:r>
        <w:rPr>
          <w:spacing w:val="-12"/>
        </w:rPr>
        <w:t> </w:t>
      </w:r>
      <w:r>
        <w:rPr/>
        <w:t>blevet testet med henblik på at vurdere om den tilnærmede løsning effektivt vil kunne nedbringe kørselstider</w:t>
      </w:r>
      <w:r>
        <w:rPr>
          <w:spacing w:val="-7"/>
        </w:rPr>
        <w:t> </w:t>
      </w:r>
      <w:r>
        <w:rPr/>
        <w:t>i</w:t>
      </w:r>
      <w:r>
        <w:rPr>
          <w:spacing w:val="-5"/>
        </w:rPr>
        <w:t> </w:t>
      </w:r>
      <w:r>
        <w:rPr/>
        <w:t>forhold</w:t>
      </w:r>
      <w:r>
        <w:rPr>
          <w:spacing w:val="-6"/>
        </w:rPr>
        <w:t> </w:t>
      </w:r>
      <w:r>
        <w:rPr/>
        <w:t>til</w:t>
      </w:r>
      <w:r>
        <w:rPr>
          <w:spacing w:val="-5"/>
        </w:rPr>
        <w:t> </w:t>
      </w:r>
      <w:r>
        <w:rPr/>
        <w:t>den</w:t>
      </w:r>
      <w:r>
        <w:rPr>
          <w:spacing w:val="-6"/>
        </w:rPr>
        <w:t> </w:t>
      </w:r>
      <w:r>
        <w:rPr/>
        <w:t>anvendte</w:t>
      </w:r>
      <w:r>
        <w:rPr>
          <w:spacing w:val="-6"/>
        </w:rPr>
        <w:t> </w:t>
      </w:r>
      <w:r>
        <w:rPr/>
        <w:t>fulde</w:t>
      </w:r>
      <w:r>
        <w:rPr>
          <w:spacing w:val="-6"/>
        </w:rPr>
        <w:t> </w:t>
      </w:r>
      <w:r>
        <w:rPr/>
        <w:t>hydrodynamiske</w:t>
      </w:r>
      <w:r>
        <w:rPr>
          <w:spacing w:val="-6"/>
        </w:rPr>
        <w:t> </w:t>
      </w:r>
      <w:r>
        <w:rPr/>
        <w:t>løsning.</w:t>
      </w:r>
      <w:r>
        <w:rPr>
          <w:spacing w:val="-7"/>
        </w:rPr>
        <w:t> </w:t>
      </w:r>
      <w:r>
        <w:rPr/>
        <w:t>GEUS</w:t>
      </w:r>
      <w:r>
        <w:rPr>
          <w:spacing w:val="-8"/>
        </w:rPr>
        <w:t> </w:t>
      </w:r>
      <w:r>
        <w:rPr/>
        <w:t>måtte</w:t>
      </w:r>
      <w:r>
        <w:rPr>
          <w:spacing w:val="-6"/>
        </w:rPr>
        <w:t> </w:t>
      </w:r>
      <w:r>
        <w:rPr/>
        <w:t>pga.</w:t>
      </w:r>
      <w:r>
        <w:rPr>
          <w:spacing w:val="-7"/>
        </w:rPr>
        <w:t> </w:t>
      </w:r>
      <w:r>
        <w:rPr/>
        <w:t>af</w:t>
      </w:r>
      <w:r>
        <w:rPr>
          <w:spacing w:val="-5"/>
        </w:rPr>
        <w:t> </w:t>
      </w:r>
      <w:r>
        <w:rPr/>
        <w:t>de små tidsstep, der var nødvendige og dermed lange kørselstider, begrænse kalibreringsperi- oden fra 2000-2008 til 2007-2008 (altså kun to år – udover 2006 som blev benyttet til hot- start). Resultater peger på at kørselstider vil kunne reduceres (til det halve) når der køres med Diffusive Wave. Det har dog ikke været muligt indenfor rammerne af metodeprojektet at genberegne og evaluere evt. tab af</w:t>
      </w:r>
      <w:r>
        <w:rPr>
          <w:spacing w:val="-6"/>
        </w:rPr>
        <w:t> </w:t>
      </w:r>
      <w:r>
        <w:rPr/>
        <w:t>beregningsnøjagtighed.</w:t>
      </w:r>
    </w:p>
    <w:p>
      <w:pPr>
        <w:pStyle w:val="BodyText"/>
        <w:spacing w:before="5"/>
        <w:rPr>
          <w:sz w:val="24"/>
        </w:rPr>
      </w:pPr>
    </w:p>
    <w:p>
      <w:pPr>
        <w:pStyle w:val="BodyText"/>
        <w:spacing w:line="276" w:lineRule="auto"/>
        <w:ind w:left="525" w:right="732"/>
        <w:jc w:val="both"/>
      </w:pPr>
      <w:r>
        <w:rPr/>
        <w:t>Reviewpanelets efterlysning af systematisk vurdering af ny CRPS metodik er GEUS enig i. GEUS har derfor på basis af denne kritik valgt at gennemføre en systematisk vurdering af CRPS baseret optimering sammenlignet med to alternative metoder baseret på invers mo- dellering</w:t>
      </w:r>
      <w:r>
        <w:rPr>
          <w:spacing w:val="-7"/>
        </w:rPr>
        <w:t> </w:t>
      </w:r>
      <w:r>
        <w:rPr/>
        <w:t>for</w:t>
      </w:r>
      <w:r>
        <w:rPr>
          <w:spacing w:val="-4"/>
        </w:rPr>
        <w:t> </w:t>
      </w:r>
      <w:r>
        <w:rPr/>
        <w:t>Storå</w:t>
      </w:r>
      <w:r>
        <w:rPr>
          <w:spacing w:val="-4"/>
        </w:rPr>
        <w:t> </w:t>
      </w:r>
      <w:r>
        <w:rPr/>
        <w:t>med</w:t>
      </w:r>
      <w:r>
        <w:rPr>
          <w:spacing w:val="-4"/>
        </w:rPr>
        <w:t> </w:t>
      </w:r>
      <w:r>
        <w:rPr/>
        <w:t>500</w:t>
      </w:r>
      <w:r>
        <w:rPr>
          <w:spacing w:val="-4"/>
        </w:rPr>
        <w:t> </w:t>
      </w:r>
      <w:r>
        <w:rPr/>
        <w:t>m</w:t>
      </w:r>
      <w:r>
        <w:rPr>
          <w:spacing w:val="-5"/>
        </w:rPr>
        <w:t> </w:t>
      </w:r>
      <w:r>
        <w:rPr/>
        <w:t>model.</w:t>
      </w:r>
      <w:r>
        <w:rPr>
          <w:spacing w:val="-5"/>
        </w:rPr>
        <w:t> </w:t>
      </w:r>
      <w:r>
        <w:rPr/>
        <w:t>Analysen</w:t>
      </w:r>
      <w:r>
        <w:rPr>
          <w:spacing w:val="-4"/>
        </w:rPr>
        <w:t> </w:t>
      </w:r>
      <w:r>
        <w:rPr/>
        <w:t>har</w:t>
      </w:r>
      <w:r>
        <w:rPr>
          <w:spacing w:val="-4"/>
        </w:rPr>
        <w:t> </w:t>
      </w:r>
      <w:r>
        <w:rPr/>
        <w:t>vist</w:t>
      </w:r>
      <w:r>
        <w:rPr>
          <w:spacing w:val="-5"/>
        </w:rPr>
        <w:t> </w:t>
      </w:r>
      <w:r>
        <w:rPr/>
        <w:t>at</w:t>
      </w:r>
      <w:r>
        <w:rPr>
          <w:spacing w:val="-6"/>
        </w:rPr>
        <w:t> </w:t>
      </w:r>
      <w:r>
        <w:rPr/>
        <w:t>CRPS</w:t>
      </w:r>
      <w:r>
        <w:rPr>
          <w:spacing w:val="-6"/>
        </w:rPr>
        <w:t> </w:t>
      </w:r>
      <w:r>
        <w:rPr/>
        <w:t>metodikken</w:t>
      </w:r>
      <w:r>
        <w:rPr>
          <w:spacing w:val="-4"/>
        </w:rPr>
        <w:t> </w:t>
      </w:r>
      <w:r>
        <w:rPr/>
        <w:t>er</w:t>
      </w:r>
      <w:r>
        <w:rPr>
          <w:spacing w:val="-4"/>
        </w:rPr>
        <w:t> </w:t>
      </w:r>
      <w:r>
        <w:rPr/>
        <w:t>mere</w:t>
      </w:r>
      <w:r>
        <w:rPr>
          <w:spacing w:val="-5"/>
        </w:rPr>
        <w:t> </w:t>
      </w:r>
      <w:r>
        <w:rPr/>
        <w:t>robust og mere optimal til kalibrering i forhold til terrænnært grundvand. Efterfølgende er CRPS kalibreringen gentaget for 100 m modeller for både Storå og Odense</w:t>
      </w:r>
      <w:r>
        <w:rPr>
          <w:spacing w:val="-19"/>
        </w:rPr>
        <w:t> </w:t>
      </w:r>
      <w:r>
        <w:rPr/>
        <w:t>Å.</w:t>
      </w:r>
    </w:p>
    <w:p>
      <w:pPr>
        <w:pStyle w:val="BodyText"/>
        <w:spacing w:before="1"/>
        <w:rPr>
          <w:sz w:val="24"/>
        </w:rPr>
      </w:pPr>
    </w:p>
    <w:p>
      <w:pPr>
        <w:pStyle w:val="BodyText"/>
        <w:spacing w:line="276" w:lineRule="auto" w:before="1"/>
        <w:ind w:left="525" w:right="731"/>
        <w:jc w:val="both"/>
      </w:pPr>
      <w:r>
        <w:rPr/>
        <w:t>Review panelets forslag om at opstille nøjagtighedskriterier for modelperformance før mo- delkalibrering, hvor usikkerheder på (repræsentativitet af) observationsdata beskrives og inddrages i kalibreringsprocessen er GEUS i princippet helt enig i. Det har imidlertid ikke været muligt at gennemgå det store antal pejlinger mere systematisk indenfor nærværende projekts rammer (økonomi og tid) med henblik på en nærmere vurdering af forskellige ’usik- </w:t>
      </w:r>
      <w:r>
        <w:rPr>
          <w:position w:val="2"/>
        </w:rPr>
        <w:t>kerhedsbidrag’ der fx indgår i S</w:t>
      </w:r>
      <w:r>
        <w:rPr>
          <w:sz w:val="14"/>
        </w:rPr>
        <w:t>obs</w:t>
      </w:r>
      <w:r>
        <w:rPr>
          <w:position w:val="2"/>
        </w:rPr>
        <w:t>. I og med at CRPS metoden anvendes på 90 % af alle grids/pejlinger i stedet for en mere klassisk RMSE/S</w:t>
      </w:r>
      <w:r>
        <w:rPr>
          <w:sz w:val="14"/>
        </w:rPr>
        <w:t>obs </w:t>
      </w:r>
      <w:r>
        <w:rPr>
          <w:position w:val="2"/>
        </w:rPr>
        <w:t>tilgang, bliver forskelle på RMSE og </w:t>
      </w:r>
      <w:r>
        <w:rPr/>
        <w:t>MAE mindre, og da middel absolut fejl (MAE) på 90 % af grids/observationer er valgt som kommunikativ variable til beskrivelse af opnået performance, er der i stedet på basis af slut- brugeres kvalitative ønsker til nøjagtighed (for terrænnært grundvand) på ½-1 m opstillet kvantitative krav til MAE for 80-90 % af observationerne, med nøjagtighed på ½-1 m i gen- nemsnit,</w:t>
      </w:r>
      <w:r>
        <w:rPr>
          <w:spacing w:val="-10"/>
        </w:rPr>
        <w:t> </w:t>
      </w:r>
      <w:r>
        <w:rPr/>
        <w:t>for</w:t>
      </w:r>
      <w:r>
        <w:rPr>
          <w:spacing w:val="-12"/>
        </w:rPr>
        <w:t> </w:t>
      </w:r>
      <w:r>
        <w:rPr/>
        <w:t>kvalitetssikrede</w:t>
      </w:r>
      <w:r>
        <w:rPr>
          <w:spacing w:val="-9"/>
        </w:rPr>
        <w:t> </w:t>
      </w:r>
      <w:r>
        <w:rPr/>
        <w:t>observationsdata.</w:t>
      </w:r>
      <w:r>
        <w:rPr>
          <w:spacing w:val="-10"/>
        </w:rPr>
        <w:t> </w:t>
      </w:r>
      <w:r>
        <w:rPr/>
        <w:t>Tilbage</w:t>
      </w:r>
      <w:r>
        <w:rPr>
          <w:spacing w:val="-9"/>
        </w:rPr>
        <w:t> </w:t>
      </w:r>
      <w:r>
        <w:rPr/>
        <w:t>står</w:t>
      </w:r>
      <w:r>
        <w:rPr>
          <w:spacing w:val="-10"/>
        </w:rPr>
        <w:t> </w:t>
      </w:r>
      <w:r>
        <w:rPr/>
        <w:t>så</w:t>
      </w:r>
      <w:r>
        <w:rPr>
          <w:spacing w:val="-9"/>
        </w:rPr>
        <w:t> </w:t>
      </w:r>
      <w:r>
        <w:rPr/>
        <w:t>spørgsmålet,</w:t>
      </w:r>
      <w:r>
        <w:rPr>
          <w:spacing w:val="-10"/>
        </w:rPr>
        <w:t> </w:t>
      </w:r>
      <w:r>
        <w:rPr/>
        <w:t>hvad</w:t>
      </w:r>
      <w:r>
        <w:rPr>
          <w:spacing w:val="-9"/>
        </w:rPr>
        <w:t> </w:t>
      </w:r>
      <w:r>
        <w:rPr/>
        <w:t>der</w:t>
      </w:r>
      <w:r>
        <w:rPr>
          <w:spacing w:val="-10"/>
        </w:rPr>
        <w:t> </w:t>
      </w:r>
      <w:r>
        <w:rPr/>
        <w:t>forstås ved kvalitetssikrede observationsdata? GEUS tager kommentarer til efterretninger, og i og med</w:t>
      </w:r>
      <w:r>
        <w:rPr>
          <w:spacing w:val="-10"/>
        </w:rPr>
        <w:t> </w:t>
      </w:r>
      <w:r>
        <w:rPr/>
        <w:t>at</w:t>
      </w:r>
      <w:r>
        <w:rPr>
          <w:spacing w:val="-11"/>
        </w:rPr>
        <w:t> </w:t>
      </w:r>
      <w:r>
        <w:rPr/>
        <w:t>der</w:t>
      </w:r>
      <w:r>
        <w:rPr>
          <w:spacing w:val="-11"/>
        </w:rPr>
        <w:t> </w:t>
      </w:r>
      <w:r>
        <w:rPr/>
        <w:t>kan</w:t>
      </w:r>
      <w:r>
        <w:rPr>
          <w:spacing w:val="-10"/>
        </w:rPr>
        <w:t> </w:t>
      </w:r>
      <w:r>
        <w:rPr/>
        <w:t>være</w:t>
      </w:r>
      <w:r>
        <w:rPr>
          <w:spacing w:val="-10"/>
        </w:rPr>
        <w:t> </w:t>
      </w:r>
      <w:r>
        <w:rPr/>
        <w:t>meget</w:t>
      </w:r>
      <w:r>
        <w:rPr>
          <w:spacing w:val="-11"/>
        </w:rPr>
        <w:t> </w:t>
      </w:r>
      <w:r>
        <w:rPr/>
        <w:t>markante</w:t>
      </w:r>
      <w:r>
        <w:rPr>
          <w:spacing w:val="-10"/>
        </w:rPr>
        <w:t> </w:t>
      </w:r>
      <w:r>
        <w:rPr/>
        <w:t>’outliers’</w:t>
      </w:r>
      <w:r>
        <w:rPr>
          <w:spacing w:val="-10"/>
        </w:rPr>
        <w:t> </w:t>
      </w:r>
      <w:r>
        <w:rPr/>
        <w:t>for</w:t>
      </w:r>
      <w:r>
        <w:rPr>
          <w:spacing w:val="-11"/>
        </w:rPr>
        <w:t> </w:t>
      </w:r>
      <w:r>
        <w:rPr/>
        <w:t>dybde</w:t>
      </w:r>
      <w:r>
        <w:rPr>
          <w:spacing w:val="-10"/>
        </w:rPr>
        <w:t> </w:t>
      </w:r>
      <w:r>
        <w:rPr/>
        <w:t>til</w:t>
      </w:r>
      <w:r>
        <w:rPr>
          <w:spacing w:val="-10"/>
        </w:rPr>
        <w:t> </w:t>
      </w:r>
      <w:r>
        <w:rPr/>
        <w:t>terrænnært</w:t>
      </w:r>
      <w:r>
        <w:rPr>
          <w:spacing w:val="-11"/>
        </w:rPr>
        <w:t> </w:t>
      </w:r>
      <w:r>
        <w:rPr/>
        <w:t>grundvand,</w:t>
      </w:r>
      <w:r>
        <w:rPr>
          <w:spacing w:val="-11"/>
        </w:rPr>
        <w:t> </w:t>
      </w:r>
      <w:r>
        <w:rPr/>
        <w:t>dels</w:t>
      </w:r>
      <w:r>
        <w:rPr>
          <w:spacing w:val="-10"/>
        </w:rPr>
        <w:t> </w:t>
      </w:r>
      <w:r>
        <w:rPr/>
        <w:t>som følge af problemer med repræsentativitet (som også set i andre opgaver fx for Kolding), og dels</w:t>
      </w:r>
      <w:r>
        <w:rPr>
          <w:spacing w:val="-5"/>
        </w:rPr>
        <w:t> </w:t>
      </w:r>
      <w:r>
        <w:rPr/>
        <w:t>som</w:t>
      </w:r>
      <w:r>
        <w:rPr>
          <w:spacing w:val="-2"/>
        </w:rPr>
        <w:t> </w:t>
      </w:r>
      <w:r>
        <w:rPr/>
        <w:t>følge</w:t>
      </w:r>
      <w:r>
        <w:rPr>
          <w:spacing w:val="-4"/>
        </w:rPr>
        <w:t> </w:t>
      </w:r>
      <w:r>
        <w:rPr/>
        <w:t>af</w:t>
      </w:r>
      <w:r>
        <w:rPr>
          <w:spacing w:val="-2"/>
        </w:rPr>
        <w:t> </w:t>
      </w:r>
      <w:r>
        <w:rPr/>
        <w:t>stedvis</w:t>
      </w:r>
      <w:r>
        <w:rPr>
          <w:spacing w:val="-6"/>
        </w:rPr>
        <w:t> </w:t>
      </w:r>
      <w:r>
        <w:rPr/>
        <w:t>stærkt</w:t>
      </w:r>
      <w:r>
        <w:rPr>
          <w:spacing w:val="-5"/>
        </w:rPr>
        <w:t> </w:t>
      </w:r>
      <w:r>
        <w:rPr/>
        <w:t>inhomogene</w:t>
      </w:r>
      <w:r>
        <w:rPr>
          <w:spacing w:val="-4"/>
        </w:rPr>
        <w:t> </w:t>
      </w:r>
      <w:r>
        <w:rPr/>
        <w:t>data</w:t>
      </w:r>
      <w:r>
        <w:rPr>
          <w:spacing w:val="-5"/>
        </w:rPr>
        <w:t> </w:t>
      </w:r>
      <w:r>
        <w:rPr/>
        <w:t>(hvor</w:t>
      </w:r>
      <w:r>
        <w:rPr>
          <w:spacing w:val="-4"/>
        </w:rPr>
        <w:t> </w:t>
      </w:r>
      <w:r>
        <w:rPr/>
        <w:t>sidstnævnte</w:t>
      </w:r>
      <w:r>
        <w:rPr>
          <w:spacing w:val="-4"/>
        </w:rPr>
        <w:t> </w:t>
      </w:r>
      <w:r>
        <w:rPr/>
        <w:t>imidlertid</w:t>
      </w:r>
      <w:r>
        <w:rPr>
          <w:spacing w:val="-4"/>
        </w:rPr>
        <w:t> </w:t>
      </w:r>
      <w:r>
        <w:rPr/>
        <w:t>er</w:t>
      </w:r>
      <w:r>
        <w:rPr>
          <w:spacing w:val="-4"/>
        </w:rPr>
        <w:t> </w:t>
      </w:r>
      <w:r>
        <w:rPr/>
        <w:t>løst</w:t>
      </w:r>
      <w:r>
        <w:rPr>
          <w:spacing w:val="-4"/>
        </w:rPr>
        <w:t> </w:t>
      </w:r>
      <w:r>
        <w:rPr/>
        <w:t>ved</w:t>
      </w:r>
      <w:r>
        <w:rPr>
          <w:spacing w:val="-3"/>
        </w:rPr>
        <w:t> </w:t>
      </w:r>
      <w:r>
        <w:rPr/>
        <w:t>at anvende CRPS på gridniveau i stedet for på observationsniveau). Der er på basis af review kommentaren og høring/dialog i projektgruppen foretaget en præcisering af succeskriterier for</w:t>
      </w:r>
      <w:r>
        <w:rPr>
          <w:spacing w:val="-9"/>
        </w:rPr>
        <w:t> </w:t>
      </w:r>
      <w:r>
        <w:rPr/>
        <w:t>Delmål</w:t>
      </w:r>
      <w:r>
        <w:rPr>
          <w:spacing w:val="-8"/>
        </w:rPr>
        <w:t> </w:t>
      </w:r>
      <w:r>
        <w:rPr/>
        <w:t>1</w:t>
      </w:r>
      <w:r>
        <w:rPr>
          <w:spacing w:val="-8"/>
        </w:rPr>
        <w:t> </w:t>
      </w:r>
      <w:r>
        <w:rPr/>
        <w:t>(at</w:t>
      </w:r>
      <w:r>
        <w:rPr>
          <w:spacing w:val="-8"/>
        </w:rPr>
        <w:t> </w:t>
      </w:r>
      <w:r>
        <w:rPr/>
        <w:t>projektet</w:t>
      </w:r>
      <w:r>
        <w:rPr>
          <w:spacing w:val="-9"/>
        </w:rPr>
        <w:t> </w:t>
      </w:r>
      <w:r>
        <w:rPr/>
        <w:t>skal</w:t>
      </w:r>
      <w:r>
        <w:rPr>
          <w:spacing w:val="-7"/>
        </w:rPr>
        <w:t> </w:t>
      </w:r>
      <w:r>
        <w:rPr/>
        <w:t>levere</w:t>
      </w:r>
      <w:r>
        <w:rPr>
          <w:spacing w:val="-9"/>
        </w:rPr>
        <w:t> </w:t>
      </w:r>
      <w:r>
        <w:rPr/>
        <w:t>bedre</w:t>
      </w:r>
      <w:r>
        <w:rPr>
          <w:spacing w:val="-10"/>
        </w:rPr>
        <w:t> </w:t>
      </w:r>
      <w:r>
        <w:rPr/>
        <w:t>metode</w:t>
      </w:r>
      <w:r>
        <w:rPr>
          <w:spacing w:val="-8"/>
        </w:rPr>
        <w:t> </w:t>
      </w:r>
      <w:r>
        <w:rPr/>
        <w:t>til</w:t>
      </w:r>
      <w:r>
        <w:rPr>
          <w:spacing w:val="-10"/>
        </w:rPr>
        <w:t> </w:t>
      </w:r>
      <w:r>
        <w:rPr/>
        <w:t>modellering</w:t>
      </w:r>
      <w:r>
        <w:rPr>
          <w:spacing w:val="-8"/>
        </w:rPr>
        <w:t> </w:t>
      </w:r>
      <w:r>
        <w:rPr/>
        <w:t>af</w:t>
      </w:r>
      <w:r>
        <w:rPr>
          <w:spacing w:val="-6"/>
        </w:rPr>
        <w:t> </w:t>
      </w:r>
      <w:r>
        <w:rPr/>
        <w:t>terrænnært</w:t>
      </w:r>
      <w:r>
        <w:rPr>
          <w:spacing w:val="-9"/>
        </w:rPr>
        <w:t> </w:t>
      </w:r>
      <w:r>
        <w:rPr/>
        <w:t>grundvand), og forhåbentligt kan gennemgangen og analysen af resultater i nærværende rapport være med til at give en faglig vurdering af udfordringer med anvendelse af terrænnære grund- vandsdata på landsdækkende skala, samt forslag til undersøgelser, der kan iværksættes med</w:t>
      </w:r>
      <w:r>
        <w:rPr>
          <w:spacing w:val="-9"/>
        </w:rPr>
        <w:t> </w:t>
      </w:r>
      <w:r>
        <w:rPr/>
        <w:t>henblik</w:t>
      </w:r>
      <w:r>
        <w:rPr>
          <w:spacing w:val="-7"/>
        </w:rPr>
        <w:t> </w:t>
      </w:r>
      <w:r>
        <w:rPr/>
        <w:t>på</w:t>
      </w:r>
      <w:r>
        <w:rPr>
          <w:spacing w:val="-8"/>
        </w:rPr>
        <w:t> </w:t>
      </w:r>
      <w:r>
        <w:rPr/>
        <w:t>yderligere</w:t>
      </w:r>
      <w:r>
        <w:rPr>
          <w:spacing w:val="-9"/>
        </w:rPr>
        <w:t> </w:t>
      </w:r>
      <w:r>
        <w:rPr/>
        <w:t>forbedring</w:t>
      </w:r>
      <w:r>
        <w:rPr>
          <w:spacing w:val="-8"/>
        </w:rPr>
        <w:t> </w:t>
      </w:r>
      <w:r>
        <w:rPr/>
        <w:t>af</w:t>
      </w:r>
      <w:r>
        <w:rPr>
          <w:spacing w:val="-8"/>
        </w:rPr>
        <w:t> </w:t>
      </w:r>
      <w:r>
        <w:rPr/>
        <w:t>nøjagtighed</w:t>
      </w:r>
      <w:r>
        <w:rPr>
          <w:spacing w:val="-8"/>
        </w:rPr>
        <w:t> </w:t>
      </w:r>
      <w:r>
        <w:rPr/>
        <w:t>for</w:t>
      </w:r>
      <w:r>
        <w:rPr>
          <w:spacing w:val="-10"/>
        </w:rPr>
        <w:t> </w:t>
      </w:r>
      <w:r>
        <w:rPr/>
        <w:t>såvel</w:t>
      </w:r>
      <w:r>
        <w:rPr>
          <w:spacing w:val="-7"/>
        </w:rPr>
        <w:t> </w:t>
      </w:r>
      <w:r>
        <w:rPr/>
        <w:t>pejleobservationer</w:t>
      </w:r>
      <w:r>
        <w:rPr>
          <w:spacing w:val="-10"/>
        </w:rPr>
        <w:t> </w:t>
      </w:r>
      <w:r>
        <w:rPr/>
        <w:t>som</w:t>
      </w:r>
      <w:r>
        <w:rPr>
          <w:spacing w:val="-9"/>
        </w:rPr>
        <w:t> </w:t>
      </w:r>
      <w:r>
        <w:rPr/>
        <w:t>model- leret terrænnært</w:t>
      </w:r>
      <w:r>
        <w:rPr>
          <w:spacing w:val="-6"/>
        </w:rPr>
        <w:t> </w:t>
      </w:r>
      <w:r>
        <w:rPr/>
        <w:t>grundvand.</w:t>
      </w:r>
    </w:p>
    <w:p>
      <w:pPr>
        <w:spacing w:after="0" w:line="276" w:lineRule="auto"/>
        <w:jc w:val="both"/>
        <w:sectPr>
          <w:pgSz w:w="11910" w:h="16850"/>
          <w:pgMar w:header="0" w:footer="857" w:top="1340" w:bottom="1120" w:left="1460" w:right="680"/>
        </w:sectPr>
      </w:pPr>
    </w:p>
    <w:p>
      <w:pPr>
        <w:pStyle w:val="BodyText"/>
        <w:spacing w:line="276" w:lineRule="auto" w:before="75"/>
        <w:ind w:left="525" w:right="729"/>
        <w:jc w:val="both"/>
      </w:pPr>
      <w:r>
        <w:rPr/>
        <w:t>Forslaget</w:t>
      </w:r>
      <w:r>
        <w:rPr>
          <w:spacing w:val="-10"/>
        </w:rPr>
        <w:t> </w:t>
      </w:r>
      <w:r>
        <w:rPr/>
        <w:t>om</w:t>
      </w:r>
      <w:r>
        <w:rPr>
          <w:spacing w:val="-7"/>
        </w:rPr>
        <w:t> </w:t>
      </w:r>
      <w:r>
        <w:rPr/>
        <w:t>at</w:t>
      </w:r>
      <w:r>
        <w:rPr>
          <w:spacing w:val="-10"/>
        </w:rPr>
        <w:t> </w:t>
      </w:r>
      <w:r>
        <w:rPr/>
        <w:t>inddrage</w:t>
      </w:r>
      <w:r>
        <w:rPr>
          <w:spacing w:val="-9"/>
        </w:rPr>
        <w:t> </w:t>
      </w:r>
      <w:r>
        <w:rPr/>
        <w:t>alternative</w:t>
      </w:r>
      <w:r>
        <w:rPr>
          <w:spacing w:val="-8"/>
        </w:rPr>
        <w:t> </w:t>
      </w:r>
      <w:r>
        <w:rPr/>
        <w:t>data</w:t>
      </w:r>
      <w:r>
        <w:rPr>
          <w:spacing w:val="-9"/>
        </w:rPr>
        <w:t> </w:t>
      </w:r>
      <w:r>
        <w:rPr/>
        <w:t>til</w:t>
      </w:r>
      <w:r>
        <w:rPr>
          <w:spacing w:val="-8"/>
        </w:rPr>
        <w:t> </w:t>
      </w:r>
      <w:r>
        <w:rPr/>
        <w:t>validering</w:t>
      </w:r>
      <w:r>
        <w:rPr>
          <w:spacing w:val="-9"/>
        </w:rPr>
        <w:t> </w:t>
      </w:r>
      <w:r>
        <w:rPr/>
        <w:t>af</w:t>
      </w:r>
      <w:r>
        <w:rPr>
          <w:spacing w:val="-8"/>
        </w:rPr>
        <w:t> </w:t>
      </w:r>
      <w:r>
        <w:rPr/>
        <w:t>simulerede</w:t>
      </w:r>
      <w:r>
        <w:rPr>
          <w:spacing w:val="-9"/>
        </w:rPr>
        <w:t> </w:t>
      </w:r>
      <w:r>
        <w:rPr/>
        <w:t>’vandstande</w:t>
      </w:r>
      <w:r>
        <w:rPr>
          <w:spacing w:val="-4"/>
        </w:rPr>
        <w:t> </w:t>
      </w:r>
      <w:r>
        <w:rPr/>
        <w:t>på</w:t>
      </w:r>
      <w:r>
        <w:rPr>
          <w:spacing w:val="-8"/>
        </w:rPr>
        <w:t> </w:t>
      </w:r>
      <w:r>
        <w:rPr/>
        <w:t>overfla- den’</w:t>
      </w:r>
      <w:r>
        <w:rPr>
          <w:spacing w:val="-4"/>
        </w:rPr>
        <w:t> </w:t>
      </w:r>
      <w:r>
        <w:rPr/>
        <w:t>tages</w:t>
      </w:r>
      <w:r>
        <w:rPr>
          <w:spacing w:val="-5"/>
        </w:rPr>
        <w:t> </w:t>
      </w:r>
      <w:r>
        <w:rPr/>
        <w:t>til</w:t>
      </w:r>
      <w:r>
        <w:rPr>
          <w:spacing w:val="-6"/>
        </w:rPr>
        <w:t> </w:t>
      </w:r>
      <w:r>
        <w:rPr/>
        <w:t>efterretning</w:t>
      </w:r>
      <w:r>
        <w:rPr>
          <w:spacing w:val="-4"/>
        </w:rPr>
        <w:t> </w:t>
      </w:r>
      <w:r>
        <w:rPr/>
        <w:t>(DHM,</w:t>
      </w:r>
      <w:r>
        <w:rPr>
          <w:spacing w:val="-6"/>
        </w:rPr>
        <w:t> </w:t>
      </w:r>
      <w:r>
        <w:rPr/>
        <w:t>droner</w:t>
      </w:r>
      <w:r>
        <w:rPr>
          <w:spacing w:val="-8"/>
        </w:rPr>
        <w:t> </w:t>
      </w:r>
      <w:r>
        <w:rPr/>
        <w:t>mm).</w:t>
      </w:r>
      <w:r>
        <w:rPr>
          <w:spacing w:val="-6"/>
        </w:rPr>
        <w:t> </w:t>
      </w:r>
      <w:r>
        <w:rPr/>
        <w:t>Det</w:t>
      </w:r>
      <w:r>
        <w:rPr>
          <w:spacing w:val="-6"/>
        </w:rPr>
        <w:t> </w:t>
      </w:r>
      <w:r>
        <w:rPr/>
        <w:t>har</w:t>
      </w:r>
      <w:r>
        <w:rPr>
          <w:spacing w:val="-5"/>
        </w:rPr>
        <w:t> </w:t>
      </w:r>
      <w:r>
        <w:rPr/>
        <w:t>ikke</w:t>
      </w:r>
      <w:r>
        <w:rPr>
          <w:spacing w:val="-5"/>
        </w:rPr>
        <w:t> </w:t>
      </w:r>
      <w:r>
        <w:rPr/>
        <w:t>været</w:t>
      </w:r>
      <w:r>
        <w:rPr>
          <w:spacing w:val="-7"/>
        </w:rPr>
        <w:t> </w:t>
      </w:r>
      <w:r>
        <w:rPr/>
        <w:t>muligt</w:t>
      </w:r>
      <w:r>
        <w:rPr>
          <w:spacing w:val="-6"/>
        </w:rPr>
        <w:t> </w:t>
      </w:r>
      <w:r>
        <w:rPr/>
        <w:t>at</w:t>
      </w:r>
      <w:r>
        <w:rPr>
          <w:spacing w:val="-8"/>
        </w:rPr>
        <w:t> </w:t>
      </w:r>
      <w:r>
        <w:rPr/>
        <w:t>kigge</w:t>
      </w:r>
      <w:r>
        <w:rPr>
          <w:spacing w:val="-5"/>
        </w:rPr>
        <w:t> </w:t>
      </w:r>
      <w:r>
        <w:rPr/>
        <w:t>nærmere</w:t>
      </w:r>
      <w:r>
        <w:rPr>
          <w:spacing w:val="-7"/>
        </w:rPr>
        <w:t> </w:t>
      </w:r>
      <w:r>
        <w:rPr/>
        <w:t>på og andre metoder (herunder Droner), da projektet har haft fokus på eksisterende data som allerede</w:t>
      </w:r>
      <w:r>
        <w:rPr>
          <w:spacing w:val="-6"/>
        </w:rPr>
        <w:t> </w:t>
      </w:r>
      <w:r>
        <w:rPr/>
        <w:t>findes.</w:t>
      </w:r>
      <w:r>
        <w:rPr>
          <w:spacing w:val="-5"/>
        </w:rPr>
        <w:t> </w:t>
      </w:r>
      <w:r>
        <w:rPr/>
        <w:t>Projektet</w:t>
      </w:r>
      <w:r>
        <w:rPr>
          <w:spacing w:val="-8"/>
        </w:rPr>
        <w:t> </w:t>
      </w:r>
      <w:r>
        <w:rPr/>
        <w:t>har</w:t>
      </w:r>
      <w:r>
        <w:rPr>
          <w:spacing w:val="-4"/>
        </w:rPr>
        <w:t> </w:t>
      </w:r>
      <w:r>
        <w:rPr/>
        <w:t>inddraget</w:t>
      </w:r>
      <w:r>
        <w:rPr>
          <w:spacing w:val="-5"/>
        </w:rPr>
        <w:t> </w:t>
      </w:r>
      <w:r>
        <w:rPr/>
        <w:t>satellitbaserede</w:t>
      </w:r>
      <w:r>
        <w:rPr>
          <w:spacing w:val="-4"/>
        </w:rPr>
        <w:t> </w:t>
      </w:r>
      <w:r>
        <w:rPr/>
        <w:t>remote</w:t>
      </w:r>
      <w:r>
        <w:rPr>
          <w:spacing w:val="-5"/>
        </w:rPr>
        <w:t> </w:t>
      </w:r>
      <w:r>
        <w:rPr/>
        <w:t>sensing</w:t>
      </w:r>
      <w:r>
        <w:rPr>
          <w:spacing w:val="-3"/>
        </w:rPr>
        <w:t> </w:t>
      </w:r>
      <w:r>
        <w:rPr/>
        <w:t>data</w:t>
      </w:r>
      <w:r>
        <w:rPr>
          <w:spacing w:val="-7"/>
        </w:rPr>
        <w:t> </w:t>
      </w:r>
      <w:r>
        <w:rPr/>
        <w:t>fra</w:t>
      </w:r>
      <w:r>
        <w:rPr>
          <w:spacing w:val="-5"/>
        </w:rPr>
        <w:t> </w:t>
      </w:r>
      <w:r>
        <w:rPr/>
        <w:t>DHI</w:t>
      </w:r>
      <w:r>
        <w:rPr>
          <w:spacing w:val="-6"/>
        </w:rPr>
        <w:t> </w:t>
      </w:r>
      <w:r>
        <w:rPr/>
        <w:t>GRAS, FOT kort over vådområder og fotos af oversvømmelser som vil blive anvendt med henblik på evaluering af simulerede vandstand i såvel vandløb og søer som udbredelse af vand på terræn. GEUS er helt enig i at datagrundlaget til kalibrering og validering af vandstande i vandløb</w:t>
      </w:r>
      <w:r>
        <w:rPr>
          <w:spacing w:val="-14"/>
        </w:rPr>
        <w:t> </w:t>
      </w:r>
      <w:r>
        <w:rPr/>
        <w:t>er</w:t>
      </w:r>
      <w:r>
        <w:rPr>
          <w:spacing w:val="-15"/>
        </w:rPr>
        <w:t> </w:t>
      </w:r>
      <w:r>
        <w:rPr/>
        <w:t>særdeles</w:t>
      </w:r>
      <w:r>
        <w:rPr>
          <w:spacing w:val="-14"/>
        </w:rPr>
        <w:t> </w:t>
      </w:r>
      <w:r>
        <w:rPr/>
        <w:t>sparsomt</w:t>
      </w:r>
      <w:r>
        <w:rPr>
          <w:spacing w:val="-15"/>
        </w:rPr>
        <w:t> </w:t>
      </w:r>
      <w:r>
        <w:rPr/>
        <w:t>og</w:t>
      </w:r>
      <w:r>
        <w:rPr>
          <w:spacing w:val="-14"/>
        </w:rPr>
        <w:t> </w:t>
      </w:r>
      <w:r>
        <w:rPr/>
        <w:t>begrænser</w:t>
      </w:r>
      <w:r>
        <w:rPr>
          <w:spacing w:val="-15"/>
        </w:rPr>
        <w:t> </w:t>
      </w:r>
      <w:r>
        <w:rPr/>
        <w:t>sig</w:t>
      </w:r>
      <w:r>
        <w:rPr>
          <w:spacing w:val="-14"/>
        </w:rPr>
        <w:t> </w:t>
      </w:r>
      <w:r>
        <w:rPr/>
        <w:t>til</w:t>
      </w:r>
      <w:r>
        <w:rPr>
          <w:spacing w:val="-13"/>
        </w:rPr>
        <w:t> </w:t>
      </w:r>
      <w:r>
        <w:rPr/>
        <w:t>en</w:t>
      </w:r>
      <w:r>
        <w:rPr>
          <w:spacing w:val="-14"/>
        </w:rPr>
        <w:t> </w:t>
      </w:r>
      <w:r>
        <w:rPr/>
        <w:t>håndfuld</w:t>
      </w:r>
      <w:r>
        <w:rPr>
          <w:spacing w:val="-14"/>
        </w:rPr>
        <w:t> </w:t>
      </w:r>
      <w:r>
        <w:rPr/>
        <w:t>vandløbssmålestationer</w:t>
      </w:r>
      <w:r>
        <w:rPr>
          <w:spacing w:val="-15"/>
        </w:rPr>
        <w:t> </w:t>
      </w:r>
      <w:r>
        <w:rPr/>
        <w:t>med kontinuert vandstandsregistrering i hvert af de to</w:t>
      </w:r>
      <w:r>
        <w:rPr>
          <w:spacing w:val="-9"/>
        </w:rPr>
        <w:t> </w:t>
      </w:r>
      <w:r>
        <w:rPr/>
        <w:t>oplande.</w:t>
      </w:r>
    </w:p>
    <w:p>
      <w:pPr>
        <w:pStyle w:val="BodyText"/>
        <w:spacing w:before="1"/>
        <w:rPr>
          <w:sz w:val="24"/>
        </w:rPr>
      </w:pPr>
    </w:p>
    <w:p>
      <w:pPr>
        <w:pStyle w:val="BodyText"/>
        <w:spacing w:line="276" w:lineRule="auto" w:before="1"/>
        <w:ind w:left="525" w:right="731"/>
        <w:jc w:val="both"/>
      </w:pPr>
      <w:r>
        <w:rPr/>
        <w:t>Endelig efterlyste panelet validering af simulerede oversvømmelser og modelleret udbre- delse af vand på terræn (da resultater heraf ikke forelå på review tidspunktet, men først er blevet genereret efter reviewet i forbindelse med realisering (kapitlet om visualisering, se nedenfor). GEUSs kommentarer er her som for kommentaren ovenfor, at GEUS er enig i vigtigheden af en sådan validering, hvor resultater af tre forskellige metoder til udbredelser af vand på terræn (nedskalering af dybde til terrænnært grundvand, udbredelse af vand på terræn baseret på COWI GIS tool hhv. fuld hydrodynamisk MIKE HYDRO River og eksternt vandstandsmodul</w:t>
      </w:r>
      <w:r>
        <w:rPr>
          <w:spacing w:val="-12"/>
        </w:rPr>
        <w:t> </w:t>
      </w:r>
      <w:r>
        <w:rPr/>
        <w:t>(HYMOD</w:t>
      </w:r>
      <w:r>
        <w:rPr>
          <w:spacing w:val="-11"/>
        </w:rPr>
        <w:t> </w:t>
      </w:r>
      <w:r>
        <w:rPr/>
        <w:t>stationær</w:t>
      </w:r>
      <w:r>
        <w:rPr>
          <w:spacing w:val="-16"/>
        </w:rPr>
        <w:t> </w:t>
      </w:r>
      <w:r>
        <w:rPr/>
        <w:t>model</w:t>
      </w:r>
      <w:r>
        <w:rPr>
          <w:spacing w:val="-11"/>
        </w:rPr>
        <w:t> </w:t>
      </w:r>
      <w:r>
        <w:rPr/>
        <w:t>baseret</w:t>
      </w:r>
      <w:r>
        <w:rPr>
          <w:spacing w:val="-16"/>
        </w:rPr>
        <w:t> </w:t>
      </w:r>
      <w:r>
        <w:rPr/>
        <w:t>på</w:t>
      </w:r>
      <w:r>
        <w:rPr>
          <w:spacing w:val="-13"/>
        </w:rPr>
        <w:t> </w:t>
      </w:r>
      <w:r>
        <w:rPr/>
        <w:t>python</w:t>
      </w:r>
      <w:r>
        <w:rPr>
          <w:spacing w:val="-12"/>
        </w:rPr>
        <w:t> </w:t>
      </w:r>
      <w:r>
        <w:rPr/>
        <w:t>script</w:t>
      </w:r>
      <w:r>
        <w:rPr>
          <w:spacing w:val="-13"/>
        </w:rPr>
        <w:t> </w:t>
      </w:r>
      <w:r>
        <w:rPr/>
        <w:t>leveret</w:t>
      </w:r>
      <w:r>
        <w:rPr>
          <w:spacing w:val="-15"/>
        </w:rPr>
        <w:t> </w:t>
      </w:r>
      <w:r>
        <w:rPr/>
        <w:t>af</w:t>
      </w:r>
      <w:r>
        <w:rPr>
          <w:spacing w:val="-11"/>
        </w:rPr>
        <w:t> </w:t>
      </w:r>
      <w:r>
        <w:rPr/>
        <w:t>Hydroinform) vil blive sammenlignet med foreliggende valideringsdata vedr. vand på terræn (DHI GRAS satellitdata, fotos, FOT vådområder, luftfotos/kort</w:t>
      </w:r>
      <w:r>
        <w:rPr>
          <w:spacing w:val="-11"/>
        </w:rPr>
        <w:t> </w:t>
      </w:r>
      <w:r>
        <w:rPr/>
        <w:t>mm.).</w:t>
      </w:r>
    </w:p>
    <w:p>
      <w:pPr>
        <w:spacing w:after="0" w:line="276" w:lineRule="auto"/>
        <w:jc w:val="both"/>
        <w:sectPr>
          <w:pgSz w:w="11910" w:h="16850"/>
          <w:pgMar w:header="0" w:footer="857" w:top="1340" w:bottom="1120" w:left="1460" w:right="680"/>
        </w:sectPr>
      </w:pPr>
    </w:p>
    <w:p>
      <w:pPr>
        <w:pStyle w:val="BodyText"/>
        <w:spacing w:before="4"/>
        <w:rPr>
          <w:rFonts w:ascii="Times New Roman"/>
          <w:sz w:val="17"/>
        </w:rPr>
      </w:pPr>
    </w:p>
    <w:p>
      <w:pPr>
        <w:spacing w:after="0"/>
        <w:rPr>
          <w:rFonts w:ascii="Times New Roman"/>
          <w:sz w:val="17"/>
        </w:rPr>
        <w:sectPr>
          <w:pgSz w:w="11910" w:h="16850"/>
          <w:pgMar w:header="0" w:footer="857" w:top="1600" w:bottom="1040" w:left="1460" w:right="680"/>
        </w:sectPr>
      </w:pPr>
    </w:p>
    <w:p>
      <w:pPr>
        <w:pStyle w:val="Heading1"/>
        <w:numPr>
          <w:ilvl w:val="0"/>
          <w:numId w:val="13"/>
        </w:numPr>
        <w:tabs>
          <w:tab w:pos="1091" w:val="left" w:leader="none"/>
          <w:tab w:pos="1092" w:val="left" w:leader="none"/>
        </w:tabs>
        <w:spacing w:line="240" w:lineRule="auto" w:before="73" w:after="0"/>
        <w:ind w:left="1091" w:right="0" w:hanging="566"/>
        <w:jc w:val="left"/>
      </w:pPr>
      <w:bookmarkStart w:name="_bookmark63" w:id="85"/>
      <w:bookmarkEnd w:id="85"/>
      <w:r>
        <w:rPr>
          <w:b w:val="0"/>
        </w:rPr>
      </w:r>
      <w:bookmarkStart w:name="_bookmark63" w:id="86"/>
      <w:bookmarkEnd w:id="86"/>
      <w:r>
        <w:rPr/>
        <w:t>Re</w:t>
      </w:r>
      <w:r>
        <w:rPr/>
        <w:t>sultater af kalibrering- og</w:t>
      </w:r>
      <w:r>
        <w:rPr>
          <w:spacing w:val="-4"/>
        </w:rPr>
        <w:t> </w:t>
      </w:r>
      <w:r>
        <w:rPr/>
        <w:t>validering</w:t>
      </w:r>
    </w:p>
    <w:p>
      <w:pPr>
        <w:pStyle w:val="BodyText"/>
        <w:spacing w:line="288" w:lineRule="auto" w:before="242"/>
        <w:ind w:left="525" w:right="729"/>
        <w:jc w:val="both"/>
      </w:pPr>
      <w:r>
        <w:rPr/>
        <w:t>I det følgende kapitel vil kalibrerings- og valideringsresultaterne for både vandføring og grundvandsstand blive præsenteret for tre modeller for hvert opland. De tre modeller er en 100 m model kalibreret mod vandføringsdata og pejleobservationer (hhv. alle data og kun Jupiter data) samt en 500 m model kalibreret mod vandføring og alle pejledata. For alle mo- deller er spinup-perioden 1990-1999, kalibreringsperioden er 2000-2008 og valideringsperi- oden 2009-2015. Kalibreringerne er foretaget med optimeringsværktøjet PEST (Watermark Numerical Computing, 2016), hvor Levenberg-Marquardt algoritmen er anvendt. Baseret på en sensitivitetsanalyse er 7-8 parametre for hydraulisk ledningsevne, lækage koefficient, dræntidskonstant og roddybde udvalgt til parameter estimering, se oversigt i </w:t>
      </w:r>
      <w:hyperlink w:history="true" w:anchor="_bookmark64">
        <w:r>
          <w:rPr/>
          <w:t>tabel 8</w:t>
        </w:r>
      </w:hyperlink>
      <w:r>
        <w:rPr/>
        <w:t>.</w:t>
      </w:r>
    </w:p>
    <w:p>
      <w:pPr>
        <w:pStyle w:val="BodyText"/>
        <w:spacing w:before="6"/>
        <w:rPr>
          <w:sz w:val="25"/>
        </w:rPr>
      </w:pPr>
    </w:p>
    <w:p>
      <w:pPr>
        <w:spacing w:before="0"/>
        <w:ind w:left="525" w:right="0" w:firstLine="0"/>
        <w:jc w:val="both"/>
        <w:rPr>
          <w:rFonts w:ascii="Calibri" w:hAnsi="Calibri"/>
          <w:i/>
          <w:sz w:val="18"/>
        </w:rPr>
      </w:pPr>
      <w:bookmarkStart w:name="_bookmark64" w:id="87"/>
      <w:bookmarkEnd w:id="87"/>
      <w:r>
        <w:rPr/>
      </w:r>
      <w:r>
        <w:rPr>
          <w:rFonts w:ascii="Calibri" w:hAnsi="Calibri"/>
          <w:i/>
          <w:color w:val="44536A"/>
          <w:sz w:val="18"/>
        </w:rPr>
        <w:t>Tabel 8 Oversigt over modelkalibreringer af de integrerede modeller for hhv. Storå og Odense Å.</w:t>
      </w:r>
    </w:p>
    <w:p>
      <w:pPr>
        <w:pStyle w:val="BodyText"/>
        <w:spacing w:before="4"/>
        <w:rPr>
          <w:rFonts w:ascii="Calibri"/>
          <w:i/>
          <w:sz w:val="16"/>
        </w:rPr>
      </w:pPr>
    </w:p>
    <w:tbl>
      <w:tblPr>
        <w:tblW w:w="0" w:type="auto"/>
        <w:jc w:val="left"/>
        <w:tblInd w:w="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41"/>
        <w:gridCol w:w="1278"/>
        <w:gridCol w:w="1417"/>
        <w:gridCol w:w="1137"/>
        <w:gridCol w:w="1276"/>
        <w:gridCol w:w="854"/>
        <w:gridCol w:w="709"/>
      </w:tblGrid>
      <w:tr>
        <w:trPr>
          <w:trHeight w:val="585" w:hRule="atLeast"/>
        </w:trPr>
        <w:tc>
          <w:tcPr>
            <w:tcW w:w="1841" w:type="dxa"/>
          </w:tcPr>
          <w:p>
            <w:pPr>
              <w:pStyle w:val="TableParagraph"/>
              <w:spacing w:before="1"/>
              <w:ind w:left="62"/>
              <w:jc w:val="left"/>
              <w:rPr>
                <w:rFonts w:ascii="Calibri"/>
                <w:b/>
                <w:sz w:val="20"/>
              </w:rPr>
            </w:pPr>
            <w:r>
              <w:rPr>
                <w:rFonts w:ascii="Calibri"/>
                <w:b/>
                <w:sz w:val="20"/>
              </w:rPr>
              <w:t>Eksisterende</w:t>
            </w:r>
          </w:p>
          <w:p>
            <w:pPr>
              <w:pStyle w:val="TableParagraph"/>
              <w:spacing w:before="49"/>
              <w:ind w:left="62"/>
              <w:jc w:val="left"/>
              <w:rPr>
                <w:rFonts w:ascii="Calibri"/>
                <w:b/>
                <w:sz w:val="20"/>
              </w:rPr>
            </w:pPr>
            <w:r>
              <w:rPr>
                <w:rFonts w:ascii="Calibri"/>
                <w:b/>
                <w:sz w:val="20"/>
              </w:rPr>
              <w:t>DK-model koncept</w:t>
            </w:r>
          </w:p>
        </w:tc>
        <w:tc>
          <w:tcPr>
            <w:tcW w:w="1278" w:type="dxa"/>
          </w:tcPr>
          <w:p>
            <w:pPr>
              <w:pStyle w:val="TableParagraph"/>
              <w:spacing w:before="1"/>
              <w:ind w:left="61"/>
              <w:jc w:val="left"/>
              <w:rPr>
                <w:rFonts w:ascii="Calibri"/>
                <w:b/>
                <w:sz w:val="20"/>
              </w:rPr>
            </w:pPr>
            <w:r>
              <w:rPr>
                <w:rFonts w:ascii="Calibri"/>
                <w:b/>
                <w:sz w:val="20"/>
              </w:rPr>
              <w:t>Fokus</w:t>
            </w:r>
          </w:p>
        </w:tc>
        <w:tc>
          <w:tcPr>
            <w:tcW w:w="1417" w:type="dxa"/>
          </w:tcPr>
          <w:p>
            <w:pPr>
              <w:pStyle w:val="TableParagraph"/>
              <w:spacing w:before="1"/>
              <w:ind w:left="61"/>
              <w:jc w:val="left"/>
              <w:rPr>
                <w:rFonts w:ascii="Calibri"/>
                <w:b/>
                <w:sz w:val="20"/>
              </w:rPr>
            </w:pPr>
            <w:r>
              <w:rPr>
                <w:rFonts w:ascii="Calibri"/>
                <w:b/>
                <w:sz w:val="20"/>
              </w:rPr>
              <w:t>Pejledata</w:t>
            </w:r>
          </w:p>
        </w:tc>
        <w:tc>
          <w:tcPr>
            <w:tcW w:w="1137" w:type="dxa"/>
          </w:tcPr>
          <w:p>
            <w:pPr>
              <w:pStyle w:val="TableParagraph"/>
              <w:spacing w:line="288" w:lineRule="auto"/>
              <w:ind w:left="226" w:right="94" w:hanging="111"/>
              <w:jc w:val="left"/>
              <w:rPr>
                <w:b/>
                <w:sz w:val="16"/>
              </w:rPr>
            </w:pPr>
            <w:r>
              <w:rPr>
                <w:b/>
                <w:sz w:val="16"/>
              </w:rPr>
              <w:t>Vandføring- stationer</w:t>
            </w:r>
          </w:p>
        </w:tc>
        <w:tc>
          <w:tcPr>
            <w:tcW w:w="1276" w:type="dxa"/>
          </w:tcPr>
          <w:p>
            <w:pPr>
              <w:pStyle w:val="TableParagraph"/>
              <w:spacing w:line="288" w:lineRule="auto"/>
              <w:ind w:left="409" w:right="82" w:hanging="312"/>
              <w:jc w:val="left"/>
              <w:rPr>
                <w:b/>
                <w:sz w:val="16"/>
              </w:rPr>
            </w:pPr>
            <w:r>
              <w:rPr>
                <w:b/>
                <w:sz w:val="16"/>
              </w:rPr>
              <w:t>Objektiv funk- tioner</w:t>
            </w:r>
          </w:p>
        </w:tc>
        <w:tc>
          <w:tcPr>
            <w:tcW w:w="854" w:type="dxa"/>
          </w:tcPr>
          <w:p>
            <w:pPr>
              <w:pStyle w:val="TableParagraph"/>
              <w:spacing w:line="180" w:lineRule="exact"/>
              <w:ind w:left="86" w:right="86"/>
              <w:rPr>
                <w:b/>
                <w:sz w:val="16"/>
              </w:rPr>
            </w:pPr>
            <w:r>
              <w:rPr>
                <w:b/>
                <w:sz w:val="16"/>
              </w:rPr>
              <w:t>run time</w:t>
            </w:r>
          </w:p>
        </w:tc>
        <w:tc>
          <w:tcPr>
            <w:tcW w:w="709" w:type="dxa"/>
          </w:tcPr>
          <w:p>
            <w:pPr>
              <w:pStyle w:val="TableParagraph"/>
              <w:spacing w:line="288" w:lineRule="auto"/>
              <w:ind w:left="178" w:right="43" w:hanging="120"/>
              <w:jc w:val="left"/>
              <w:rPr>
                <w:b/>
                <w:sz w:val="16"/>
              </w:rPr>
            </w:pPr>
            <w:r>
              <w:rPr>
                <w:b/>
                <w:sz w:val="16"/>
              </w:rPr>
              <w:t>Frie pa- ram.</w:t>
            </w:r>
          </w:p>
        </w:tc>
      </w:tr>
      <w:tr>
        <w:trPr>
          <w:trHeight w:val="352" w:hRule="atLeast"/>
        </w:trPr>
        <w:tc>
          <w:tcPr>
            <w:tcW w:w="1841" w:type="dxa"/>
          </w:tcPr>
          <w:p>
            <w:pPr>
              <w:pStyle w:val="TableParagraph"/>
              <w:spacing w:before="1"/>
              <w:ind w:left="62"/>
              <w:jc w:val="left"/>
              <w:rPr>
                <w:rFonts w:ascii="Calibri" w:hAnsi="Calibri"/>
                <w:b/>
                <w:sz w:val="20"/>
              </w:rPr>
            </w:pPr>
            <w:r>
              <w:rPr>
                <w:rFonts w:ascii="Calibri" w:hAnsi="Calibri"/>
                <w:b/>
                <w:sz w:val="20"/>
              </w:rPr>
              <w:t>Storå</w:t>
            </w:r>
          </w:p>
        </w:tc>
        <w:tc>
          <w:tcPr>
            <w:tcW w:w="1278" w:type="dxa"/>
          </w:tcPr>
          <w:p>
            <w:pPr>
              <w:pStyle w:val="TableParagraph"/>
              <w:jc w:val="left"/>
              <w:rPr>
                <w:rFonts w:ascii="Times New Roman"/>
                <w:sz w:val="20"/>
              </w:rPr>
            </w:pPr>
          </w:p>
        </w:tc>
        <w:tc>
          <w:tcPr>
            <w:tcW w:w="1417" w:type="dxa"/>
          </w:tcPr>
          <w:p>
            <w:pPr>
              <w:pStyle w:val="TableParagraph"/>
              <w:jc w:val="left"/>
              <w:rPr>
                <w:rFonts w:ascii="Times New Roman"/>
                <w:sz w:val="20"/>
              </w:rPr>
            </w:pPr>
          </w:p>
        </w:tc>
        <w:tc>
          <w:tcPr>
            <w:tcW w:w="1137" w:type="dxa"/>
          </w:tcPr>
          <w:p>
            <w:pPr>
              <w:pStyle w:val="TableParagraph"/>
              <w:jc w:val="left"/>
              <w:rPr>
                <w:rFonts w:ascii="Times New Roman"/>
                <w:sz w:val="20"/>
              </w:rPr>
            </w:pPr>
          </w:p>
        </w:tc>
        <w:tc>
          <w:tcPr>
            <w:tcW w:w="1276" w:type="dxa"/>
          </w:tcPr>
          <w:p>
            <w:pPr>
              <w:pStyle w:val="TableParagraph"/>
              <w:jc w:val="left"/>
              <w:rPr>
                <w:rFonts w:ascii="Times New Roman"/>
                <w:sz w:val="20"/>
              </w:rPr>
            </w:pPr>
          </w:p>
        </w:tc>
        <w:tc>
          <w:tcPr>
            <w:tcW w:w="854" w:type="dxa"/>
          </w:tcPr>
          <w:p>
            <w:pPr>
              <w:pStyle w:val="TableParagraph"/>
              <w:jc w:val="left"/>
              <w:rPr>
                <w:rFonts w:ascii="Times New Roman"/>
                <w:sz w:val="20"/>
              </w:rPr>
            </w:pPr>
          </w:p>
        </w:tc>
        <w:tc>
          <w:tcPr>
            <w:tcW w:w="709" w:type="dxa"/>
          </w:tcPr>
          <w:p>
            <w:pPr>
              <w:pStyle w:val="TableParagraph"/>
              <w:jc w:val="left"/>
              <w:rPr>
                <w:rFonts w:ascii="Times New Roman"/>
                <w:sz w:val="20"/>
              </w:rPr>
            </w:pPr>
          </w:p>
        </w:tc>
      </w:tr>
      <w:tr>
        <w:trPr>
          <w:trHeight w:val="585" w:hRule="atLeast"/>
        </w:trPr>
        <w:tc>
          <w:tcPr>
            <w:tcW w:w="1841" w:type="dxa"/>
          </w:tcPr>
          <w:p>
            <w:pPr>
              <w:pStyle w:val="TableParagraph"/>
              <w:spacing w:before="1"/>
              <w:ind w:left="62"/>
              <w:jc w:val="left"/>
              <w:rPr>
                <w:rFonts w:ascii="Calibri"/>
                <w:sz w:val="20"/>
              </w:rPr>
            </w:pPr>
            <w:r>
              <w:rPr>
                <w:rFonts w:ascii="Calibri"/>
                <w:sz w:val="20"/>
              </w:rPr>
              <w:t>100m Mike Hydro</w:t>
            </w:r>
          </w:p>
          <w:p>
            <w:pPr>
              <w:pStyle w:val="TableParagraph"/>
              <w:spacing w:before="49"/>
              <w:ind w:left="62"/>
              <w:jc w:val="left"/>
              <w:rPr>
                <w:rFonts w:ascii="Calibri"/>
                <w:i/>
                <w:sz w:val="18"/>
              </w:rPr>
            </w:pPr>
            <w:r>
              <w:rPr>
                <w:rFonts w:ascii="Calibri"/>
                <w:sz w:val="20"/>
              </w:rPr>
              <w:t>simple </w:t>
            </w:r>
            <w:r>
              <w:rPr>
                <w:rFonts w:ascii="Calibri"/>
                <w:i/>
                <w:color w:val="44536A"/>
                <w:sz w:val="18"/>
              </w:rPr>
              <w:t>routing</w:t>
            </w:r>
          </w:p>
        </w:tc>
        <w:tc>
          <w:tcPr>
            <w:tcW w:w="1278" w:type="dxa"/>
          </w:tcPr>
          <w:p>
            <w:pPr>
              <w:pStyle w:val="TableParagraph"/>
              <w:spacing w:before="1"/>
              <w:ind w:left="61"/>
              <w:jc w:val="left"/>
              <w:rPr>
                <w:rFonts w:ascii="Calibri" w:hAnsi="Calibri"/>
                <w:sz w:val="20"/>
              </w:rPr>
            </w:pPr>
            <w:r>
              <w:rPr>
                <w:rFonts w:ascii="Calibri" w:hAnsi="Calibri"/>
                <w:sz w:val="20"/>
              </w:rPr>
              <w:t>Terrænnært</w:t>
            </w:r>
          </w:p>
          <w:p>
            <w:pPr>
              <w:pStyle w:val="TableParagraph"/>
              <w:spacing w:before="49"/>
              <w:ind w:left="61"/>
              <w:jc w:val="left"/>
              <w:rPr>
                <w:rFonts w:ascii="Calibri"/>
                <w:sz w:val="20"/>
              </w:rPr>
            </w:pPr>
            <w:r>
              <w:rPr>
                <w:rFonts w:ascii="Calibri"/>
                <w:sz w:val="20"/>
              </w:rPr>
              <w:t>grundvand</w:t>
            </w:r>
          </w:p>
        </w:tc>
        <w:tc>
          <w:tcPr>
            <w:tcW w:w="1417" w:type="dxa"/>
          </w:tcPr>
          <w:p>
            <w:pPr>
              <w:pStyle w:val="TableParagraph"/>
              <w:spacing w:before="1"/>
              <w:ind w:left="61"/>
              <w:jc w:val="left"/>
              <w:rPr>
                <w:rFonts w:ascii="Calibri"/>
                <w:sz w:val="20"/>
              </w:rPr>
            </w:pPr>
            <w:r>
              <w:rPr>
                <w:rFonts w:ascii="Calibri"/>
                <w:sz w:val="20"/>
              </w:rPr>
              <w:t>Jupiter+Regio-</w:t>
            </w:r>
          </w:p>
          <w:p>
            <w:pPr>
              <w:pStyle w:val="TableParagraph"/>
              <w:spacing w:before="49"/>
              <w:ind w:left="61"/>
              <w:jc w:val="left"/>
              <w:rPr>
                <w:rFonts w:ascii="Calibri"/>
                <w:sz w:val="20"/>
              </w:rPr>
            </w:pPr>
            <w:r>
              <w:rPr>
                <w:rFonts w:ascii="Calibri"/>
                <w:sz w:val="20"/>
              </w:rPr>
              <w:t>ner</w:t>
            </w:r>
          </w:p>
        </w:tc>
        <w:tc>
          <w:tcPr>
            <w:tcW w:w="1137" w:type="dxa"/>
          </w:tcPr>
          <w:p>
            <w:pPr>
              <w:pStyle w:val="TableParagraph"/>
              <w:spacing w:line="183" w:lineRule="exact"/>
              <w:ind w:left="521"/>
              <w:jc w:val="left"/>
              <w:rPr>
                <w:sz w:val="16"/>
              </w:rPr>
            </w:pPr>
            <w:r>
              <w:rPr>
                <w:w w:val="100"/>
                <w:sz w:val="16"/>
              </w:rPr>
              <w:t>6</w:t>
            </w:r>
          </w:p>
        </w:tc>
        <w:tc>
          <w:tcPr>
            <w:tcW w:w="1276" w:type="dxa"/>
          </w:tcPr>
          <w:p>
            <w:pPr>
              <w:pStyle w:val="TableParagraph"/>
              <w:spacing w:line="288" w:lineRule="auto"/>
              <w:ind w:left="454" w:right="206" w:hanging="233"/>
              <w:jc w:val="left"/>
              <w:rPr>
                <w:sz w:val="16"/>
              </w:rPr>
            </w:pPr>
            <w:r>
              <w:rPr>
                <w:sz w:val="16"/>
              </w:rPr>
              <w:t>Discharge - head</w:t>
            </w:r>
          </w:p>
        </w:tc>
        <w:tc>
          <w:tcPr>
            <w:tcW w:w="854" w:type="dxa"/>
          </w:tcPr>
          <w:p>
            <w:pPr>
              <w:pStyle w:val="TableParagraph"/>
              <w:spacing w:line="183" w:lineRule="exact"/>
              <w:ind w:left="110"/>
              <w:jc w:val="left"/>
              <w:rPr>
                <w:sz w:val="16"/>
              </w:rPr>
            </w:pPr>
            <w:r>
              <w:rPr>
                <w:sz w:val="16"/>
              </w:rPr>
              <w:t>6.5 timer</w:t>
            </w:r>
          </w:p>
        </w:tc>
        <w:tc>
          <w:tcPr>
            <w:tcW w:w="709" w:type="dxa"/>
          </w:tcPr>
          <w:p>
            <w:pPr>
              <w:pStyle w:val="TableParagraph"/>
              <w:spacing w:line="183" w:lineRule="exact"/>
              <w:ind w:right="1"/>
              <w:rPr>
                <w:sz w:val="16"/>
              </w:rPr>
            </w:pPr>
            <w:r>
              <w:rPr>
                <w:w w:val="100"/>
                <w:sz w:val="16"/>
              </w:rPr>
              <w:t>8</w:t>
            </w:r>
          </w:p>
        </w:tc>
      </w:tr>
      <w:tr>
        <w:trPr>
          <w:trHeight w:val="585" w:hRule="atLeast"/>
        </w:trPr>
        <w:tc>
          <w:tcPr>
            <w:tcW w:w="1841" w:type="dxa"/>
          </w:tcPr>
          <w:p>
            <w:pPr>
              <w:pStyle w:val="TableParagraph"/>
              <w:spacing w:before="1"/>
              <w:ind w:left="62"/>
              <w:jc w:val="left"/>
              <w:rPr>
                <w:rFonts w:ascii="Calibri"/>
                <w:sz w:val="20"/>
              </w:rPr>
            </w:pPr>
            <w:r>
              <w:rPr>
                <w:rFonts w:ascii="Calibri"/>
                <w:sz w:val="20"/>
              </w:rPr>
              <w:t>100m Mike Hydro</w:t>
            </w:r>
          </w:p>
          <w:p>
            <w:pPr>
              <w:pStyle w:val="TableParagraph"/>
              <w:spacing w:before="49"/>
              <w:ind w:left="62"/>
              <w:jc w:val="left"/>
              <w:rPr>
                <w:rFonts w:ascii="Calibri"/>
                <w:i/>
                <w:sz w:val="18"/>
              </w:rPr>
            </w:pPr>
            <w:r>
              <w:rPr>
                <w:rFonts w:ascii="Calibri"/>
                <w:sz w:val="20"/>
              </w:rPr>
              <w:t>simple </w:t>
            </w:r>
            <w:r>
              <w:rPr>
                <w:rFonts w:ascii="Calibri"/>
                <w:i/>
                <w:color w:val="44536A"/>
                <w:sz w:val="18"/>
              </w:rPr>
              <w:t>routing</w:t>
            </w:r>
          </w:p>
        </w:tc>
        <w:tc>
          <w:tcPr>
            <w:tcW w:w="1278" w:type="dxa"/>
          </w:tcPr>
          <w:p>
            <w:pPr>
              <w:pStyle w:val="TableParagraph"/>
              <w:spacing w:before="1"/>
              <w:ind w:left="61"/>
              <w:jc w:val="left"/>
              <w:rPr>
                <w:rFonts w:ascii="Calibri" w:hAnsi="Calibri"/>
                <w:sz w:val="20"/>
              </w:rPr>
            </w:pPr>
            <w:r>
              <w:rPr>
                <w:rFonts w:ascii="Calibri" w:hAnsi="Calibri"/>
                <w:sz w:val="20"/>
              </w:rPr>
              <w:t>Terrænnært</w:t>
            </w:r>
          </w:p>
          <w:p>
            <w:pPr>
              <w:pStyle w:val="TableParagraph"/>
              <w:spacing w:before="49"/>
              <w:ind w:left="61"/>
              <w:jc w:val="left"/>
              <w:rPr>
                <w:rFonts w:ascii="Calibri"/>
                <w:sz w:val="20"/>
              </w:rPr>
            </w:pPr>
            <w:r>
              <w:rPr>
                <w:rFonts w:ascii="Calibri"/>
                <w:sz w:val="20"/>
              </w:rPr>
              <w:t>grundvand</w:t>
            </w:r>
          </w:p>
        </w:tc>
        <w:tc>
          <w:tcPr>
            <w:tcW w:w="1417" w:type="dxa"/>
          </w:tcPr>
          <w:p>
            <w:pPr>
              <w:pStyle w:val="TableParagraph"/>
              <w:spacing w:before="1"/>
              <w:ind w:left="61"/>
              <w:jc w:val="left"/>
              <w:rPr>
                <w:rFonts w:ascii="Calibri"/>
                <w:sz w:val="20"/>
              </w:rPr>
            </w:pPr>
            <w:r>
              <w:rPr>
                <w:rFonts w:ascii="Calibri"/>
                <w:sz w:val="20"/>
              </w:rPr>
              <w:t>Jupiter</w:t>
            </w:r>
          </w:p>
        </w:tc>
        <w:tc>
          <w:tcPr>
            <w:tcW w:w="1137" w:type="dxa"/>
          </w:tcPr>
          <w:p>
            <w:pPr>
              <w:pStyle w:val="TableParagraph"/>
              <w:spacing w:line="183" w:lineRule="exact"/>
              <w:ind w:left="521"/>
              <w:jc w:val="left"/>
              <w:rPr>
                <w:sz w:val="16"/>
              </w:rPr>
            </w:pPr>
            <w:r>
              <w:rPr>
                <w:w w:val="100"/>
                <w:sz w:val="16"/>
              </w:rPr>
              <w:t>6</w:t>
            </w:r>
          </w:p>
        </w:tc>
        <w:tc>
          <w:tcPr>
            <w:tcW w:w="1276" w:type="dxa"/>
          </w:tcPr>
          <w:p>
            <w:pPr>
              <w:pStyle w:val="TableParagraph"/>
              <w:spacing w:line="288" w:lineRule="auto"/>
              <w:ind w:left="454" w:right="206" w:hanging="233"/>
              <w:jc w:val="left"/>
              <w:rPr>
                <w:sz w:val="16"/>
              </w:rPr>
            </w:pPr>
            <w:r>
              <w:rPr>
                <w:sz w:val="16"/>
              </w:rPr>
              <w:t>Discharge - head</w:t>
            </w:r>
          </w:p>
        </w:tc>
        <w:tc>
          <w:tcPr>
            <w:tcW w:w="854" w:type="dxa"/>
          </w:tcPr>
          <w:p>
            <w:pPr>
              <w:pStyle w:val="TableParagraph"/>
              <w:spacing w:line="183" w:lineRule="exact"/>
              <w:ind w:left="110"/>
              <w:jc w:val="left"/>
              <w:rPr>
                <w:sz w:val="16"/>
              </w:rPr>
            </w:pPr>
            <w:r>
              <w:rPr>
                <w:sz w:val="16"/>
              </w:rPr>
              <w:t>6.5 timer</w:t>
            </w:r>
          </w:p>
        </w:tc>
        <w:tc>
          <w:tcPr>
            <w:tcW w:w="709" w:type="dxa"/>
          </w:tcPr>
          <w:p>
            <w:pPr>
              <w:pStyle w:val="TableParagraph"/>
              <w:spacing w:line="183" w:lineRule="exact"/>
              <w:ind w:right="1"/>
              <w:rPr>
                <w:sz w:val="16"/>
              </w:rPr>
            </w:pPr>
            <w:r>
              <w:rPr>
                <w:w w:val="100"/>
                <w:sz w:val="16"/>
              </w:rPr>
              <w:t>8</w:t>
            </w:r>
          </w:p>
        </w:tc>
      </w:tr>
      <w:tr>
        <w:trPr>
          <w:trHeight w:val="587" w:hRule="atLeast"/>
        </w:trPr>
        <w:tc>
          <w:tcPr>
            <w:tcW w:w="1841" w:type="dxa"/>
          </w:tcPr>
          <w:p>
            <w:pPr>
              <w:pStyle w:val="TableParagraph"/>
              <w:spacing w:before="3"/>
              <w:ind w:left="62"/>
              <w:jc w:val="left"/>
              <w:rPr>
                <w:rFonts w:ascii="Calibri"/>
                <w:sz w:val="20"/>
              </w:rPr>
            </w:pPr>
            <w:r>
              <w:rPr>
                <w:rFonts w:ascii="Calibri"/>
                <w:sz w:val="20"/>
              </w:rPr>
              <w:t>500m Mike Hydro</w:t>
            </w:r>
          </w:p>
          <w:p>
            <w:pPr>
              <w:pStyle w:val="TableParagraph"/>
              <w:spacing w:before="49"/>
              <w:ind w:left="62"/>
              <w:jc w:val="left"/>
              <w:rPr>
                <w:rFonts w:ascii="Calibri"/>
                <w:i/>
                <w:sz w:val="18"/>
              </w:rPr>
            </w:pPr>
            <w:r>
              <w:rPr>
                <w:rFonts w:ascii="Calibri"/>
                <w:sz w:val="20"/>
              </w:rPr>
              <w:t>simple </w:t>
            </w:r>
            <w:r>
              <w:rPr>
                <w:rFonts w:ascii="Calibri"/>
                <w:i/>
                <w:color w:val="44536A"/>
                <w:sz w:val="18"/>
              </w:rPr>
              <w:t>routing</w:t>
            </w:r>
          </w:p>
        </w:tc>
        <w:tc>
          <w:tcPr>
            <w:tcW w:w="1278" w:type="dxa"/>
          </w:tcPr>
          <w:p>
            <w:pPr>
              <w:pStyle w:val="TableParagraph"/>
              <w:spacing w:before="3"/>
              <w:ind w:left="61"/>
              <w:jc w:val="left"/>
              <w:rPr>
                <w:rFonts w:ascii="Calibri" w:hAnsi="Calibri"/>
                <w:sz w:val="20"/>
              </w:rPr>
            </w:pPr>
            <w:r>
              <w:rPr>
                <w:rFonts w:ascii="Calibri" w:hAnsi="Calibri"/>
                <w:sz w:val="20"/>
              </w:rPr>
              <w:t>Terrænnært</w:t>
            </w:r>
          </w:p>
          <w:p>
            <w:pPr>
              <w:pStyle w:val="TableParagraph"/>
              <w:spacing w:before="49"/>
              <w:ind w:left="61"/>
              <w:jc w:val="left"/>
              <w:rPr>
                <w:rFonts w:ascii="Calibri"/>
                <w:sz w:val="20"/>
              </w:rPr>
            </w:pPr>
            <w:r>
              <w:rPr>
                <w:rFonts w:ascii="Calibri"/>
                <w:sz w:val="20"/>
              </w:rPr>
              <w:t>grundvand</w:t>
            </w:r>
          </w:p>
        </w:tc>
        <w:tc>
          <w:tcPr>
            <w:tcW w:w="1417" w:type="dxa"/>
          </w:tcPr>
          <w:p>
            <w:pPr>
              <w:pStyle w:val="TableParagraph"/>
              <w:spacing w:before="3"/>
              <w:ind w:left="61"/>
              <w:jc w:val="left"/>
              <w:rPr>
                <w:rFonts w:ascii="Calibri"/>
                <w:sz w:val="20"/>
              </w:rPr>
            </w:pPr>
            <w:r>
              <w:rPr>
                <w:rFonts w:ascii="Calibri"/>
                <w:sz w:val="20"/>
              </w:rPr>
              <w:t>Jupiter+Regio-</w:t>
            </w:r>
          </w:p>
          <w:p>
            <w:pPr>
              <w:pStyle w:val="TableParagraph"/>
              <w:spacing w:before="49"/>
              <w:ind w:left="61"/>
              <w:jc w:val="left"/>
              <w:rPr>
                <w:rFonts w:ascii="Calibri"/>
                <w:sz w:val="20"/>
              </w:rPr>
            </w:pPr>
            <w:r>
              <w:rPr>
                <w:rFonts w:ascii="Calibri"/>
                <w:sz w:val="20"/>
              </w:rPr>
              <w:t>ner</w:t>
            </w:r>
          </w:p>
        </w:tc>
        <w:tc>
          <w:tcPr>
            <w:tcW w:w="1137" w:type="dxa"/>
          </w:tcPr>
          <w:p>
            <w:pPr>
              <w:pStyle w:val="TableParagraph"/>
              <w:spacing w:before="1"/>
              <w:ind w:left="521"/>
              <w:jc w:val="left"/>
              <w:rPr>
                <w:sz w:val="16"/>
              </w:rPr>
            </w:pPr>
            <w:r>
              <w:rPr>
                <w:w w:val="100"/>
                <w:sz w:val="16"/>
              </w:rPr>
              <w:t>6</w:t>
            </w:r>
          </w:p>
        </w:tc>
        <w:tc>
          <w:tcPr>
            <w:tcW w:w="1276" w:type="dxa"/>
          </w:tcPr>
          <w:p>
            <w:pPr>
              <w:pStyle w:val="TableParagraph"/>
              <w:spacing w:line="288" w:lineRule="auto" w:before="1"/>
              <w:ind w:left="454" w:right="206" w:hanging="233"/>
              <w:jc w:val="left"/>
              <w:rPr>
                <w:sz w:val="16"/>
              </w:rPr>
            </w:pPr>
            <w:r>
              <w:rPr>
                <w:sz w:val="16"/>
              </w:rPr>
              <w:t>Discharge - head</w:t>
            </w:r>
          </w:p>
        </w:tc>
        <w:tc>
          <w:tcPr>
            <w:tcW w:w="854" w:type="dxa"/>
          </w:tcPr>
          <w:p>
            <w:pPr>
              <w:pStyle w:val="TableParagraph"/>
              <w:spacing w:before="1"/>
              <w:ind w:left="85" w:right="86"/>
              <w:rPr>
                <w:sz w:val="16"/>
              </w:rPr>
            </w:pPr>
            <w:r>
              <w:rPr>
                <w:sz w:val="16"/>
              </w:rPr>
              <w:t>10 min</w:t>
            </w:r>
          </w:p>
        </w:tc>
        <w:tc>
          <w:tcPr>
            <w:tcW w:w="709" w:type="dxa"/>
          </w:tcPr>
          <w:p>
            <w:pPr>
              <w:pStyle w:val="TableParagraph"/>
              <w:spacing w:before="1"/>
              <w:ind w:right="1"/>
              <w:rPr>
                <w:sz w:val="16"/>
              </w:rPr>
            </w:pPr>
            <w:r>
              <w:rPr>
                <w:w w:val="100"/>
                <w:sz w:val="16"/>
              </w:rPr>
              <w:t>8</w:t>
            </w:r>
          </w:p>
        </w:tc>
      </w:tr>
      <w:tr>
        <w:trPr>
          <w:trHeight w:val="350" w:hRule="atLeast"/>
        </w:trPr>
        <w:tc>
          <w:tcPr>
            <w:tcW w:w="1841" w:type="dxa"/>
          </w:tcPr>
          <w:p>
            <w:pPr>
              <w:pStyle w:val="TableParagraph"/>
              <w:spacing w:before="1"/>
              <w:ind w:left="62"/>
              <w:jc w:val="left"/>
              <w:rPr>
                <w:rFonts w:ascii="Calibri" w:hAnsi="Calibri"/>
                <w:b/>
                <w:sz w:val="20"/>
              </w:rPr>
            </w:pPr>
            <w:r>
              <w:rPr>
                <w:rFonts w:ascii="Calibri" w:hAnsi="Calibri"/>
                <w:b/>
                <w:sz w:val="20"/>
              </w:rPr>
              <w:t>Odense Å</w:t>
            </w:r>
          </w:p>
        </w:tc>
        <w:tc>
          <w:tcPr>
            <w:tcW w:w="1278" w:type="dxa"/>
          </w:tcPr>
          <w:p>
            <w:pPr>
              <w:pStyle w:val="TableParagraph"/>
              <w:jc w:val="left"/>
              <w:rPr>
                <w:rFonts w:ascii="Times New Roman"/>
                <w:sz w:val="20"/>
              </w:rPr>
            </w:pPr>
          </w:p>
        </w:tc>
        <w:tc>
          <w:tcPr>
            <w:tcW w:w="1417" w:type="dxa"/>
          </w:tcPr>
          <w:p>
            <w:pPr>
              <w:pStyle w:val="TableParagraph"/>
              <w:jc w:val="left"/>
              <w:rPr>
                <w:rFonts w:ascii="Times New Roman"/>
                <w:sz w:val="20"/>
              </w:rPr>
            </w:pPr>
          </w:p>
        </w:tc>
        <w:tc>
          <w:tcPr>
            <w:tcW w:w="1137" w:type="dxa"/>
          </w:tcPr>
          <w:p>
            <w:pPr>
              <w:pStyle w:val="TableParagraph"/>
              <w:jc w:val="left"/>
              <w:rPr>
                <w:rFonts w:ascii="Times New Roman"/>
                <w:sz w:val="20"/>
              </w:rPr>
            </w:pPr>
          </w:p>
        </w:tc>
        <w:tc>
          <w:tcPr>
            <w:tcW w:w="1276" w:type="dxa"/>
          </w:tcPr>
          <w:p>
            <w:pPr>
              <w:pStyle w:val="TableParagraph"/>
              <w:jc w:val="left"/>
              <w:rPr>
                <w:rFonts w:ascii="Times New Roman"/>
                <w:sz w:val="20"/>
              </w:rPr>
            </w:pPr>
          </w:p>
        </w:tc>
        <w:tc>
          <w:tcPr>
            <w:tcW w:w="854" w:type="dxa"/>
          </w:tcPr>
          <w:p>
            <w:pPr>
              <w:pStyle w:val="TableParagraph"/>
              <w:jc w:val="left"/>
              <w:rPr>
                <w:rFonts w:ascii="Times New Roman"/>
                <w:sz w:val="20"/>
              </w:rPr>
            </w:pPr>
          </w:p>
        </w:tc>
        <w:tc>
          <w:tcPr>
            <w:tcW w:w="709" w:type="dxa"/>
          </w:tcPr>
          <w:p>
            <w:pPr>
              <w:pStyle w:val="TableParagraph"/>
              <w:jc w:val="left"/>
              <w:rPr>
                <w:rFonts w:ascii="Times New Roman"/>
                <w:sz w:val="20"/>
              </w:rPr>
            </w:pPr>
          </w:p>
        </w:tc>
      </w:tr>
      <w:tr>
        <w:trPr>
          <w:trHeight w:val="585" w:hRule="atLeast"/>
        </w:trPr>
        <w:tc>
          <w:tcPr>
            <w:tcW w:w="1841" w:type="dxa"/>
          </w:tcPr>
          <w:p>
            <w:pPr>
              <w:pStyle w:val="TableParagraph"/>
              <w:spacing w:before="1"/>
              <w:ind w:left="62"/>
              <w:jc w:val="left"/>
              <w:rPr>
                <w:rFonts w:ascii="Calibri"/>
                <w:sz w:val="20"/>
              </w:rPr>
            </w:pPr>
            <w:r>
              <w:rPr>
                <w:rFonts w:ascii="Calibri"/>
                <w:sz w:val="20"/>
              </w:rPr>
              <w:t>100m Mike Hydro</w:t>
            </w:r>
          </w:p>
          <w:p>
            <w:pPr>
              <w:pStyle w:val="TableParagraph"/>
              <w:spacing w:before="49"/>
              <w:ind w:left="62"/>
              <w:jc w:val="left"/>
              <w:rPr>
                <w:rFonts w:ascii="Calibri"/>
                <w:i/>
                <w:sz w:val="18"/>
              </w:rPr>
            </w:pPr>
            <w:r>
              <w:rPr>
                <w:rFonts w:ascii="Calibri"/>
                <w:sz w:val="20"/>
              </w:rPr>
              <w:t>simple </w:t>
            </w:r>
            <w:r>
              <w:rPr>
                <w:rFonts w:ascii="Calibri"/>
                <w:i/>
                <w:color w:val="44536A"/>
                <w:sz w:val="18"/>
              </w:rPr>
              <w:t>routing</w:t>
            </w:r>
          </w:p>
        </w:tc>
        <w:tc>
          <w:tcPr>
            <w:tcW w:w="1278" w:type="dxa"/>
          </w:tcPr>
          <w:p>
            <w:pPr>
              <w:pStyle w:val="TableParagraph"/>
              <w:spacing w:before="1"/>
              <w:ind w:left="61"/>
              <w:jc w:val="left"/>
              <w:rPr>
                <w:rFonts w:ascii="Calibri" w:hAnsi="Calibri"/>
                <w:sz w:val="20"/>
              </w:rPr>
            </w:pPr>
            <w:r>
              <w:rPr>
                <w:rFonts w:ascii="Calibri" w:hAnsi="Calibri"/>
                <w:sz w:val="20"/>
              </w:rPr>
              <w:t>Terrænnært</w:t>
            </w:r>
          </w:p>
          <w:p>
            <w:pPr>
              <w:pStyle w:val="TableParagraph"/>
              <w:spacing w:before="49"/>
              <w:ind w:left="61"/>
              <w:jc w:val="left"/>
              <w:rPr>
                <w:rFonts w:ascii="Calibri"/>
                <w:sz w:val="20"/>
              </w:rPr>
            </w:pPr>
            <w:r>
              <w:rPr>
                <w:rFonts w:ascii="Calibri"/>
                <w:sz w:val="20"/>
              </w:rPr>
              <w:t>grundvand</w:t>
            </w:r>
          </w:p>
        </w:tc>
        <w:tc>
          <w:tcPr>
            <w:tcW w:w="1417" w:type="dxa"/>
          </w:tcPr>
          <w:p>
            <w:pPr>
              <w:pStyle w:val="TableParagraph"/>
              <w:spacing w:before="1"/>
              <w:ind w:left="61"/>
              <w:jc w:val="left"/>
              <w:rPr>
                <w:rFonts w:ascii="Calibri"/>
                <w:sz w:val="20"/>
              </w:rPr>
            </w:pPr>
            <w:r>
              <w:rPr>
                <w:rFonts w:ascii="Calibri"/>
                <w:sz w:val="20"/>
              </w:rPr>
              <w:t>Jupiter+Regio-</w:t>
            </w:r>
          </w:p>
          <w:p>
            <w:pPr>
              <w:pStyle w:val="TableParagraph"/>
              <w:spacing w:before="49"/>
              <w:ind w:left="61"/>
              <w:jc w:val="left"/>
              <w:rPr>
                <w:rFonts w:ascii="Calibri"/>
                <w:sz w:val="20"/>
              </w:rPr>
            </w:pPr>
            <w:r>
              <w:rPr>
                <w:rFonts w:ascii="Calibri"/>
                <w:sz w:val="20"/>
              </w:rPr>
              <w:t>ner</w:t>
            </w:r>
          </w:p>
        </w:tc>
        <w:tc>
          <w:tcPr>
            <w:tcW w:w="1137" w:type="dxa"/>
          </w:tcPr>
          <w:p>
            <w:pPr>
              <w:pStyle w:val="TableParagraph"/>
              <w:spacing w:line="183" w:lineRule="exact"/>
              <w:ind w:left="521"/>
              <w:jc w:val="left"/>
              <w:rPr>
                <w:sz w:val="16"/>
              </w:rPr>
            </w:pPr>
            <w:r>
              <w:rPr>
                <w:w w:val="100"/>
                <w:sz w:val="16"/>
              </w:rPr>
              <w:t>9</w:t>
            </w:r>
          </w:p>
        </w:tc>
        <w:tc>
          <w:tcPr>
            <w:tcW w:w="1276" w:type="dxa"/>
          </w:tcPr>
          <w:p>
            <w:pPr>
              <w:pStyle w:val="TableParagraph"/>
              <w:spacing w:line="288" w:lineRule="auto"/>
              <w:ind w:left="454" w:right="206" w:hanging="233"/>
              <w:jc w:val="left"/>
              <w:rPr>
                <w:sz w:val="16"/>
              </w:rPr>
            </w:pPr>
            <w:r>
              <w:rPr>
                <w:sz w:val="16"/>
              </w:rPr>
              <w:t>Discharge - head</w:t>
            </w:r>
          </w:p>
        </w:tc>
        <w:tc>
          <w:tcPr>
            <w:tcW w:w="854" w:type="dxa"/>
          </w:tcPr>
          <w:p>
            <w:pPr>
              <w:pStyle w:val="TableParagraph"/>
              <w:spacing w:line="183" w:lineRule="exact"/>
              <w:ind w:left="110"/>
              <w:jc w:val="left"/>
              <w:rPr>
                <w:sz w:val="16"/>
              </w:rPr>
            </w:pPr>
            <w:r>
              <w:rPr>
                <w:sz w:val="16"/>
              </w:rPr>
              <w:t>7.5 timer</w:t>
            </w:r>
          </w:p>
        </w:tc>
        <w:tc>
          <w:tcPr>
            <w:tcW w:w="709" w:type="dxa"/>
          </w:tcPr>
          <w:p>
            <w:pPr>
              <w:pStyle w:val="TableParagraph"/>
              <w:spacing w:line="183" w:lineRule="exact"/>
              <w:ind w:right="1"/>
              <w:rPr>
                <w:sz w:val="16"/>
              </w:rPr>
            </w:pPr>
            <w:r>
              <w:rPr>
                <w:w w:val="100"/>
                <w:sz w:val="16"/>
              </w:rPr>
              <w:t>7</w:t>
            </w:r>
          </w:p>
        </w:tc>
      </w:tr>
      <w:tr>
        <w:trPr>
          <w:trHeight w:val="587" w:hRule="atLeast"/>
        </w:trPr>
        <w:tc>
          <w:tcPr>
            <w:tcW w:w="1841" w:type="dxa"/>
          </w:tcPr>
          <w:p>
            <w:pPr>
              <w:pStyle w:val="TableParagraph"/>
              <w:spacing w:before="3"/>
              <w:ind w:left="62"/>
              <w:jc w:val="left"/>
              <w:rPr>
                <w:rFonts w:ascii="Calibri"/>
                <w:sz w:val="20"/>
              </w:rPr>
            </w:pPr>
            <w:r>
              <w:rPr>
                <w:rFonts w:ascii="Calibri"/>
                <w:sz w:val="20"/>
              </w:rPr>
              <w:t>100m Mike Hydro</w:t>
            </w:r>
          </w:p>
          <w:p>
            <w:pPr>
              <w:pStyle w:val="TableParagraph"/>
              <w:spacing w:before="49"/>
              <w:ind w:left="62"/>
              <w:jc w:val="left"/>
              <w:rPr>
                <w:rFonts w:ascii="Calibri"/>
                <w:i/>
                <w:sz w:val="18"/>
              </w:rPr>
            </w:pPr>
            <w:r>
              <w:rPr>
                <w:rFonts w:ascii="Calibri"/>
                <w:sz w:val="20"/>
              </w:rPr>
              <w:t>simple </w:t>
            </w:r>
            <w:r>
              <w:rPr>
                <w:rFonts w:ascii="Calibri"/>
                <w:i/>
                <w:color w:val="44536A"/>
                <w:sz w:val="18"/>
              </w:rPr>
              <w:t>routing</w:t>
            </w:r>
          </w:p>
        </w:tc>
        <w:tc>
          <w:tcPr>
            <w:tcW w:w="1278" w:type="dxa"/>
          </w:tcPr>
          <w:p>
            <w:pPr>
              <w:pStyle w:val="TableParagraph"/>
              <w:spacing w:line="288" w:lineRule="auto" w:before="1"/>
              <w:ind w:left="61" w:right="333"/>
              <w:jc w:val="left"/>
              <w:rPr>
                <w:sz w:val="16"/>
              </w:rPr>
            </w:pPr>
            <w:r>
              <w:rPr>
                <w:sz w:val="16"/>
              </w:rPr>
              <w:t>Terrænnært grundvand</w:t>
            </w:r>
          </w:p>
        </w:tc>
        <w:tc>
          <w:tcPr>
            <w:tcW w:w="1417" w:type="dxa"/>
          </w:tcPr>
          <w:p>
            <w:pPr>
              <w:pStyle w:val="TableParagraph"/>
              <w:spacing w:before="3"/>
              <w:ind w:left="61"/>
              <w:jc w:val="left"/>
              <w:rPr>
                <w:rFonts w:ascii="Calibri"/>
                <w:sz w:val="20"/>
              </w:rPr>
            </w:pPr>
            <w:r>
              <w:rPr>
                <w:rFonts w:ascii="Calibri"/>
                <w:sz w:val="20"/>
              </w:rPr>
              <w:t>Jupiter</w:t>
            </w:r>
          </w:p>
        </w:tc>
        <w:tc>
          <w:tcPr>
            <w:tcW w:w="1137" w:type="dxa"/>
          </w:tcPr>
          <w:p>
            <w:pPr>
              <w:pStyle w:val="TableParagraph"/>
              <w:spacing w:before="1"/>
              <w:ind w:left="521"/>
              <w:jc w:val="left"/>
              <w:rPr>
                <w:sz w:val="16"/>
              </w:rPr>
            </w:pPr>
            <w:r>
              <w:rPr>
                <w:w w:val="100"/>
                <w:sz w:val="16"/>
              </w:rPr>
              <w:t>9</w:t>
            </w:r>
          </w:p>
        </w:tc>
        <w:tc>
          <w:tcPr>
            <w:tcW w:w="1276" w:type="dxa"/>
          </w:tcPr>
          <w:p>
            <w:pPr>
              <w:pStyle w:val="TableParagraph"/>
              <w:spacing w:line="288" w:lineRule="auto" w:before="1"/>
              <w:ind w:left="454" w:right="206" w:hanging="233"/>
              <w:jc w:val="left"/>
              <w:rPr>
                <w:sz w:val="16"/>
              </w:rPr>
            </w:pPr>
            <w:r>
              <w:rPr>
                <w:sz w:val="16"/>
              </w:rPr>
              <w:t>Discharge - head</w:t>
            </w:r>
          </w:p>
        </w:tc>
        <w:tc>
          <w:tcPr>
            <w:tcW w:w="854" w:type="dxa"/>
          </w:tcPr>
          <w:p>
            <w:pPr>
              <w:pStyle w:val="TableParagraph"/>
              <w:spacing w:before="1"/>
              <w:ind w:left="110"/>
              <w:jc w:val="left"/>
              <w:rPr>
                <w:sz w:val="16"/>
              </w:rPr>
            </w:pPr>
            <w:r>
              <w:rPr>
                <w:sz w:val="16"/>
              </w:rPr>
              <w:t>7.5 timer</w:t>
            </w:r>
          </w:p>
        </w:tc>
        <w:tc>
          <w:tcPr>
            <w:tcW w:w="709" w:type="dxa"/>
          </w:tcPr>
          <w:p>
            <w:pPr>
              <w:pStyle w:val="TableParagraph"/>
              <w:spacing w:before="1"/>
              <w:ind w:right="1"/>
              <w:rPr>
                <w:sz w:val="16"/>
              </w:rPr>
            </w:pPr>
            <w:r>
              <w:rPr>
                <w:w w:val="100"/>
                <w:sz w:val="16"/>
              </w:rPr>
              <w:t>7</w:t>
            </w:r>
          </w:p>
        </w:tc>
      </w:tr>
      <w:tr>
        <w:trPr>
          <w:trHeight w:val="585" w:hRule="atLeast"/>
        </w:trPr>
        <w:tc>
          <w:tcPr>
            <w:tcW w:w="1841" w:type="dxa"/>
          </w:tcPr>
          <w:p>
            <w:pPr>
              <w:pStyle w:val="TableParagraph"/>
              <w:spacing w:before="1"/>
              <w:ind w:left="62"/>
              <w:jc w:val="left"/>
              <w:rPr>
                <w:rFonts w:ascii="Calibri"/>
                <w:sz w:val="20"/>
              </w:rPr>
            </w:pPr>
            <w:r>
              <w:rPr>
                <w:rFonts w:ascii="Calibri"/>
                <w:sz w:val="20"/>
              </w:rPr>
              <w:t>500m Mike Hydro</w:t>
            </w:r>
          </w:p>
          <w:p>
            <w:pPr>
              <w:pStyle w:val="TableParagraph"/>
              <w:spacing w:before="49"/>
              <w:ind w:left="62"/>
              <w:jc w:val="left"/>
              <w:rPr>
                <w:rFonts w:ascii="Calibri"/>
                <w:i/>
                <w:sz w:val="18"/>
              </w:rPr>
            </w:pPr>
            <w:r>
              <w:rPr>
                <w:rFonts w:ascii="Calibri"/>
                <w:sz w:val="20"/>
              </w:rPr>
              <w:t>simple </w:t>
            </w:r>
            <w:r>
              <w:rPr>
                <w:rFonts w:ascii="Calibri"/>
                <w:i/>
                <w:color w:val="44536A"/>
                <w:sz w:val="18"/>
              </w:rPr>
              <w:t>routing</w:t>
            </w:r>
          </w:p>
        </w:tc>
        <w:tc>
          <w:tcPr>
            <w:tcW w:w="1278" w:type="dxa"/>
          </w:tcPr>
          <w:p>
            <w:pPr>
              <w:pStyle w:val="TableParagraph"/>
              <w:spacing w:line="288" w:lineRule="auto"/>
              <w:ind w:left="61" w:right="333"/>
              <w:jc w:val="left"/>
              <w:rPr>
                <w:sz w:val="16"/>
              </w:rPr>
            </w:pPr>
            <w:r>
              <w:rPr>
                <w:sz w:val="16"/>
              </w:rPr>
              <w:t>Terrænnært grundvand</w:t>
            </w:r>
          </w:p>
        </w:tc>
        <w:tc>
          <w:tcPr>
            <w:tcW w:w="1417" w:type="dxa"/>
          </w:tcPr>
          <w:p>
            <w:pPr>
              <w:pStyle w:val="TableParagraph"/>
              <w:spacing w:before="1"/>
              <w:ind w:left="61"/>
              <w:jc w:val="left"/>
              <w:rPr>
                <w:rFonts w:ascii="Calibri"/>
                <w:sz w:val="20"/>
              </w:rPr>
            </w:pPr>
            <w:r>
              <w:rPr>
                <w:rFonts w:ascii="Calibri"/>
                <w:sz w:val="20"/>
              </w:rPr>
              <w:t>Jupiter+Regio-</w:t>
            </w:r>
          </w:p>
          <w:p>
            <w:pPr>
              <w:pStyle w:val="TableParagraph"/>
              <w:spacing w:before="49"/>
              <w:ind w:left="61"/>
              <w:jc w:val="left"/>
              <w:rPr>
                <w:rFonts w:ascii="Calibri"/>
                <w:sz w:val="20"/>
              </w:rPr>
            </w:pPr>
            <w:r>
              <w:rPr>
                <w:rFonts w:ascii="Calibri"/>
                <w:sz w:val="20"/>
              </w:rPr>
              <w:t>ner</w:t>
            </w:r>
          </w:p>
        </w:tc>
        <w:tc>
          <w:tcPr>
            <w:tcW w:w="1137" w:type="dxa"/>
          </w:tcPr>
          <w:p>
            <w:pPr>
              <w:pStyle w:val="TableParagraph"/>
              <w:spacing w:line="183" w:lineRule="exact"/>
              <w:ind w:left="521"/>
              <w:jc w:val="left"/>
              <w:rPr>
                <w:sz w:val="16"/>
              </w:rPr>
            </w:pPr>
            <w:r>
              <w:rPr>
                <w:w w:val="100"/>
                <w:sz w:val="16"/>
              </w:rPr>
              <w:t>9</w:t>
            </w:r>
          </w:p>
        </w:tc>
        <w:tc>
          <w:tcPr>
            <w:tcW w:w="1276" w:type="dxa"/>
          </w:tcPr>
          <w:p>
            <w:pPr>
              <w:pStyle w:val="TableParagraph"/>
              <w:spacing w:line="288" w:lineRule="auto"/>
              <w:ind w:left="454" w:right="206" w:hanging="233"/>
              <w:jc w:val="left"/>
              <w:rPr>
                <w:sz w:val="16"/>
              </w:rPr>
            </w:pPr>
            <w:r>
              <w:rPr>
                <w:sz w:val="16"/>
              </w:rPr>
              <w:t>Discharge - head</w:t>
            </w:r>
          </w:p>
        </w:tc>
        <w:tc>
          <w:tcPr>
            <w:tcW w:w="854" w:type="dxa"/>
          </w:tcPr>
          <w:p>
            <w:pPr>
              <w:pStyle w:val="TableParagraph"/>
              <w:spacing w:line="183" w:lineRule="exact"/>
              <w:ind w:left="85" w:right="86"/>
              <w:rPr>
                <w:sz w:val="16"/>
              </w:rPr>
            </w:pPr>
            <w:r>
              <w:rPr>
                <w:sz w:val="16"/>
              </w:rPr>
              <w:t>10 min</w:t>
            </w:r>
          </w:p>
        </w:tc>
        <w:tc>
          <w:tcPr>
            <w:tcW w:w="709" w:type="dxa"/>
          </w:tcPr>
          <w:p>
            <w:pPr>
              <w:pStyle w:val="TableParagraph"/>
              <w:spacing w:line="183" w:lineRule="exact"/>
              <w:ind w:right="1"/>
              <w:rPr>
                <w:sz w:val="16"/>
              </w:rPr>
            </w:pPr>
            <w:r>
              <w:rPr>
                <w:w w:val="100"/>
                <w:sz w:val="16"/>
              </w:rPr>
              <w:t>7</w:t>
            </w:r>
          </w:p>
        </w:tc>
      </w:tr>
    </w:tbl>
    <w:p>
      <w:pPr>
        <w:pStyle w:val="BodyText"/>
        <w:spacing w:before="6"/>
        <w:rPr>
          <w:rFonts w:ascii="Calibri"/>
          <w:i/>
          <w:sz w:val="23"/>
        </w:rPr>
      </w:pPr>
    </w:p>
    <w:p>
      <w:pPr>
        <w:pStyle w:val="Heading2"/>
        <w:numPr>
          <w:ilvl w:val="1"/>
          <w:numId w:val="14"/>
        </w:numPr>
        <w:tabs>
          <w:tab w:pos="1142" w:val="left" w:leader="none"/>
        </w:tabs>
        <w:spacing w:line="240" w:lineRule="auto" w:before="0" w:after="0"/>
        <w:ind w:left="1142" w:right="0" w:hanging="617"/>
        <w:jc w:val="both"/>
      </w:pPr>
      <w:bookmarkStart w:name="_bookmark65" w:id="88"/>
      <w:bookmarkEnd w:id="88"/>
      <w:r>
        <w:rPr>
          <w:b w:val="0"/>
        </w:rPr>
      </w:r>
      <w:bookmarkStart w:name="_bookmark65" w:id="89"/>
      <w:bookmarkEnd w:id="89"/>
      <w:r>
        <w:rPr/>
        <w:t>R</w:t>
      </w:r>
      <w:r>
        <w:rPr/>
        <w:t>esultater af MIKE SHE kalibrering og validering,</w:t>
      </w:r>
      <w:r>
        <w:rPr>
          <w:spacing w:val="-12"/>
        </w:rPr>
        <w:t> </w:t>
      </w:r>
      <w:r>
        <w:rPr/>
        <w:t>Storå</w:t>
      </w:r>
    </w:p>
    <w:p>
      <w:pPr>
        <w:pStyle w:val="BodyText"/>
        <w:spacing w:before="240"/>
        <w:ind w:left="525"/>
        <w:jc w:val="both"/>
      </w:pPr>
      <w:r>
        <w:rPr/>
        <w:t>Føjende afsnit beskriver optimerede parameterværdier, vandføring samt trykniveau.</w:t>
      </w:r>
    </w:p>
    <w:p>
      <w:pPr>
        <w:pStyle w:val="BodyText"/>
        <w:spacing w:before="6"/>
        <w:rPr>
          <w:sz w:val="29"/>
        </w:rPr>
      </w:pPr>
    </w:p>
    <w:p>
      <w:pPr>
        <w:pStyle w:val="Heading5"/>
        <w:jc w:val="both"/>
        <w:rPr>
          <w:i/>
        </w:rPr>
      </w:pPr>
      <w:r>
        <w:rPr>
          <w:i/>
        </w:rPr>
        <w:t>Optimerede parameterværdier</w:t>
      </w:r>
    </w:p>
    <w:p>
      <w:pPr>
        <w:pStyle w:val="BodyText"/>
        <w:spacing w:line="288" w:lineRule="auto" w:before="47"/>
        <w:ind w:left="525" w:right="731"/>
        <w:jc w:val="both"/>
      </w:pPr>
      <w:r>
        <w:rPr/>
        <w:t>Otte parametre er udvalgt til kalibrering baseret på en sensitivitetsanalyse. Under kalibrerin- gen er en række parametre bundet til de frie parametre, f.eks. er vertikale hydrauliske led- ningsevner</w:t>
      </w:r>
      <w:r>
        <w:rPr>
          <w:spacing w:val="-5"/>
        </w:rPr>
        <w:t> </w:t>
      </w:r>
      <w:r>
        <w:rPr/>
        <w:t>bundet</w:t>
      </w:r>
      <w:r>
        <w:rPr>
          <w:spacing w:val="-5"/>
        </w:rPr>
        <w:t> </w:t>
      </w:r>
      <w:r>
        <w:rPr/>
        <w:t>til</w:t>
      </w:r>
      <w:r>
        <w:rPr>
          <w:spacing w:val="-4"/>
        </w:rPr>
        <w:t> </w:t>
      </w:r>
      <w:r>
        <w:rPr/>
        <w:t>horisontale</w:t>
      </w:r>
      <w:r>
        <w:rPr>
          <w:spacing w:val="-3"/>
        </w:rPr>
        <w:t> </w:t>
      </w:r>
      <w:r>
        <w:rPr/>
        <w:t>ledningsevner</w:t>
      </w:r>
      <w:r>
        <w:rPr>
          <w:spacing w:val="-5"/>
        </w:rPr>
        <w:t> </w:t>
      </w:r>
      <w:r>
        <w:rPr/>
        <w:t>og</w:t>
      </w:r>
      <w:r>
        <w:rPr>
          <w:spacing w:val="-3"/>
        </w:rPr>
        <w:t> </w:t>
      </w:r>
      <w:r>
        <w:rPr/>
        <w:t>roddybden</w:t>
      </w:r>
      <w:r>
        <w:rPr>
          <w:spacing w:val="-5"/>
        </w:rPr>
        <w:t> </w:t>
      </w:r>
      <w:r>
        <w:rPr/>
        <w:t>for</w:t>
      </w:r>
      <w:r>
        <w:rPr>
          <w:spacing w:val="-8"/>
        </w:rPr>
        <w:t> </w:t>
      </w:r>
      <w:r>
        <w:rPr/>
        <w:t>forskellige</w:t>
      </w:r>
      <w:r>
        <w:rPr>
          <w:spacing w:val="-4"/>
        </w:rPr>
        <w:t> </w:t>
      </w:r>
      <w:r>
        <w:rPr/>
        <w:t>afgrøde-</w:t>
      </w:r>
      <w:r>
        <w:rPr>
          <w:spacing w:val="-5"/>
        </w:rPr>
        <w:t> </w:t>
      </w:r>
      <w:r>
        <w:rPr/>
        <w:t>og</w:t>
      </w:r>
      <w:r>
        <w:rPr>
          <w:spacing w:val="-4"/>
        </w:rPr>
        <w:t> </w:t>
      </w:r>
      <w:r>
        <w:rPr/>
        <w:t>ve- getations-typer er bundet til en enkelt afgrøde (Vinterhvede på JB1-jorde). Kalibreringspa- rametrene består af hydrauliske ledningsevner for seks geologiske enheder, dræn tidskon- stanten samt roddybden. De seks hydrauliske ledningsevner er hovedsageligt styrende for de</w:t>
      </w:r>
      <w:r>
        <w:rPr>
          <w:spacing w:val="-12"/>
        </w:rPr>
        <w:t> </w:t>
      </w:r>
      <w:r>
        <w:rPr/>
        <w:t>simulerede</w:t>
      </w:r>
      <w:r>
        <w:rPr>
          <w:spacing w:val="-12"/>
        </w:rPr>
        <w:t> </w:t>
      </w:r>
      <w:r>
        <w:rPr/>
        <w:t>trykniveauer,</w:t>
      </w:r>
      <w:r>
        <w:rPr>
          <w:spacing w:val="-13"/>
        </w:rPr>
        <w:t> </w:t>
      </w:r>
      <w:r>
        <w:rPr/>
        <w:t>dræntidskonstanten</w:t>
      </w:r>
      <w:r>
        <w:rPr>
          <w:spacing w:val="-13"/>
        </w:rPr>
        <w:t> </w:t>
      </w:r>
      <w:r>
        <w:rPr/>
        <w:t>er</w:t>
      </w:r>
      <w:r>
        <w:rPr>
          <w:spacing w:val="-12"/>
        </w:rPr>
        <w:t> </w:t>
      </w:r>
      <w:r>
        <w:rPr/>
        <w:t>styrende</w:t>
      </w:r>
      <w:r>
        <w:rPr>
          <w:spacing w:val="-12"/>
        </w:rPr>
        <w:t> </w:t>
      </w:r>
      <w:r>
        <w:rPr/>
        <w:t>for</w:t>
      </w:r>
      <w:r>
        <w:rPr>
          <w:spacing w:val="-13"/>
        </w:rPr>
        <w:t> </w:t>
      </w:r>
      <w:r>
        <w:rPr/>
        <w:t>afstrømningsdynamikken</w:t>
      </w:r>
      <w:r>
        <w:rPr>
          <w:spacing w:val="-12"/>
        </w:rPr>
        <w:t> </w:t>
      </w:r>
      <w:r>
        <w:rPr/>
        <w:t>og roddybden</w:t>
      </w:r>
      <w:r>
        <w:rPr>
          <w:spacing w:val="-16"/>
        </w:rPr>
        <w:t> </w:t>
      </w:r>
      <w:r>
        <w:rPr/>
        <w:t>er</w:t>
      </w:r>
      <w:r>
        <w:rPr>
          <w:spacing w:val="-14"/>
        </w:rPr>
        <w:t> </w:t>
      </w:r>
      <w:r>
        <w:rPr/>
        <w:t>styrende</w:t>
      </w:r>
      <w:r>
        <w:rPr>
          <w:spacing w:val="-15"/>
        </w:rPr>
        <w:t> </w:t>
      </w:r>
      <w:r>
        <w:rPr/>
        <w:t>for</w:t>
      </w:r>
      <w:r>
        <w:rPr>
          <w:spacing w:val="-16"/>
        </w:rPr>
        <w:t> </w:t>
      </w:r>
      <w:r>
        <w:rPr/>
        <w:t>vandbalancen.</w:t>
      </w:r>
      <w:r>
        <w:rPr>
          <w:spacing w:val="-16"/>
        </w:rPr>
        <w:t> </w:t>
      </w:r>
      <w:r>
        <w:rPr/>
        <w:t>De</w:t>
      </w:r>
      <w:r>
        <w:rPr>
          <w:spacing w:val="-13"/>
        </w:rPr>
        <w:t> </w:t>
      </w:r>
      <w:r>
        <w:rPr/>
        <w:t>tre</w:t>
      </w:r>
      <w:r>
        <w:rPr>
          <w:spacing w:val="-17"/>
        </w:rPr>
        <w:t> </w:t>
      </w:r>
      <w:r>
        <w:rPr/>
        <w:t>modeller</w:t>
      </w:r>
      <w:r>
        <w:rPr>
          <w:spacing w:val="-14"/>
        </w:rPr>
        <w:t> </w:t>
      </w:r>
      <w:r>
        <w:rPr/>
        <w:t>er</w:t>
      </w:r>
      <w:r>
        <w:rPr>
          <w:spacing w:val="-14"/>
        </w:rPr>
        <w:t> </w:t>
      </w:r>
      <w:r>
        <w:rPr/>
        <w:t>ens</w:t>
      </w:r>
      <w:r>
        <w:rPr>
          <w:spacing w:val="-16"/>
        </w:rPr>
        <w:t> </w:t>
      </w:r>
      <w:r>
        <w:rPr/>
        <w:t>i</w:t>
      </w:r>
      <w:r>
        <w:rPr>
          <w:spacing w:val="-12"/>
        </w:rPr>
        <w:t> </w:t>
      </w:r>
      <w:r>
        <w:rPr/>
        <w:t>forhold</w:t>
      </w:r>
      <w:r>
        <w:rPr>
          <w:spacing w:val="-13"/>
        </w:rPr>
        <w:t> </w:t>
      </w:r>
      <w:r>
        <w:rPr/>
        <w:t>til</w:t>
      </w:r>
      <w:r>
        <w:rPr>
          <w:spacing w:val="-16"/>
        </w:rPr>
        <w:t> </w:t>
      </w:r>
      <w:r>
        <w:rPr/>
        <w:t>parameterisering, bortset</w:t>
      </w:r>
      <w:r>
        <w:rPr>
          <w:spacing w:val="24"/>
        </w:rPr>
        <w:t> </w:t>
      </w:r>
      <w:r>
        <w:rPr/>
        <w:t>fra</w:t>
      </w:r>
      <w:r>
        <w:rPr>
          <w:spacing w:val="24"/>
        </w:rPr>
        <w:t> </w:t>
      </w:r>
      <w:r>
        <w:rPr/>
        <w:t>at</w:t>
      </w:r>
      <w:r>
        <w:rPr>
          <w:spacing w:val="24"/>
        </w:rPr>
        <w:t> </w:t>
      </w:r>
      <w:r>
        <w:rPr/>
        <w:t>100</w:t>
      </w:r>
      <w:r>
        <w:rPr>
          <w:spacing w:val="25"/>
        </w:rPr>
        <w:t> </w:t>
      </w:r>
      <w:r>
        <w:rPr/>
        <w:t>m</w:t>
      </w:r>
      <w:r>
        <w:rPr>
          <w:spacing w:val="25"/>
        </w:rPr>
        <w:t> </w:t>
      </w:r>
      <w:r>
        <w:rPr/>
        <w:t>modellerne</w:t>
      </w:r>
      <w:r>
        <w:rPr>
          <w:spacing w:val="22"/>
        </w:rPr>
        <w:t> </w:t>
      </w:r>
      <w:r>
        <w:rPr/>
        <w:t>har</w:t>
      </w:r>
      <w:r>
        <w:rPr>
          <w:spacing w:val="26"/>
        </w:rPr>
        <w:t> </w:t>
      </w:r>
      <w:r>
        <w:rPr/>
        <w:t>en</w:t>
      </w:r>
      <w:r>
        <w:rPr>
          <w:spacing w:val="24"/>
        </w:rPr>
        <w:t> </w:t>
      </w:r>
      <w:r>
        <w:rPr/>
        <w:t>drændybde</w:t>
      </w:r>
      <w:r>
        <w:rPr>
          <w:spacing w:val="25"/>
        </w:rPr>
        <w:t> </w:t>
      </w:r>
      <w:r>
        <w:rPr/>
        <w:t>på</w:t>
      </w:r>
      <w:r>
        <w:rPr>
          <w:spacing w:val="26"/>
        </w:rPr>
        <w:t> </w:t>
      </w:r>
      <w:r>
        <w:rPr/>
        <w:t>1.0</w:t>
      </w:r>
      <w:r>
        <w:rPr>
          <w:spacing w:val="24"/>
        </w:rPr>
        <w:t> </w:t>
      </w:r>
      <w:r>
        <w:rPr/>
        <w:t>m</w:t>
      </w:r>
      <w:r>
        <w:rPr>
          <w:spacing w:val="27"/>
        </w:rPr>
        <w:t> </w:t>
      </w:r>
      <w:r>
        <w:rPr/>
        <w:t>og</w:t>
      </w:r>
      <w:r>
        <w:rPr>
          <w:spacing w:val="26"/>
        </w:rPr>
        <w:t> </w:t>
      </w:r>
      <w:r>
        <w:rPr/>
        <w:t>500</w:t>
      </w:r>
      <w:r>
        <w:rPr>
          <w:spacing w:val="23"/>
        </w:rPr>
        <w:t> </w:t>
      </w:r>
      <w:r>
        <w:rPr/>
        <w:t>m</w:t>
      </w:r>
      <w:r>
        <w:rPr>
          <w:spacing w:val="25"/>
        </w:rPr>
        <w:t> </w:t>
      </w:r>
      <w:r>
        <w:rPr/>
        <w:t>modellen</w:t>
      </w:r>
      <w:r>
        <w:rPr>
          <w:spacing w:val="26"/>
        </w:rPr>
        <w:t> </w:t>
      </w:r>
      <w:r>
        <w:rPr/>
        <w:t>har</w:t>
      </w:r>
      <w:r>
        <w:rPr>
          <w:spacing w:val="22"/>
        </w:rPr>
        <w:t> </w:t>
      </w:r>
      <w:r>
        <w:rPr/>
        <w:t>en</w:t>
      </w:r>
    </w:p>
    <w:p>
      <w:pPr>
        <w:spacing w:after="0" w:line="288" w:lineRule="auto"/>
        <w:jc w:val="both"/>
        <w:sectPr>
          <w:pgSz w:w="11910" w:h="16850"/>
          <w:pgMar w:header="0" w:footer="857" w:top="1340" w:bottom="1040" w:left="1460" w:right="680"/>
        </w:sectPr>
      </w:pPr>
    </w:p>
    <w:p>
      <w:pPr>
        <w:pStyle w:val="BodyText"/>
        <w:spacing w:line="288" w:lineRule="auto" w:before="75"/>
        <w:ind w:left="525" w:right="732"/>
        <w:jc w:val="both"/>
      </w:pPr>
      <w:r>
        <w:rPr/>
        <w:t>drændybde</w:t>
      </w:r>
      <w:r>
        <w:rPr>
          <w:spacing w:val="-16"/>
        </w:rPr>
        <w:t> </w:t>
      </w:r>
      <w:r>
        <w:rPr/>
        <w:t>på</w:t>
      </w:r>
      <w:r>
        <w:rPr>
          <w:spacing w:val="-15"/>
        </w:rPr>
        <w:t> </w:t>
      </w:r>
      <w:r>
        <w:rPr/>
        <w:t>0.5</w:t>
      </w:r>
      <w:r>
        <w:rPr>
          <w:spacing w:val="-17"/>
        </w:rPr>
        <w:t> </w:t>
      </w:r>
      <w:r>
        <w:rPr/>
        <w:t>m.</w:t>
      </w:r>
      <w:r>
        <w:rPr>
          <w:spacing w:val="-17"/>
        </w:rPr>
        <w:t> </w:t>
      </w:r>
      <w:r>
        <w:rPr/>
        <w:t>Dette</w:t>
      </w:r>
      <w:r>
        <w:rPr>
          <w:spacing w:val="-13"/>
        </w:rPr>
        <w:t> </w:t>
      </w:r>
      <w:r>
        <w:rPr/>
        <w:t>er</w:t>
      </w:r>
      <w:r>
        <w:rPr>
          <w:spacing w:val="-15"/>
        </w:rPr>
        <w:t> </w:t>
      </w:r>
      <w:r>
        <w:rPr/>
        <w:t>erfaringsmæssigt</w:t>
      </w:r>
      <w:r>
        <w:rPr>
          <w:spacing w:val="-14"/>
        </w:rPr>
        <w:t> </w:t>
      </w:r>
      <w:r>
        <w:rPr/>
        <w:t>en</w:t>
      </w:r>
      <w:r>
        <w:rPr>
          <w:spacing w:val="-13"/>
        </w:rPr>
        <w:t> </w:t>
      </w:r>
      <w:r>
        <w:rPr/>
        <w:t>fornuftig</w:t>
      </w:r>
      <w:r>
        <w:rPr>
          <w:spacing w:val="-17"/>
        </w:rPr>
        <w:t> </w:t>
      </w:r>
      <w:r>
        <w:rPr/>
        <w:t>differentiering</w:t>
      </w:r>
      <w:r>
        <w:rPr>
          <w:spacing w:val="-15"/>
        </w:rPr>
        <w:t> </w:t>
      </w:r>
      <w:r>
        <w:rPr/>
        <w:t>i</w:t>
      </w:r>
      <w:r>
        <w:rPr>
          <w:spacing w:val="-13"/>
        </w:rPr>
        <w:t> </w:t>
      </w:r>
      <w:r>
        <w:rPr/>
        <w:t>den</w:t>
      </w:r>
      <w:r>
        <w:rPr>
          <w:spacing w:val="-16"/>
        </w:rPr>
        <w:t> </w:t>
      </w:r>
      <w:r>
        <w:rPr/>
        <w:t>konceptuelle drændybde, som antages at være</w:t>
      </w:r>
      <w:r>
        <w:rPr>
          <w:spacing w:val="-6"/>
        </w:rPr>
        <w:t> </w:t>
      </w:r>
      <w:r>
        <w:rPr/>
        <w:t>skalaafhængig.</w:t>
      </w:r>
    </w:p>
    <w:p>
      <w:pPr>
        <w:pStyle w:val="BodyText"/>
        <w:spacing w:before="2"/>
        <w:rPr>
          <w:sz w:val="25"/>
        </w:rPr>
      </w:pPr>
    </w:p>
    <w:p>
      <w:pPr>
        <w:pStyle w:val="BodyText"/>
        <w:spacing w:line="288" w:lineRule="auto"/>
        <w:ind w:left="525" w:right="731"/>
        <w:jc w:val="both"/>
      </w:pPr>
      <w:r>
        <w:rPr/>
        <w:t>Som det fremgår af </w:t>
      </w:r>
      <w:hyperlink w:history="true" w:anchor="_bookmark66">
        <w:r>
          <w:rPr/>
          <w:t>figur 44 </w:t>
        </w:r>
      </w:hyperlink>
      <w:r>
        <w:rPr/>
        <w:t>er der meget begrænset forskel i de optimerede parametervær- dier for de to 100 m modelkalibreringer, hvor eneste forskel er tilføjelsen af flere pejleobser- vationer. Da de to kalibreringer giver stort set samme parameterværdier vil deres simulerin- ger og performance også være meget sammenlignelige. 500 m modellen giver lidt andre parameterværdier, særligt for ledningsevnen i topjorden (Kx11_Tops), som afviger med en faktor 2 fra de andre kalibreringer, mens ledningsevnen i det kvartære ler (Kx2_ler) afviger med en faktor 10.</w:t>
      </w:r>
    </w:p>
    <w:p>
      <w:pPr>
        <w:pStyle w:val="BodyText"/>
        <w:rPr>
          <w:sz w:val="22"/>
        </w:rPr>
      </w:pPr>
      <w:r>
        <w:rPr/>
        <w:drawing>
          <wp:anchor distT="0" distB="0" distL="0" distR="0" allowOverlap="1" layoutInCell="1" locked="0" behindDoc="0" simplePos="0" relativeHeight="39">
            <wp:simplePos x="0" y="0"/>
            <wp:positionH relativeFrom="page">
              <wp:posOffset>1260475</wp:posOffset>
            </wp:positionH>
            <wp:positionV relativeFrom="paragraph">
              <wp:posOffset>185639</wp:posOffset>
            </wp:positionV>
            <wp:extent cx="5374461" cy="3503104"/>
            <wp:effectExtent l="0" t="0" r="0" b="0"/>
            <wp:wrapTopAndBottom/>
            <wp:docPr id="89" name="image63.png" descr=""/>
            <wp:cNvGraphicFramePr>
              <a:graphicFrameLocks noChangeAspect="1"/>
            </wp:cNvGraphicFramePr>
            <a:graphic>
              <a:graphicData uri="http://schemas.openxmlformats.org/drawingml/2006/picture">
                <pic:pic>
                  <pic:nvPicPr>
                    <pic:cNvPr id="90" name="image63.png"/>
                    <pic:cNvPicPr/>
                  </pic:nvPicPr>
                  <pic:blipFill>
                    <a:blip r:embed="rId69" cstate="print"/>
                    <a:stretch>
                      <a:fillRect/>
                    </a:stretch>
                  </pic:blipFill>
                  <pic:spPr>
                    <a:xfrm>
                      <a:off x="0" y="0"/>
                      <a:ext cx="5374461" cy="3503104"/>
                    </a:xfrm>
                    <a:prstGeom prst="rect">
                      <a:avLst/>
                    </a:prstGeom>
                  </pic:spPr>
                </pic:pic>
              </a:graphicData>
            </a:graphic>
          </wp:anchor>
        </w:drawing>
      </w:r>
    </w:p>
    <w:p>
      <w:pPr>
        <w:spacing w:before="56"/>
        <w:ind w:left="525" w:right="0" w:firstLine="0"/>
        <w:jc w:val="left"/>
        <w:rPr>
          <w:rFonts w:ascii="Calibri" w:hAnsi="Calibri"/>
          <w:i/>
          <w:sz w:val="18"/>
        </w:rPr>
      </w:pPr>
      <w:bookmarkStart w:name="_bookmark66" w:id="90"/>
      <w:bookmarkEnd w:id="90"/>
      <w:r>
        <w:rPr/>
      </w:r>
      <w:r>
        <w:rPr>
          <w:rFonts w:ascii="Calibri" w:hAnsi="Calibri"/>
          <w:i/>
          <w:color w:val="44536A"/>
          <w:sz w:val="18"/>
        </w:rPr>
        <w:t>Figur 44 Optimerede parameterværdier for de tre modelkalibreringer.</w:t>
      </w:r>
    </w:p>
    <w:p>
      <w:pPr>
        <w:pStyle w:val="BodyText"/>
        <w:rPr>
          <w:rFonts w:ascii="Calibri"/>
          <w:i/>
          <w:sz w:val="18"/>
        </w:rPr>
      </w:pPr>
    </w:p>
    <w:p>
      <w:pPr>
        <w:pStyle w:val="BodyText"/>
        <w:rPr>
          <w:rFonts w:ascii="Calibri"/>
          <w:i/>
          <w:sz w:val="18"/>
        </w:rPr>
      </w:pPr>
    </w:p>
    <w:p>
      <w:pPr>
        <w:pStyle w:val="BodyText"/>
        <w:spacing w:before="7"/>
        <w:rPr>
          <w:rFonts w:ascii="Calibri"/>
          <w:i/>
          <w:sz w:val="19"/>
        </w:rPr>
      </w:pPr>
    </w:p>
    <w:p>
      <w:pPr>
        <w:pStyle w:val="Heading5"/>
        <w:rPr>
          <w:i/>
        </w:rPr>
      </w:pPr>
      <w:r>
        <w:rPr>
          <w:i/>
        </w:rPr>
        <w:t>Vandføring</w:t>
      </w:r>
    </w:p>
    <w:p>
      <w:pPr>
        <w:pStyle w:val="BodyText"/>
        <w:spacing w:line="288" w:lineRule="auto" w:before="47"/>
        <w:ind w:left="525" w:right="732"/>
        <w:jc w:val="both"/>
      </w:pPr>
      <w:r>
        <w:rPr/>
        <w:t>Modelperformance for vandføring for de tre kalibreringer for Storå er angivet i </w:t>
      </w:r>
      <w:hyperlink w:history="true" w:anchor="_bookmark67">
        <w:r>
          <w:rPr/>
          <w:t>tabel 9 </w:t>
        </w:r>
      </w:hyperlink>
      <w:r>
        <w:rPr/>
        <w:t>– </w:t>
      </w:r>
      <w:r>
        <w:rPr>
          <w:spacing w:val="-3"/>
        </w:rPr>
        <w:t>11 </w:t>
      </w:r>
      <w:r>
        <w:rPr/>
        <w:t>for både kalibrerings- og valideringsperioderne. De to 100 m modeller er stort set identiske mht.</w:t>
      </w:r>
      <w:r>
        <w:rPr>
          <w:spacing w:val="-12"/>
        </w:rPr>
        <w:t> </w:t>
      </w:r>
      <w:r>
        <w:rPr/>
        <w:t>vandføringsperformance,</w:t>
      </w:r>
      <w:r>
        <w:rPr>
          <w:spacing w:val="-12"/>
        </w:rPr>
        <w:t> </w:t>
      </w:r>
      <w:r>
        <w:rPr/>
        <w:t>og</w:t>
      </w:r>
      <w:r>
        <w:rPr>
          <w:spacing w:val="-10"/>
        </w:rPr>
        <w:t> </w:t>
      </w:r>
      <w:r>
        <w:rPr/>
        <w:t>der</w:t>
      </w:r>
      <w:r>
        <w:rPr>
          <w:spacing w:val="-10"/>
        </w:rPr>
        <w:t> </w:t>
      </w:r>
      <w:r>
        <w:rPr/>
        <w:t>opnås</w:t>
      </w:r>
      <w:r>
        <w:rPr>
          <w:spacing w:val="-11"/>
        </w:rPr>
        <w:t> </w:t>
      </w:r>
      <w:r>
        <w:rPr/>
        <w:t>generelt</w:t>
      </w:r>
      <w:r>
        <w:rPr>
          <w:spacing w:val="-12"/>
        </w:rPr>
        <w:t> </w:t>
      </w:r>
      <w:r>
        <w:rPr/>
        <w:t>fine</w:t>
      </w:r>
      <w:r>
        <w:rPr>
          <w:spacing w:val="-10"/>
        </w:rPr>
        <w:t> </w:t>
      </w:r>
      <w:r>
        <w:rPr/>
        <w:t>resultater</w:t>
      </w:r>
      <w:r>
        <w:rPr>
          <w:spacing w:val="-10"/>
        </w:rPr>
        <w:t> </w:t>
      </w:r>
      <w:r>
        <w:rPr/>
        <w:t>for</w:t>
      </w:r>
      <w:r>
        <w:rPr>
          <w:spacing w:val="-11"/>
        </w:rPr>
        <w:t> </w:t>
      </w:r>
      <w:r>
        <w:rPr/>
        <w:t>både</w:t>
      </w:r>
      <w:r>
        <w:rPr>
          <w:spacing w:val="-10"/>
        </w:rPr>
        <w:t> </w:t>
      </w:r>
      <w:r>
        <w:rPr/>
        <w:t>vandbalance</w:t>
      </w:r>
      <w:r>
        <w:rPr>
          <w:spacing w:val="-9"/>
        </w:rPr>
        <w:t> </w:t>
      </w:r>
      <w:r>
        <w:rPr/>
        <w:t>og NSE,</w:t>
      </w:r>
      <w:r>
        <w:rPr>
          <w:spacing w:val="-10"/>
        </w:rPr>
        <w:t> </w:t>
      </w:r>
      <w:r>
        <w:rPr/>
        <w:t>med</w:t>
      </w:r>
      <w:r>
        <w:rPr>
          <w:spacing w:val="-6"/>
        </w:rPr>
        <w:t> </w:t>
      </w:r>
      <w:r>
        <w:rPr/>
        <w:t>vandbalanceværdier</w:t>
      </w:r>
      <w:r>
        <w:rPr>
          <w:spacing w:val="-9"/>
        </w:rPr>
        <w:t> </w:t>
      </w:r>
      <w:r>
        <w:rPr/>
        <w:t>på</w:t>
      </w:r>
      <w:r>
        <w:rPr>
          <w:spacing w:val="-6"/>
        </w:rPr>
        <w:t> </w:t>
      </w:r>
      <w:r>
        <w:rPr/>
        <w:t>0-3</w:t>
      </w:r>
      <w:r>
        <w:rPr>
          <w:spacing w:val="-6"/>
        </w:rPr>
        <w:t> </w:t>
      </w:r>
      <w:r>
        <w:rPr/>
        <w:t>%</w:t>
      </w:r>
      <w:r>
        <w:rPr>
          <w:spacing w:val="-9"/>
        </w:rPr>
        <w:t> </w:t>
      </w:r>
      <w:r>
        <w:rPr/>
        <w:t>for</w:t>
      </w:r>
      <w:r>
        <w:rPr>
          <w:spacing w:val="-7"/>
        </w:rPr>
        <w:t> </w:t>
      </w:r>
      <w:r>
        <w:rPr/>
        <w:t>årsvandbalancer</w:t>
      </w:r>
      <w:r>
        <w:rPr>
          <w:spacing w:val="-6"/>
        </w:rPr>
        <w:t> </w:t>
      </w:r>
      <w:r>
        <w:rPr/>
        <w:t>og</w:t>
      </w:r>
      <w:r>
        <w:rPr>
          <w:spacing w:val="-6"/>
        </w:rPr>
        <w:t> </w:t>
      </w:r>
      <w:r>
        <w:rPr/>
        <w:t>5-20%</w:t>
      </w:r>
      <w:r>
        <w:rPr>
          <w:spacing w:val="-9"/>
        </w:rPr>
        <w:t> </w:t>
      </w:r>
      <w:r>
        <w:rPr/>
        <w:t>for</w:t>
      </w:r>
      <w:r>
        <w:rPr>
          <w:spacing w:val="-8"/>
        </w:rPr>
        <w:t> </w:t>
      </w:r>
      <w:r>
        <w:rPr/>
        <w:t>sommervandba- lancer. NSE værdierne ligger på ca. 0.6-0.7 for de små vandløb og omkring 0.85-0.9 for de store vandløb. For 500 m modellen falder performance en smule for sommervandbalancer og NSE for de mindste stationer, men overordnet set er performance sammenlignelige for 100 m og 500 m modellerne. For valideringsperioden er model performance generelt på samme niveau som kalibreringsperioden, dog er den overordnede vandbalance dårligere. NSE er bedre for station 220050 men dårligere for 220048 og 220062. Der er usikkerheder på såvel målt nedbør og målt vandføring, som kan være medvirkende årsag til afvigelser, specielt for valideringsperioden hvor antallet af nedbørsstationer i det åbne land er begræn- set.</w:t>
      </w:r>
    </w:p>
    <w:p>
      <w:pPr>
        <w:spacing w:after="0" w:line="288" w:lineRule="auto"/>
        <w:jc w:val="both"/>
        <w:sectPr>
          <w:pgSz w:w="11910" w:h="16850"/>
          <w:pgMar w:header="0" w:footer="857" w:top="1340" w:bottom="1120" w:left="1460" w:right="680"/>
        </w:sectPr>
      </w:pPr>
    </w:p>
    <w:p>
      <w:pPr>
        <w:spacing w:before="39"/>
        <w:ind w:left="525" w:right="0" w:firstLine="0"/>
        <w:jc w:val="both"/>
        <w:rPr>
          <w:rFonts w:ascii="Calibri" w:hAnsi="Calibri"/>
          <w:i/>
          <w:sz w:val="18"/>
        </w:rPr>
      </w:pPr>
      <w:bookmarkStart w:name="_bookmark67" w:id="91"/>
      <w:bookmarkEnd w:id="91"/>
      <w:r>
        <w:rPr/>
      </w:r>
      <w:r>
        <w:rPr>
          <w:rFonts w:ascii="Calibri" w:hAnsi="Calibri"/>
          <w:i/>
          <w:color w:val="44536A"/>
          <w:sz w:val="18"/>
        </w:rPr>
        <w:t>Tabel 9 Performance statistik for vandføring for Storå for </w:t>
      </w:r>
      <w:r>
        <w:rPr>
          <w:rFonts w:ascii="Calibri" w:hAnsi="Calibri"/>
          <w:b/>
          <w:i/>
          <w:color w:val="44536A"/>
          <w:sz w:val="18"/>
        </w:rPr>
        <w:t>100 m_Jup+Reg </w:t>
      </w:r>
      <w:r>
        <w:rPr>
          <w:rFonts w:ascii="Calibri" w:hAnsi="Calibri"/>
          <w:i/>
          <w:color w:val="44536A"/>
          <w:sz w:val="18"/>
        </w:rPr>
        <w:t>modellen.</w:t>
      </w:r>
    </w:p>
    <w:p>
      <w:pPr>
        <w:pStyle w:val="BodyText"/>
        <w:spacing w:before="4"/>
        <w:rPr>
          <w:rFonts w:ascii="Calibri"/>
          <w:i/>
          <w:sz w:val="24"/>
        </w:rPr>
      </w:pPr>
    </w:p>
    <w:tbl>
      <w:tblPr>
        <w:tblW w:w="0" w:type="auto"/>
        <w:jc w:val="left"/>
        <w:tblInd w:w="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61"/>
        <w:gridCol w:w="1248"/>
        <w:gridCol w:w="947"/>
        <w:gridCol w:w="888"/>
        <w:gridCol w:w="670"/>
        <w:gridCol w:w="1056"/>
        <w:gridCol w:w="684"/>
        <w:gridCol w:w="643"/>
        <w:gridCol w:w="993"/>
        <w:gridCol w:w="631"/>
      </w:tblGrid>
      <w:tr>
        <w:trPr>
          <w:trHeight w:val="202" w:hRule="atLeast"/>
        </w:trPr>
        <w:tc>
          <w:tcPr>
            <w:tcW w:w="2009" w:type="dxa"/>
            <w:gridSpan w:val="2"/>
          </w:tcPr>
          <w:p>
            <w:pPr>
              <w:pStyle w:val="TableParagraph"/>
              <w:spacing w:line="182" w:lineRule="exact"/>
              <w:ind w:left="83"/>
              <w:jc w:val="left"/>
              <w:rPr>
                <w:rFonts w:ascii="Calibri"/>
                <w:b/>
                <w:sz w:val="20"/>
              </w:rPr>
            </w:pPr>
            <w:r>
              <w:rPr>
                <w:rFonts w:ascii="Calibri"/>
                <w:b/>
                <w:sz w:val="20"/>
              </w:rPr>
              <w:t>100m_Jup+Reg</w:t>
            </w:r>
          </w:p>
        </w:tc>
        <w:tc>
          <w:tcPr>
            <w:tcW w:w="947" w:type="dxa"/>
          </w:tcPr>
          <w:p>
            <w:pPr>
              <w:pStyle w:val="TableParagraph"/>
              <w:jc w:val="left"/>
              <w:rPr>
                <w:rFonts w:ascii="Times New Roman"/>
                <w:sz w:val="14"/>
              </w:rPr>
            </w:pPr>
          </w:p>
        </w:tc>
        <w:tc>
          <w:tcPr>
            <w:tcW w:w="888" w:type="dxa"/>
          </w:tcPr>
          <w:p>
            <w:pPr>
              <w:pStyle w:val="TableParagraph"/>
              <w:jc w:val="left"/>
              <w:rPr>
                <w:rFonts w:ascii="Times New Roman"/>
                <w:sz w:val="14"/>
              </w:rPr>
            </w:pPr>
          </w:p>
        </w:tc>
        <w:tc>
          <w:tcPr>
            <w:tcW w:w="670" w:type="dxa"/>
          </w:tcPr>
          <w:p>
            <w:pPr>
              <w:pStyle w:val="TableParagraph"/>
              <w:jc w:val="left"/>
              <w:rPr>
                <w:rFonts w:ascii="Times New Roman"/>
                <w:sz w:val="14"/>
              </w:rPr>
            </w:pPr>
          </w:p>
        </w:tc>
        <w:tc>
          <w:tcPr>
            <w:tcW w:w="1056" w:type="dxa"/>
          </w:tcPr>
          <w:p>
            <w:pPr>
              <w:pStyle w:val="TableParagraph"/>
              <w:spacing w:line="182" w:lineRule="exact"/>
              <w:ind w:left="57" w:right="51"/>
              <w:rPr>
                <w:rFonts w:ascii="Calibri"/>
                <w:b/>
                <w:sz w:val="20"/>
              </w:rPr>
            </w:pPr>
            <w:r>
              <w:rPr>
                <w:rFonts w:ascii="Calibri"/>
                <w:b/>
                <w:sz w:val="20"/>
              </w:rPr>
              <w:t>Kalibrering</w:t>
            </w:r>
          </w:p>
        </w:tc>
        <w:tc>
          <w:tcPr>
            <w:tcW w:w="684" w:type="dxa"/>
          </w:tcPr>
          <w:p>
            <w:pPr>
              <w:pStyle w:val="TableParagraph"/>
              <w:jc w:val="left"/>
              <w:rPr>
                <w:rFonts w:ascii="Times New Roman"/>
                <w:sz w:val="14"/>
              </w:rPr>
            </w:pPr>
          </w:p>
        </w:tc>
        <w:tc>
          <w:tcPr>
            <w:tcW w:w="643" w:type="dxa"/>
          </w:tcPr>
          <w:p>
            <w:pPr>
              <w:pStyle w:val="TableParagraph"/>
              <w:jc w:val="left"/>
              <w:rPr>
                <w:rFonts w:ascii="Times New Roman"/>
                <w:sz w:val="14"/>
              </w:rPr>
            </w:pPr>
          </w:p>
        </w:tc>
        <w:tc>
          <w:tcPr>
            <w:tcW w:w="993" w:type="dxa"/>
          </w:tcPr>
          <w:p>
            <w:pPr>
              <w:pStyle w:val="TableParagraph"/>
              <w:spacing w:line="182" w:lineRule="exact"/>
              <w:ind w:left="45" w:right="61"/>
              <w:rPr>
                <w:rFonts w:ascii="Calibri"/>
                <w:b/>
                <w:sz w:val="20"/>
              </w:rPr>
            </w:pPr>
            <w:r>
              <w:rPr>
                <w:rFonts w:ascii="Calibri"/>
                <w:b/>
                <w:sz w:val="20"/>
              </w:rPr>
              <w:t>Validering</w:t>
            </w:r>
          </w:p>
        </w:tc>
        <w:tc>
          <w:tcPr>
            <w:tcW w:w="631" w:type="dxa"/>
          </w:tcPr>
          <w:p>
            <w:pPr>
              <w:pStyle w:val="TableParagraph"/>
              <w:jc w:val="left"/>
              <w:rPr>
                <w:rFonts w:ascii="Times New Roman"/>
                <w:sz w:val="14"/>
              </w:rPr>
            </w:pPr>
          </w:p>
        </w:tc>
      </w:tr>
      <w:tr>
        <w:trPr>
          <w:trHeight w:val="487" w:hRule="atLeast"/>
        </w:trPr>
        <w:tc>
          <w:tcPr>
            <w:tcW w:w="761" w:type="dxa"/>
            <w:tcBorders>
              <w:bottom w:val="single" w:sz="4" w:space="0" w:color="000000"/>
            </w:tcBorders>
          </w:tcPr>
          <w:p>
            <w:pPr>
              <w:pStyle w:val="TableParagraph"/>
              <w:spacing w:before="12"/>
              <w:jc w:val="left"/>
              <w:rPr>
                <w:rFonts w:ascii="Calibri"/>
                <w:i/>
                <w:sz w:val="19"/>
              </w:rPr>
            </w:pPr>
          </w:p>
          <w:p>
            <w:pPr>
              <w:pStyle w:val="TableParagraph"/>
              <w:spacing w:line="223" w:lineRule="exact"/>
              <w:ind w:left="36" w:right="50"/>
              <w:rPr>
                <w:rFonts w:ascii="Calibri"/>
                <w:sz w:val="20"/>
              </w:rPr>
            </w:pPr>
            <w:r>
              <w:rPr>
                <w:rFonts w:ascii="Calibri"/>
                <w:sz w:val="20"/>
              </w:rPr>
              <w:t>Station</w:t>
            </w:r>
          </w:p>
        </w:tc>
        <w:tc>
          <w:tcPr>
            <w:tcW w:w="1248" w:type="dxa"/>
            <w:tcBorders>
              <w:bottom w:val="single" w:sz="4" w:space="0" w:color="000000"/>
            </w:tcBorders>
          </w:tcPr>
          <w:p>
            <w:pPr>
              <w:pStyle w:val="TableParagraph"/>
              <w:spacing w:before="12"/>
              <w:jc w:val="left"/>
              <w:rPr>
                <w:rFonts w:ascii="Calibri"/>
                <w:i/>
                <w:sz w:val="19"/>
              </w:rPr>
            </w:pPr>
          </w:p>
          <w:p>
            <w:pPr>
              <w:pStyle w:val="TableParagraph"/>
              <w:spacing w:line="223" w:lineRule="exact"/>
              <w:ind w:left="71"/>
              <w:jc w:val="left"/>
              <w:rPr>
                <w:rFonts w:ascii="Calibri"/>
                <w:sz w:val="20"/>
              </w:rPr>
            </w:pPr>
            <w:r>
              <w:rPr>
                <w:rFonts w:ascii="Calibri"/>
                <w:sz w:val="20"/>
              </w:rPr>
              <w:t>Branch</w:t>
            </w:r>
          </w:p>
        </w:tc>
        <w:tc>
          <w:tcPr>
            <w:tcW w:w="947" w:type="dxa"/>
            <w:tcBorders>
              <w:bottom w:val="single" w:sz="4" w:space="0" w:color="000000"/>
            </w:tcBorders>
          </w:tcPr>
          <w:p>
            <w:pPr>
              <w:pStyle w:val="TableParagraph"/>
              <w:spacing w:before="12"/>
              <w:jc w:val="left"/>
              <w:rPr>
                <w:rFonts w:ascii="Calibri"/>
                <w:i/>
                <w:sz w:val="19"/>
              </w:rPr>
            </w:pPr>
          </w:p>
          <w:p>
            <w:pPr>
              <w:pStyle w:val="TableParagraph"/>
              <w:spacing w:line="223" w:lineRule="exact"/>
              <w:ind w:right="121"/>
              <w:jc w:val="right"/>
              <w:rPr>
                <w:rFonts w:ascii="Calibri"/>
                <w:sz w:val="20"/>
              </w:rPr>
            </w:pPr>
            <w:r>
              <w:rPr>
                <w:rFonts w:ascii="Calibri"/>
                <w:sz w:val="20"/>
              </w:rPr>
              <w:t>Chainage</w:t>
            </w:r>
          </w:p>
        </w:tc>
        <w:tc>
          <w:tcPr>
            <w:tcW w:w="888" w:type="dxa"/>
            <w:tcBorders>
              <w:bottom w:val="single" w:sz="4" w:space="0" w:color="000000"/>
              <w:right w:val="single" w:sz="4" w:space="0" w:color="000000"/>
            </w:tcBorders>
          </w:tcPr>
          <w:p>
            <w:pPr>
              <w:pStyle w:val="TableParagraph"/>
              <w:spacing w:line="243" w:lineRule="exact"/>
              <w:ind w:left="121"/>
              <w:jc w:val="left"/>
              <w:rPr>
                <w:rFonts w:ascii="Calibri"/>
                <w:sz w:val="20"/>
              </w:rPr>
            </w:pPr>
            <w:r>
              <w:rPr>
                <w:rFonts w:ascii="Calibri"/>
                <w:sz w:val="20"/>
              </w:rPr>
              <w:t>Opland</w:t>
            </w:r>
          </w:p>
          <w:p>
            <w:pPr>
              <w:pStyle w:val="TableParagraph"/>
              <w:spacing w:line="223" w:lineRule="exact"/>
              <w:ind w:left="202"/>
              <w:jc w:val="left"/>
              <w:rPr>
                <w:rFonts w:ascii="Calibri"/>
                <w:sz w:val="20"/>
              </w:rPr>
            </w:pPr>
            <w:r>
              <w:rPr>
                <w:rFonts w:ascii="Calibri"/>
                <w:sz w:val="20"/>
              </w:rPr>
              <w:t>[km2]</w:t>
            </w:r>
          </w:p>
        </w:tc>
        <w:tc>
          <w:tcPr>
            <w:tcW w:w="670" w:type="dxa"/>
            <w:tcBorders>
              <w:left w:val="single" w:sz="4" w:space="0" w:color="000000"/>
              <w:bottom w:val="single" w:sz="4" w:space="0" w:color="000000"/>
            </w:tcBorders>
          </w:tcPr>
          <w:p>
            <w:pPr>
              <w:pStyle w:val="TableParagraph"/>
              <w:spacing w:line="243" w:lineRule="exact"/>
              <w:ind w:left="193"/>
              <w:jc w:val="left"/>
              <w:rPr>
                <w:rFonts w:ascii="Calibri"/>
                <w:sz w:val="20"/>
              </w:rPr>
            </w:pPr>
            <w:r>
              <w:rPr>
                <w:rFonts w:ascii="Calibri"/>
                <w:sz w:val="20"/>
              </w:rPr>
              <w:t>fbal</w:t>
            </w:r>
          </w:p>
          <w:p>
            <w:pPr>
              <w:pStyle w:val="TableParagraph"/>
              <w:spacing w:line="223" w:lineRule="exact"/>
              <w:ind w:left="214"/>
              <w:jc w:val="left"/>
              <w:rPr>
                <w:rFonts w:ascii="Calibri"/>
                <w:sz w:val="20"/>
              </w:rPr>
            </w:pPr>
            <w:r>
              <w:rPr>
                <w:rFonts w:ascii="Calibri"/>
                <w:sz w:val="20"/>
              </w:rPr>
              <w:t>[%]</w:t>
            </w:r>
          </w:p>
        </w:tc>
        <w:tc>
          <w:tcPr>
            <w:tcW w:w="1056" w:type="dxa"/>
            <w:tcBorders>
              <w:bottom w:val="single" w:sz="4" w:space="0" w:color="000000"/>
            </w:tcBorders>
          </w:tcPr>
          <w:p>
            <w:pPr>
              <w:pStyle w:val="TableParagraph"/>
              <w:spacing w:line="236" w:lineRule="exact" w:before="10"/>
              <w:ind w:left="399" w:right="133" w:hanging="241"/>
              <w:jc w:val="left"/>
              <w:rPr>
                <w:rFonts w:ascii="Calibri"/>
                <w:sz w:val="20"/>
              </w:rPr>
            </w:pPr>
            <w:r>
              <w:rPr>
                <w:rFonts w:ascii="Calibri"/>
                <w:position w:val="1"/>
                <w:sz w:val="20"/>
              </w:rPr>
              <w:t>fbal</w:t>
            </w:r>
            <w:r>
              <w:rPr>
                <w:rFonts w:ascii="Calibri"/>
                <w:sz w:val="13"/>
              </w:rPr>
              <w:t>sommer </w:t>
            </w:r>
            <w:r>
              <w:rPr>
                <w:rFonts w:ascii="Calibri"/>
                <w:sz w:val="20"/>
              </w:rPr>
              <w:t>[%]</w:t>
            </w:r>
          </w:p>
        </w:tc>
        <w:tc>
          <w:tcPr>
            <w:tcW w:w="684" w:type="dxa"/>
            <w:tcBorders>
              <w:bottom w:val="single" w:sz="4" w:space="0" w:color="000000"/>
              <w:right w:val="single" w:sz="4" w:space="0" w:color="000000"/>
            </w:tcBorders>
          </w:tcPr>
          <w:p>
            <w:pPr>
              <w:pStyle w:val="TableParagraph"/>
              <w:spacing w:line="243" w:lineRule="exact"/>
              <w:ind w:left="130" w:right="150"/>
              <w:rPr>
                <w:rFonts w:ascii="Calibri"/>
                <w:sz w:val="20"/>
              </w:rPr>
            </w:pPr>
            <w:r>
              <w:rPr>
                <w:rFonts w:ascii="Calibri"/>
                <w:sz w:val="20"/>
              </w:rPr>
              <w:t>NSE</w:t>
            </w:r>
          </w:p>
          <w:p>
            <w:pPr>
              <w:pStyle w:val="TableParagraph"/>
              <w:spacing w:line="223" w:lineRule="exact"/>
              <w:ind w:left="130" w:right="150"/>
              <w:rPr>
                <w:rFonts w:ascii="Calibri"/>
                <w:sz w:val="20"/>
              </w:rPr>
            </w:pPr>
            <w:r>
              <w:rPr>
                <w:rFonts w:ascii="Calibri"/>
                <w:sz w:val="20"/>
              </w:rPr>
              <w:t>[-]</w:t>
            </w:r>
          </w:p>
        </w:tc>
        <w:tc>
          <w:tcPr>
            <w:tcW w:w="643" w:type="dxa"/>
            <w:tcBorders>
              <w:left w:val="single" w:sz="4" w:space="0" w:color="000000"/>
              <w:bottom w:val="single" w:sz="4" w:space="0" w:color="000000"/>
            </w:tcBorders>
          </w:tcPr>
          <w:p>
            <w:pPr>
              <w:pStyle w:val="TableParagraph"/>
              <w:spacing w:line="243" w:lineRule="exact"/>
              <w:ind w:left="193"/>
              <w:jc w:val="left"/>
              <w:rPr>
                <w:rFonts w:ascii="Calibri"/>
                <w:sz w:val="20"/>
              </w:rPr>
            </w:pPr>
            <w:r>
              <w:rPr>
                <w:rFonts w:ascii="Calibri"/>
                <w:sz w:val="20"/>
              </w:rPr>
              <w:t>fbal</w:t>
            </w:r>
          </w:p>
          <w:p>
            <w:pPr>
              <w:pStyle w:val="TableParagraph"/>
              <w:spacing w:line="223" w:lineRule="exact"/>
              <w:ind w:left="214"/>
              <w:jc w:val="left"/>
              <w:rPr>
                <w:rFonts w:ascii="Calibri"/>
                <w:sz w:val="20"/>
              </w:rPr>
            </w:pPr>
            <w:r>
              <w:rPr>
                <w:rFonts w:ascii="Calibri"/>
                <w:sz w:val="20"/>
              </w:rPr>
              <w:t>[%]</w:t>
            </w:r>
          </w:p>
        </w:tc>
        <w:tc>
          <w:tcPr>
            <w:tcW w:w="993" w:type="dxa"/>
            <w:tcBorders>
              <w:bottom w:val="single" w:sz="4" w:space="0" w:color="000000"/>
            </w:tcBorders>
          </w:tcPr>
          <w:p>
            <w:pPr>
              <w:pStyle w:val="TableParagraph"/>
              <w:spacing w:line="236" w:lineRule="exact" w:before="10"/>
              <w:ind w:left="371" w:hanging="238"/>
              <w:jc w:val="left"/>
              <w:rPr>
                <w:rFonts w:ascii="Calibri"/>
                <w:sz w:val="20"/>
              </w:rPr>
            </w:pPr>
            <w:r>
              <w:rPr>
                <w:rFonts w:ascii="Calibri"/>
                <w:w w:val="95"/>
                <w:position w:val="1"/>
                <w:sz w:val="20"/>
              </w:rPr>
              <w:t>fbal</w:t>
            </w:r>
            <w:r>
              <w:rPr>
                <w:rFonts w:ascii="Calibri"/>
                <w:w w:val="95"/>
                <w:sz w:val="13"/>
              </w:rPr>
              <w:t>sommer </w:t>
            </w:r>
            <w:r>
              <w:rPr>
                <w:rFonts w:ascii="Calibri"/>
                <w:sz w:val="20"/>
              </w:rPr>
              <w:t>[%]</w:t>
            </w:r>
          </w:p>
        </w:tc>
        <w:tc>
          <w:tcPr>
            <w:tcW w:w="631" w:type="dxa"/>
            <w:tcBorders>
              <w:bottom w:val="single" w:sz="4" w:space="0" w:color="000000"/>
            </w:tcBorders>
          </w:tcPr>
          <w:p>
            <w:pPr>
              <w:pStyle w:val="TableParagraph"/>
              <w:spacing w:line="243" w:lineRule="exact"/>
              <w:ind w:left="132"/>
              <w:jc w:val="left"/>
              <w:rPr>
                <w:rFonts w:ascii="Calibri"/>
                <w:sz w:val="20"/>
              </w:rPr>
            </w:pPr>
            <w:r>
              <w:rPr>
                <w:rFonts w:ascii="Calibri"/>
                <w:sz w:val="20"/>
              </w:rPr>
              <w:t>NSE</w:t>
            </w:r>
          </w:p>
          <w:p>
            <w:pPr>
              <w:pStyle w:val="TableParagraph"/>
              <w:spacing w:line="223" w:lineRule="exact"/>
              <w:ind w:left="199"/>
              <w:jc w:val="left"/>
              <w:rPr>
                <w:rFonts w:ascii="Calibri"/>
                <w:sz w:val="20"/>
              </w:rPr>
            </w:pPr>
            <w:r>
              <w:rPr>
                <w:rFonts w:ascii="Calibri"/>
                <w:sz w:val="20"/>
              </w:rPr>
              <w:t>[-]</w:t>
            </w:r>
          </w:p>
        </w:tc>
      </w:tr>
      <w:tr>
        <w:trPr>
          <w:trHeight w:val="319" w:hRule="atLeast"/>
        </w:trPr>
        <w:tc>
          <w:tcPr>
            <w:tcW w:w="761" w:type="dxa"/>
            <w:tcBorders>
              <w:top w:val="single" w:sz="4" w:space="0" w:color="000000"/>
            </w:tcBorders>
          </w:tcPr>
          <w:p>
            <w:pPr>
              <w:pStyle w:val="TableParagraph"/>
              <w:spacing w:line="243" w:lineRule="exact" w:before="56"/>
              <w:ind w:left="61" w:right="50"/>
              <w:rPr>
                <w:rFonts w:ascii="Calibri"/>
                <w:sz w:val="20"/>
              </w:rPr>
            </w:pPr>
            <w:r>
              <w:rPr>
                <w:rFonts w:ascii="Calibri"/>
                <w:sz w:val="20"/>
              </w:rPr>
              <w:t>220048</w:t>
            </w:r>
          </w:p>
        </w:tc>
        <w:tc>
          <w:tcPr>
            <w:tcW w:w="1248" w:type="dxa"/>
            <w:tcBorders>
              <w:top w:val="single" w:sz="4" w:space="0" w:color="000000"/>
            </w:tcBorders>
          </w:tcPr>
          <w:p>
            <w:pPr>
              <w:pStyle w:val="TableParagraph"/>
              <w:spacing w:line="243" w:lineRule="exact" w:before="56"/>
              <w:ind w:left="71"/>
              <w:jc w:val="left"/>
              <w:rPr>
                <w:rFonts w:ascii="Calibri" w:hAnsi="Calibri"/>
                <w:sz w:val="20"/>
              </w:rPr>
            </w:pPr>
            <w:r>
              <w:rPr>
                <w:rFonts w:ascii="Calibri" w:hAnsi="Calibri"/>
                <w:sz w:val="20"/>
              </w:rPr>
              <w:t>Idom Å</w:t>
            </w:r>
          </w:p>
        </w:tc>
        <w:tc>
          <w:tcPr>
            <w:tcW w:w="947" w:type="dxa"/>
            <w:tcBorders>
              <w:top w:val="single" w:sz="4" w:space="0" w:color="000000"/>
            </w:tcBorders>
          </w:tcPr>
          <w:p>
            <w:pPr>
              <w:pStyle w:val="TableParagraph"/>
              <w:spacing w:line="243" w:lineRule="exact" w:before="56"/>
              <w:ind w:right="121"/>
              <w:jc w:val="right"/>
              <w:rPr>
                <w:rFonts w:ascii="Calibri"/>
                <w:sz w:val="20"/>
              </w:rPr>
            </w:pPr>
            <w:r>
              <w:rPr>
                <w:rFonts w:ascii="Calibri"/>
                <w:w w:val="95"/>
                <w:sz w:val="20"/>
              </w:rPr>
              <w:t>11125</w:t>
            </w:r>
          </w:p>
        </w:tc>
        <w:tc>
          <w:tcPr>
            <w:tcW w:w="888" w:type="dxa"/>
            <w:tcBorders>
              <w:top w:val="single" w:sz="4" w:space="0" w:color="000000"/>
              <w:right w:val="single" w:sz="4" w:space="0" w:color="000000"/>
            </w:tcBorders>
          </w:tcPr>
          <w:p>
            <w:pPr>
              <w:pStyle w:val="TableParagraph"/>
              <w:spacing w:line="243" w:lineRule="exact" w:before="56"/>
              <w:ind w:left="169" w:right="216"/>
              <w:rPr>
                <w:rFonts w:ascii="Calibri"/>
                <w:sz w:val="20"/>
              </w:rPr>
            </w:pPr>
            <w:r>
              <w:rPr>
                <w:rFonts w:ascii="Calibri"/>
                <w:sz w:val="20"/>
              </w:rPr>
              <w:t>22</w:t>
            </w:r>
          </w:p>
        </w:tc>
        <w:tc>
          <w:tcPr>
            <w:tcW w:w="670" w:type="dxa"/>
            <w:tcBorders>
              <w:top w:val="single" w:sz="4" w:space="0" w:color="000000"/>
              <w:left w:val="single" w:sz="4" w:space="0" w:color="000000"/>
            </w:tcBorders>
          </w:tcPr>
          <w:p>
            <w:pPr>
              <w:pStyle w:val="TableParagraph"/>
              <w:spacing w:before="1"/>
              <w:ind w:left="167" w:right="141"/>
              <w:rPr>
                <w:rFonts w:ascii="Calibri"/>
                <w:sz w:val="20"/>
              </w:rPr>
            </w:pPr>
            <w:r>
              <w:rPr>
                <w:rFonts w:ascii="Calibri"/>
                <w:sz w:val="20"/>
              </w:rPr>
              <w:t>1.6</w:t>
            </w:r>
          </w:p>
        </w:tc>
        <w:tc>
          <w:tcPr>
            <w:tcW w:w="1056" w:type="dxa"/>
            <w:tcBorders>
              <w:top w:val="single" w:sz="4" w:space="0" w:color="000000"/>
            </w:tcBorders>
          </w:tcPr>
          <w:p>
            <w:pPr>
              <w:pStyle w:val="TableParagraph"/>
              <w:spacing w:before="1"/>
              <w:ind w:left="56" w:right="51"/>
              <w:rPr>
                <w:rFonts w:ascii="Calibri"/>
                <w:sz w:val="20"/>
              </w:rPr>
            </w:pPr>
            <w:r>
              <w:rPr>
                <w:rFonts w:ascii="Calibri"/>
                <w:sz w:val="20"/>
              </w:rPr>
              <w:t>2.4</w:t>
            </w:r>
          </w:p>
        </w:tc>
        <w:tc>
          <w:tcPr>
            <w:tcW w:w="684" w:type="dxa"/>
            <w:tcBorders>
              <w:top w:val="single" w:sz="4" w:space="0" w:color="000000"/>
              <w:right w:val="single" w:sz="4" w:space="0" w:color="000000"/>
            </w:tcBorders>
          </w:tcPr>
          <w:p>
            <w:pPr>
              <w:pStyle w:val="TableParagraph"/>
              <w:spacing w:before="1"/>
              <w:ind w:left="130" w:right="153"/>
              <w:rPr>
                <w:rFonts w:ascii="Calibri"/>
                <w:sz w:val="20"/>
              </w:rPr>
            </w:pPr>
            <w:r>
              <w:rPr>
                <w:rFonts w:ascii="Calibri"/>
                <w:sz w:val="20"/>
              </w:rPr>
              <w:t>0.62</w:t>
            </w:r>
          </w:p>
        </w:tc>
        <w:tc>
          <w:tcPr>
            <w:tcW w:w="643" w:type="dxa"/>
            <w:tcBorders>
              <w:top w:val="single" w:sz="4" w:space="0" w:color="000000"/>
              <w:left w:val="single" w:sz="4" w:space="0" w:color="000000"/>
            </w:tcBorders>
          </w:tcPr>
          <w:p>
            <w:pPr>
              <w:pStyle w:val="TableParagraph"/>
              <w:spacing w:before="1"/>
              <w:ind w:left="84" w:right="31"/>
              <w:rPr>
                <w:rFonts w:ascii="Calibri"/>
                <w:sz w:val="20"/>
              </w:rPr>
            </w:pPr>
            <w:r>
              <w:rPr>
                <w:rFonts w:ascii="Calibri"/>
                <w:sz w:val="20"/>
              </w:rPr>
              <w:t>6.3</w:t>
            </w:r>
          </w:p>
        </w:tc>
        <w:tc>
          <w:tcPr>
            <w:tcW w:w="993" w:type="dxa"/>
            <w:tcBorders>
              <w:top w:val="single" w:sz="4" w:space="0" w:color="000000"/>
            </w:tcBorders>
          </w:tcPr>
          <w:p>
            <w:pPr>
              <w:pStyle w:val="TableParagraph"/>
              <w:spacing w:before="1"/>
              <w:ind w:left="45" w:right="30"/>
              <w:rPr>
                <w:rFonts w:ascii="Calibri"/>
                <w:sz w:val="20"/>
              </w:rPr>
            </w:pPr>
            <w:r>
              <w:rPr>
                <w:rFonts w:ascii="Calibri"/>
                <w:sz w:val="20"/>
              </w:rPr>
              <w:t>0.5</w:t>
            </w:r>
          </w:p>
        </w:tc>
        <w:tc>
          <w:tcPr>
            <w:tcW w:w="631" w:type="dxa"/>
            <w:tcBorders>
              <w:top w:val="single" w:sz="4" w:space="0" w:color="000000"/>
            </w:tcBorders>
          </w:tcPr>
          <w:p>
            <w:pPr>
              <w:pStyle w:val="TableParagraph"/>
              <w:spacing w:before="1"/>
              <w:ind w:left="96" w:right="140"/>
              <w:rPr>
                <w:rFonts w:ascii="Calibri"/>
                <w:sz w:val="20"/>
              </w:rPr>
            </w:pPr>
            <w:r>
              <w:rPr>
                <w:rFonts w:ascii="Calibri"/>
                <w:sz w:val="20"/>
              </w:rPr>
              <w:t>0.46</w:t>
            </w:r>
          </w:p>
        </w:tc>
      </w:tr>
      <w:tr>
        <w:trPr>
          <w:trHeight w:val="300" w:hRule="atLeast"/>
        </w:trPr>
        <w:tc>
          <w:tcPr>
            <w:tcW w:w="761" w:type="dxa"/>
          </w:tcPr>
          <w:p>
            <w:pPr>
              <w:pStyle w:val="TableParagraph"/>
              <w:spacing w:line="243" w:lineRule="exact" w:before="37"/>
              <w:ind w:left="61" w:right="50"/>
              <w:rPr>
                <w:rFonts w:ascii="Calibri"/>
                <w:sz w:val="20"/>
              </w:rPr>
            </w:pPr>
            <w:r>
              <w:rPr>
                <w:rFonts w:ascii="Calibri"/>
                <w:sz w:val="20"/>
              </w:rPr>
              <w:t>220050</w:t>
            </w:r>
          </w:p>
        </w:tc>
        <w:tc>
          <w:tcPr>
            <w:tcW w:w="1248" w:type="dxa"/>
          </w:tcPr>
          <w:p>
            <w:pPr>
              <w:pStyle w:val="TableParagraph"/>
              <w:spacing w:line="243" w:lineRule="exact" w:before="37"/>
              <w:ind w:left="71"/>
              <w:jc w:val="left"/>
              <w:rPr>
                <w:rFonts w:ascii="Calibri" w:hAnsi="Calibri"/>
                <w:sz w:val="20"/>
              </w:rPr>
            </w:pPr>
            <w:r>
              <w:rPr>
                <w:rFonts w:ascii="Calibri" w:hAnsi="Calibri"/>
                <w:sz w:val="20"/>
              </w:rPr>
              <w:t>Lilleå</w:t>
            </w:r>
          </w:p>
        </w:tc>
        <w:tc>
          <w:tcPr>
            <w:tcW w:w="947" w:type="dxa"/>
          </w:tcPr>
          <w:p>
            <w:pPr>
              <w:pStyle w:val="TableParagraph"/>
              <w:spacing w:line="243" w:lineRule="exact" w:before="37"/>
              <w:ind w:right="121"/>
              <w:jc w:val="right"/>
              <w:rPr>
                <w:rFonts w:ascii="Calibri"/>
                <w:sz w:val="20"/>
              </w:rPr>
            </w:pPr>
            <w:r>
              <w:rPr>
                <w:rFonts w:ascii="Calibri"/>
                <w:w w:val="95"/>
                <w:sz w:val="20"/>
              </w:rPr>
              <w:t>21248</w:t>
            </w:r>
          </w:p>
        </w:tc>
        <w:tc>
          <w:tcPr>
            <w:tcW w:w="888" w:type="dxa"/>
            <w:tcBorders>
              <w:right w:val="single" w:sz="4" w:space="0" w:color="000000"/>
            </w:tcBorders>
          </w:tcPr>
          <w:p>
            <w:pPr>
              <w:pStyle w:val="TableParagraph"/>
              <w:spacing w:line="243" w:lineRule="exact" w:before="37"/>
              <w:ind w:left="169" w:right="216"/>
              <w:rPr>
                <w:rFonts w:ascii="Calibri"/>
                <w:sz w:val="20"/>
              </w:rPr>
            </w:pPr>
            <w:r>
              <w:rPr>
                <w:rFonts w:ascii="Calibri"/>
                <w:sz w:val="20"/>
              </w:rPr>
              <w:t>83</w:t>
            </w:r>
          </w:p>
        </w:tc>
        <w:tc>
          <w:tcPr>
            <w:tcW w:w="670" w:type="dxa"/>
            <w:tcBorders>
              <w:left w:val="single" w:sz="4" w:space="0" w:color="000000"/>
            </w:tcBorders>
          </w:tcPr>
          <w:p>
            <w:pPr>
              <w:pStyle w:val="TableParagraph"/>
              <w:spacing w:line="226" w:lineRule="exact"/>
              <w:ind w:left="169" w:right="141"/>
              <w:rPr>
                <w:rFonts w:ascii="Calibri"/>
                <w:sz w:val="20"/>
              </w:rPr>
            </w:pPr>
            <w:r>
              <w:rPr>
                <w:rFonts w:ascii="Calibri"/>
                <w:sz w:val="20"/>
              </w:rPr>
              <w:t>-1.4</w:t>
            </w:r>
          </w:p>
        </w:tc>
        <w:tc>
          <w:tcPr>
            <w:tcW w:w="1056" w:type="dxa"/>
          </w:tcPr>
          <w:p>
            <w:pPr>
              <w:pStyle w:val="TableParagraph"/>
              <w:spacing w:line="226" w:lineRule="exact"/>
              <w:ind w:left="56" w:right="51"/>
              <w:rPr>
                <w:rFonts w:ascii="Calibri"/>
                <w:sz w:val="20"/>
              </w:rPr>
            </w:pPr>
            <w:r>
              <w:rPr>
                <w:rFonts w:ascii="Calibri"/>
                <w:sz w:val="20"/>
              </w:rPr>
              <w:t>2.0</w:t>
            </w:r>
          </w:p>
        </w:tc>
        <w:tc>
          <w:tcPr>
            <w:tcW w:w="684" w:type="dxa"/>
            <w:tcBorders>
              <w:right w:val="single" w:sz="4" w:space="0" w:color="000000"/>
            </w:tcBorders>
          </w:tcPr>
          <w:p>
            <w:pPr>
              <w:pStyle w:val="TableParagraph"/>
              <w:spacing w:line="226" w:lineRule="exact"/>
              <w:ind w:left="130" w:right="153"/>
              <w:rPr>
                <w:rFonts w:ascii="Calibri"/>
                <w:sz w:val="20"/>
              </w:rPr>
            </w:pPr>
            <w:r>
              <w:rPr>
                <w:rFonts w:ascii="Calibri"/>
                <w:sz w:val="20"/>
              </w:rPr>
              <w:t>0.58</w:t>
            </w:r>
          </w:p>
        </w:tc>
        <w:tc>
          <w:tcPr>
            <w:tcW w:w="643" w:type="dxa"/>
            <w:tcBorders>
              <w:left w:val="single" w:sz="4" w:space="0" w:color="000000"/>
            </w:tcBorders>
          </w:tcPr>
          <w:p>
            <w:pPr>
              <w:pStyle w:val="TableParagraph"/>
              <w:spacing w:line="226" w:lineRule="exact"/>
              <w:ind w:left="84" w:right="31"/>
              <w:rPr>
                <w:rFonts w:ascii="Calibri"/>
                <w:sz w:val="20"/>
              </w:rPr>
            </w:pPr>
            <w:r>
              <w:rPr>
                <w:rFonts w:ascii="Calibri"/>
                <w:sz w:val="20"/>
              </w:rPr>
              <w:t>3.1</w:t>
            </w:r>
          </w:p>
        </w:tc>
        <w:tc>
          <w:tcPr>
            <w:tcW w:w="993" w:type="dxa"/>
          </w:tcPr>
          <w:p>
            <w:pPr>
              <w:pStyle w:val="TableParagraph"/>
              <w:spacing w:line="226" w:lineRule="exact"/>
              <w:ind w:left="45" w:right="30"/>
              <w:rPr>
                <w:rFonts w:ascii="Calibri"/>
                <w:sz w:val="20"/>
              </w:rPr>
            </w:pPr>
            <w:r>
              <w:rPr>
                <w:rFonts w:ascii="Calibri"/>
                <w:sz w:val="20"/>
              </w:rPr>
              <w:t>1.6</w:t>
            </w:r>
          </w:p>
        </w:tc>
        <w:tc>
          <w:tcPr>
            <w:tcW w:w="631" w:type="dxa"/>
          </w:tcPr>
          <w:p>
            <w:pPr>
              <w:pStyle w:val="TableParagraph"/>
              <w:spacing w:line="226" w:lineRule="exact"/>
              <w:ind w:left="96" w:right="140"/>
              <w:rPr>
                <w:rFonts w:ascii="Calibri"/>
                <w:sz w:val="20"/>
              </w:rPr>
            </w:pPr>
            <w:r>
              <w:rPr>
                <w:rFonts w:ascii="Calibri"/>
                <w:sz w:val="20"/>
              </w:rPr>
              <w:t>0.73</w:t>
            </w:r>
          </w:p>
        </w:tc>
      </w:tr>
      <w:tr>
        <w:trPr>
          <w:trHeight w:val="300" w:hRule="atLeast"/>
        </w:trPr>
        <w:tc>
          <w:tcPr>
            <w:tcW w:w="761" w:type="dxa"/>
          </w:tcPr>
          <w:p>
            <w:pPr>
              <w:pStyle w:val="TableParagraph"/>
              <w:spacing w:line="243" w:lineRule="exact" w:before="37"/>
              <w:ind w:left="61" w:right="50"/>
              <w:rPr>
                <w:rFonts w:ascii="Calibri"/>
                <w:sz w:val="20"/>
              </w:rPr>
            </w:pPr>
            <w:r>
              <w:rPr>
                <w:rFonts w:ascii="Calibri"/>
                <w:sz w:val="20"/>
              </w:rPr>
              <w:t>220053</w:t>
            </w:r>
          </w:p>
        </w:tc>
        <w:tc>
          <w:tcPr>
            <w:tcW w:w="1248" w:type="dxa"/>
          </w:tcPr>
          <w:p>
            <w:pPr>
              <w:pStyle w:val="TableParagraph"/>
              <w:spacing w:line="243" w:lineRule="exact" w:before="37"/>
              <w:ind w:left="71"/>
              <w:jc w:val="left"/>
              <w:rPr>
                <w:rFonts w:ascii="Calibri" w:hAnsi="Calibri"/>
                <w:sz w:val="20"/>
              </w:rPr>
            </w:pPr>
            <w:r>
              <w:rPr>
                <w:rFonts w:ascii="Calibri" w:hAnsi="Calibri"/>
                <w:sz w:val="20"/>
              </w:rPr>
              <w:t>Sunds Nørreå</w:t>
            </w:r>
          </w:p>
        </w:tc>
        <w:tc>
          <w:tcPr>
            <w:tcW w:w="947" w:type="dxa"/>
          </w:tcPr>
          <w:p>
            <w:pPr>
              <w:pStyle w:val="TableParagraph"/>
              <w:spacing w:line="243" w:lineRule="exact" w:before="37"/>
              <w:ind w:right="121"/>
              <w:jc w:val="right"/>
              <w:rPr>
                <w:rFonts w:ascii="Calibri"/>
                <w:sz w:val="20"/>
              </w:rPr>
            </w:pPr>
            <w:r>
              <w:rPr>
                <w:rFonts w:ascii="Calibri"/>
                <w:w w:val="95"/>
                <w:sz w:val="20"/>
              </w:rPr>
              <w:t>14620</w:t>
            </w:r>
          </w:p>
        </w:tc>
        <w:tc>
          <w:tcPr>
            <w:tcW w:w="888" w:type="dxa"/>
            <w:tcBorders>
              <w:right w:val="single" w:sz="4" w:space="0" w:color="000000"/>
            </w:tcBorders>
          </w:tcPr>
          <w:p>
            <w:pPr>
              <w:pStyle w:val="TableParagraph"/>
              <w:spacing w:line="243" w:lineRule="exact" w:before="37"/>
              <w:ind w:left="169" w:right="216"/>
              <w:rPr>
                <w:rFonts w:ascii="Calibri"/>
                <w:sz w:val="20"/>
              </w:rPr>
            </w:pPr>
            <w:r>
              <w:rPr>
                <w:rFonts w:ascii="Calibri"/>
                <w:sz w:val="20"/>
              </w:rPr>
              <w:t>48</w:t>
            </w:r>
          </w:p>
        </w:tc>
        <w:tc>
          <w:tcPr>
            <w:tcW w:w="670" w:type="dxa"/>
            <w:tcBorders>
              <w:left w:val="single" w:sz="4" w:space="0" w:color="000000"/>
            </w:tcBorders>
          </w:tcPr>
          <w:p>
            <w:pPr>
              <w:pStyle w:val="TableParagraph"/>
              <w:spacing w:line="226" w:lineRule="exact"/>
              <w:ind w:left="167" w:right="141"/>
              <w:rPr>
                <w:rFonts w:ascii="Calibri"/>
                <w:sz w:val="20"/>
              </w:rPr>
            </w:pPr>
            <w:r>
              <w:rPr>
                <w:rFonts w:ascii="Calibri"/>
                <w:sz w:val="20"/>
              </w:rPr>
              <w:t>0.7</w:t>
            </w:r>
          </w:p>
        </w:tc>
        <w:tc>
          <w:tcPr>
            <w:tcW w:w="1056" w:type="dxa"/>
          </w:tcPr>
          <w:p>
            <w:pPr>
              <w:pStyle w:val="TableParagraph"/>
              <w:spacing w:line="226" w:lineRule="exact"/>
              <w:ind w:left="57" w:right="50"/>
              <w:rPr>
                <w:rFonts w:ascii="Calibri"/>
                <w:sz w:val="20"/>
              </w:rPr>
            </w:pPr>
            <w:r>
              <w:rPr>
                <w:rFonts w:ascii="Calibri"/>
                <w:sz w:val="20"/>
              </w:rPr>
              <w:t>-27.1</w:t>
            </w:r>
          </w:p>
        </w:tc>
        <w:tc>
          <w:tcPr>
            <w:tcW w:w="684" w:type="dxa"/>
            <w:tcBorders>
              <w:right w:val="single" w:sz="4" w:space="0" w:color="000000"/>
            </w:tcBorders>
          </w:tcPr>
          <w:p>
            <w:pPr>
              <w:pStyle w:val="TableParagraph"/>
              <w:spacing w:line="226" w:lineRule="exact"/>
              <w:ind w:left="130" w:right="153"/>
              <w:rPr>
                <w:rFonts w:ascii="Calibri"/>
                <w:sz w:val="20"/>
              </w:rPr>
            </w:pPr>
            <w:r>
              <w:rPr>
                <w:rFonts w:ascii="Calibri"/>
                <w:sz w:val="20"/>
              </w:rPr>
              <w:t>0.88</w:t>
            </w:r>
          </w:p>
        </w:tc>
        <w:tc>
          <w:tcPr>
            <w:tcW w:w="643" w:type="dxa"/>
            <w:tcBorders>
              <w:left w:val="single" w:sz="4" w:space="0" w:color="000000"/>
            </w:tcBorders>
          </w:tcPr>
          <w:p>
            <w:pPr>
              <w:pStyle w:val="TableParagraph"/>
              <w:spacing w:line="226" w:lineRule="exact"/>
              <w:ind w:left="84" w:right="29"/>
              <w:rPr>
                <w:rFonts w:ascii="Calibri"/>
                <w:sz w:val="20"/>
              </w:rPr>
            </w:pPr>
            <w:r>
              <w:rPr>
                <w:rFonts w:ascii="Calibri"/>
                <w:sz w:val="20"/>
              </w:rPr>
              <w:t>-7.0</w:t>
            </w:r>
          </w:p>
        </w:tc>
        <w:tc>
          <w:tcPr>
            <w:tcW w:w="993" w:type="dxa"/>
          </w:tcPr>
          <w:p>
            <w:pPr>
              <w:pStyle w:val="TableParagraph"/>
              <w:spacing w:line="226" w:lineRule="exact"/>
              <w:ind w:left="45" w:right="32"/>
              <w:rPr>
                <w:rFonts w:ascii="Calibri"/>
                <w:sz w:val="20"/>
              </w:rPr>
            </w:pPr>
            <w:r>
              <w:rPr>
                <w:rFonts w:ascii="Calibri"/>
                <w:sz w:val="20"/>
              </w:rPr>
              <w:t>-51.1</w:t>
            </w:r>
          </w:p>
        </w:tc>
        <w:tc>
          <w:tcPr>
            <w:tcW w:w="631" w:type="dxa"/>
          </w:tcPr>
          <w:p>
            <w:pPr>
              <w:pStyle w:val="TableParagraph"/>
              <w:spacing w:line="226" w:lineRule="exact"/>
              <w:ind w:left="96" w:right="140"/>
              <w:rPr>
                <w:rFonts w:ascii="Calibri"/>
                <w:sz w:val="20"/>
              </w:rPr>
            </w:pPr>
            <w:r>
              <w:rPr>
                <w:rFonts w:ascii="Calibri"/>
                <w:sz w:val="20"/>
              </w:rPr>
              <w:t>0.89</w:t>
            </w:r>
          </w:p>
        </w:tc>
      </w:tr>
      <w:tr>
        <w:trPr>
          <w:trHeight w:val="300" w:hRule="atLeast"/>
        </w:trPr>
        <w:tc>
          <w:tcPr>
            <w:tcW w:w="761" w:type="dxa"/>
          </w:tcPr>
          <w:p>
            <w:pPr>
              <w:pStyle w:val="TableParagraph"/>
              <w:spacing w:line="243" w:lineRule="exact" w:before="37"/>
              <w:ind w:left="61" w:right="50"/>
              <w:rPr>
                <w:rFonts w:ascii="Calibri"/>
                <w:sz w:val="20"/>
              </w:rPr>
            </w:pPr>
            <w:r>
              <w:rPr>
                <w:rFonts w:ascii="Calibri"/>
                <w:sz w:val="20"/>
              </w:rPr>
              <w:t>220059</w:t>
            </w:r>
          </w:p>
        </w:tc>
        <w:tc>
          <w:tcPr>
            <w:tcW w:w="1248" w:type="dxa"/>
          </w:tcPr>
          <w:p>
            <w:pPr>
              <w:pStyle w:val="TableParagraph"/>
              <w:spacing w:line="243" w:lineRule="exact" w:before="37"/>
              <w:ind w:left="71"/>
              <w:jc w:val="left"/>
              <w:rPr>
                <w:rFonts w:ascii="Calibri"/>
                <w:sz w:val="20"/>
              </w:rPr>
            </w:pPr>
            <w:r>
              <w:rPr>
                <w:rFonts w:ascii="Calibri"/>
                <w:sz w:val="20"/>
              </w:rPr>
              <w:t>Storaa</w:t>
            </w:r>
          </w:p>
        </w:tc>
        <w:tc>
          <w:tcPr>
            <w:tcW w:w="947" w:type="dxa"/>
          </w:tcPr>
          <w:p>
            <w:pPr>
              <w:pStyle w:val="TableParagraph"/>
              <w:spacing w:line="243" w:lineRule="exact" w:before="37"/>
              <w:ind w:right="121"/>
              <w:jc w:val="right"/>
              <w:rPr>
                <w:rFonts w:ascii="Calibri"/>
                <w:sz w:val="20"/>
              </w:rPr>
            </w:pPr>
            <w:r>
              <w:rPr>
                <w:rFonts w:ascii="Calibri"/>
                <w:w w:val="95"/>
                <w:sz w:val="20"/>
              </w:rPr>
              <w:t>37971</w:t>
            </w:r>
          </w:p>
        </w:tc>
        <w:tc>
          <w:tcPr>
            <w:tcW w:w="888" w:type="dxa"/>
            <w:tcBorders>
              <w:right w:val="single" w:sz="4" w:space="0" w:color="000000"/>
            </w:tcBorders>
          </w:tcPr>
          <w:p>
            <w:pPr>
              <w:pStyle w:val="TableParagraph"/>
              <w:spacing w:line="243" w:lineRule="exact" w:before="37"/>
              <w:ind w:left="265"/>
              <w:jc w:val="left"/>
              <w:rPr>
                <w:rFonts w:ascii="Calibri"/>
                <w:sz w:val="20"/>
              </w:rPr>
            </w:pPr>
            <w:r>
              <w:rPr>
                <w:rFonts w:ascii="Calibri"/>
                <w:sz w:val="20"/>
              </w:rPr>
              <w:t>825</w:t>
            </w:r>
          </w:p>
        </w:tc>
        <w:tc>
          <w:tcPr>
            <w:tcW w:w="670" w:type="dxa"/>
            <w:tcBorders>
              <w:left w:val="single" w:sz="4" w:space="0" w:color="000000"/>
            </w:tcBorders>
          </w:tcPr>
          <w:p>
            <w:pPr>
              <w:pStyle w:val="TableParagraph"/>
              <w:spacing w:line="226" w:lineRule="exact"/>
              <w:ind w:left="169" w:right="141"/>
              <w:rPr>
                <w:rFonts w:ascii="Calibri"/>
                <w:sz w:val="20"/>
              </w:rPr>
            </w:pPr>
            <w:r>
              <w:rPr>
                <w:rFonts w:ascii="Calibri"/>
                <w:sz w:val="20"/>
              </w:rPr>
              <w:t>-4.1</w:t>
            </w:r>
          </w:p>
        </w:tc>
        <w:tc>
          <w:tcPr>
            <w:tcW w:w="1056" w:type="dxa"/>
          </w:tcPr>
          <w:p>
            <w:pPr>
              <w:pStyle w:val="TableParagraph"/>
              <w:spacing w:line="226" w:lineRule="exact"/>
              <w:ind w:left="57" w:right="50"/>
              <w:rPr>
                <w:rFonts w:ascii="Calibri"/>
                <w:sz w:val="20"/>
              </w:rPr>
            </w:pPr>
            <w:r>
              <w:rPr>
                <w:rFonts w:ascii="Calibri"/>
                <w:sz w:val="20"/>
              </w:rPr>
              <w:t>-14.7</w:t>
            </w:r>
          </w:p>
        </w:tc>
        <w:tc>
          <w:tcPr>
            <w:tcW w:w="684" w:type="dxa"/>
            <w:tcBorders>
              <w:right w:val="single" w:sz="4" w:space="0" w:color="000000"/>
            </w:tcBorders>
          </w:tcPr>
          <w:p>
            <w:pPr>
              <w:pStyle w:val="TableParagraph"/>
              <w:spacing w:line="226" w:lineRule="exact"/>
              <w:ind w:left="130" w:right="153"/>
              <w:rPr>
                <w:rFonts w:ascii="Calibri"/>
                <w:sz w:val="20"/>
              </w:rPr>
            </w:pPr>
            <w:r>
              <w:rPr>
                <w:rFonts w:ascii="Calibri"/>
                <w:sz w:val="20"/>
              </w:rPr>
              <w:t>0.88</w:t>
            </w:r>
          </w:p>
        </w:tc>
        <w:tc>
          <w:tcPr>
            <w:tcW w:w="643" w:type="dxa"/>
            <w:tcBorders>
              <w:left w:val="single" w:sz="4" w:space="0" w:color="000000"/>
            </w:tcBorders>
          </w:tcPr>
          <w:p>
            <w:pPr>
              <w:pStyle w:val="TableParagraph"/>
              <w:jc w:val="left"/>
              <w:rPr>
                <w:rFonts w:ascii="Times New Roman"/>
                <w:sz w:val="20"/>
              </w:rPr>
            </w:pPr>
          </w:p>
        </w:tc>
        <w:tc>
          <w:tcPr>
            <w:tcW w:w="993" w:type="dxa"/>
          </w:tcPr>
          <w:p>
            <w:pPr>
              <w:pStyle w:val="TableParagraph"/>
              <w:jc w:val="left"/>
              <w:rPr>
                <w:rFonts w:ascii="Times New Roman"/>
                <w:sz w:val="20"/>
              </w:rPr>
            </w:pPr>
          </w:p>
        </w:tc>
        <w:tc>
          <w:tcPr>
            <w:tcW w:w="631" w:type="dxa"/>
          </w:tcPr>
          <w:p>
            <w:pPr>
              <w:pStyle w:val="TableParagraph"/>
              <w:jc w:val="left"/>
              <w:rPr>
                <w:rFonts w:ascii="Times New Roman"/>
                <w:sz w:val="20"/>
              </w:rPr>
            </w:pPr>
          </w:p>
        </w:tc>
      </w:tr>
      <w:tr>
        <w:trPr>
          <w:trHeight w:val="300" w:hRule="atLeast"/>
        </w:trPr>
        <w:tc>
          <w:tcPr>
            <w:tcW w:w="761" w:type="dxa"/>
          </w:tcPr>
          <w:p>
            <w:pPr>
              <w:pStyle w:val="TableParagraph"/>
              <w:spacing w:line="243" w:lineRule="exact" w:before="37"/>
              <w:ind w:left="61" w:right="50"/>
              <w:rPr>
                <w:rFonts w:ascii="Calibri"/>
                <w:sz w:val="20"/>
              </w:rPr>
            </w:pPr>
            <w:r>
              <w:rPr>
                <w:rFonts w:ascii="Calibri"/>
                <w:sz w:val="20"/>
              </w:rPr>
              <w:t>220062</w:t>
            </w:r>
          </w:p>
        </w:tc>
        <w:tc>
          <w:tcPr>
            <w:tcW w:w="1248" w:type="dxa"/>
          </w:tcPr>
          <w:p>
            <w:pPr>
              <w:pStyle w:val="TableParagraph"/>
              <w:spacing w:line="243" w:lineRule="exact" w:before="37"/>
              <w:ind w:left="71"/>
              <w:jc w:val="left"/>
              <w:rPr>
                <w:rFonts w:ascii="Calibri"/>
                <w:sz w:val="20"/>
              </w:rPr>
            </w:pPr>
            <w:r>
              <w:rPr>
                <w:rFonts w:ascii="Calibri"/>
                <w:sz w:val="20"/>
              </w:rPr>
              <w:t>Storaa</w:t>
            </w:r>
          </w:p>
        </w:tc>
        <w:tc>
          <w:tcPr>
            <w:tcW w:w="947" w:type="dxa"/>
          </w:tcPr>
          <w:p>
            <w:pPr>
              <w:pStyle w:val="TableParagraph"/>
              <w:spacing w:line="243" w:lineRule="exact" w:before="37"/>
              <w:ind w:right="121"/>
              <w:jc w:val="right"/>
              <w:rPr>
                <w:rFonts w:ascii="Calibri"/>
                <w:sz w:val="20"/>
              </w:rPr>
            </w:pPr>
            <w:r>
              <w:rPr>
                <w:rFonts w:ascii="Calibri"/>
                <w:w w:val="95"/>
                <w:sz w:val="20"/>
              </w:rPr>
              <w:t>61685</w:t>
            </w:r>
          </w:p>
        </w:tc>
        <w:tc>
          <w:tcPr>
            <w:tcW w:w="888" w:type="dxa"/>
            <w:tcBorders>
              <w:right w:val="single" w:sz="4" w:space="0" w:color="000000"/>
            </w:tcBorders>
          </w:tcPr>
          <w:p>
            <w:pPr>
              <w:pStyle w:val="TableParagraph"/>
              <w:spacing w:line="243" w:lineRule="exact" w:before="37"/>
              <w:ind w:left="214"/>
              <w:jc w:val="left"/>
              <w:rPr>
                <w:rFonts w:ascii="Calibri"/>
                <w:sz w:val="20"/>
              </w:rPr>
            </w:pPr>
            <w:r>
              <w:rPr>
                <w:rFonts w:ascii="Calibri"/>
                <w:sz w:val="20"/>
              </w:rPr>
              <w:t>1097</w:t>
            </w:r>
          </w:p>
        </w:tc>
        <w:tc>
          <w:tcPr>
            <w:tcW w:w="670" w:type="dxa"/>
            <w:tcBorders>
              <w:left w:val="single" w:sz="4" w:space="0" w:color="000000"/>
            </w:tcBorders>
          </w:tcPr>
          <w:p>
            <w:pPr>
              <w:pStyle w:val="TableParagraph"/>
              <w:spacing w:line="226" w:lineRule="exact"/>
              <w:ind w:left="167" w:right="141"/>
              <w:rPr>
                <w:rFonts w:ascii="Calibri"/>
                <w:sz w:val="20"/>
              </w:rPr>
            </w:pPr>
            <w:r>
              <w:rPr>
                <w:rFonts w:ascii="Calibri"/>
                <w:sz w:val="20"/>
              </w:rPr>
              <w:t>1.4</w:t>
            </w:r>
          </w:p>
        </w:tc>
        <w:tc>
          <w:tcPr>
            <w:tcW w:w="1056" w:type="dxa"/>
          </w:tcPr>
          <w:p>
            <w:pPr>
              <w:pStyle w:val="TableParagraph"/>
              <w:spacing w:line="226" w:lineRule="exact"/>
              <w:ind w:left="57" w:right="50"/>
              <w:rPr>
                <w:rFonts w:ascii="Calibri"/>
                <w:sz w:val="20"/>
              </w:rPr>
            </w:pPr>
            <w:r>
              <w:rPr>
                <w:rFonts w:ascii="Calibri"/>
                <w:sz w:val="20"/>
              </w:rPr>
              <w:t>-1.4</w:t>
            </w:r>
          </w:p>
        </w:tc>
        <w:tc>
          <w:tcPr>
            <w:tcW w:w="684" w:type="dxa"/>
            <w:tcBorders>
              <w:right w:val="single" w:sz="4" w:space="0" w:color="000000"/>
            </w:tcBorders>
          </w:tcPr>
          <w:p>
            <w:pPr>
              <w:pStyle w:val="TableParagraph"/>
              <w:spacing w:line="226" w:lineRule="exact"/>
              <w:ind w:left="130" w:right="153"/>
              <w:rPr>
                <w:rFonts w:ascii="Calibri"/>
                <w:sz w:val="20"/>
              </w:rPr>
            </w:pPr>
            <w:r>
              <w:rPr>
                <w:rFonts w:ascii="Calibri"/>
                <w:sz w:val="20"/>
              </w:rPr>
              <w:t>0.89</w:t>
            </w:r>
          </w:p>
        </w:tc>
        <w:tc>
          <w:tcPr>
            <w:tcW w:w="643" w:type="dxa"/>
            <w:tcBorders>
              <w:left w:val="single" w:sz="4" w:space="0" w:color="000000"/>
            </w:tcBorders>
          </w:tcPr>
          <w:p>
            <w:pPr>
              <w:pStyle w:val="TableParagraph"/>
              <w:spacing w:line="226" w:lineRule="exact"/>
              <w:ind w:left="84" w:right="31"/>
              <w:rPr>
                <w:rFonts w:ascii="Calibri"/>
                <w:sz w:val="20"/>
              </w:rPr>
            </w:pPr>
            <w:r>
              <w:rPr>
                <w:rFonts w:ascii="Calibri"/>
                <w:sz w:val="20"/>
              </w:rPr>
              <w:t>8.8</w:t>
            </w:r>
          </w:p>
        </w:tc>
        <w:tc>
          <w:tcPr>
            <w:tcW w:w="993" w:type="dxa"/>
          </w:tcPr>
          <w:p>
            <w:pPr>
              <w:pStyle w:val="TableParagraph"/>
              <w:spacing w:line="226" w:lineRule="exact"/>
              <w:ind w:left="45" w:right="32"/>
              <w:rPr>
                <w:rFonts w:ascii="Calibri"/>
                <w:sz w:val="20"/>
              </w:rPr>
            </w:pPr>
            <w:r>
              <w:rPr>
                <w:rFonts w:ascii="Calibri"/>
                <w:sz w:val="20"/>
              </w:rPr>
              <w:t>-2.5</w:t>
            </w:r>
          </w:p>
        </w:tc>
        <w:tc>
          <w:tcPr>
            <w:tcW w:w="631" w:type="dxa"/>
          </w:tcPr>
          <w:p>
            <w:pPr>
              <w:pStyle w:val="TableParagraph"/>
              <w:spacing w:line="226" w:lineRule="exact"/>
              <w:ind w:left="96" w:right="140"/>
              <w:rPr>
                <w:rFonts w:ascii="Calibri"/>
                <w:sz w:val="20"/>
              </w:rPr>
            </w:pPr>
            <w:r>
              <w:rPr>
                <w:rFonts w:ascii="Calibri"/>
                <w:sz w:val="20"/>
              </w:rPr>
              <w:t>0.80</w:t>
            </w:r>
          </w:p>
        </w:tc>
      </w:tr>
      <w:tr>
        <w:trPr>
          <w:trHeight w:val="284" w:hRule="atLeast"/>
        </w:trPr>
        <w:tc>
          <w:tcPr>
            <w:tcW w:w="761" w:type="dxa"/>
            <w:tcBorders>
              <w:bottom w:val="single" w:sz="4" w:space="0" w:color="000000"/>
            </w:tcBorders>
          </w:tcPr>
          <w:p>
            <w:pPr>
              <w:pStyle w:val="TableParagraph"/>
              <w:spacing w:line="225" w:lineRule="exact" w:before="37"/>
              <w:ind w:left="61" w:right="50"/>
              <w:rPr>
                <w:rFonts w:ascii="Calibri"/>
                <w:sz w:val="20"/>
              </w:rPr>
            </w:pPr>
            <w:r>
              <w:rPr>
                <w:rFonts w:ascii="Calibri"/>
                <w:sz w:val="20"/>
              </w:rPr>
              <w:t>220068</w:t>
            </w:r>
          </w:p>
        </w:tc>
        <w:tc>
          <w:tcPr>
            <w:tcW w:w="1248" w:type="dxa"/>
            <w:tcBorders>
              <w:bottom w:val="single" w:sz="4" w:space="0" w:color="000000"/>
            </w:tcBorders>
          </w:tcPr>
          <w:p>
            <w:pPr>
              <w:pStyle w:val="TableParagraph"/>
              <w:spacing w:line="225" w:lineRule="exact" w:before="37"/>
              <w:ind w:left="71"/>
              <w:jc w:val="left"/>
              <w:rPr>
                <w:rFonts w:ascii="Calibri"/>
                <w:sz w:val="20"/>
              </w:rPr>
            </w:pPr>
            <w:r>
              <w:rPr>
                <w:rFonts w:ascii="Calibri"/>
                <w:sz w:val="20"/>
              </w:rPr>
              <w:t>Storaa</w:t>
            </w:r>
          </w:p>
        </w:tc>
        <w:tc>
          <w:tcPr>
            <w:tcW w:w="947" w:type="dxa"/>
            <w:tcBorders>
              <w:bottom w:val="single" w:sz="4" w:space="0" w:color="000000"/>
            </w:tcBorders>
          </w:tcPr>
          <w:p>
            <w:pPr>
              <w:pStyle w:val="TableParagraph"/>
              <w:spacing w:line="225" w:lineRule="exact" w:before="37"/>
              <w:ind w:right="121"/>
              <w:jc w:val="right"/>
              <w:rPr>
                <w:rFonts w:ascii="Calibri"/>
                <w:sz w:val="20"/>
              </w:rPr>
            </w:pPr>
            <w:r>
              <w:rPr>
                <w:rFonts w:ascii="Calibri"/>
                <w:w w:val="95"/>
                <w:sz w:val="20"/>
              </w:rPr>
              <w:t>-24887</w:t>
            </w:r>
          </w:p>
        </w:tc>
        <w:tc>
          <w:tcPr>
            <w:tcW w:w="888" w:type="dxa"/>
            <w:tcBorders>
              <w:bottom w:val="single" w:sz="4" w:space="0" w:color="000000"/>
              <w:right w:val="single" w:sz="4" w:space="0" w:color="000000"/>
            </w:tcBorders>
          </w:tcPr>
          <w:p>
            <w:pPr>
              <w:pStyle w:val="TableParagraph"/>
              <w:spacing w:line="225" w:lineRule="exact" w:before="37"/>
              <w:ind w:left="169" w:right="216"/>
              <w:rPr>
                <w:rFonts w:ascii="Calibri"/>
                <w:sz w:val="20"/>
              </w:rPr>
            </w:pPr>
            <w:r>
              <w:rPr>
                <w:rFonts w:ascii="Calibri"/>
                <w:sz w:val="20"/>
              </w:rPr>
              <w:t>64</w:t>
            </w:r>
          </w:p>
        </w:tc>
        <w:tc>
          <w:tcPr>
            <w:tcW w:w="670" w:type="dxa"/>
            <w:tcBorders>
              <w:left w:val="single" w:sz="4" w:space="0" w:color="000000"/>
              <w:bottom w:val="single" w:sz="4" w:space="0" w:color="000000"/>
            </w:tcBorders>
          </w:tcPr>
          <w:p>
            <w:pPr>
              <w:pStyle w:val="TableParagraph"/>
              <w:spacing w:line="226" w:lineRule="exact"/>
              <w:ind w:left="167" w:right="141"/>
              <w:rPr>
                <w:rFonts w:ascii="Calibri"/>
                <w:sz w:val="20"/>
              </w:rPr>
            </w:pPr>
            <w:r>
              <w:rPr>
                <w:rFonts w:ascii="Calibri"/>
                <w:sz w:val="20"/>
              </w:rPr>
              <w:t>0.6</w:t>
            </w:r>
          </w:p>
        </w:tc>
        <w:tc>
          <w:tcPr>
            <w:tcW w:w="1056" w:type="dxa"/>
            <w:tcBorders>
              <w:bottom w:val="single" w:sz="4" w:space="0" w:color="000000"/>
            </w:tcBorders>
          </w:tcPr>
          <w:p>
            <w:pPr>
              <w:pStyle w:val="TableParagraph"/>
              <w:spacing w:line="226" w:lineRule="exact"/>
              <w:ind w:left="56" w:right="51"/>
              <w:rPr>
                <w:rFonts w:ascii="Calibri"/>
                <w:sz w:val="20"/>
              </w:rPr>
            </w:pPr>
            <w:r>
              <w:rPr>
                <w:rFonts w:ascii="Calibri"/>
                <w:sz w:val="20"/>
              </w:rPr>
              <w:t>15.5</w:t>
            </w:r>
          </w:p>
        </w:tc>
        <w:tc>
          <w:tcPr>
            <w:tcW w:w="684" w:type="dxa"/>
            <w:tcBorders>
              <w:bottom w:val="single" w:sz="4" w:space="0" w:color="000000"/>
              <w:right w:val="single" w:sz="4" w:space="0" w:color="000000"/>
            </w:tcBorders>
          </w:tcPr>
          <w:p>
            <w:pPr>
              <w:pStyle w:val="TableParagraph"/>
              <w:spacing w:line="226" w:lineRule="exact"/>
              <w:ind w:left="130" w:right="153"/>
              <w:rPr>
                <w:rFonts w:ascii="Calibri"/>
                <w:sz w:val="20"/>
              </w:rPr>
            </w:pPr>
            <w:r>
              <w:rPr>
                <w:rFonts w:ascii="Calibri"/>
                <w:sz w:val="20"/>
              </w:rPr>
              <w:t>0.62</w:t>
            </w:r>
          </w:p>
        </w:tc>
        <w:tc>
          <w:tcPr>
            <w:tcW w:w="643" w:type="dxa"/>
            <w:tcBorders>
              <w:left w:val="single" w:sz="4" w:space="0" w:color="000000"/>
              <w:bottom w:val="single" w:sz="4" w:space="0" w:color="000000"/>
            </w:tcBorders>
          </w:tcPr>
          <w:p>
            <w:pPr>
              <w:pStyle w:val="TableParagraph"/>
              <w:jc w:val="left"/>
              <w:rPr>
                <w:rFonts w:ascii="Times New Roman"/>
                <w:sz w:val="20"/>
              </w:rPr>
            </w:pPr>
          </w:p>
        </w:tc>
        <w:tc>
          <w:tcPr>
            <w:tcW w:w="993" w:type="dxa"/>
            <w:tcBorders>
              <w:bottom w:val="single" w:sz="4" w:space="0" w:color="000000"/>
            </w:tcBorders>
          </w:tcPr>
          <w:p>
            <w:pPr>
              <w:pStyle w:val="TableParagraph"/>
              <w:jc w:val="left"/>
              <w:rPr>
                <w:rFonts w:ascii="Times New Roman"/>
                <w:sz w:val="20"/>
              </w:rPr>
            </w:pPr>
          </w:p>
        </w:tc>
        <w:tc>
          <w:tcPr>
            <w:tcW w:w="631" w:type="dxa"/>
            <w:tcBorders>
              <w:bottom w:val="single" w:sz="4" w:space="0" w:color="000000"/>
            </w:tcBorders>
          </w:tcPr>
          <w:p>
            <w:pPr>
              <w:pStyle w:val="TableParagraph"/>
              <w:jc w:val="left"/>
              <w:rPr>
                <w:rFonts w:ascii="Times New Roman"/>
                <w:sz w:val="20"/>
              </w:rPr>
            </w:pPr>
          </w:p>
        </w:tc>
      </w:tr>
    </w:tbl>
    <w:p>
      <w:pPr>
        <w:pStyle w:val="BodyText"/>
        <w:spacing w:before="6"/>
        <w:rPr>
          <w:rFonts w:ascii="Calibri"/>
          <w:i/>
          <w:sz w:val="23"/>
        </w:rPr>
      </w:pPr>
    </w:p>
    <w:p>
      <w:pPr>
        <w:spacing w:before="0"/>
        <w:ind w:left="525" w:right="0" w:firstLine="0"/>
        <w:jc w:val="both"/>
        <w:rPr>
          <w:rFonts w:ascii="Calibri" w:hAnsi="Calibri"/>
          <w:i/>
          <w:sz w:val="18"/>
        </w:rPr>
      </w:pPr>
      <w:r>
        <w:rPr>
          <w:rFonts w:ascii="Calibri" w:hAnsi="Calibri"/>
          <w:i/>
          <w:color w:val="44536A"/>
          <w:sz w:val="18"/>
        </w:rPr>
        <w:t>Tabel 10 Performance statistik for vandføring for Storå for </w:t>
      </w:r>
      <w:r>
        <w:rPr>
          <w:rFonts w:ascii="Calibri" w:hAnsi="Calibri"/>
          <w:b/>
          <w:i/>
          <w:color w:val="44536A"/>
          <w:sz w:val="18"/>
        </w:rPr>
        <w:t>100 m_Jup </w:t>
      </w:r>
      <w:r>
        <w:rPr>
          <w:rFonts w:ascii="Calibri" w:hAnsi="Calibri"/>
          <w:i/>
          <w:color w:val="44536A"/>
          <w:sz w:val="18"/>
        </w:rPr>
        <w:t>modellen.</w:t>
      </w:r>
    </w:p>
    <w:p>
      <w:pPr>
        <w:pStyle w:val="BodyText"/>
        <w:spacing w:before="4"/>
        <w:rPr>
          <w:rFonts w:ascii="Calibri"/>
          <w:i/>
          <w:sz w:val="24"/>
        </w:rPr>
      </w:pPr>
    </w:p>
    <w:tbl>
      <w:tblPr>
        <w:tblW w:w="0" w:type="auto"/>
        <w:jc w:val="left"/>
        <w:tblInd w:w="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61"/>
        <w:gridCol w:w="1248"/>
        <w:gridCol w:w="947"/>
        <w:gridCol w:w="888"/>
        <w:gridCol w:w="670"/>
        <w:gridCol w:w="1056"/>
        <w:gridCol w:w="684"/>
        <w:gridCol w:w="643"/>
        <w:gridCol w:w="993"/>
        <w:gridCol w:w="631"/>
      </w:tblGrid>
      <w:tr>
        <w:trPr>
          <w:trHeight w:val="202" w:hRule="atLeast"/>
        </w:trPr>
        <w:tc>
          <w:tcPr>
            <w:tcW w:w="2009" w:type="dxa"/>
            <w:gridSpan w:val="2"/>
          </w:tcPr>
          <w:p>
            <w:pPr>
              <w:pStyle w:val="TableParagraph"/>
              <w:spacing w:line="182" w:lineRule="exact"/>
              <w:ind w:left="83"/>
              <w:jc w:val="left"/>
              <w:rPr>
                <w:rFonts w:ascii="Calibri"/>
                <w:b/>
                <w:sz w:val="20"/>
              </w:rPr>
            </w:pPr>
            <w:r>
              <w:rPr>
                <w:rFonts w:ascii="Calibri"/>
                <w:b/>
                <w:sz w:val="20"/>
              </w:rPr>
              <w:t>100m_Jup</w:t>
            </w:r>
          </w:p>
        </w:tc>
        <w:tc>
          <w:tcPr>
            <w:tcW w:w="947" w:type="dxa"/>
          </w:tcPr>
          <w:p>
            <w:pPr>
              <w:pStyle w:val="TableParagraph"/>
              <w:jc w:val="left"/>
              <w:rPr>
                <w:rFonts w:ascii="Times New Roman"/>
                <w:sz w:val="14"/>
              </w:rPr>
            </w:pPr>
          </w:p>
        </w:tc>
        <w:tc>
          <w:tcPr>
            <w:tcW w:w="888" w:type="dxa"/>
          </w:tcPr>
          <w:p>
            <w:pPr>
              <w:pStyle w:val="TableParagraph"/>
              <w:jc w:val="left"/>
              <w:rPr>
                <w:rFonts w:ascii="Times New Roman"/>
                <w:sz w:val="14"/>
              </w:rPr>
            </w:pPr>
          </w:p>
        </w:tc>
        <w:tc>
          <w:tcPr>
            <w:tcW w:w="670" w:type="dxa"/>
          </w:tcPr>
          <w:p>
            <w:pPr>
              <w:pStyle w:val="TableParagraph"/>
              <w:jc w:val="left"/>
              <w:rPr>
                <w:rFonts w:ascii="Times New Roman"/>
                <w:sz w:val="14"/>
              </w:rPr>
            </w:pPr>
          </w:p>
        </w:tc>
        <w:tc>
          <w:tcPr>
            <w:tcW w:w="1056" w:type="dxa"/>
          </w:tcPr>
          <w:p>
            <w:pPr>
              <w:pStyle w:val="TableParagraph"/>
              <w:spacing w:line="182" w:lineRule="exact"/>
              <w:ind w:left="57" w:right="51"/>
              <w:rPr>
                <w:rFonts w:ascii="Calibri"/>
                <w:b/>
                <w:sz w:val="20"/>
              </w:rPr>
            </w:pPr>
            <w:r>
              <w:rPr>
                <w:rFonts w:ascii="Calibri"/>
                <w:b/>
                <w:sz w:val="20"/>
              </w:rPr>
              <w:t>Kalibrering</w:t>
            </w:r>
          </w:p>
        </w:tc>
        <w:tc>
          <w:tcPr>
            <w:tcW w:w="684" w:type="dxa"/>
          </w:tcPr>
          <w:p>
            <w:pPr>
              <w:pStyle w:val="TableParagraph"/>
              <w:jc w:val="left"/>
              <w:rPr>
                <w:rFonts w:ascii="Times New Roman"/>
                <w:sz w:val="14"/>
              </w:rPr>
            </w:pPr>
          </w:p>
        </w:tc>
        <w:tc>
          <w:tcPr>
            <w:tcW w:w="643" w:type="dxa"/>
          </w:tcPr>
          <w:p>
            <w:pPr>
              <w:pStyle w:val="TableParagraph"/>
              <w:jc w:val="left"/>
              <w:rPr>
                <w:rFonts w:ascii="Times New Roman"/>
                <w:sz w:val="14"/>
              </w:rPr>
            </w:pPr>
          </w:p>
        </w:tc>
        <w:tc>
          <w:tcPr>
            <w:tcW w:w="993" w:type="dxa"/>
          </w:tcPr>
          <w:p>
            <w:pPr>
              <w:pStyle w:val="TableParagraph"/>
              <w:spacing w:line="182" w:lineRule="exact"/>
              <w:ind w:left="45" w:right="61"/>
              <w:rPr>
                <w:rFonts w:ascii="Calibri"/>
                <w:b/>
                <w:sz w:val="20"/>
              </w:rPr>
            </w:pPr>
            <w:r>
              <w:rPr>
                <w:rFonts w:ascii="Calibri"/>
                <w:b/>
                <w:sz w:val="20"/>
              </w:rPr>
              <w:t>Validering</w:t>
            </w:r>
          </w:p>
        </w:tc>
        <w:tc>
          <w:tcPr>
            <w:tcW w:w="631" w:type="dxa"/>
          </w:tcPr>
          <w:p>
            <w:pPr>
              <w:pStyle w:val="TableParagraph"/>
              <w:jc w:val="left"/>
              <w:rPr>
                <w:rFonts w:ascii="Times New Roman"/>
                <w:sz w:val="14"/>
              </w:rPr>
            </w:pPr>
          </w:p>
        </w:tc>
      </w:tr>
      <w:tr>
        <w:trPr>
          <w:trHeight w:val="489" w:hRule="atLeast"/>
        </w:trPr>
        <w:tc>
          <w:tcPr>
            <w:tcW w:w="761" w:type="dxa"/>
            <w:tcBorders>
              <w:bottom w:val="single" w:sz="4" w:space="0" w:color="000000"/>
            </w:tcBorders>
          </w:tcPr>
          <w:p>
            <w:pPr>
              <w:pStyle w:val="TableParagraph"/>
              <w:spacing w:before="2"/>
              <w:jc w:val="left"/>
              <w:rPr>
                <w:rFonts w:ascii="Calibri"/>
                <w:i/>
                <w:sz w:val="20"/>
              </w:rPr>
            </w:pPr>
          </w:p>
          <w:p>
            <w:pPr>
              <w:pStyle w:val="TableParagraph"/>
              <w:spacing w:line="223" w:lineRule="exact"/>
              <w:ind w:left="36" w:right="50"/>
              <w:rPr>
                <w:rFonts w:ascii="Calibri"/>
                <w:sz w:val="20"/>
              </w:rPr>
            </w:pPr>
            <w:r>
              <w:rPr>
                <w:rFonts w:ascii="Calibri"/>
                <w:sz w:val="20"/>
              </w:rPr>
              <w:t>Station</w:t>
            </w:r>
          </w:p>
        </w:tc>
        <w:tc>
          <w:tcPr>
            <w:tcW w:w="1248" w:type="dxa"/>
            <w:tcBorders>
              <w:bottom w:val="single" w:sz="4" w:space="0" w:color="000000"/>
            </w:tcBorders>
          </w:tcPr>
          <w:p>
            <w:pPr>
              <w:pStyle w:val="TableParagraph"/>
              <w:spacing w:before="2"/>
              <w:jc w:val="left"/>
              <w:rPr>
                <w:rFonts w:ascii="Calibri"/>
                <w:i/>
                <w:sz w:val="20"/>
              </w:rPr>
            </w:pPr>
          </w:p>
          <w:p>
            <w:pPr>
              <w:pStyle w:val="TableParagraph"/>
              <w:spacing w:line="223" w:lineRule="exact"/>
              <w:ind w:left="71"/>
              <w:jc w:val="left"/>
              <w:rPr>
                <w:rFonts w:ascii="Calibri"/>
                <w:sz w:val="20"/>
              </w:rPr>
            </w:pPr>
            <w:r>
              <w:rPr>
                <w:rFonts w:ascii="Calibri"/>
                <w:sz w:val="20"/>
              </w:rPr>
              <w:t>Branch</w:t>
            </w:r>
          </w:p>
        </w:tc>
        <w:tc>
          <w:tcPr>
            <w:tcW w:w="947" w:type="dxa"/>
            <w:tcBorders>
              <w:bottom w:val="single" w:sz="4" w:space="0" w:color="000000"/>
            </w:tcBorders>
          </w:tcPr>
          <w:p>
            <w:pPr>
              <w:pStyle w:val="TableParagraph"/>
              <w:spacing w:before="2"/>
              <w:jc w:val="left"/>
              <w:rPr>
                <w:rFonts w:ascii="Calibri"/>
                <w:i/>
                <w:sz w:val="20"/>
              </w:rPr>
            </w:pPr>
          </w:p>
          <w:p>
            <w:pPr>
              <w:pStyle w:val="TableParagraph"/>
              <w:spacing w:line="223" w:lineRule="exact"/>
              <w:ind w:left="77"/>
              <w:jc w:val="left"/>
              <w:rPr>
                <w:rFonts w:ascii="Calibri"/>
                <w:sz w:val="20"/>
              </w:rPr>
            </w:pPr>
            <w:r>
              <w:rPr>
                <w:rFonts w:ascii="Calibri"/>
                <w:sz w:val="20"/>
              </w:rPr>
              <w:t>Chainage</w:t>
            </w:r>
          </w:p>
        </w:tc>
        <w:tc>
          <w:tcPr>
            <w:tcW w:w="888" w:type="dxa"/>
            <w:tcBorders>
              <w:bottom w:val="single" w:sz="4" w:space="0" w:color="000000"/>
              <w:right w:val="single" w:sz="4" w:space="0" w:color="000000"/>
            </w:tcBorders>
          </w:tcPr>
          <w:p>
            <w:pPr>
              <w:pStyle w:val="TableParagraph"/>
              <w:spacing w:line="240" w:lineRule="atLeast" w:before="1"/>
              <w:ind w:left="202" w:right="153" w:hanging="82"/>
              <w:jc w:val="left"/>
              <w:rPr>
                <w:rFonts w:ascii="Calibri"/>
                <w:sz w:val="20"/>
              </w:rPr>
            </w:pPr>
            <w:r>
              <w:rPr>
                <w:rFonts w:ascii="Calibri"/>
                <w:sz w:val="20"/>
              </w:rPr>
              <w:t>Opland [km2]</w:t>
            </w:r>
          </w:p>
        </w:tc>
        <w:tc>
          <w:tcPr>
            <w:tcW w:w="670" w:type="dxa"/>
            <w:tcBorders>
              <w:left w:val="single" w:sz="4" w:space="0" w:color="000000"/>
              <w:bottom w:val="single" w:sz="4" w:space="0" w:color="000000"/>
            </w:tcBorders>
          </w:tcPr>
          <w:p>
            <w:pPr>
              <w:pStyle w:val="TableParagraph"/>
              <w:spacing w:line="240" w:lineRule="atLeast" w:before="1"/>
              <w:ind w:left="214" w:right="145" w:hanging="22"/>
              <w:jc w:val="left"/>
              <w:rPr>
                <w:rFonts w:ascii="Calibri"/>
                <w:sz w:val="20"/>
              </w:rPr>
            </w:pPr>
            <w:r>
              <w:rPr>
                <w:rFonts w:ascii="Calibri"/>
                <w:sz w:val="20"/>
              </w:rPr>
              <w:t>fbal [%]</w:t>
            </w:r>
          </w:p>
        </w:tc>
        <w:tc>
          <w:tcPr>
            <w:tcW w:w="1056" w:type="dxa"/>
            <w:tcBorders>
              <w:bottom w:val="single" w:sz="4" w:space="0" w:color="000000"/>
            </w:tcBorders>
          </w:tcPr>
          <w:p>
            <w:pPr>
              <w:pStyle w:val="TableParagraph"/>
              <w:spacing w:line="240" w:lineRule="atLeast" w:before="1"/>
              <w:ind w:left="399" w:right="133" w:hanging="241"/>
              <w:jc w:val="left"/>
              <w:rPr>
                <w:rFonts w:ascii="Calibri"/>
                <w:sz w:val="20"/>
              </w:rPr>
            </w:pPr>
            <w:r>
              <w:rPr>
                <w:rFonts w:ascii="Calibri"/>
                <w:position w:val="1"/>
                <w:sz w:val="20"/>
              </w:rPr>
              <w:t>fbal</w:t>
            </w:r>
            <w:r>
              <w:rPr>
                <w:rFonts w:ascii="Calibri"/>
                <w:sz w:val="13"/>
              </w:rPr>
              <w:t>sommer </w:t>
            </w:r>
            <w:r>
              <w:rPr>
                <w:rFonts w:ascii="Calibri"/>
                <w:sz w:val="20"/>
              </w:rPr>
              <w:t>[%]</w:t>
            </w:r>
          </w:p>
        </w:tc>
        <w:tc>
          <w:tcPr>
            <w:tcW w:w="684" w:type="dxa"/>
            <w:tcBorders>
              <w:bottom w:val="single" w:sz="4" w:space="0" w:color="000000"/>
              <w:right w:val="single" w:sz="4" w:space="0" w:color="000000"/>
            </w:tcBorders>
          </w:tcPr>
          <w:p>
            <w:pPr>
              <w:pStyle w:val="TableParagraph"/>
              <w:spacing w:line="240" w:lineRule="atLeast" w:before="1"/>
              <w:ind w:left="236" w:right="189" w:hanging="68"/>
              <w:jc w:val="left"/>
              <w:rPr>
                <w:rFonts w:ascii="Calibri"/>
                <w:sz w:val="20"/>
              </w:rPr>
            </w:pPr>
            <w:r>
              <w:rPr>
                <w:rFonts w:ascii="Calibri"/>
                <w:sz w:val="20"/>
              </w:rPr>
              <w:t>NSE [-]</w:t>
            </w:r>
          </w:p>
        </w:tc>
        <w:tc>
          <w:tcPr>
            <w:tcW w:w="643" w:type="dxa"/>
            <w:tcBorders>
              <w:left w:val="single" w:sz="4" w:space="0" w:color="000000"/>
              <w:bottom w:val="single" w:sz="4" w:space="0" w:color="000000"/>
            </w:tcBorders>
          </w:tcPr>
          <w:p>
            <w:pPr>
              <w:pStyle w:val="TableParagraph"/>
              <w:spacing w:line="240" w:lineRule="atLeast" w:before="1"/>
              <w:ind w:left="214" w:right="118" w:hanging="22"/>
              <w:jc w:val="left"/>
              <w:rPr>
                <w:rFonts w:ascii="Calibri"/>
                <w:sz w:val="20"/>
              </w:rPr>
            </w:pPr>
            <w:r>
              <w:rPr>
                <w:rFonts w:ascii="Calibri"/>
                <w:sz w:val="20"/>
              </w:rPr>
              <w:t>fbal [%]</w:t>
            </w:r>
          </w:p>
        </w:tc>
        <w:tc>
          <w:tcPr>
            <w:tcW w:w="993" w:type="dxa"/>
            <w:tcBorders>
              <w:bottom w:val="single" w:sz="4" w:space="0" w:color="000000"/>
            </w:tcBorders>
          </w:tcPr>
          <w:p>
            <w:pPr>
              <w:pStyle w:val="TableParagraph"/>
              <w:spacing w:line="240" w:lineRule="atLeast" w:before="1"/>
              <w:ind w:left="371" w:hanging="238"/>
              <w:jc w:val="left"/>
              <w:rPr>
                <w:rFonts w:ascii="Calibri"/>
                <w:sz w:val="20"/>
              </w:rPr>
            </w:pPr>
            <w:r>
              <w:rPr>
                <w:rFonts w:ascii="Calibri"/>
                <w:w w:val="95"/>
                <w:position w:val="1"/>
                <w:sz w:val="20"/>
              </w:rPr>
              <w:t>fbal</w:t>
            </w:r>
            <w:r>
              <w:rPr>
                <w:rFonts w:ascii="Calibri"/>
                <w:w w:val="95"/>
                <w:sz w:val="13"/>
              </w:rPr>
              <w:t>sommer </w:t>
            </w:r>
            <w:r>
              <w:rPr>
                <w:rFonts w:ascii="Calibri"/>
                <w:sz w:val="20"/>
              </w:rPr>
              <w:t>[%]</w:t>
            </w:r>
          </w:p>
        </w:tc>
        <w:tc>
          <w:tcPr>
            <w:tcW w:w="631" w:type="dxa"/>
            <w:tcBorders>
              <w:bottom w:val="single" w:sz="4" w:space="0" w:color="000000"/>
            </w:tcBorders>
          </w:tcPr>
          <w:p>
            <w:pPr>
              <w:pStyle w:val="TableParagraph"/>
              <w:spacing w:line="240" w:lineRule="atLeast" w:before="1"/>
              <w:ind w:left="199" w:right="178" w:hanging="68"/>
              <w:jc w:val="left"/>
              <w:rPr>
                <w:rFonts w:ascii="Calibri"/>
                <w:sz w:val="20"/>
              </w:rPr>
            </w:pPr>
            <w:r>
              <w:rPr>
                <w:rFonts w:ascii="Calibri"/>
                <w:sz w:val="20"/>
              </w:rPr>
              <w:t>NSE [-]</w:t>
            </w:r>
          </w:p>
        </w:tc>
      </w:tr>
      <w:tr>
        <w:trPr>
          <w:trHeight w:val="318" w:hRule="atLeast"/>
        </w:trPr>
        <w:tc>
          <w:tcPr>
            <w:tcW w:w="761" w:type="dxa"/>
            <w:tcBorders>
              <w:top w:val="single" w:sz="4" w:space="0" w:color="000000"/>
            </w:tcBorders>
          </w:tcPr>
          <w:p>
            <w:pPr>
              <w:pStyle w:val="TableParagraph"/>
              <w:spacing w:line="242" w:lineRule="exact" w:before="56"/>
              <w:ind w:left="61" w:right="50"/>
              <w:rPr>
                <w:rFonts w:ascii="Calibri"/>
                <w:sz w:val="20"/>
              </w:rPr>
            </w:pPr>
            <w:r>
              <w:rPr>
                <w:rFonts w:ascii="Calibri"/>
                <w:sz w:val="20"/>
              </w:rPr>
              <w:t>220048</w:t>
            </w:r>
          </w:p>
        </w:tc>
        <w:tc>
          <w:tcPr>
            <w:tcW w:w="1248" w:type="dxa"/>
            <w:tcBorders>
              <w:top w:val="single" w:sz="4" w:space="0" w:color="000000"/>
            </w:tcBorders>
          </w:tcPr>
          <w:p>
            <w:pPr>
              <w:pStyle w:val="TableParagraph"/>
              <w:spacing w:line="242" w:lineRule="exact" w:before="56"/>
              <w:ind w:left="71"/>
              <w:jc w:val="left"/>
              <w:rPr>
                <w:rFonts w:ascii="Calibri" w:hAnsi="Calibri"/>
                <w:sz w:val="20"/>
              </w:rPr>
            </w:pPr>
            <w:r>
              <w:rPr>
                <w:rFonts w:ascii="Calibri" w:hAnsi="Calibri"/>
                <w:sz w:val="20"/>
              </w:rPr>
              <w:t>Idom Å</w:t>
            </w:r>
          </w:p>
        </w:tc>
        <w:tc>
          <w:tcPr>
            <w:tcW w:w="947" w:type="dxa"/>
            <w:tcBorders>
              <w:top w:val="single" w:sz="4" w:space="0" w:color="000000"/>
            </w:tcBorders>
          </w:tcPr>
          <w:p>
            <w:pPr>
              <w:pStyle w:val="TableParagraph"/>
              <w:spacing w:line="242" w:lineRule="exact" w:before="56"/>
              <w:ind w:left="77"/>
              <w:jc w:val="left"/>
              <w:rPr>
                <w:rFonts w:ascii="Calibri"/>
                <w:sz w:val="20"/>
              </w:rPr>
            </w:pPr>
            <w:r>
              <w:rPr>
                <w:rFonts w:ascii="Calibri"/>
                <w:sz w:val="20"/>
              </w:rPr>
              <w:t>11125</w:t>
            </w:r>
          </w:p>
        </w:tc>
        <w:tc>
          <w:tcPr>
            <w:tcW w:w="888" w:type="dxa"/>
            <w:tcBorders>
              <w:top w:val="single" w:sz="4" w:space="0" w:color="000000"/>
              <w:right w:val="single" w:sz="4" w:space="0" w:color="000000"/>
            </w:tcBorders>
          </w:tcPr>
          <w:p>
            <w:pPr>
              <w:pStyle w:val="TableParagraph"/>
              <w:spacing w:line="242" w:lineRule="exact" w:before="56"/>
              <w:ind w:left="169" w:right="216"/>
              <w:rPr>
                <w:rFonts w:ascii="Calibri"/>
                <w:sz w:val="20"/>
              </w:rPr>
            </w:pPr>
            <w:r>
              <w:rPr>
                <w:rFonts w:ascii="Calibri"/>
                <w:sz w:val="20"/>
              </w:rPr>
              <w:t>22</w:t>
            </w:r>
          </w:p>
        </w:tc>
        <w:tc>
          <w:tcPr>
            <w:tcW w:w="670" w:type="dxa"/>
            <w:tcBorders>
              <w:top w:val="single" w:sz="4" w:space="0" w:color="000000"/>
              <w:left w:val="single" w:sz="4" w:space="0" w:color="000000"/>
            </w:tcBorders>
          </w:tcPr>
          <w:p>
            <w:pPr>
              <w:pStyle w:val="TableParagraph"/>
              <w:spacing w:line="243" w:lineRule="exact"/>
              <w:ind w:left="167" w:right="141"/>
              <w:rPr>
                <w:rFonts w:ascii="Calibri"/>
                <w:sz w:val="20"/>
              </w:rPr>
            </w:pPr>
            <w:r>
              <w:rPr>
                <w:rFonts w:ascii="Calibri"/>
                <w:sz w:val="20"/>
              </w:rPr>
              <w:t>2.9</w:t>
            </w:r>
          </w:p>
        </w:tc>
        <w:tc>
          <w:tcPr>
            <w:tcW w:w="1056" w:type="dxa"/>
            <w:tcBorders>
              <w:top w:val="single" w:sz="4" w:space="0" w:color="000000"/>
            </w:tcBorders>
          </w:tcPr>
          <w:p>
            <w:pPr>
              <w:pStyle w:val="TableParagraph"/>
              <w:spacing w:line="243" w:lineRule="exact"/>
              <w:ind w:left="56" w:right="51"/>
              <w:rPr>
                <w:rFonts w:ascii="Calibri"/>
                <w:sz w:val="20"/>
              </w:rPr>
            </w:pPr>
            <w:r>
              <w:rPr>
                <w:rFonts w:ascii="Calibri"/>
                <w:sz w:val="20"/>
              </w:rPr>
              <w:t>2.9</w:t>
            </w:r>
          </w:p>
        </w:tc>
        <w:tc>
          <w:tcPr>
            <w:tcW w:w="684" w:type="dxa"/>
            <w:tcBorders>
              <w:top w:val="single" w:sz="4" w:space="0" w:color="000000"/>
              <w:right w:val="single" w:sz="4" w:space="0" w:color="000000"/>
            </w:tcBorders>
          </w:tcPr>
          <w:p>
            <w:pPr>
              <w:pStyle w:val="TableParagraph"/>
              <w:spacing w:line="243" w:lineRule="exact"/>
              <w:ind w:left="130" w:right="153"/>
              <w:rPr>
                <w:rFonts w:ascii="Calibri"/>
                <w:sz w:val="20"/>
              </w:rPr>
            </w:pPr>
            <w:r>
              <w:rPr>
                <w:rFonts w:ascii="Calibri"/>
                <w:sz w:val="20"/>
              </w:rPr>
              <w:t>0.62</w:t>
            </w:r>
          </w:p>
        </w:tc>
        <w:tc>
          <w:tcPr>
            <w:tcW w:w="643" w:type="dxa"/>
            <w:tcBorders>
              <w:top w:val="single" w:sz="4" w:space="0" w:color="000000"/>
              <w:left w:val="single" w:sz="4" w:space="0" w:color="000000"/>
            </w:tcBorders>
          </w:tcPr>
          <w:p>
            <w:pPr>
              <w:pStyle w:val="TableParagraph"/>
              <w:spacing w:line="243" w:lineRule="exact"/>
              <w:ind w:left="84" w:right="31"/>
              <w:rPr>
                <w:rFonts w:ascii="Calibri"/>
                <w:sz w:val="20"/>
              </w:rPr>
            </w:pPr>
            <w:r>
              <w:rPr>
                <w:rFonts w:ascii="Calibri"/>
                <w:sz w:val="20"/>
              </w:rPr>
              <w:t>7.8</w:t>
            </w:r>
          </w:p>
        </w:tc>
        <w:tc>
          <w:tcPr>
            <w:tcW w:w="993" w:type="dxa"/>
            <w:tcBorders>
              <w:top w:val="single" w:sz="4" w:space="0" w:color="000000"/>
            </w:tcBorders>
          </w:tcPr>
          <w:p>
            <w:pPr>
              <w:pStyle w:val="TableParagraph"/>
              <w:spacing w:line="243" w:lineRule="exact"/>
              <w:ind w:left="45" w:right="30"/>
              <w:rPr>
                <w:rFonts w:ascii="Calibri"/>
                <w:sz w:val="20"/>
              </w:rPr>
            </w:pPr>
            <w:r>
              <w:rPr>
                <w:rFonts w:ascii="Calibri"/>
                <w:sz w:val="20"/>
              </w:rPr>
              <w:t>1.2</w:t>
            </w:r>
          </w:p>
        </w:tc>
        <w:tc>
          <w:tcPr>
            <w:tcW w:w="631" w:type="dxa"/>
            <w:tcBorders>
              <w:top w:val="single" w:sz="4" w:space="0" w:color="000000"/>
            </w:tcBorders>
          </w:tcPr>
          <w:p>
            <w:pPr>
              <w:pStyle w:val="TableParagraph"/>
              <w:spacing w:line="243" w:lineRule="exact"/>
              <w:ind w:left="96" w:right="140"/>
              <w:rPr>
                <w:rFonts w:ascii="Calibri"/>
                <w:sz w:val="20"/>
              </w:rPr>
            </w:pPr>
            <w:r>
              <w:rPr>
                <w:rFonts w:ascii="Calibri"/>
                <w:sz w:val="20"/>
              </w:rPr>
              <w:t>0.45</w:t>
            </w:r>
          </w:p>
        </w:tc>
      </w:tr>
      <w:tr>
        <w:trPr>
          <w:trHeight w:val="300" w:hRule="atLeast"/>
        </w:trPr>
        <w:tc>
          <w:tcPr>
            <w:tcW w:w="761" w:type="dxa"/>
          </w:tcPr>
          <w:p>
            <w:pPr>
              <w:pStyle w:val="TableParagraph"/>
              <w:spacing w:line="242" w:lineRule="exact" w:before="38"/>
              <w:ind w:left="61" w:right="50"/>
              <w:rPr>
                <w:rFonts w:ascii="Calibri"/>
                <w:sz w:val="20"/>
              </w:rPr>
            </w:pPr>
            <w:r>
              <w:rPr>
                <w:rFonts w:ascii="Calibri"/>
                <w:sz w:val="20"/>
              </w:rPr>
              <w:t>220050</w:t>
            </w:r>
          </w:p>
        </w:tc>
        <w:tc>
          <w:tcPr>
            <w:tcW w:w="1248" w:type="dxa"/>
          </w:tcPr>
          <w:p>
            <w:pPr>
              <w:pStyle w:val="TableParagraph"/>
              <w:spacing w:line="242" w:lineRule="exact" w:before="38"/>
              <w:ind w:left="71"/>
              <w:jc w:val="left"/>
              <w:rPr>
                <w:rFonts w:ascii="Calibri" w:hAnsi="Calibri"/>
                <w:sz w:val="20"/>
              </w:rPr>
            </w:pPr>
            <w:r>
              <w:rPr>
                <w:rFonts w:ascii="Calibri" w:hAnsi="Calibri"/>
                <w:sz w:val="20"/>
              </w:rPr>
              <w:t>Lilleå</w:t>
            </w:r>
          </w:p>
        </w:tc>
        <w:tc>
          <w:tcPr>
            <w:tcW w:w="947" w:type="dxa"/>
          </w:tcPr>
          <w:p>
            <w:pPr>
              <w:pStyle w:val="TableParagraph"/>
              <w:spacing w:line="242" w:lineRule="exact" w:before="38"/>
              <w:ind w:left="77"/>
              <w:jc w:val="left"/>
              <w:rPr>
                <w:rFonts w:ascii="Calibri"/>
                <w:sz w:val="20"/>
              </w:rPr>
            </w:pPr>
            <w:r>
              <w:rPr>
                <w:rFonts w:ascii="Calibri"/>
                <w:sz w:val="20"/>
              </w:rPr>
              <w:t>21248</w:t>
            </w:r>
          </w:p>
        </w:tc>
        <w:tc>
          <w:tcPr>
            <w:tcW w:w="888" w:type="dxa"/>
            <w:tcBorders>
              <w:right w:val="single" w:sz="4" w:space="0" w:color="000000"/>
            </w:tcBorders>
          </w:tcPr>
          <w:p>
            <w:pPr>
              <w:pStyle w:val="TableParagraph"/>
              <w:spacing w:line="242" w:lineRule="exact" w:before="38"/>
              <w:ind w:left="169" w:right="216"/>
              <w:rPr>
                <w:rFonts w:ascii="Calibri"/>
                <w:sz w:val="20"/>
              </w:rPr>
            </w:pPr>
            <w:r>
              <w:rPr>
                <w:rFonts w:ascii="Calibri"/>
                <w:sz w:val="20"/>
              </w:rPr>
              <w:t>83</w:t>
            </w:r>
          </w:p>
        </w:tc>
        <w:tc>
          <w:tcPr>
            <w:tcW w:w="670" w:type="dxa"/>
            <w:tcBorders>
              <w:left w:val="single" w:sz="4" w:space="0" w:color="000000"/>
            </w:tcBorders>
          </w:tcPr>
          <w:p>
            <w:pPr>
              <w:pStyle w:val="TableParagraph"/>
              <w:spacing w:line="225" w:lineRule="exact"/>
              <w:ind w:left="169" w:right="141"/>
              <w:rPr>
                <w:rFonts w:ascii="Calibri"/>
                <w:sz w:val="20"/>
              </w:rPr>
            </w:pPr>
            <w:r>
              <w:rPr>
                <w:rFonts w:ascii="Calibri"/>
                <w:sz w:val="20"/>
              </w:rPr>
              <w:t>-1.3</w:t>
            </w:r>
          </w:p>
        </w:tc>
        <w:tc>
          <w:tcPr>
            <w:tcW w:w="1056" w:type="dxa"/>
          </w:tcPr>
          <w:p>
            <w:pPr>
              <w:pStyle w:val="TableParagraph"/>
              <w:spacing w:line="225" w:lineRule="exact"/>
              <w:ind w:left="56" w:right="51"/>
              <w:rPr>
                <w:rFonts w:ascii="Calibri"/>
                <w:sz w:val="20"/>
              </w:rPr>
            </w:pPr>
            <w:r>
              <w:rPr>
                <w:rFonts w:ascii="Calibri"/>
                <w:sz w:val="20"/>
              </w:rPr>
              <w:t>1.8</w:t>
            </w:r>
          </w:p>
        </w:tc>
        <w:tc>
          <w:tcPr>
            <w:tcW w:w="684" w:type="dxa"/>
            <w:tcBorders>
              <w:right w:val="single" w:sz="4" w:space="0" w:color="000000"/>
            </w:tcBorders>
          </w:tcPr>
          <w:p>
            <w:pPr>
              <w:pStyle w:val="TableParagraph"/>
              <w:spacing w:line="225" w:lineRule="exact"/>
              <w:ind w:left="130" w:right="153"/>
              <w:rPr>
                <w:rFonts w:ascii="Calibri"/>
                <w:sz w:val="20"/>
              </w:rPr>
            </w:pPr>
            <w:r>
              <w:rPr>
                <w:rFonts w:ascii="Calibri"/>
                <w:sz w:val="20"/>
              </w:rPr>
              <w:t>0.59</w:t>
            </w:r>
          </w:p>
        </w:tc>
        <w:tc>
          <w:tcPr>
            <w:tcW w:w="643" w:type="dxa"/>
            <w:tcBorders>
              <w:left w:val="single" w:sz="4" w:space="0" w:color="000000"/>
            </w:tcBorders>
          </w:tcPr>
          <w:p>
            <w:pPr>
              <w:pStyle w:val="TableParagraph"/>
              <w:spacing w:line="225" w:lineRule="exact"/>
              <w:ind w:left="84" w:right="31"/>
              <w:rPr>
                <w:rFonts w:ascii="Calibri"/>
                <w:sz w:val="20"/>
              </w:rPr>
            </w:pPr>
            <w:r>
              <w:rPr>
                <w:rFonts w:ascii="Calibri"/>
                <w:sz w:val="20"/>
              </w:rPr>
              <w:t>3.2</w:t>
            </w:r>
          </w:p>
        </w:tc>
        <w:tc>
          <w:tcPr>
            <w:tcW w:w="993" w:type="dxa"/>
          </w:tcPr>
          <w:p>
            <w:pPr>
              <w:pStyle w:val="TableParagraph"/>
              <w:spacing w:line="225" w:lineRule="exact"/>
              <w:ind w:left="45" w:right="30"/>
              <w:rPr>
                <w:rFonts w:ascii="Calibri"/>
                <w:sz w:val="20"/>
              </w:rPr>
            </w:pPr>
            <w:r>
              <w:rPr>
                <w:rFonts w:ascii="Calibri"/>
                <w:sz w:val="20"/>
              </w:rPr>
              <w:t>1.4</w:t>
            </w:r>
          </w:p>
        </w:tc>
        <w:tc>
          <w:tcPr>
            <w:tcW w:w="631" w:type="dxa"/>
          </w:tcPr>
          <w:p>
            <w:pPr>
              <w:pStyle w:val="TableParagraph"/>
              <w:spacing w:line="225" w:lineRule="exact"/>
              <w:ind w:left="96" w:right="140"/>
              <w:rPr>
                <w:rFonts w:ascii="Calibri"/>
                <w:sz w:val="20"/>
              </w:rPr>
            </w:pPr>
            <w:r>
              <w:rPr>
                <w:rFonts w:ascii="Calibri"/>
                <w:sz w:val="20"/>
              </w:rPr>
              <w:t>0.74</w:t>
            </w:r>
          </w:p>
        </w:tc>
      </w:tr>
      <w:tr>
        <w:trPr>
          <w:trHeight w:val="299" w:hRule="atLeast"/>
        </w:trPr>
        <w:tc>
          <w:tcPr>
            <w:tcW w:w="761" w:type="dxa"/>
          </w:tcPr>
          <w:p>
            <w:pPr>
              <w:pStyle w:val="TableParagraph"/>
              <w:spacing w:line="242" w:lineRule="exact" w:before="38"/>
              <w:ind w:left="61" w:right="50"/>
              <w:rPr>
                <w:rFonts w:ascii="Calibri"/>
                <w:sz w:val="20"/>
              </w:rPr>
            </w:pPr>
            <w:r>
              <w:rPr>
                <w:rFonts w:ascii="Calibri"/>
                <w:sz w:val="20"/>
              </w:rPr>
              <w:t>220053</w:t>
            </w:r>
          </w:p>
        </w:tc>
        <w:tc>
          <w:tcPr>
            <w:tcW w:w="1248" w:type="dxa"/>
          </w:tcPr>
          <w:p>
            <w:pPr>
              <w:pStyle w:val="TableParagraph"/>
              <w:spacing w:line="242" w:lineRule="exact" w:before="38"/>
              <w:ind w:left="71"/>
              <w:jc w:val="left"/>
              <w:rPr>
                <w:rFonts w:ascii="Calibri" w:hAnsi="Calibri"/>
                <w:sz w:val="20"/>
              </w:rPr>
            </w:pPr>
            <w:r>
              <w:rPr>
                <w:rFonts w:ascii="Calibri" w:hAnsi="Calibri"/>
                <w:sz w:val="20"/>
              </w:rPr>
              <w:t>Sunds Nørreå</w:t>
            </w:r>
          </w:p>
        </w:tc>
        <w:tc>
          <w:tcPr>
            <w:tcW w:w="947" w:type="dxa"/>
          </w:tcPr>
          <w:p>
            <w:pPr>
              <w:pStyle w:val="TableParagraph"/>
              <w:spacing w:line="242" w:lineRule="exact" w:before="38"/>
              <w:ind w:left="77"/>
              <w:jc w:val="left"/>
              <w:rPr>
                <w:rFonts w:ascii="Calibri"/>
                <w:sz w:val="20"/>
              </w:rPr>
            </w:pPr>
            <w:r>
              <w:rPr>
                <w:rFonts w:ascii="Calibri"/>
                <w:sz w:val="20"/>
              </w:rPr>
              <w:t>14620</w:t>
            </w:r>
          </w:p>
        </w:tc>
        <w:tc>
          <w:tcPr>
            <w:tcW w:w="888" w:type="dxa"/>
            <w:tcBorders>
              <w:right w:val="single" w:sz="4" w:space="0" w:color="000000"/>
            </w:tcBorders>
          </w:tcPr>
          <w:p>
            <w:pPr>
              <w:pStyle w:val="TableParagraph"/>
              <w:spacing w:line="242" w:lineRule="exact" w:before="38"/>
              <w:ind w:left="169" w:right="216"/>
              <w:rPr>
                <w:rFonts w:ascii="Calibri"/>
                <w:sz w:val="20"/>
              </w:rPr>
            </w:pPr>
            <w:r>
              <w:rPr>
                <w:rFonts w:ascii="Calibri"/>
                <w:sz w:val="20"/>
              </w:rPr>
              <w:t>48</w:t>
            </w:r>
          </w:p>
        </w:tc>
        <w:tc>
          <w:tcPr>
            <w:tcW w:w="670" w:type="dxa"/>
            <w:tcBorders>
              <w:left w:val="single" w:sz="4" w:space="0" w:color="000000"/>
            </w:tcBorders>
          </w:tcPr>
          <w:p>
            <w:pPr>
              <w:pStyle w:val="TableParagraph"/>
              <w:spacing w:line="225" w:lineRule="exact"/>
              <w:ind w:left="167" w:right="141"/>
              <w:rPr>
                <w:rFonts w:ascii="Calibri"/>
                <w:sz w:val="20"/>
              </w:rPr>
            </w:pPr>
            <w:r>
              <w:rPr>
                <w:rFonts w:ascii="Calibri"/>
                <w:sz w:val="20"/>
              </w:rPr>
              <w:t>2.9</w:t>
            </w:r>
          </w:p>
        </w:tc>
        <w:tc>
          <w:tcPr>
            <w:tcW w:w="1056" w:type="dxa"/>
          </w:tcPr>
          <w:p>
            <w:pPr>
              <w:pStyle w:val="TableParagraph"/>
              <w:spacing w:line="225" w:lineRule="exact"/>
              <w:ind w:left="57" w:right="50"/>
              <w:rPr>
                <w:rFonts w:ascii="Calibri"/>
                <w:sz w:val="20"/>
              </w:rPr>
            </w:pPr>
            <w:r>
              <w:rPr>
                <w:rFonts w:ascii="Calibri"/>
                <w:sz w:val="20"/>
              </w:rPr>
              <w:t>-25.2</w:t>
            </w:r>
          </w:p>
        </w:tc>
        <w:tc>
          <w:tcPr>
            <w:tcW w:w="684" w:type="dxa"/>
            <w:tcBorders>
              <w:right w:val="single" w:sz="4" w:space="0" w:color="000000"/>
            </w:tcBorders>
          </w:tcPr>
          <w:p>
            <w:pPr>
              <w:pStyle w:val="TableParagraph"/>
              <w:spacing w:line="225" w:lineRule="exact"/>
              <w:ind w:left="130" w:right="153"/>
              <w:rPr>
                <w:rFonts w:ascii="Calibri"/>
                <w:sz w:val="20"/>
              </w:rPr>
            </w:pPr>
            <w:r>
              <w:rPr>
                <w:rFonts w:ascii="Calibri"/>
                <w:sz w:val="20"/>
              </w:rPr>
              <w:t>0.88</w:t>
            </w:r>
          </w:p>
        </w:tc>
        <w:tc>
          <w:tcPr>
            <w:tcW w:w="643" w:type="dxa"/>
            <w:tcBorders>
              <w:left w:val="single" w:sz="4" w:space="0" w:color="000000"/>
            </w:tcBorders>
          </w:tcPr>
          <w:p>
            <w:pPr>
              <w:pStyle w:val="TableParagraph"/>
              <w:spacing w:line="225" w:lineRule="exact"/>
              <w:ind w:left="84" w:right="29"/>
              <w:rPr>
                <w:rFonts w:ascii="Calibri"/>
                <w:sz w:val="20"/>
              </w:rPr>
            </w:pPr>
            <w:r>
              <w:rPr>
                <w:rFonts w:ascii="Calibri"/>
                <w:sz w:val="20"/>
              </w:rPr>
              <w:t>-3.7</w:t>
            </w:r>
          </w:p>
        </w:tc>
        <w:tc>
          <w:tcPr>
            <w:tcW w:w="993" w:type="dxa"/>
          </w:tcPr>
          <w:p>
            <w:pPr>
              <w:pStyle w:val="TableParagraph"/>
              <w:spacing w:line="225" w:lineRule="exact"/>
              <w:ind w:left="45" w:right="32"/>
              <w:rPr>
                <w:rFonts w:ascii="Calibri"/>
                <w:sz w:val="20"/>
              </w:rPr>
            </w:pPr>
            <w:r>
              <w:rPr>
                <w:rFonts w:ascii="Calibri"/>
                <w:sz w:val="20"/>
              </w:rPr>
              <w:t>-47.4</w:t>
            </w:r>
          </w:p>
        </w:tc>
        <w:tc>
          <w:tcPr>
            <w:tcW w:w="631" w:type="dxa"/>
          </w:tcPr>
          <w:p>
            <w:pPr>
              <w:pStyle w:val="TableParagraph"/>
              <w:spacing w:line="225" w:lineRule="exact"/>
              <w:ind w:left="96" w:right="140"/>
              <w:rPr>
                <w:rFonts w:ascii="Calibri"/>
                <w:sz w:val="20"/>
              </w:rPr>
            </w:pPr>
            <w:r>
              <w:rPr>
                <w:rFonts w:ascii="Calibri"/>
                <w:sz w:val="20"/>
              </w:rPr>
              <w:t>0.90</w:t>
            </w:r>
          </w:p>
        </w:tc>
      </w:tr>
      <w:tr>
        <w:trPr>
          <w:trHeight w:val="300" w:hRule="atLeast"/>
        </w:trPr>
        <w:tc>
          <w:tcPr>
            <w:tcW w:w="761" w:type="dxa"/>
          </w:tcPr>
          <w:p>
            <w:pPr>
              <w:pStyle w:val="TableParagraph"/>
              <w:spacing w:line="242" w:lineRule="exact" w:before="38"/>
              <w:ind w:left="61" w:right="50"/>
              <w:rPr>
                <w:rFonts w:ascii="Calibri"/>
                <w:sz w:val="20"/>
              </w:rPr>
            </w:pPr>
            <w:r>
              <w:rPr>
                <w:rFonts w:ascii="Calibri"/>
                <w:sz w:val="20"/>
              </w:rPr>
              <w:t>220059</w:t>
            </w:r>
          </w:p>
        </w:tc>
        <w:tc>
          <w:tcPr>
            <w:tcW w:w="1248" w:type="dxa"/>
          </w:tcPr>
          <w:p>
            <w:pPr>
              <w:pStyle w:val="TableParagraph"/>
              <w:spacing w:line="242" w:lineRule="exact" w:before="38"/>
              <w:ind w:left="71"/>
              <w:jc w:val="left"/>
              <w:rPr>
                <w:rFonts w:ascii="Calibri"/>
                <w:sz w:val="20"/>
              </w:rPr>
            </w:pPr>
            <w:r>
              <w:rPr>
                <w:rFonts w:ascii="Calibri"/>
                <w:sz w:val="20"/>
              </w:rPr>
              <w:t>Storaa</w:t>
            </w:r>
          </w:p>
        </w:tc>
        <w:tc>
          <w:tcPr>
            <w:tcW w:w="947" w:type="dxa"/>
          </w:tcPr>
          <w:p>
            <w:pPr>
              <w:pStyle w:val="TableParagraph"/>
              <w:spacing w:line="242" w:lineRule="exact" w:before="38"/>
              <w:ind w:left="77"/>
              <w:jc w:val="left"/>
              <w:rPr>
                <w:rFonts w:ascii="Calibri"/>
                <w:sz w:val="20"/>
              </w:rPr>
            </w:pPr>
            <w:r>
              <w:rPr>
                <w:rFonts w:ascii="Calibri"/>
                <w:sz w:val="20"/>
              </w:rPr>
              <w:t>37971</w:t>
            </w:r>
          </w:p>
        </w:tc>
        <w:tc>
          <w:tcPr>
            <w:tcW w:w="888" w:type="dxa"/>
            <w:tcBorders>
              <w:right w:val="single" w:sz="4" w:space="0" w:color="000000"/>
            </w:tcBorders>
          </w:tcPr>
          <w:p>
            <w:pPr>
              <w:pStyle w:val="TableParagraph"/>
              <w:spacing w:line="242" w:lineRule="exact" w:before="38"/>
              <w:ind w:left="265"/>
              <w:jc w:val="left"/>
              <w:rPr>
                <w:rFonts w:ascii="Calibri"/>
                <w:sz w:val="20"/>
              </w:rPr>
            </w:pPr>
            <w:r>
              <w:rPr>
                <w:rFonts w:ascii="Calibri"/>
                <w:sz w:val="20"/>
              </w:rPr>
              <w:t>825</w:t>
            </w:r>
          </w:p>
        </w:tc>
        <w:tc>
          <w:tcPr>
            <w:tcW w:w="670" w:type="dxa"/>
            <w:tcBorders>
              <w:left w:val="single" w:sz="4" w:space="0" w:color="000000"/>
            </w:tcBorders>
          </w:tcPr>
          <w:p>
            <w:pPr>
              <w:pStyle w:val="TableParagraph"/>
              <w:spacing w:line="225" w:lineRule="exact"/>
              <w:ind w:left="169" w:right="141"/>
              <w:rPr>
                <w:rFonts w:ascii="Calibri"/>
                <w:sz w:val="20"/>
              </w:rPr>
            </w:pPr>
            <w:r>
              <w:rPr>
                <w:rFonts w:ascii="Calibri"/>
                <w:sz w:val="20"/>
              </w:rPr>
              <w:t>-3.8</w:t>
            </w:r>
          </w:p>
        </w:tc>
        <w:tc>
          <w:tcPr>
            <w:tcW w:w="1056" w:type="dxa"/>
          </w:tcPr>
          <w:p>
            <w:pPr>
              <w:pStyle w:val="TableParagraph"/>
              <w:spacing w:line="225" w:lineRule="exact"/>
              <w:ind w:left="57" w:right="50"/>
              <w:rPr>
                <w:rFonts w:ascii="Calibri"/>
                <w:sz w:val="20"/>
              </w:rPr>
            </w:pPr>
            <w:r>
              <w:rPr>
                <w:rFonts w:ascii="Calibri"/>
                <w:sz w:val="20"/>
              </w:rPr>
              <w:t>-14.8</w:t>
            </w:r>
          </w:p>
        </w:tc>
        <w:tc>
          <w:tcPr>
            <w:tcW w:w="684" w:type="dxa"/>
            <w:tcBorders>
              <w:right w:val="single" w:sz="4" w:space="0" w:color="000000"/>
            </w:tcBorders>
          </w:tcPr>
          <w:p>
            <w:pPr>
              <w:pStyle w:val="TableParagraph"/>
              <w:spacing w:line="225" w:lineRule="exact"/>
              <w:ind w:left="130" w:right="153"/>
              <w:rPr>
                <w:rFonts w:ascii="Calibri"/>
                <w:sz w:val="20"/>
              </w:rPr>
            </w:pPr>
            <w:r>
              <w:rPr>
                <w:rFonts w:ascii="Calibri"/>
                <w:sz w:val="20"/>
              </w:rPr>
              <w:t>0.88</w:t>
            </w:r>
          </w:p>
        </w:tc>
        <w:tc>
          <w:tcPr>
            <w:tcW w:w="643" w:type="dxa"/>
            <w:tcBorders>
              <w:left w:val="single" w:sz="4" w:space="0" w:color="000000"/>
            </w:tcBorders>
          </w:tcPr>
          <w:p>
            <w:pPr>
              <w:pStyle w:val="TableParagraph"/>
              <w:jc w:val="left"/>
              <w:rPr>
                <w:rFonts w:ascii="Times New Roman"/>
                <w:sz w:val="20"/>
              </w:rPr>
            </w:pPr>
          </w:p>
        </w:tc>
        <w:tc>
          <w:tcPr>
            <w:tcW w:w="993" w:type="dxa"/>
          </w:tcPr>
          <w:p>
            <w:pPr>
              <w:pStyle w:val="TableParagraph"/>
              <w:jc w:val="left"/>
              <w:rPr>
                <w:rFonts w:ascii="Times New Roman"/>
                <w:sz w:val="20"/>
              </w:rPr>
            </w:pPr>
          </w:p>
        </w:tc>
        <w:tc>
          <w:tcPr>
            <w:tcW w:w="631" w:type="dxa"/>
          </w:tcPr>
          <w:p>
            <w:pPr>
              <w:pStyle w:val="TableParagraph"/>
              <w:jc w:val="left"/>
              <w:rPr>
                <w:rFonts w:ascii="Times New Roman"/>
                <w:sz w:val="20"/>
              </w:rPr>
            </w:pPr>
          </w:p>
        </w:tc>
      </w:tr>
      <w:tr>
        <w:trPr>
          <w:trHeight w:val="300" w:hRule="atLeast"/>
        </w:trPr>
        <w:tc>
          <w:tcPr>
            <w:tcW w:w="761" w:type="dxa"/>
          </w:tcPr>
          <w:p>
            <w:pPr>
              <w:pStyle w:val="TableParagraph"/>
              <w:spacing w:line="242" w:lineRule="exact" w:before="38"/>
              <w:ind w:left="61" w:right="50"/>
              <w:rPr>
                <w:rFonts w:ascii="Calibri"/>
                <w:sz w:val="20"/>
              </w:rPr>
            </w:pPr>
            <w:r>
              <w:rPr>
                <w:rFonts w:ascii="Calibri"/>
                <w:sz w:val="20"/>
              </w:rPr>
              <w:t>220062</w:t>
            </w:r>
          </w:p>
        </w:tc>
        <w:tc>
          <w:tcPr>
            <w:tcW w:w="1248" w:type="dxa"/>
          </w:tcPr>
          <w:p>
            <w:pPr>
              <w:pStyle w:val="TableParagraph"/>
              <w:spacing w:line="242" w:lineRule="exact" w:before="38"/>
              <w:ind w:left="71"/>
              <w:jc w:val="left"/>
              <w:rPr>
                <w:rFonts w:ascii="Calibri"/>
                <w:sz w:val="20"/>
              </w:rPr>
            </w:pPr>
            <w:r>
              <w:rPr>
                <w:rFonts w:ascii="Calibri"/>
                <w:sz w:val="20"/>
              </w:rPr>
              <w:t>Storaa</w:t>
            </w:r>
          </w:p>
        </w:tc>
        <w:tc>
          <w:tcPr>
            <w:tcW w:w="947" w:type="dxa"/>
          </w:tcPr>
          <w:p>
            <w:pPr>
              <w:pStyle w:val="TableParagraph"/>
              <w:spacing w:line="242" w:lineRule="exact" w:before="38"/>
              <w:ind w:left="77"/>
              <w:jc w:val="left"/>
              <w:rPr>
                <w:rFonts w:ascii="Calibri"/>
                <w:sz w:val="20"/>
              </w:rPr>
            </w:pPr>
            <w:r>
              <w:rPr>
                <w:rFonts w:ascii="Calibri"/>
                <w:sz w:val="20"/>
              </w:rPr>
              <w:t>61685</w:t>
            </w:r>
          </w:p>
        </w:tc>
        <w:tc>
          <w:tcPr>
            <w:tcW w:w="888" w:type="dxa"/>
            <w:tcBorders>
              <w:right w:val="single" w:sz="4" w:space="0" w:color="000000"/>
            </w:tcBorders>
          </w:tcPr>
          <w:p>
            <w:pPr>
              <w:pStyle w:val="TableParagraph"/>
              <w:spacing w:line="242" w:lineRule="exact" w:before="38"/>
              <w:ind w:left="214"/>
              <w:jc w:val="left"/>
              <w:rPr>
                <w:rFonts w:ascii="Calibri"/>
                <w:sz w:val="20"/>
              </w:rPr>
            </w:pPr>
            <w:r>
              <w:rPr>
                <w:rFonts w:ascii="Calibri"/>
                <w:sz w:val="20"/>
              </w:rPr>
              <w:t>1097</w:t>
            </w:r>
          </w:p>
        </w:tc>
        <w:tc>
          <w:tcPr>
            <w:tcW w:w="670" w:type="dxa"/>
            <w:tcBorders>
              <w:left w:val="single" w:sz="4" w:space="0" w:color="000000"/>
            </w:tcBorders>
          </w:tcPr>
          <w:p>
            <w:pPr>
              <w:pStyle w:val="TableParagraph"/>
              <w:spacing w:line="225" w:lineRule="exact"/>
              <w:ind w:left="167" w:right="141"/>
              <w:rPr>
                <w:rFonts w:ascii="Calibri"/>
                <w:sz w:val="20"/>
              </w:rPr>
            </w:pPr>
            <w:r>
              <w:rPr>
                <w:rFonts w:ascii="Calibri"/>
                <w:sz w:val="20"/>
              </w:rPr>
              <w:t>1.6</w:t>
            </w:r>
          </w:p>
        </w:tc>
        <w:tc>
          <w:tcPr>
            <w:tcW w:w="1056" w:type="dxa"/>
          </w:tcPr>
          <w:p>
            <w:pPr>
              <w:pStyle w:val="TableParagraph"/>
              <w:spacing w:line="225" w:lineRule="exact"/>
              <w:ind w:left="57" w:right="50"/>
              <w:rPr>
                <w:rFonts w:ascii="Calibri"/>
                <w:sz w:val="20"/>
              </w:rPr>
            </w:pPr>
            <w:r>
              <w:rPr>
                <w:rFonts w:ascii="Calibri"/>
                <w:sz w:val="20"/>
              </w:rPr>
              <w:t>-1.7</w:t>
            </w:r>
          </w:p>
        </w:tc>
        <w:tc>
          <w:tcPr>
            <w:tcW w:w="684" w:type="dxa"/>
            <w:tcBorders>
              <w:right w:val="single" w:sz="4" w:space="0" w:color="000000"/>
            </w:tcBorders>
          </w:tcPr>
          <w:p>
            <w:pPr>
              <w:pStyle w:val="TableParagraph"/>
              <w:spacing w:line="225" w:lineRule="exact"/>
              <w:ind w:left="130" w:right="153"/>
              <w:rPr>
                <w:rFonts w:ascii="Calibri"/>
                <w:sz w:val="20"/>
              </w:rPr>
            </w:pPr>
            <w:r>
              <w:rPr>
                <w:rFonts w:ascii="Calibri"/>
                <w:sz w:val="20"/>
              </w:rPr>
              <w:t>0.89</w:t>
            </w:r>
          </w:p>
        </w:tc>
        <w:tc>
          <w:tcPr>
            <w:tcW w:w="643" w:type="dxa"/>
            <w:tcBorders>
              <w:left w:val="single" w:sz="4" w:space="0" w:color="000000"/>
            </w:tcBorders>
          </w:tcPr>
          <w:p>
            <w:pPr>
              <w:pStyle w:val="TableParagraph"/>
              <w:spacing w:line="225" w:lineRule="exact"/>
              <w:ind w:left="84" w:right="31"/>
              <w:rPr>
                <w:rFonts w:ascii="Calibri"/>
                <w:sz w:val="20"/>
              </w:rPr>
            </w:pPr>
            <w:r>
              <w:rPr>
                <w:rFonts w:ascii="Calibri"/>
                <w:sz w:val="20"/>
              </w:rPr>
              <w:t>9.2</w:t>
            </w:r>
          </w:p>
        </w:tc>
        <w:tc>
          <w:tcPr>
            <w:tcW w:w="993" w:type="dxa"/>
          </w:tcPr>
          <w:p>
            <w:pPr>
              <w:pStyle w:val="TableParagraph"/>
              <w:spacing w:line="225" w:lineRule="exact"/>
              <w:ind w:left="45" w:right="32"/>
              <w:rPr>
                <w:rFonts w:ascii="Calibri"/>
                <w:sz w:val="20"/>
              </w:rPr>
            </w:pPr>
            <w:r>
              <w:rPr>
                <w:rFonts w:ascii="Calibri"/>
                <w:sz w:val="20"/>
              </w:rPr>
              <w:t>-2.7</w:t>
            </w:r>
          </w:p>
        </w:tc>
        <w:tc>
          <w:tcPr>
            <w:tcW w:w="631" w:type="dxa"/>
          </w:tcPr>
          <w:p>
            <w:pPr>
              <w:pStyle w:val="TableParagraph"/>
              <w:spacing w:line="225" w:lineRule="exact"/>
              <w:ind w:left="96" w:right="140"/>
              <w:rPr>
                <w:rFonts w:ascii="Calibri"/>
                <w:sz w:val="20"/>
              </w:rPr>
            </w:pPr>
            <w:r>
              <w:rPr>
                <w:rFonts w:ascii="Calibri"/>
                <w:sz w:val="20"/>
              </w:rPr>
              <w:t>0.79</w:t>
            </w:r>
          </w:p>
        </w:tc>
      </w:tr>
      <w:tr>
        <w:trPr>
          <w:trHeight w:val="283" w:hRule="atLeast"/>
        </w:trPr>
        <w:tc>
          <w:tcPr>
            <w:tcW w:w="761" w:type="dxa"/>
            <w:tcBorders>
              <w:bottom w:val="single" w:sz="4" w:space="0" w:color="000000"/>
            </w:tcBorders>
          </w:tcPr>
          <w:p>
            <w:pPr>
              <w:pStyle w:val="TableParagraph"/>
              <w:spacing w:line="223" w:lineRule="exact" w:before="38"/>
              <w:ind w:left="61" w:right="50"/>
              <w:rPr>
                <w:rFonts w:ascii="Calibri"/>
                <w:sz w:val="20"/>
              </w:rPr>
            </w:pPr>
            <w:r>
              <w:rPr>
                <w:rFonts w:ascii="Calibri"/>
                <w:sz w:val="20"/>
              </w:rPr>
              <w:t>220068</w:t>
            </w:r>
          </w:p>
        </w:tc>
        <w:tc>
          <w:tcPr>
            <w:tcW w:w="1248" w:type="dxa"/>
            <w:tcBorders>
              <w:bottom w:val="single" w:sz="4" w:space="0" w:color="000000"/>
            </w:tcBorders>
          </w:tcPr>
          <w:p>
            <w:pPr>
              <w:pStyle w:val="TableParagraph"/>
              <w:spacing w:line="223" w:lineRule="exact" w:before="38"/>
              <w:ind w:left="71"/>
              <w:jc w:val="left"/>
              <w:rPr>
                <w:rFonts w:ascii="Calibri"/>
                <w:sz w:val="20"/>
              </w:rPr>
            </w:pPr>
            <w:r>
              <w:rPr>
                <w:rFonts w:ascii="Calibri"/>
                <w:sz w:val="20"/>
              </w:rPr>
              <w:t>Storaa</w:t>
            </w:r>
          </w:p>
        </w:tc>
        <w:tc>
          <w:tcPr>
            <w:tcW w:w="947" w:type="dxa"/>
            <w:tcBorders>
              <w:bottom w:val="single" w:sz="4" w:space="0" w:color="000000"/>
            </w:tcBorders>
          </w:tcPr>
          <w:p>
            <w:pPr>
              <w:pStyle w:val="TableParagraph"/>
              <w:spacing w:line="223" w:lineRule="exact" w:before="38"/>
              <w:ind w:left="77"/>
              <w:jc w:val="left"/>
              <w:rPr>
                <w:rFonts w:ascii="Calibri"/>
                <w:sz w:val="20"/>
              </w:rPr>
            </w:pPr>
            <w:r>
              <w:rPr>
                <w:rFonts w:ascii="Calibri"/>
                <w:sz w:val="20"/>
              </w:rPr>
              <w:t>-24887</w:t>
            </w:r>
          </w:p>
        </w:tc>
        <w:tc>
          <w:tcPr>
            <w:tcW w:w="888" w:type="dxa"/>
            <w:tcBorders>
              <w:bottom w:val="single" w:sz="4" w:space="0" w:color="000000"/>
              <w:right w:val="single" w:sz="4" w:space="0" w:color="000000"/>
            </w:tcBorders>
          </w:tcPr>
          <w:p>
            <w:pPr>
              <w:pStyle w:val="TableParagraph"/>
              <w:spacing w:line="223" w:lineRule="exact" w:before="38"/>
              <w:ind w:left="169" w:right="216"/>
              <w:rPr>
                <w:rFonts w:ascii="Calibri"/>
                <w:sz w:val="20"/>
              </w:rPr>
            </w:pPr>
            <w:r>
              <w:rPr>
                <w:rFonts w:ascii="Calibri"/>
                <w:sz w:val="20"/>
              </w:rPr>
              <w:t>64</w:t>
            </w:r>
          </w:p>
        </w:tc>
        <w:tc>
          <w:tcPr>
            <w:tcW w:w="670" w:type="dxa"/>
            <w:tcBorders>
              <w:left w:val="single" w:sz="4" w:space="0" w:color="000000"/>
              <w:bottom w:val="single" w:sz="4" w:space="0" w:color="000000"/>
            </w:tcBorders>
          </w:tcPr>
          <w:p>
            <w:pPr>
              <w:pStyle w:val="TableParagraph"/>
              <w:spacing w:line="225" w:lineRule="exact"/>
              <w:ind w:left="167" w:right="141"/>
              <w:rPr>
                <w:rFonts w:ascii="Calibri"/>
                <w:sz w:val="20"/>
              </w:rPr>
            </w:pPr>
            <w:r>
              <w:rPr>
                <w:rFonts w:ascii="Calibri"/>
                <w:sz w:val="20"/>
              </w:rPr>
              <w:t>1.6</w:t>
            </w:r>
          </w:p>
        </w:tc>
        <w:tc>
          <w:tcPr>
            <w:tcW w:w="1056" w:type="dxa"/>
            <w:tcBorders>
              <w:bottom w:val="single" w:sz="4" w:space="0" w:color="000000"/>
            </w:tcBorders>
          </w:tcPr>
          <w:p>
            <w:pPr>
              <w:pStyle w:val="TableParagraph"/>
              <w:spacing w:line="225" w:lineRule="exact"/>
              <w:ind w:left="56" w:right="51"/>
              <w:rPr>
                <w:rFonts w:ascii="Calibri"/>
                <w:sz w:val="20"/>
              </w:rPr>
            </w:pPr>
            <w:r>
              <w:rPr>
                <w:rFonts w:ascii="Calibri"/>
                <w:sz w:val="20"/>
              </w:rPr>
              <w:t>17.0</w:t>
            </w:r>
          </w:p>
        </w:tc>
        <w:tc>
          <w:tcPr>
            <w:tcW w:w="684" w:type="dxa"/>
            <w:tcBorders>
              <w:bottom w:val="single" w:sz="4" w:space="0" w:color="000000"/>
              <w:right w:val="single" w:sz="4" w:space="0" w:color="000000"/>
            </w:tcBorders>
          </w:tcPr>
          <w:p>
            <w:pPr>
              <w:pStyle w:val="TableParagraph"/>
              <w:spacing w:line="225" w:lineRule="exact"/>
              <w:ind w:left="130" w:right="153"/>
              <w:rPr>
                <w:rFonts w:ascii="Calibri"/>
                <w:sz w:val="20"/>
              </w:rPr>
            </w:pPr>
            <w:r>
              <w:rPr>
                <w:rFonts w:ascii="Calibri"/>
                <w:sz w:val="20"/>
              </w:rPr>
              <w:t>0.61</w:t>
            </w:r>
          </w:p>
        </w:tc>
        <w:tc>
          <w:tcPr>
            <w:tcW w:w="643" w:type="dxa"/>
            <w:tcBorders>
              <w:left w:val="single" w:sz="4" w:space="0" w:color="000000"/>
              <w:bottom w:val="single" w:sz="4" w:space="0" w:color="000000"/>
            </w:tcBorders>
          </w:tcPr>
          <w:p>
            <w:pPr>
              <w:pStyle w:val="TableParagraph"/>
              <w:jc w:val="left"/>
              <w:rPr>
                <w:rFonts w:ascii="Times New Roman"/>
                <w:sz w:val="20"/>
              </w:rPr>
            </w:pPr>
          </w:p>
        </w:tc>
        <w:tc>
          <w:tcPr>
            <w:tcW w:w="993" w:type="dxa"/>
            <w:tcBorders>
              <w:bottom w:val="single" w:sz="4" w:space="0" w:color="000000"/>
            </w:tcBorders>
          </w:tcPr>
          <w:p>
            <w:pPr>
              <w:pStyle w:val="TableParagraph"/>
              <w:jc w:val="left"/>
              <w:rPr>
                <w:rFonts w:ascii="Times New Roman"/>
                <w:sz w:val="20"/>
              </w:rPr>
            </w:pPr>
          </w:p>
        </w:tc>
        <w:tc>
          <w:tcPr>
            <w:tcW w:w="631" w:type="dxa"/>
            <w:tcBorders>
              <w:bottom w:val="single" w:sz="4" w:space="0" w:color="000000"/>
            </w:tcBorders>
          </w:tcPr>
          <w:p>
            <w:pPr>
              <w:pStyle w:val="TableParagraph"/>
              <w:jc w:val="left"/>
              <w:rPr>
                <w:rFonts w:ascii="Times New Roman"/>
                <w:sz w:val="20"/>
              </w:rPr>
            </w:pPr>
          </w:p>
        </w:tc>
      </w:tr>
    </w:tbl>
    <w:p>
      <w:pPr>
        <w:pStyle w:val="BodyText"/>
        <w:spacing w:before="8"/>
        <w:rPr>
          <w:rFonts w:ascii="Calibri"/>
          <w:i/>
          <w:sz w:val="23"/>
        </w:rPr>
      </w:pPr>
    </w:p>
    <w:p>
      <w:pPr>
        <w:spacing w:before="0"/>
        <w:ind w:left="525" w:right="0" w:firstLine="0"/>
        <w:jc w:val="both"/>
        <w:rPr>
          <w:rFonts w:ascii="Calibri" w:hAnsi="Calibri"/>
          <w:i/>
          <w:sz w:val="18"/>
        </w:rPr>
      </w:pPr>
      <w:r>
        <w:rPr>
          <w:rFonts w:ascii="Calibri" w:hAnsi="Calibri"/>
          <w:i/>
          <w:color w:val="44536A"/>
          <w:sz w:val="18"/>
        </w:rPr>
        <w:t>Tabel 11 Performance statistik for vandføring for Storå for </w:t>
      </w:r>
      <w:r>
        <w:rPr>
          <w:rFonts w:ascii="Calibri" w:hAnsi="Calibri"/>
          <w:b/>
          <w:i/>
          <w:color w:val="44536A"/>
          <w:sz w:val="18"/>
        </w:rPr>
        <w:t>500 m_Jup+Reg </w:t>
      </w:r>
      <w:r>
        <w:rPr>
          <w:rFonts w:ascii="Calibri" w:hAnsi="Calibri"/>
          <w:i/>
          <w:color w:val="44536A"/>
          <w:sz w:val="18"/>
        </w:rPr>
        <w:t>modellen.</w:t>
      </w:r>
    </w:p>
    <w:p>
      <w:pPr>
        <w:pStyle w:val="BodyText"/>
        <w:spacing w:before="4"/>
        <w:rPr>
          <w:rFonts w:ascii="Calibri"/>
          <w:i/>
          <w:sz w:val="24"/>
        </w:rPr>
      </w:pPr>
    </w:p>
    <w:tbl>
      <w:tblPr>
        <w:tblW w:w="0" w:type="auto"/>
        <w:jc w:val="left"/>
        <w:tblInd w:w="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61"/>
        <w:gridCol w:w="1248"/>
        <w:gridCol w:w="947"/>
        <w:gridCol w:w="888"/>
        <w:gridCol w:w="670"/>
        <w:gridCol w:w="1056"/>
        <w:gridCol w:w="684"/>
        <w:gridCol w:w="653"/>
        <w:gridCol w:w="984"/>
        <w:gridCol w:w="632"/>
      </w:tblGrid>
      <w:tr>
        <w:trPr>
          <w:trHeight w:val="202" w:hRule="atLeast"/>
        </w:trPr>
        <w:tc>
          <w:tcPr>
            <w:tcW w:w="2009" w:type="dxa"/>
            <w:gridSpan w:val="2"/>
          </w:tcPr>
          <w:p>
            <w:pPr>
              <w:pStyle w:val="TableParagraph"/>
              <w:spacing w:line="182" w:lineRule="exact"/>
              <w:ind w:left="83"/>
              <w:jc w:val="left"/>
              <w:rPr>
                <w:rFonts w:ascii="Calibri"/>
                <w:b/>
                <w:sz w:val="20"/>
              </w:rPr>
            </w:pPr>
            <w:r>
              <w:rPr>
                <w:rFonts w:ascii="Calibri"/>
                <w:b/>
                <w:sz w:val="20"/>
              </w:rPr>
              <w:t>500m_Jup+Reg</w:t>
            </w:r>
          </w:p>
        </w:tc>
        <w:tc>
          <w:tcPr>
            <w:tcW w:w="947" w:type="dxa"/>
          </w:tcPr>
          <w:p>
            <w:pPr>
              <w:pStyle w:val="TableParagraph"/>
              <w:jc w:val="left"/>
              <w:rPr>
                <w:rFonts w:ascii="Times New Roman"/>
                <w:sz w:val="14"/>
              </w:rPr>
            </w:pPr>
          </w:p>
        </w:tc>
        <w:tc>
          <w:tcPr>
            <w:tcW w:w="888" w:type="dxa"/>
          </w:tcPr>
          <w:p>
            <w:pPr>
              <w:pStyle w:val="TableParagraph"/>
              <w:jc w:val="left"/>
              <w:rPr>
                <w:rFonts w:ascii="Times New Roman"/>
                <w:sz w:val="14"/>
              </w:rPr>
            </w:pPr>
          </w:p>
        </w:tc>
        <w:tc>
          <w:tcPr>
            <w:tcW w:w="670" w:type="dxa"/>
          </w:tcPr>
          <w:p>
            <w:pPr>
              <w:pStyle w:val="TableParagraph"/>
              <w:jc w:val="left"/>
              <w:rPr>
                <w:rFonts w:ascii="Times New Roman"/>
                <w:sz w:val="14"/>
              </w:rPr>
            </w:pPr>
          </w:p>
        </w:tc>
        <w:tc>
          <w:tcPr>
            <w:tcW w:w="1056" w:type="dxa"/>
          </w:tcPr>
          <w:p>
            <w:pPr>
              <w:pStyle w:val="TableParagraph"/>
              <w:spacing w:line="182" w:lineRule="exact"/>
              <w:ind w:left="57" w:right="51"/>
              <w:rPr>
                <w:rFonts w:ascii="Calibri"/>
                <w:b/>
                <w:sz w:val="20"/>
              </w:rPr>
            </w:pPr>
            <w:r>
              <w:rPr>
                <w:rFonts w:ascii="Calibri"/>
                <w:b/>
                <w:sz w:val="20"/>
              </w:rPr>
              <w:t>Kalibrering</w:t>
            </w:r>
          </w:p>
        </w:tc>
        <w:tc>
          <w:tcPr>
            <w:tcW w:w="684" w:type="dxa"/>
          </w:tcPr>
          <w:p>
            <w:pPr>
              <w:pStyle w:val="TableParagraph"/>
              <w:jc w:val="left"/>
              <w:rPr>
                <w:rFonts w:ascii="Times New Roman"/>
                <w:sz w:val="14"/>
              </w:rPr>
            </w:pPr>
          </w:p>
        </w:tc>
        <w:tc>
          <w:tcPr>
            <w:tcW w:w="653" w:type="dxa"/>
          </w:tcPr>
          <w:p>
            <w:pPr>
              <w:pStyle w:val="TableParagraph"/>
              <w:jc w:val="left"/>
              <w:rPr>
                <w:rFonts w:ascii="Times New Roman"/>
                <w:sz w:val="14"/>
              </w:rPr>
            </w:pPr>
          </w:p>
        </w:tc>
        <w:tc>
          <w:tcPr>
            <w:tcW w:w="984" w:type="dxa"/>
          </w:tcPr>
          <w:p>
            <w:pPr>
              <w:pStyle w:val="TableParagraph"/>
              <w:spacing w:line="182" w:lineRule="exact"/>
              <w:ind w:left="35" w:right="62"/>
              <w:rPr>
                <w:rFonts w:ascii="Calibri"/>
                <w:b/>
                <w:sz w:val="20"/>
              </w:rPr>
            </w:pPr>
            <w:r>
              <w:rPr>
                <w:rFonts w:ascii="Calibri"/>
                <w:b/>
                <w:sz w:val="20"/>
              </w:rPr>
              <w:t>Validering</w:t>
            </w:r>
          </w:p>
        </w:tc>
        <w:tc>
          <w:tcPr>
            <w:tcW w:w="632" w:type="dxa"/>
          </w:tcPr>
          <w:p>
            <w:pPr>
              <w:pStyle w:val="TableParagraph"/>
              <w:jc w:val="left"/>
              <w:rPr>
                <w:rFonts w:ascii="Times New Roman"/>
                <w:sz w:val="14"/>
              </w:rPr>
            </w:pPr>
          </w:p>
        </w:tc>
      </w:tr>
      <w:tr>
        <w:trPr>
          <w:trHeight w:val="487" w:hRule="atLeast"/>
        </w:trPr>
        <w:tc>
          <w:tcPr>
            <w:tcW w:w="761" w:type="dxa"/>
            <w:tcBorders>
              <w:bottom w:val="single" w:sz="4" w:space="0" w:color="000000"/>
            </w:tcBorders>
          </w:tcPr>
          <w:p>
            <w:pPr>
              <w:pStyle w:val="TableParagraph"/>
              <w:jc w:val="left"/>
              <w:rPr>
                <w:rFonts w:ascii="Calibri"/>
                <w:i/>
                <w:sz w:val="20"/>
              </w:rPr>
            </w:pPr>
          </w:p>
          <w:p>
            <w:pPr>
              <w:pStyle w:val="TableParagraph"/>
              <w:spacing w:line="223" w:lineRule="exact"/>
              <w:ind w:left="36" w:right="50"/>
              <w:rPr>
                <w:rFonts w:ascii="Calibri"/>
                <w:sz w:val="20"/>
              </w:rPr>
            </w:pPr>
            <w:r>
              <w:rPr>
                <w:rFonts w:ascii="Calibri"/>
                <w:sz w:val="20"/>
              </w:rPr>
              <w:t>Station</w:t>
            </w:r>
          </w:p>
        </w:tc>
        <w:tc>
          <w:tcPr>
            <w:tcW w:w="1248" w:type="dxa"/>
            <w:tcBorders>
              <w:bottom w:val="single" w:sz="4" w:space="0" w:color="000000"/>
            </w:tcBorders>
          </w:tcPr>
          <w:p>
            <w:pPr>
              <w:pStyle w:val="TableParagraph"/>
              <w:jc w:val="left"/>
              <w:rPr>
                <w:rFonts w:ascii="Calibri"/>
                <w:i/>
                <w:sz w:val="20"/>
              </w:rPr>
            </w:pPr>
          </w:p>
          <w:p>
            <w:pPr>
              <w:pStyle w:val="TableParagraph"/>
              <w:spacing w:line="223" w:lineRule="exact"/>
              <w:ind w:left="71"/>
              <w:jc w:val="left"/>
              <w:rPr>
                <w:rFonts w:ascii="Calibri"/>
                <w:sz w:val="20"/>
              </w:rPr>
            </w:pPr>
            <w:r>
              <w:rPr>
                <w:rFonts w:ascii="Calibri"/>
                <w:sz w:val="20"/>
              </w:rPr>
              <w:t>Branch</w:t>
            </w:r>
          </w:p>
        </w:tc>
        <w:tc>
          <w:tcPr>
            <w:tcW w:w="947" w:type="dxa"/>
            <w:tcBorders>
              <w:bottom w:val="single" w:sz="4" w:space="0" w:color="000000"/>
            </w:tcBorders>
          </w:tcPr>
          <w:p>
            <w:pPr>
              <w:pStyle w:val="TableParagraph"/>
              <w:jc w:val="left"/>
              <w:rPr>
                <w:rFonts w:ascii="Calibri"/>
                <w:i/>
                <w:sz w:val="20"/>
              </w:rPr>
            </w:pPr>
          </w:p>
          <w:p>
            <w:pPr>
              <w:pStyle w:val="TableParagraph"/>
              <w:spacing w:line="223" w:lineRule="exact"/>
              <w:ind w:left="77"/>
              <w:jc w:val="left"/>
              <w:rPr>
                <w:rFonts w:ascii="Calibri"/>
                <w:sz w:val="20"/>
              </w:rPr>
            </w:pPr>
            <w:r>
              <w:rPr>
                <w:rFonts w:ascii="Calibri"/>
                <w:sz w:val="20"/>
              </w:rPr>
              <w:t>Chainage</w:t>
            </w:r>
          </w:p>
        </w:tc>
        <w:tc>
          <w:tcPr>
            <w:tcW w:w="888" w:type="dxa"/>
            <w:tcBorders>
              <w:bottom w:val="single" w:sz="4" w:space="0" w:color="000000"/>
              <w:right w:val="single" w:sz="4" w:space="0" w:color="000000"/>
            </w:tcBorders>
          </w:tcPr>
          <w:p>
            <w:pPr>
              <w:pStyle w:val="TableParagraph"/>
              <w:spacing w:line="244" w:lineRule="exact"/>
              <w:ind w:left="121"/>
              <w:jc w:val="left"/>
              <w:rPr>
                <w:rFonts w:ascii="Calibri"/>
                <w:sz w:val="20"/>
              </w:rPr>
            </w:pPr>
            <w:r>
              <w:rPr>
                <w:rFonts w:ascii="Calibri"/>
                <w:sz w:val="20"/>
              </w:rPr>
              <w:t>Opland</w:t>
            </w:r>
          </w:p>
          <w:p>
            <w:pPr>
              <w:pStyle w:val="TableParagraph"/>
              <w:spacing w:line="223" w:lineRule="exact"/>
              <w:ind w:left="202"/>
              <w:jc w:val="left"/>
              <w:rPr>
                <w:rFonts w:ascii="Calibri"/>
                <w:sz w:val="20"/>
              </w:rPr>
            </w:pPr>
            <w:r>
              <w:rPr>
                <w:rFonts w:ascii="Calibri"/>
                <w:sz w:val="20"/>
              </w:rPr>
              <w:t>[km2]</w:t>
            </w:r>
          </w:p>
        </w:tc>
        <w:tc>
          <w:tcPr>
            <w:tcW w:w="670" w:type="dxa"/>
            <w:tcBorders>
              <w:left w:val="single" w:sz="4" w:space="0" w:color="000000"/>
              <w:bottom w:val="single" w:sz="4" w:space="0" w:color="000000"/>
            </w:tcBorders>
          </w:tcPr>
          <w:p>
            <w:pPr>
              <w:pStyle w:val="TableParagraph"/>
              <w:spacing w:line="244" w:lineRule="exact"/>
              <w:ind w:left="193"/>
              <w:jc w:val="left"/>
              <w:rPr>
                <w:rFonts w:ascii="Calibri"/>
                <w:sz w:val="20"/>
              </w:rPr>
            </w:pPr>
            <w:r>
              <w:rPr>
                <w:rFonts w:ascii="Calibri"/>
                <w:sz w:val="20"/>
              </w:rPr>
              <w:t>fbal</w:t>
            </w:r>
          </w:p>
          <w:p>
            <w:pPr>
              <w:pStyle w:val="TableParagraph"/>
              <w:spacing w:line="223" w:lineRule="exact"/>
              <w:ind w:left="214"/>
              <w:jc w:val="left"/>
              <w:rPr>
                <w:rFonts w:ascii="Calibri"/>
                <w:sz w:val="20"/>
              </w:rPr>
            </w:pPr>
            <w:r>
              <w:rPr>
                <w:rFonts w:ascii="Calibri"/>
                <w:sz w:val="20"/>
              </w:rPr>
              <w:t>[%]</w:t>
            </w:r>
          </w:p>
        </w:tc>
        <w:tc>
          <w:tcPr>
            <w:tcW w:w="1056" w:type="dxa"/>
            <w:tcBorders>
              <w:bottom w:val="single" w:sz="4" w:space="0" w:color="000000"/>
            </w:tcBorders>
          </w:tcPr>
          <w:p>
            <w:pPr>
              <w:pStyle w:val="TableParagraph"/>
              <w:spacing w:line="236" w:lineRule="exact" w:before="11"/>
              <w:ind w:left="399" w:right="133" w:hanging="241"/>
              <w:jc w:val="left"/>
              <w:rPr>
                <w:rFonts w:ascii="Calibri"/>
                <w:sz w:val="20"/>
              </w:rPr>
            </w:pPr>
            <w:r>
              <w:rPr>
                <w:rFonts w:ascii="Calibri"/>
                <w:position w:val="1"/>
                <w:sz w:val="20"/>
              </w:rPr>
              <w:t>fbal</w:t>
            </w:r>
            <w:r>
              <w:rPr>
                <w:rFonts w:ascii="Calibri"/>
                <w:sz w:val="13"/>
              </w:rPr>
              <w:t>sommer </w:t>
            </w:r>
            <w:r>
              <w:rPr>
                <w:rFonts w:ascii="Calibri"/>
                <w:sz w:val="20"/>
              </w:rPr>
              <w:t>[%]</w:t>
            </w:r>
          </w:p>
        </w:tc>
        <w:tc>
          <w:tcPr>
            <w:tcW w:w="684" w:type="dxa"/>
            <w:tcBorders>
              <w:bottom w:val="single" w:sz="4" w:space="0" w:color="000000"/>
              <w:right w:val="single" w:sz="4" w:space="0" w:color="000000"/>
            </w:tcBorders>
          </w:tcPr>
          <w:p>
            <w:pPr>
              <w:pStyle w:val="TableParagraph"/>
              <w:spacing w:line="244" w:lineRule="exact"/>
              <w:ind w:left="130" w:right="150"/>
              <w:rPr>
                <w:rFonts w:ascii="Calibri"/>
                <w:sz w:val="20"/>
              </w:rPr>
            </w:pPr>
            <w:r>
              <w:rPr>
                <w:rFonts w:ascii="Calibri"/>
                <w:sz w:val="20"/>
              </w:rPr>
              <w:t>NSE</w:t>
            </w:r>
          </w:p>
          <w:p>
            <w:pPr>
              <w:pStyle w:val="TableParagraph"/>
              <w:spacing w:line="223" w:lineRule="exact"/>
              <w:ind w:left="130" w:right="150"/>
              <w:rPr>
                <w:rFonts w:ascii="Calibri"/>
                <w:sz w:val="20"/>
              </w:rPr>
            </w:pPr>
            <w:r>
              <w:rPr>
                <w:rFonts w:ascii="Calibri"/>
                <w:sz w:val="20"/>
              </w:rPr>
              <w:t>[-]</w:t>
            </w:r>
          </w:p>
        </w:tc>
        <w:tc>
          <w:tcPr>
            <w:tcW w:w="653" w:type="dxa"/>
            <w:tcBorders>
              <w:left w:val="single" w:sz="4" w:space="0" w:color="000000"/>
              <w:bottom w:val="single" w:sz="4" w:space="0" w:color="000000"/>
            </w:tcBorders>
          </w:tcPr>
          <w:p>
            <w:pPr>
              <w:pStyle w:val="TableParagraph"/>
              <w:spacing w:line="244" w:lineRule="exact"/>
              <w:ind w:left="193"/>
              <w:jc w:val="left"/>
              <w:rPr>
                <w:rFonts w:ascii="Calibri"/>
                <w:sz w:val="20"/>
              </w:rPr>
            </w:pPr>
            <w:r>
              <w:rPr>
                <w:rFonts w:ascii="Calibri"/>
                <w:sz w:val="20"/>
              </w:rPr>
              <w:t>fbal</w:t>
            </w:r>
          </w:p>
          <w:p>
            <w:pPr>
              <w:pStyle w:val="TableParagraph"/>
              <w:spacing w:line="223" w:lineRule="exact"/>
              <w:ind w:left="214"/>
              <w:jc w:val="left"/>
              <w:rPr>
                <w:rFonts w:ascii="Calibri"/>
                <w:sz w:val="20"/>
              </w:rPr>
            </w:pPr>
            <w:r>
              <w:rPr>
                <w:rFonts w:ascii="Calibri"/>
                <w:sz w:val="20"/>
              </w:rPr>
              <w:t>[%]</w:t>
            </w:r>
          </w:p>
        </w:tc>
        <w:tc>
          <w:tcPr>
            <w:tcW w:w="984" w:type="dxa"/>
            <w:tcBorders>
              <w:bottom w:val="single" w:sz="4" w:space="0" w:color="000000"/>
            </w:tcBorders>
          </w:tcPr>
          <w:p>
            <w:pPr>
              <w:pStyle w:val="TableParagraph"/>
              <w:spacing w:line="236" w:lineRule="exact" w:before="11"/>
              <w:ind w:left="361" w:hanging="238"/>
              <w:jc w:val="left"/>
              <w:rPr>
                <w:rFonts w:ascii="Calibri"/>
                <w:sz w:val="20"/>
              </w:rPr>
            </w:pPr>
            <w:r>
              <w:rPr>
                <w:rFonts w:ascii="Calibri"/>
                <w:w w:val="95"/>
                <w:position w:val="1"/>
                <w:sz w:val="20"/>
              </w:rPr>
              <w:t>fbal</w:t>
            </w:r>
            <w:r>
              <w:rPr>
                <w:rFonts w:ascii="Calibri"/>
                <w:w w:val="95"/>
                <w:sz w:val="13"/>
              </w:rPr>
              <w:t>sommer </w:t>
            </w:r>
            <w:r>
              <w:rPr>
                <w:rFonts w:ascii="Calibri"/>
                <w:sz w:val="20"/>
              </w:rPr>
              <w:t>[%]</w:t>
            </w:r>
          </w:p>
        </w:tc>
        <w:tc>
          <w:tcPr>
            <w:tcW w:w="632" w:type="dxa"/>
            <w:tcBorders>
              <w:bottom w:val="single" w:sz="4" w:space="0" w:color="000000"/>
            </w:tcBorders>
          </w:tcPr>
          <w:p>
            <w:pPr>
              <w:pStyle w:val="TableParagraph"/>
              <w:spacing w:line="244" w:lineRule="exact"/>
              <w:ind w:left="131"/>
              <w:jc w:val="left"/>
              <w:rPr>
                <w:rFonts w:ascii="Calibri"/>
                <w:sz w:val="20"/>
              </w:rPr>
            </w:pPr>
            <w:r>
              <w:rPr>
                <w:rFonts w:ascii="Calibri"/>
                <w:sz w:val="20"/>
              </w:rPr>
              <w:t>NSE</w:t>
            </w:r>
          </w:p>
          <w:p>
            <w:pPr>
              <w:pStyle w:val="TableParagraph"/>
              <w:spacing w:line="223" w:lineRule="exact"/>
              <w:ind w:left="198"/>
              <w:jc w:val="left"/>
              <w:rPr>
                <w:rFonts w:ascii="Calibri"/>
                <w:sz w:val="20"/>
              </w:rPr>
            </w:pPr>
            <w:r>
              <w:rPr>
                <w:rFonts w:ascii="Calibri"/>
                <w:sz w:val="20"/>
              </w:rPr>
              <w:t>[-]</w:t>
            </w:r>
          </w:p>
        </w:tc>
      </w:tr>
      <w:tr>
        <w:trPr>
          <w:trHeight w:val="319" w:hRule="atLeast"/>
        </w:trPr>
        <w:tc>
          <w:tcPr>
            <w:tcW w:w="761" w:type="dxa"/>
            <w:tcBorders>
              <w:top w:val="single" w:sz="4" w:space="0" w:color="000000"/>
            </w:tcBorders>
          </w:tcPr>
          <w:p>
            <w:pPr>
              <w:pStyle w:val="TableParagraph"/>
              <w:spacing w:line="243" w:lineRule="exact" w:before="56"/>
              <w:ind w:left="61" w:right="50"/>
              <w:rPr>
                <w:rFonts w:ascii="Calibri"/>
                <w:sz w:val="20"/>
              </w:rPr>
            </w:pPr>
            <w:r>
              <w:rPr>
                <w:rFonts w:ascii="Calibri"/>
                <w:sz w:val="20"/>
              </w:rPr>
              <w:t>220048</w:t>
            </w:r>
          </w:p>
        </w:tc>
        <w:tc>
          <w:tcPr>
            <w:tcW w:w="1248" w:type="dxa"/>
            <w:tcBorders>
              <w:top w:val="single" w:sz="4" w:space="0" w:color="000000"/>
            </w:tcBorders>
          </w:tcPr>
          <w:p>
            <w:pPr>
              <w:pStyle w:val="TableParagraph"/>
              <w:spacing w:line="243" w:lineRule="exact" w:before="56"/>
              <w:ind w:left="71"/>
              <w:jc w:val="left"/>
              <w:rPr>
                <w:rFonts w:ascii="Calibri" w:hAnsi="Calibri"/>
                <w:sz w:val="20"/>
              </w:rPr>
            </w:pPr>
            <w:r>
              <w:rPr>
                <w:rFonts w:ascii="Calibri" w:hAnsi="Calibri"/>
                <w:sz w:val="20"/>
              </w:rPr>
              <w:t>Idom Å</w:t>
            </w:r>
          </w:p>
        </w:tc>
        <w:tc>
          <w:tcPr>
            <w:tcW w:w="947" w:type="dxa"/>
            <w:tcBorders>
              <w:top w:val="single" w:sz="4" w:space="0" w:color="000000"/>
            </w:tcBorders>
          </w:tcPr>
          <w:p>
            <w:pPr>
              <w:pStyle w:val="TableParagraph"/>
              <w:spacing w:line="243" w:lineRule="exact" w:before="56"/>
              <w:ind w:left="77"/>
              <w:jc w:val="left"/>
              <w:rPr>
                <w:rFonts w:ascii="Calibri"/>
                <w:sz w:val="20"/>
              </w:rPr>
            </w:pPr>
            <w:r>
              <w:rPr>
                <w:rFonts w:ascii="Calibri"/>
                <w:sz w:val="20"/>
              </w:rPr>
              <w:t>11125</w:t>
            </w:r>
          </w:p>
        </w:tc>
        <w:tc>
          <w:tcPr>
            <w:tcW w:w="888" w:type="dxa"/>
            <w:tcBorders>
              <w:top w:val="single" w:sz="4" w:space="0" w:color="000000"/>
              <w:right w:val="single" w:sz="4" w:space="0" w:color="000000"/>
            </w:tcBorders>
          </w:tcPr>
          <w:p>
            <w:pPr>
              <w:pStyle w:val="TableParagraph"/>
              <w:spacing w:line="243" w:lineRule="exact" w:before="56"/>
              <w:ind w:left="169" w:right="216"/>
              <w:rPr>
                <w:rFonts w:ascii="Calibri"/>
                <w:sz w:val="20"/>
              </w:rPr>
            </w:pPr>
            <w:r>
              <w:rPr>
                <w:rFonts w:ascii="Calibri"/>
                <w:sz w:val="20"/>
              </w:rPr>
              <w:t>22</w:t>
            </w:r>
          </w:p>
        </w:tc>
        <w:tc>
          <w:tcPr>
            <w:tcW w:w="670" w:type="dxa"/>
            <w:tcBorders>
              <w:top w:val="single" w:sz="4" w:space="0" w:color="000000"/>
              <w:left w:val="single" w:sz="4" w:space="0" w:color="000000"/>
            </w:tcBorders>
          </w:tcPr>
          <w:p>
            <w:pPr>
              <w:pStyle w:val="TableParagraph"/>
              <w:spacing w:before="1"/>
              <w:ind w:left="167" w:right="141"/>
              <w:rPr>
                <w:rFonts w:ascii="Calibri"/>
                <w:sz w:val="20"/>
              </w:rPr>
            </w:pPr>
            <w:r>
              <w:rPr>
                <w:rFonts w:ascii="Calibri"/>
                <w:sz w:val="20"/>
              </w:rPr>
              <w:t>3.9</w:t>
            </w:r>
          </w:p>
        </w:tc>
        <w:tc>
          <w:tcPr>
            <w:tcW w:w="1056" w:type="dxa"/>
            <w:tcBorders>
              <w:top w:val="single" w:sz="4" w:space="0" w:color="000000"/>
            </w:tcBorders>
          </w:tcPr>
          <w:p>
            <w:pPr>
              <w:pStyle w:val="TableParagraph"/>
              <w:spacing w:before="1"/>
              <w:ind w:left="56" w:right="51"/>
              <w:rPr>
                <w:rFonts w:ascii="Calibri"/>
                <w:sz w:val="20"/>
              </w:rPr>
            </w:pPr>
            <w:r>
              <w:rPr>
                <w:rFonts w:ascii="Calibri"/>
                <w:sz w:val="20"/>
              </w:rPr>
              <w:t>19.2</w:t>
            </w:r>
          </w:p>
        </w:tc>
        <w:tc>
          <w:tcPr>
            <w:tcW w:w="684" w:type="dxa"/>
            <w:tcBorders>
              <w:top w:val="single" w:sz="4" w:space="0" w:color="000000"/>
              <w:right w:val="single" w:sz="4" w:space="0" w:color="000000"/>
            </w:tcBorders>
          </w:tcPr>
          <w:p>
            <w:pPr>
              <w:pStyle w:val="TableParagraph"/>
              <w:spacing w:before="1"/>
              <w:ind w:left="130" w:right="153"/>
              <w:rPr>
                <w:rFonts w:ascii="Calibri"/>
                <w:sz w:val="20"/>
              </w:rPr>
            </w:pPr>
            <w:r>
              <w:rPr>
                <w:rFonts w:ascii="Calibri"/>
                <w:sz w:val="20"/>
              </w:rPr>
              <w:t>0.39</w:t>
            </w:r>
          </w:p>
        </w:tc>
        <w:tc>
          <w:tcPr>
            <w:tcW w:w="653" w:type="dxa"/>
            <w:tcBorders>
              <w:top w:val="single" w:sz="4" w:space="0" w:color="000000"/>
              <w:left w:val="single" w:sz="4" w:space="0" w:color="000000"/>
            </w:tcBorders>
          </w:tcPr>
          <w:p>
            <w:pPr>
              <w:pStyle w:val="TableParagraph"/>
              <w:spacing w:before="1"/>
              <w:ind w:left="148" w:right="105"/>
              <w:rPr>
                <w:rFonts w:ascii="Calibri"/>
                <w:sz w:val="20"/>
              </w:rPr>
            </w:pPr>
            <w:r>
              <w:rPr>
                <w:rFonts w:ascii="Calibri"/>
                <w:sz w:val="20"/>
              </w:rPr>
              <w:t>8.9</w:t>
            </w:r>
          </w:p>
        </w:tc>
        <w:tc>
          <w:tcPr>
            <w:tcW w:w="984" w:type="dxa"/>
            <w:tcBorders>
              <w:top w:val="single" w:sz="4" w:space="0" w:color="000000"/>
            </w:tcBorders>
          </w:tcPr>
          <w:p>
            <w:pPr>
              <w:pStyle w:val="TableParagraph"/>
              <w:spacing w:before="1"/>
              <w:ind w:left="35" w:right="30"/>
              <w:rPr>
                <w:rFonts w:ascii="Calibri"/>
                <w:sz w:val="20"/>
              </w:rPr>
            </w:pPr>
            <w:r>
              <w:rPr>
                <w:rFonts w:ascii="Calibri"/>
                <w:sz w:val="20"/>
              </w:rPr>
              <w:t>17.4</w:t>
            </w:r>
          </w:p>
        </w:tc>
        <w:tc>
          <w:tcPr>
            <w:tcW w:w="632" w:type="dxa"/>
            <w:tcBorders>
              <w:top w:val="single" w:sz="4" w:space="0" w:color="000000"/>
            </w:tcBorders>
          </w:tcPr>
          <w:p>
            <w:pPr>
              <w:pStyle w:val="TableParagraph"/>
              <w:spacing w:before="1"/>
              <w:ind w:left="95" w:right="142"/>
              <w:rPr>
                <w:rFonts w:ascii="Calibri"/>
                <w:sz w:val="20"/>
              </w:rPr>
            </w:pPr>
            <w:r>
              <w:rPr>
                <w:rFonts w:ascii="Calibri"/>
                <w:sz w:val="20"/>
              </w:rPr>
              <w:t>0.28</w:t>
            </w:r>
          </w:p>
        </w:tc>
      </w:tr>
      <w:tr>
        <w:trPr>
          <w:trHeight w:val="300" w:hRule="atLeast"/>
        </w:trPr>
        <w:tc>
          <w:tcPr>
            <w:tcW w:w="761" w:type="dxa"/>
          </w:tcPr>
          <w:p>
            <w:pPr>
              <w:pStyle w:val="TableParagraph"/>
              <w:spacing w:line="243" w:lineRule="exact" w:before="37"/>
              <w:ind w:left="61" w:right="50"/>
              <w:rPr>
                <w:rFonts w:ascii="Calibri"/>
                <w:sz w:val="20"/>
              </w:rPr>
            </w:pPr>
            <w:r>
              <w:rPr>
                <w:rFonts w:ascii="Calibri"/>
                <w:sz w:val="20"/>
              </w:rPr>
              <w:t>220050</w:t>
            </w:r>
          </w:p>
        </w:tc>
        <w:tc>
          <w:tcPr>
            <w:tcW w:w="1248" w:type="dxa"/>
          </w:tcPr>
          <w:p>
            <w:pPr>
              <w:pStyle w:val="TableParagraph"/>
              <w:spacing w:line="243" w:lineRule="exact" w:before="37"/>
              <w:ind w:left="71"/>
              <w:jc w:val="left"/>
              <w:rPr>
                <w:rFonts w:ascii="Calibri" w:hAnsi="Calibri"/>
                <w:sz w:val="20"/>
              </w:rPr>
            </w:pPr>
            <w:r>
              <w:rPr>
                <w:rFonts w:ascii="Calibri" w:hAnsi="Calibri"/>
                <w:sz w:val="20"/>
              </w:rPr>
              <w:t>Lilleå</w:t>
            </w:r>
          </w:p>
        </w:tc>
        <w:tc>
          <w:tcPr>
            <w:tcW w:w="947" w:type="dxa"/>
          </w:tcPr>
          <w:p>
            <w:pPr>
              <w:pStyle w:val="TableParagraph"/>
              <w:spacing w:line="243" w:lineRule="exact" w:before="37"/>
              <w:ind w:left="77"/>
              <w:jc w:val="left"/>
              <w:rPr>
                <w:rFonts w:ascii="Calibri"/>
                <w:sz w:val="20"/>
              </w:rPr>
            </w:pPr>
            <w:r>
              <w:rPr>
                <w:rFonts w:ascii="Calibri"/>
                <w:sz w:val="20"/>
              </w:rPr>
              <w:t>21248</w:t>
            </w:r>
          </w:p>
        </w:tc>
        <w:tc>
          <w:tcPr>
            <w:tcW w:w="888" w:type="dxa"/>
            <w:tcBorders>
              <w:right w:val="single" w:sz="4" w:space="0" w:color="000000"/>
            </w:tcBorders>
          </w:tcPr>
          <w:p>
            <w:pPr>
              <w:pStyle w:val="TableParagraph"/>
              <w:spacing w:line="243" w:lineRule="exact" w:before="37"/>
              <w:ind w:left="169" w:right="216"/>
              <w:rPr>
                <w:rFonts w:ascii="Calibri"/>
                <w:sz w:val="20"/>
              </w:rPr>
            </w:pPr>
            <w:r>
              <w:rPr>
                <w:rFonts w:ascii="Calibri"/>
                <w:sz w:val="20"/>
              </w:rPr>
              <w:t>83</w:t>
            </w:r>
          </w:p>
        </w:tc>
        <w:tc>
          <w:tcPr>
            <w:tcW w:w="670" w:type="dxa"/>
            <w:tcBorders>
              <w:left w:val="single" w:sz="4" w:space="0" w:color="000000"/>
            </w:tcBorders>
          </w:tcPr>
          <w:p>
            <w:pPr>
              <w:pStyle w:val="TableParagraph"/>
              <w:spacing w:line="226" w:lineRule="exact"/>
              <w:ind w:left="169" w:right="141"/>
              <w:rPr>
                <w:rFonts w:ascii="Calibri"/>
                <w:sz w:val="20"/>
              </w:rPr>
            </w:pPr>
            <w:r>
              <w:rPr>
                <w:rFonts w:ascii="Calibri"/>
                <w:sz w:val="20"/>
              </w:rPr>
              <w:t>-4.9</w:t>
            </w:r>
          </w:p>
        </w:tc>
        <w:tc>
          <w:tcPr>
            <w:tcW w:w="1056" w:type="dxa"/>
          </w:tcPr>
          <w:p>
            <w:pPr>
              <w:pStyle w:val="TableParagraph"/>
              <w:spacing w:line="226" w:lineRule="exact"/>
              <w:ind w:left="56" w:right="51"/>
              <w:rPr>
                <w:rFonts w:ascii="Calibri"/>
                <w:sz w:val="20"/>
              </w:rPr>
            </w:pPr>
            <w:r>
              <w:rPr>
                <w:rFonts w:ascii="Calibri"/>
                <w:sz w:val="20"/>
              </w:rPr>
              <w:t>2.7</w:t>
            </w:r>
          </w:p>
        </w:tc>
        <w:tc>
          <w:tcPr>
            <w:tcW w:w="684" w:type="dxa"/>
            <w:tcBorders>
              <w:right w:val="single" w:sz="4" w:space="0" w:color="000000"/>
            </w:tcBorders>
          </w:tcPr>
          <w:p>
            <w:pPr>
              <w:pStyle w:val="TableParagraph"/>
              <w:spacing w:line="226" w:lineRule="exact"/>
              <w:ind w:left="130" w:right="153"/>
              <w:rPr>
                <w:rFonts w:ascii="Calibri"/>
                <w:sz w:val="20"/>
              </w:rPr>
            </w:pPr>
            <w:r>
              <w:rPr>
                <w:rFonts w:ascii="Calibri"/>
                <w:sz w:val="20"/>
              </w:rPr>
              <w:t>0.33</w:t>
            </w:r>
          </w:p>
        </w:tc>
        <w:tc>
          <w:tcPr>
            <w:tcW w:w="653" w:type="dxa"/>
            <w:tcBorders>
              <w:left w:val="single" w:sz="4" w:space="0" w:color="000000"/>
            </w:tcBorders>
          </w:tcPr>
          <w:p>
            <w:pPr>
              <w:pStyle w:val="TableParagraph"/>
              <w:spacing w:line="226" w:lineRule="exact"/>
              <w:ind w:left="148" w:right="105"/>
              <w:rPr>
                <w:rFonts w:ascii="Calibri"/>
                <w:sz w:val="20"/>
              </w:rPr>
            </w:pPr>
            <w:r>
              <w:rPr>
                <w:rFonts w:ascii="Calibri"/>
                <w:sz w:val="20"/>
              </w:rPr>
              <w:t>1.0</w:t>
            </w:r>
          </w:p>
        </w:tc>
        <w:tc>
          <w:tcPr>
            <w:tcW w:w="984" w:type="dxa"/>
          </w:tcPr>
          <w:p>
            <w:pPr>
              <w:pStyle w:val="TableParagraph"/>
              <w:spacing w:line="226" w:lineRule="exact"/>
              <w:ind w:left="35" w:right="31"/>
              <w:rPr>
                <w:rFonts w:ascii="Calibri"/>
                <w:sz w:val="20"/>
              </w:rPr>
            </w:pPr>
            <w:r>
              <w:rPr>
                <w:rFonts w:ascii="Calibri"/>
                <w:sz w:val="20"/>
              </w:rPr>
              <w:t>3.2</w:t>
            </w:r>
          </w:p>
        </w:tc>
        <w:tc>
          <w:tcPr>
            <w:tcW w:w="632" w:type="dxa"/>
          </w:tcPr>
          <w:p>
            <w:pPr>
              <w:pStyle w:val="TableParagraph"/>
              <w:spacing w:line="226" w:lineRule="exact"/>
              <w:ind w:left="95" w:right="142"/>
              <w:rPr>
                <w:rFonts w:ascii="Calibri"/>
                <w:sz w:val="20"/>
              </w:rPr>
            </w:pPr>
            <w:r>
              <w:rPr>
                <w:rFonts w:ascii="Calibri"/>
                <w:sz w:val="20"/>
              </w:rPr>
              <w:t>0.68</w:t>
            </w:r>
          </w:p>
        </w:tc>
      </w:tr>
      <w:tr>
        <w:trPr>
          <w:trHeight w:val="300" w:hRule="atLeast"/>
        </w:trPr>
        <w:tc>
          <w:tcPr>
            <w:tcW w:w="761" w:type="dxa"/>
          </w:tcPr>
          <w:p>
            <w:pPr>
              <w:pStyle w:val="TableParagraph"/>
              <w:spacing w:line="243" w:lineRule="exact" w:before="37"/>
              <w:ind w:left="61" w:right="50"/>
              <w:rPr>
                <w:rFonts w:ascii="Calibri"/>
                <w:sz w:val="20"/>
              </w:rPr>
            </w:pPr>
            <w:r>
              <w:rPr>
                <w:rFonts w:ascii="Calibri"/>
                <w:sz w:val="20"/>
              </w:rPr>
              <w:t>220053</w:t>
            </w:r>
          </w:p>
        </w:tc>
        <w:tc>
          <w:tcPr>
            <w:tcW w:w="1248" w:type="dxa"/>
          </w:tcPr>
          <w:p>
            <w:pPr>
              <w:pStyle w:val="TableParagraph"/>
              <w:spacing w:line="243" w:lineRule="exact" w:before="37"/>
              <w:ind w:left="71"/>
              <w:jc w:val="left"/>
              <w:rPr>
                <w:rFonts w:ascii="Calibri" w:hAnsi="Calibri"/>
                <w:sz w:val="20"/>
              </w:rPr>
            </w:pPr>
            <w:r>
              <w:rPr>
                <w:rFonts w:ascii="Calibri" w:hAnsi="Calibri"/>
                <w:sz w:val="20"/>
              </w:rPr>
              <w:t>Sunds Nørreå</w:t>
            </w:r>
          </w:p>
        </w:tc>
        <w:tc>
          <w:tcPr>
            <w:tcW w:w="947" w:type="dxa"/>
          </w:tcPr>
          <w:p>
            <w:pPr>
              <w:pStyle w:val="TableParagraph"/>
              <w:spacing w:line="243" w:lineRule="exact" w:before="37"/>
              <w:ind w:left="77"/>
              <w:jc w:val="left"/>
              <w:rPr>
                <w:rFonts w:ascii="Calibri"/>
                <w:sz w:val="20"/>
              </w:rPr>
            </w:pPr>
            <w:r>
              <w:rPr>
                <w:rFonts w:ascii="Calibri"/>
                <w:sz w:val="20"/>
              </w:rPr>
              <w:t>14620</w:t>
            </w:r>
          </w:p>
        </w:tc>
        <w:tc>
          <w:tcPr>
            <w:tcW w:w="888" w:type="dxa"/>
            <w:tcBorders>
              <w:right w:val="single" w:sz="4" w:space="0" w:color="000000"/>
            </w:tcBorders>
          </w:tcPr>
          <w:p>
            <w:pPr>
              <w:pStyle w:val="TableParagraph"/>
              <w:spacing w:line="243" w:lineRule="exact" w:before="37"/>
              <w:ind w:left="169" w:right="216"/>
              <w:rPr>
                <w:rFonts w:ascii="Calibri"/>
                <w:sz w:val="20"/>
              </w:rPr>
            </w:pPr>
            <w:r>
              <w:rPr>
                <w:rFonts w:ascii="Calibri"/>
                <w:sz w:val="20"/>
              </w:rPr>
              <w:t>48</w:t>
            </w:r>
          </w:p>
        </w:tc>
        <w:tc>
          <w:tcPr>
            <w:tcW w:w="670" w:type="dxa"/>
            <w:tcBorders>
              <w:left w:val="single" w:sz="4" w:space="0" w:color="000000"/>
            </w:tcBorders>
          </w:tcPr>
          <w:p>
            <w:pPr>
              <w:pStyle w:val="TableParagraph"/>
              <w:spacing w:line="226" w:lineRule="exact"/>
              <w:ind w:left="167" w:right="141"/>
              <w:rPr>
                <w:rFonts w:ascii="Calibri"/>
                <w:sz w:val="20"/>
              </w:rPr>
            </w:pPr>
            <w:r>
              <w:rPr>
                <w:rFonts w:ascii="Calibri"/>
                <w:sz w:val="20"/>
              </w:rPr>
              <w:t>4.0</w:t>
            </w:r>
          </w:p>
        </w:tc>
        <w:tc>
          <w:tcPr>
            <w:tcW w:w="1056" w:type="dxa"/>
          </w:tcPr>
          <w:p>
            <w:pPr>
              <w:pStyle w:val="TableParagraph"/>
              <w:spacing w:line="226" w:lineRule="exact"/>
              <w:ind w:left="57" w:right="50"/>
              <w:rPr>
                <w:rFonts w:ascii="Calibri"/>
                <w:sz w:val="20"/>
              </w:rPr>
            </w:pPr>
            <w:r>
              <w:rPr>
                <w:rFonts w:ascii="Calibri"/>
                <w:sz w:val="20"/>
              </w:rPr>
              <w:t>-39.1</w:t>
            </w:r>
          </w:p>
        </w:tc>
        <w:tc>
          <w:tcPr>
            <w:tcW w:w="684" w:type="dxa"/>
            <w:tcBorders>
              <w:right w:val="single" w:sz="4" w:space="0" w:color="000000"/>
            </w:tcBorders>
          </w:tcPr>
          <w:p>
            <w:pPr>
              <w:pStyle w:val="TableParagraph"/>
              <w:spacing w:line="226" w:lineRule="exact"/>
              <w:ind w:left="130" w:right="153"/>
              <w:rPr>
                <w:rFonts w:ascii="Calibri"/>
                <w:sz w:val="20"/>
              </w:rPr>
            </w:pPr>
            <w:r>
              <w:rPr>
                <w:rFonts w:ascii="Calibri"/>
                <w:sz w:val="20"/>
              </w:rPr>
              <w:t>0.86</w:t>
            </w:r>
          </w:p>
        </w:tc>
        <w:tc>
          <w:tcPr>
            <w:tcW w:w="653" w:type="dxa"/>
            <w:tcBorders>
              <w:left w:val="single" w:sz="4" w:space="0" w:color="000000"/>
            </w:tcBorders>
          </w:tcPr>
          <w:p>
            <w:pPr>
              <w:pStyle w:val="TableParagraph"/>
              <w:spacing w:line="226" w:lineRule="exact"/>
              <w:ind w:left="148" w:right="103"/>
              <w:rPr>
                <w:rFonts w:ascii="Calibri"/>
                <w:sz w:val="20"/>
              </w:rPr>
            </w:pPr>
            <w:r>
              <w:rPr>
                <w:rFonts w:ascii="Calibri"/>
                <w:sz w:val="20"/>
              </w:rPr>
              <w:t>-2.1</w:t>
            </w:r>
          </w:p>
        </w:tc>
        <w:tc>
          <w:tcPr>
            <w:tcW w:w="984" w:type="dxa"/>
          </w:tcPr>
          <w:p>
            <w:pPr>
              <w:pStyle w:val="TableParagraph"/>
              <w:spacing w:line="226" w:lineRule="exact"/>
              <w:ind w:left="35" w:right="33"/>
              <w:rPr>
                <w:rFonts w:ascii="Calibri"/>
                <w:sz w:val="20"/>
              </w:rPr>
            </w:pPr>
            <w:r>
              <w:rPr>
                <w:rFonts w:ascii="Calibri"/>
                <w:sz w:val="20"/>
              </w:rPr>
              <w:t>-72.5</w:t>
            </w:r>
          </w:p>
        </w:tc>
        <w:tc>
          <w:tcPr>
            <w:tcW w:w="632" w:type="dxa"/>
          </w:tcPr>
          <w:p>
            <w:pPr>
              <w:pStyle w:val="TableParagraph"/>
              <w:spacing w:line="226" w:lineRule="exact"/>
              <w:ind w:left="95" w:right="142"/>
              <w:rPr>
                <w:rFonts w:ascii="Calibri"/>
                <w:sz w:val="20"/>
              </w:rPr>
            </w:pPr>
            <w:r>
              <w:rPr>
                <w:rFonts w:ascii="Calibri"/>
                <w:sz w:val="20"/>
              </w:rPr>
              <w:t>0.89</w:t>
            </w:r>
          </w:p>
        </w:tc>
      </w:tr>
      <w:tr>
        <w:trPr>
          <w:trHeight w:val="300" w:hRule="atLeast"/>
        </w:trPr>
        <w:tc>
          <w:tcPr>
            <w:tcW w:w="761" w:type="dxa"/>
          </w:tcPr>
          <w:p>
            <w:pPr>
              <w:pStyle w:val="TableParagraph"/>
              <w:spacing w:line="243" w:lineRule="exact" w:before="37"/>
              <w:ind w:left="61" w:right="50"/>
              <w:rPr>
                <w:rFonts w:ascii="Calibri"/>
                <w:sz w:val="20"/>
              </w:rPr>
            </w:pPr>
            <w:r>
              <w:rPr>
                <w:rFonts w:ascii="Calibri"/>
                <w:sz w:val="20"/>
              </w:rPr>
              <w:t>220059</w:t>
            </w:r>
          </w:p>
        </w:tc>
        <w:tc>
          <w:tcPr>
            <w:tcW w:w="1248" w:type="dxa"/>
          </w:tcPr>
          <w:p>
            <w:pPr>
              <w:pStyle w:val="TableParagraph"/>
              <w:spacing w:line="243" w:lineRule="exact" w:before="37"/>
              <w:ind w:left="71"/>
              <w:jc w:val="left"/>
              <w:rPr>
                <w:rFonts w:ascii="Calibri"/>
                <w:sz w:val="20"/>
              </w:rPr>
            </w:pPr>
            <w:r>
              <w:rPr>
                <w:rFonts w:ascii="Calibri"/>
                <w:sz w:val="20"/>
              </w:rPr>
              <w:t>Storaa</w:t>
            </w:r>
          </w:p>
        </w:tc>
        <w:tc>
          <w:tcPr>
            <w:tcW w:w="947" w:type="dxa"/>
          </w:tcPr>
          <w:p>
            <w:pPr>
              <w:pStyle w:val="TableParagraph"/>
              <w:spacing w:line="243" w:lineRule="exact" w:before="37"/>
              <w:ind w:left="77"/>
              <w:jc w:val="left"/>
              <w:rPr>
                <w:rFonts w:ascii="Calibri"/>
                <w:sz w:val="20"/>
              </w:rPr>
            </w:pPr>
            <w:r>
              <w:rPr>
                <w:rFonts w:ascii="Calibri"/>
                <w:sz w:val="20"/>
              </w:rPr>
              <w:t>37971</w:t>
            </w:r>
          </w:p>
        </w:tc>
        <w:tc>
          <w:tcPr>
            <w:tcW w:w="888" w:type="dxa"/>
            <w:tcBorders>
              <w:right w:val="single" w:sz="4" w:space="0" w:color="000000"/>
            </w:tcBorders>
          </w:tcPr>
          <w:p>
            <w:pPr>
              <w:pStyle w:val="TableParagraph"/>
              <w:spacing w:line="243" w:lineRule="exact" w:before="37"/>
              <w:ind w:left="265"/>
              <w:jc w:val="left"/>
              <w:rPr>
                <w:rFonts w:ascii="Calibri"/>
                <w:sz w:val="20"/>
              </w:rPr>
            </w:pPr>
            <w:r>
              <w:rPr>
                <w:rFonts w:ascii="Calibri"/>
                <w:sz w:val="20"/>
              </w:rPr>
              <w:t>825</w:t>
            </w:r>
          </w:p>
        </w:tc>
        <w:tc>
          <w:tcPr>
            <w:tcW w:w="670" w:type="dxa"/>
            <w:tcBorders>
              <w:left w:val="single" w:sz="4" w:space="0" w:color="000000"/>
            </w:tcBorders>
          </w:tcPr>
          <w:p>
            <w:pPr>
              <w:pStyle w:val="TableParagraph"/>
              <w:spacing w:line="226" w:lineRule="exact"/>
              <w:ind w:left="169" w:right="141"/>
              <w:rPr>
                <w:rFonts w:ascii="Calibri"/>
                <w:sz w:val="20"/>
              </w:rPr>
            </w:pPr>
            <w:r>
              <w:rPr>
                <w:rFonts w:ascii="Calibri"/>
                <w:sz w:val="20"/>
              </w:rPr>
              <w:t>-3.3</w:t>
            </w:r>
          </w:p>
        </w:tc>
        <w:tc>
          <w:tcPr>
            <w:tcW w:w="1056" w:type="dxa"/>
          </w:tcPr>
          <w:p>
            <w:pPr>
              <w:pStyle w:val="TableParagraph"/>
              <w:spacing w:line="226" w:lineRule="exact"/>
              <w:ind w:left="57" w:right="50"/>
              <w:rPr>
                <w:rFonts w:ascii="Calibri"/>
                <w:sz w:val="20"/>
              </w:rPr>
            </w:pPr>
            <w:r>
              <w:rPr>
                <w:rFonts w:ascii="Calibri"/>
                <w:sz w:val="20"/>
              </w:rPr>
              <w:t>-7.9</w:t>
            </w:r>
          </w:p>
        </w:tc>
        <w:tc>
          <w:tcPr>
            <w:tcW w:w="684" w:type="dxa"/>
            <w:tcBorders>
              <w:right w:val="single" w:sz="4" w:space="0" w:color="000000"/>
            </w:tcBorders>
          </w:tcPr>
          <w:p>
            <w:pPr>
              <w:pStyle w:val="TableParagraph"/>
              <w:spacing w:line="226" w:lineRule="exact"/>
              <w:ind w:left="130" w:right="153"/>
              <w:rPr>
                <w:rFonts w:ascii="Calibri"/>
                <w:sz w:val="20"/>
              </w:rPr>
            </w:pPr>
            <w:r>
              <w:rPr>
                <w:rFonts w:ascii="Calibri"/>
                <w:sz w:val="20"/>
              </w:rPr>
              <w:t>0.87</w:t>
            </w:r>
          </w:p>
        </w:tc>
        <w:tc>
          <w:tcPr>
            <w:tcW w:w="653" w:type="dxa"/>
            <w:tcBorders>
              <w:left w:val="single" w:sz="4" w:space="0" w:color="000000"/>
            </w:tcBorders>
          </w:tcPr>
          <w:p>
            <w:pPr>
              <w:pStyle w:val="TableParagraph"/>
              <w:jc w:val="left"/>
              <w:rPr>
                <w:rFonts w:ascii="Times New Roman"/>
                <w:sz w:val="20"/>
              </w:rPr>
            </w:pPr>
          </w:p>
        </w:tc>
        <w:tc>
          <w:tcPr>
            <w:tcW w:w="984" w:type="dxa"/>
          </w:tcPr>
          <w:p>
            <w:pPr>
              <w:pStyle w:val="TableParagraph"/>
              <w:jc w:val="left"/>
              <w:rPr>
                <w:rFonts w:ascii="Times New Roman"/>
                <w:sz w:val="20"/>
              </w:rPr>
            </w:pPr>
          </w:p>
        </w:tc>
        <w:tc>
          <w:tcPr>
            <w:tcW w:w="632" w:type="dxa"/>
          </w:tcPr>
          <w:p>
            <w:pPr>
              <w:pStyle w:val="TableParagraph"/>
              <w:jc w:val="left"/>
              <w:rPr>
                <w:rFonts w:ascii="Times New Roman"/>
                <w:sz w:val="20"/>
              </w:rPr>
            </w:pPr>
          </w:p>
        </w:tc>
      </w:tr>
      <w:tr>
        <w:trPr>
          <w:trHeight w:val="300" w:hRule="atLeast"/>
        </w:trPr>
        <w:tc>
          <w:tcPr>
            <w:tcW w:w="761" w:type="dxa"/>
          </w:tcPr>
          <w:p>
            <w:pPr>
              <w:pStyle w:val="TableParagraph"/>
              <w:spacing w:line="243" w:lineRule="exact" w:before="37"/>
              <w:ind w:left="61" w:right="50"/>
              <w:rPr>
                <w:rFonts w:ascii="Calibri"/>
                <w:sz w:val="20"/>
              </w:rPr>
            </w:pPr>
            <w:r>
              <w:rPr>
                <w:rFonts w:ascii="Calibri"/>
                <w:sz w:val="20"/>
              </w:rPr>
              <w:t>220062</w:t>
            </w:r>
          </w:p>
        </w:tc>
        <w:tc>
          <w:tcPr>
            <w:tcW w:w="1248" w:type="dxa"/>
          </w:tcPr>
          <w:p>
            <w:pPr>
              <w:pStyle w:val="TableParagraph"/>
              <w:spacing w:line="243" w:lineRule="exact" w:before="37"/>
              <w:ind w:left="71"/>
              <w:jc w:val="left"/>
              <w:rPr>
                <w:rFonts w:ascii="Calibri"/>
                <w:sz w:val="20"/>
              </w:rPr>
            </w:pPr>
            <w:r>
              <w:rPr>
                <w:rFonts w:ascii="Calibri"/>
                <w:sz w:val="20"/>
              </w:rPr>
              <w:t>Storaa</w:t>
            </w:r>
          </w:p>
        </w:tc>
        <w:tc>
          <w:tcPr>
            <w:tcW w:w="947" w:type="dxa"/>
          </w:tcPr>
          <w:p>
            <w:pPr>
              <w:pStyle w:val="TableParagraph"/>
              <w:spacing w:line="243" w:lineRule="exact" w:before="37"/>
              <w:ind w:left="77"/>
              <w:jc w:val="left"/>
              <w:rPr>
                <w:rFonts w:ascii="Calibri"/>
                <w:sz w:val="20"/>
              </w:rPr>
            </w:pPr>
            <w:r>
              <w:rPr>
                <w:rFonts w:ascii="Calibri"/>
                <w:sz w:val="20"/>
              </w:rPr>
              <w:t>61685</w:t>
            </w:r>
          </w:p>
        </w:tc>
        <w:tc>
          <w:tcPr>
            <w:tcW w:w="888" w:type="dxa"/>
            <w:tcBorders>
              <w:right w:val="single" w:sz="4" w:space="0" w:color="000000"/>
            </w:tcBorders>
          </w:tcPr>
          <w:p>
            <w:pPr>
              <w:pStyle w:val="TableParagraph"/>
              <w:spacing w:line="243" w:lineRule="exact" w:before="37"/>
              <w:ind w:left="214"/>
              <w:jc w:val="left"/>
              <w:rPr>
                <w:rFonts w:ascii="Calibri"/>
                <w:sz w:val="20"/>
              </w:rPr>
            </w:pPr>
            <w:r>
              <w:rPr>
                <w:rFonts w:ascii="Calibri"/>
                <w:sz w:val="20"/>
              </w:rPr>
              <w:t>1097</w:t>
            </w:r>
          </w:p>
        </w:tc>
        <w:tc>
          <w:tcPr>
            <w:tcW w:w="670" w:type="dxa"/>
            <w:tcBorders>
              <w:left w:val="single" w:sz="4" w:space="0" w:color="000000"/>
            </w:tcBorders>
          </w:tcPr>
          <w:p>
            <w:pPr>
              <w:pStyle w:val="TableParagraph"/>
              <w:spacing w:line="226" w:lineRule="exact"/>
              <w:ind w:left="167" w:right="141"/>
              <w:rPr>
                <w:rFonts w:ascii="Calibri"/>
                <w:sz w:val="20"/>
              </w:rPr>
            </w:pPr>
            <w:r>
              <w:rPr>
                <w:rFonts w:ascii="Calibri"/>
                <w:sz w:val="20"/>
              </w:rPr>
              <w:t>1.8</w:t>
            </w:r>
          </w:p>
        </w:tc>
        <w:tc>
          <w:tcPr>
            <w:tcW w:w="1056" w:type="dxa"/>
          </w:tcPr>
          <w:p>
            <w:pPr>
              <w:pStyle w:val="TableParagraph"/>
              <w:spacing w:line="226" w:lineRule="exact"/>
              <w:ind w:left="56" w:right="51"/>
              <w:rPr>
                <w:rFonts w:ascii="Calibri"/>
                <w:sz w:val="20"/>
              </w:rPr>
            </w:pPr>
            <w:r>
              <w:rPr>
                <w:rFonts w:ascii="Calibri"/>
                <w:sz w:val="20"/>
              </w:rPr>
              <w:t>3.7</w:t>
            </w:r>
          </w:p>
        </w:tc>
        <w:tc>
          <w:tcPr>
            <w:tcW w:w="684" w:type="dxa"/>
            <w:tcBorders>
              <w:right w:val="single" w:sz="4" w:space="0" w:color="000000"/>
            </w:tcBorders>
          </w:tcPr>
          <w:p>
            <w:pPr>
              <w:pStyle w:val="TableParagraph"/>
              <w:spacing w:line="226" w:lineRule="exact"/>
              <w:ind w:left="130" w:right="153"/>
              <w:rPr>
                <w:rFonts w:ascii="Calibri"/>
                <w:sz w:val="20"/>
              </w:rPr>
            </w:pPr>
            <w:r>
              <w:rPr>
                <w:rFonts w:ascii="Calibri"/>
                <w:sz w:val="20"/>
              </w:rPr>
              <w:t>0.87</w:t>
            </w:r>
          </w:p>
        </w:tc>
        <w:tc>
          <w:tcPr>
            <w:tcW w:w="653" w:type="dxa"/>
            <w:tcBorders>
              <w:left w:val="single" w:sz="4" w:space="0" w:color="000000"/>
            </w:tcBorders>
          </w:tcPr>
          <w:p>
            <w:pPr>
              <w:pStyle w:val="TableParagraph"/>
              <w:spacing w:line="226" w:lineRule="exact"/>
              <w:ind w:left="148" w:right="105"/>
              <w:rPr>
                <w:rFonts w:ascii="Calibri"/>
                <w:sz w:val="20"/>
              </w:rPr>
            </w:pPr>
            <w:r>
              <w:rPr>
                <w:rFonts w:ascii="Calibri"/>
                <w:sz w:val="20"/>
              </w:rPr>
              <w:t>10.0</w:t>
            </w:r>
          </w:p>
        </w:tc>
        <w:tc>
          <w:tcPr>
            <w:tcW w:w="984" w:type="dxa"/>
          </w:tcPr>
          <w:p>
            <w:pPr>
              <w:pStyle w:val="TableParagraph"/>
              <w:spacing w:line="226" w:lineRule="exact"/>
              <w:ind w:left="35" w:right="31"/>
              <w:rPr>
                <w:rFonts w:ascii="Calibri"/>
                <w:sz w:val="20"/>
              </w:rPr>
            </w:pPr>
            <w:r>
              <w:rPr>
                <w:rFonts w:ascii="Calibri"/>
                <w:sz w:val="20"/>
              </w:rPr>
              <w:t>2.5</w:t>
            </w:r>
          </w:p>
        </w:tc>
        <w:tc>
          <w:tcPr>
            <w:tcW w:w="632" w:type="dxa"/>
          </w:tcPr>
          <w:p>
            <w:pPr>
              <w:pStyle w:val="TableParagraph"/>
              <w:spacing w:line="226" w:lineRule="exact"/>
              <w:ind w:left="95" w:right="142"/>
              <w:rPr>
                <w:rFonts w:ascii="Calibri"/>
                <w:sz w:val="20"/>
              </w:rPr>
            </w:pPr>
            <w:r>
              <w:rPr>
                <w:rFonts w:ascii="Calibri"/>
                <w:sz w:val="20"/>
              </w:rPr>
              <w:t>0.81</w:t>
            </w:r>
          </w:p>
        </w:tc>
      </w:tr>
      <w:tr>
        <w:trPr>
          <w:trHeight w:val="282" w:hRule="atLeast"/>
        </w:trPr>
        <w:tc>
          <w:tcPr>
            <w:tcW w:w="761" w:type="dxa"/>
            <w:tcBorders>
              <w:bottom w:val="single" w:sz="4" w:space="0" w:color="000000"/>
            </w:tcBorders>
          </w:tcPr>
          <w:p>
            <w:pPr>
              <w:pStyle w:val="TableParagraph"/>
              <w:spacing w:line="223" w:lineRule="exact" w:before="37"/>
              <w:ind w:left="61" w:right="50"/>
              <w:rPr>
                <w:rFonts w:ascii="Calibri"/>
                <w:sz w:val="20"/>
              </w:rPr>
            </w:pPr>
            <w:r>
              <w:rPr>
                <w:rFonts w:ascii="Calibri"/>
                <w:sz w:val="20"/>
              </w:rPr>
              <w:t>220068</w:t>
            </w:r>
          </w:p>
        </w:tc>
        <w:tc>
          <w:tcPr>
            <w:tcW w:w="1248" w:type="dxa"/>
            <w:tcBorders>
              <w:bottom w:val="single" w:sz="4" w:space="0" w:color="000000"/>
            </w:tcBorders>
          </w:tcPr>
          <w:p>
            <w:pPr>
              <w:pStyle w:val="TableParagraph"/>
              <w:spacing w:line="223" w:lineRule="exact" w:before="37"/>
              <w:ind w:left="71"/>
              <w:jc w:val="left"/>
              <w:rPr>
                <w:rFonts w:ascii="Calibri"/>
                <w:sz w:val="20"/>
              </w:rPr>
            </w:pPr>
            <w:r>
              <w:rPr>
                <w:rFonts w:ascii="Calibri"/>
                <w:sz w:val="20"/>
              </w:rPr>
              <w:t>Storaa</w:t>
            </w:r>
          </w:p>
        </w:tc>
        <w:tc>
          <w:tcPr>
            <w:tcW w:w="947" w:type="dxa"/>
            <w:tcBorders>
              <w:bottom w:val="single" w:sz="4" w:space="0" w:color="000000"/>
            </w:tcBorders>
          </w:tcPr>
          <w:p>
            <w:pPr>
              <w:pStyle w:val="TableParagraph"/>
              <w:spacing w:line="223" w:lineRule="exact" w:before="37"/>
              <w:ind w:left="77"/>
              <w:jc w:val="left"/>
              <w:rPr>
                <w:rFonts w:ascii="Calibri"/>
                <w:sz w:val="20"/>
              </w:rPr>
            </w:pPr>
            <w:r>
              <w:rPr>
                <w:rFonts w:ascii="Calibri"/>
                <w:sz w:val="20"/>
              </w:rPr>
              <w:t>-24887</w:t>
            </w:r>
          </w:p>
        </w:tc>
        <w:tc>
          <w:tcPr>
            <w:tcW w:w="888" w:type="dxa"/>
            <w:tcBorders>
              <w:bottom w:val="single" w:sz="4" w:space="0" w:color="000000"/>
              <w:right w:val="single" w:sz="4" w:space="0" w:color="000000"/>
            </w:tcBorders>
          </w:tcPr>
          <w:p>
            <w:pPr>
              <w:pStyle w:val="TableParagraph"/>
              <w:spacing w:line="223" w:lineRule="exact" w:before="37"/>
              <w:ind w:left="169" w:right="216"/>
              <w:rPr>
                <w:rFonts w:ascii="Calibri"/>
                <w:sz w:val="20"/>
              </w:rPr>
            </w:pPr>
            <w:r>
              <w:rPr>
                <w:rFonts w:ascii="Calibri"/>
                <w:sz w:val="20"/>
              </w:rPr>
              <w:t>64</w:t>
            </w:r>
          </w:p>
        </w:tc>
        <w:tc>
          <w:tcPr>
            <w:tcW w:w="670" w:type="dxa"/>
            <w:tcBorders>
              <w:left w:val="single" w:sz="4" w:space="0" w:color="000000"/>
              <w:bottom w:val="single" w:sz="4" w:space="0" w:color="000000"/>
            </w:tcBorders>
          </w:tcPr>
          <w:p>
            <w:pPr>
              <w:pStyle w:val="TableParagraph"/>
              <w:spacing w:line="226" w:lineRule="exact"/>
              <w:ind w:left="167" w:right="141"/>
              <w:rPr>
                <w:rFonts w:ascii="Calibri"/>
                <w:sz w:val="20"/>
              </w:rPr>
            </w:pPr>
            <w:r>
              <w:rPr>
                <w:rFonts w:ascii="Calibri"/>
                <w:sz w:val="20"/>
              </w:rPr>
              <w:t>0.4</w:t>
            </w:r>
          </w:p>
        </w:tc>
        <w:tc>
          <w:tcPr>
            <w:tcW w:w="1056" w:type="dxa"/>
            <w:tcBorders>
              <w:bottom w:val="single" w:sz="4" w:space="0" w:color="000000"/>
            </w:tcBorders>
          </w:tcPr>
          <w:p>
            <w:pPr>
              <w:pStyle w:val="TableParagraph"/>
              <w:spacing w:line="226" w:lineRule="exact"/>
              <w:ind w:left="56" w:right="51"/>
              <w:rPr>
                <w:rFonts w:ascii="Calibri"/>
                <w:sz w:val="20"/>
              </w:rPr>
            </w:pPr>
            <w:r>
              <w:rPr>
                <w:rFonts w:ascii="Calibri"/>
                <w:sz w:val="20"/>
              </w:rPr>
              <w:t>24.3</w:t>
            </w:r>
          </w:p>
        </w:tc>
        <w:tc>
          <w:tcPr>
            <w:tcW w:w="684" w:type="dxa"/>
            <w:tcBorders>
              <w:bottom w:val="single" w:sz="4" w:space="0" w:color="000000"/>
              <w:right w:val="single" w:sz="4" w:space="0" w:color="000000"/>
            </w:tcBorders>
          </w:tcPr>
          <w:p>
            <w:pPr>
              <w:pStyle w:val="TableParagraph"/>
              <w:spacing w:line="226" w:lineRule="exact"/>
              <w:ind w:left="130" w:right="153"/>
              <w:rPr>
                <w:rFonts w:ascii="Calibri"/>
                <w:sz w:val="20"/>
              </w:rPr>
            </w:pPr>
            <w:r>
              <w:rPr>
                <w:rFonts w:ascii="Calibri"/>
                <w:sz w:val="20"/>
              </w:rPr>
              <w:t>0.49</w:t>
            </w:r>
          </w:p>
        </w:tc>
        <w:tc>
          <w:tcPr>
            <w:tcW w:w="653" w:type="dxa"/>
            <w:tcBorders>
              <w:left w:val="single" w:sz="4" w:space="0" w:color="000000"/>
              <w:bottom w:val="single" w:sz="4" w:space="0" w:color="000000"/>
            </w:tcBorders>
          </w:tcPr>
          <w:p>
            <w:pPr>
              <w:pStyle w:val="TableParagraph"/>
              <w:jc w:val="left"/>
              <w:rPr>
                <w:rFonts w:ascii="Times New Roman"/>
                <w:sz w:val="20"/>
              </w:rPr>
            </w:pPr>
          </w:p>
        </w:tc>
        <w:tc>
          <w:tcPr>
            <w:tcW w:w="984" w:type="dxa"/>
            <w:tcBorders>
              <w:bottom w:val="single" w:sz="4" w:space="0" w:color="000000"/>
            </w:tcBorders>
          </w:tcPr>
          <w:p>
            <w:pPr>
              <w:pStyle w:val="TableParagraph"/>
              <w:jc w:val="left"/>
              <w:rPr>
                <w:rFonts w:ascii="Times New Roman"/>
                <w:sz w:val="20"/>
              </w:rPr>
            </w:pPr>
          </w:p>
        </w:tc>
        <w:tc>
          <w:tcPr>
            <w:tcW w:w="632" w:type="dxa"/>
            <w:tcBorders>
              <w:bottom w:val="single" w:sz="4" w:space="0" w:color="000000"/>
            </w:tcBorders>
          </w:tcPr>
          <w:p>
            <w:pPr>
              <w:pStyle w:val="TableParagraph"/>
              <w:jc w:val="left"/>
              <w:rPr>
                <w:rFonts w:ascii="Times New Roman"/>
                <w:sz w:val="20"/>
              </w:rPr>
            </w:pPr>
          </w:p>
        </w:tc>
      </w:tr>
    </w:tbl>
    <w:p>
      <w:pPr>
        <w:pStyle w:val="BodyText"/>
        <w:rPr>
          <w:rFonts w:ascii="Calibri"/>
          <w:i/>
          <w:sz w:val="18"/>
        </w:rPr>
      </w:pPr>
    </w:p>
    <w:p>
      <w:pPr>
        <w:pStyle w:val="BodyText"/>
        <w:rPr>
          <w:rFonts w:ascii="Calibri"/>
          <w:i/>
          <w:sz w:val="18"/>
        </w:rPr>
      </w:pPr>
    </w:p>
    <w:p>
      <w:pPr>
        <w:pStyle w:val="Heading5"/>
        <w:spacing w:before="136"/>
        <w:jc w:val="both"/>
        <w:rPr>
          <w:i/>
        </w:rPr>
      </w:pPr>
      <w:r>
        <w:rPr>
          <w:i/>
        </w:rPr>
        <w:t>Trykniveau</w:t>
      </w:r>
    </w:p>
    <w:p>
      <w:pPr>
        <w:pStyle w:val="BodyText"/>
        <w:spacing w:line="288" w:lineRule="auto" w:before="49"/>
        <w:ind w:left="525" w:right="730"/>
        <w:jc w:val="both"/>
      </w:pPr>
      <w:hyperlink w:history="true" w:anchor="_bookmark68">
        <w:r>
          <w:rPr/>
          <w:t>Tabel 12 </w:t>
        </w:r>
      </w:hyperlink>
      <w:r>
        <w:rPr/>
        <w:t>angiver performancestatistik for kalibreringsperioden for de tre kalibreringer med fokus på terrænnært grundvand. Som indikeret for parametre og vandføring er der kun små forskelle på de to 100 m modeller, mens 500 m modellen performer en smule dårligere på det terrænnære trykniveau. Generelt er fejlene mindst på det terrænnære grundvand på tværs</w:t>
      </w:r>
      <w:r>
        <w:rPr>
          <w:spacing w:val="-12"/>
        </w:rPr>
        <w:t> </w:t>
      </w:r>
      <w:r>
        <w:rPr/>
        <w:t>af</w:t>
      </w:r>
      <w:r>
        <w:rPr>
          <w:spacing w:val="-11"/>
        </w:rPr>
        <w:t> </w:t>
      </w:r>
      <w:r>
        <w:rPr/>
        <w:t>alle</w:t>
      </w:r>
      <w:r>
        <w:rPr>
          <w:spacing w:val="-11"/>
        </w:rPr>
        <w:t> </w:t>
      </w:r>
      <w:r>
        <w:rPr/>
        <w:t>statistiske</w:t>
      </w:r>
      <w:r>
        <w:rPr>
          <w:spacing w:val="-10"/>
        </w:rPr>
        <w:t> </w:t>
      </w:r>
      <w:r>
        <w:rPr/>
        <w:t>størrelser</w:t>
      </w:r>
      <w:r>
        <w:rPr>
          <w:spacing w:val="-12"/>
        </w:rPr>
        <w:t> </w:t>
      </w:r>
      <w:r>
        <w:rPr/>
        <w:t>og</w:t>
      </w:r>
      <w:r>
        <w:rPr>
          <w:spacing w:val="-14"/>
        </w:rPr>
        <w:t> </w:t>
      </w:r>
      <w:r>
        <w:rPr/>
        <w:t>modeller.</w:t>
      </w:r>
      <w:r>
        <w:rPr>
          <w:spacing w:val="-13"/>
        </w:rPr>
        <w:t> </w:t>
      </w:r>
      <w:r>
        <w:rPr/>
        <w:t>Samtidigt</w:t>
      </w:r>
      <w:r>
        <w:rPr>
          <w:spacing w:val="-13"/>
        </w:rPr>
        <w:t> </w:t>
      </w:r>
      <w:r>
        <w:rPr/>
        <w:t>er</w:t>
      </w:r>
      <w:r>
        <w:rPr>
          <w:spacing w:val="-15"/>
        </w:rPr>
        <w:t> </w:t>
      </w:r>
      <w:r>
        <w:rPr/>
        <w:t>fejlene</w:t>
      </w:r>
      <w:r>
        <w:rPr>
          <w:spacing w:val="-13"/>
        </w:rPr>
        <w:t> </w:t>
      </w:r>
      <w:r>
        <w:rPr/>
        <w:t>generelt</w:t>
      </w:r>
      <w:r>
        <w:rPr>
          <w:spacing w:val="-13"/>
        </w:rPr>
        <w:t> </w:t>
      </w:r>
      <w:r>
        <w:rPr/>
        <w:t>størst</w:t>
      </w:r>
      <w:r>
        <w:rPr>
          <w:spacing w:val="-13"/>
        </w:rPr>
        <w:t> </w:t>
      </w:r>
      <w:r>
        <w:rPr/>
        <w:t>på</w:t>
      </w:r>
      <w:r>
        <w:rPr>
          <w:spacing w:val="-10"/>
        </w:rPr>
        <w:t> </w:t>
      </w:r>
      <w:r>
        <w:rPr/>
        <w:t>de</w:t>
      </w:r>
      <w:r>
        <w:rPr>
          <w:spacing w:val="-11"/>
        </w:rPr>
        <w:t> </w:t>
      </w:r>
      <w:r>
        <w:rPr/>
        <w:t>data, som stammer fra Regionernes pejledata. RMSE for alle grids ligger for det terrænnære grundvand på 2.4 m for 100 m modellerne målt mod Jupiter data, mens det tilsvarende tal baseret</w:t>
      </w:r>
      <w:r>
        <w:rPr>
          <w:spacing w:val="-14"/>
        </w:rPr>
        <w:t> </w:t>
      </w:r>
      <w:r>
        <w:rPr/>
        <w:t>på</w:t>
      </w:r>
      <w:r>
        <w:rPr>
          <w:spacing w:val="-14"/>
        </w:rPr>
        <w:t> </w:t>
      </w:r>
      <w:r>
        <w:rPr/>
        <w:t>de</w:t>
      </w:r>
      <w:r>
        <w:rPr>
          <w:spacing w:val="-13"/>
        </w:rPr>
        <w:t> </w:t>
      </w:r>
      <w:r>
        <w:rPr/>
        <w:t>90%</w:t>
      </w:r>
      <w:r>
        <w:rPr>
          <w:spacing w:val="-12"/>
        </w:rPr>
        <w:t> </w:t>
      </w:r>
      <w:r>
        <w:rPr/>
        <w:t>bedste</w:t>
      </w:r>
      <w:r>
        <w:rPr>
          <w:spacing w:val="-15"/>
        </w:rPr>
        <w:t> </w:t>
      </w:r>
      <w:r>
        <w:rPr/>
        <w:t>grids</w:t>
      </w:r>
      <w:r>
        <w:rPr>
          <w:spacing w:val="-16"/>
        </w:rPr>
        <w:t> </w:t>
      </w:r>
      <w:r>
        <w:rPr/>
        <w:t>ligger</w:t>
      </w:r>
      <w:r>
        <w:rPr>
          <w:spacing w:val="-13"/>
        </w:rPr>
        <w:t> </w:t>
      </w:r>
      <w:r>
        <w:rPr/>
        <w:t>på</w:t>
      </w:r>
      <w:r>
        <w:rPr>
          <w:spacing w:val="-12"/>
        </w:rPr>
        <w:t> </w:t>
      </w:r>
      <w:r>
        <w:rPr/>
        <w:t>1.7</w:t>
      </w:r>
      <w:r>
        <w:rPr>
          <w:spacing w:val="-16"/>
        </w:rPr>
        <w:t> </w:t>
      </w:r>
      <w:r>
        <w:rPr/>
        <w:t>m.</w:t>
      </w:r>
      <w:r>
        <w:rPr>
          <w:spacing w:val="-13"/>
        </w:rPr>
        <w:t> </w:t>
      </w:r>
      <w:r>
        <w:rPr/>
        <w:t>For</w:t>
      </w:r>
      <w:r>
        <w:rPr>
          <w:spacing w:val="-13"/>
        </w:rPr>
        <w:t> </w:t>
      </w:r>
      <w:r>
        <w:rPr/>
        <w:t>validerings</w:t>
      </w:r>
      <w:r>
        <w:rPr>
          <w:spacing w:val="-13"/>
        </w:rPr>
        <w:t> </w:t>
      </w:r>
      <w:r>
        <w:rPr/>
        <w:t>perioden</w:t>
      </w:r>
      <w:r>
        <w:rPr>
          <w:spacing w:val="-12"/>
        </w:rPr>
        <w:t> </w:t>
      </w:r>
      <w:r>
        <w:rPr/>
        <w:t>er</w:t>
      </w:r>
      <w:r>
        <w:rPr>
          <w:spacing w:val="-13"/>
        </w:rPr>
        <w:t> </w:t>
      </w:r>
      <w:r>
        <w:rPr/>
        <w:t>tallene</w:t>
      </w:r>
      <w:r>
        <w:rPr>
          <w:spacing w:val="-13"/>
        </w:rPr>
        <w:t> </w:t>
      </w:r>
      <w:r>
        <w:rPr/>
        <w:t>for</w:t>
      </w:r>
      <w:r>
        <w:rPr>
          <w:spacing w:val="-9"/>
        </w:rPr>
        <w:t> </w:t>
      </w:r>
      <w:r>
        <w:rPr/>
        <w:t>Jupiter data i samme størrelsesorden som for kalibreringsperioden. For regionernes data er perfor- mance</w:t>
      </w:r>
      <w:r>
        <w:rPr>
          <w:spacing w:val="12"/>
        </w:rPr>
        <w:t> </w:t>
      </w:r>
      <w:r>
        <w:rPr/>
        <w:t>betydeligt</w:t>
      </w:r>
      <w:r>
        <w:rPr>
          <w:spacing w:val="12"/>
        </w:rPr>
        <w:t> </w:t>
      </w:r>
      <w:r>
        <w:rPr/>
        <w:t>dårligere</w:t>
      </w:r>
      <w:r>
        <w:rPr>
          <w:spacing w:val="13"/>
        </w:rPr>
        <w:t> </w:t>
      </w:r>
      <w:r>
        <w:rPr/>
        <w:t>for</w:t>
      </w:r>
      <w:r>
        <w:rPr>
          <w:spacing w:val="12"/>
        </w:rPr>
        <w:t> </w:t>
      </w:r>
      <w:r>
        <w:rPr/>
        <w:t>valideringsperioden,</w:t>
      </w:r>
      <w:r>
        <w:rPr>
          <w:spacing w:val="11"/>
        </w:rPr>
        <w:t> </w:t>
      </w:r>
      <w:hyperlink w:history="true" w:anchor="_bookmark69">
        <w:r>
          <w:rPr/>
          <w:t>tabel</w:t>
        </w:r>
        <w:r>
          <w:rPr>
            <w:spacing w:val="15"/>
          </w:rPr>
          <w:t> </w:t>
        </w:r>
        <w:r>
          <w:rPr/>
          <w:t>13</w:t>
        </w:r>
      </w:hyperlink>
      <w:r>
        <w:rPr/>
        <w:t>.</w:t>
      </w:r>
      <w:r>
        <w:rPr>
          <w:spacing w:val="10"/>
        </w:rPr>
        <w:t> </w:t>
      </w:r>
      <w:r>
        <w:rPr/>
        <w:t>Dette</w:t>
      </w:r>
      <w:r>
        <w:rPr>
          <w:spacing w:val="11"/>
        </w:rPr>
        <w:t> </w:t>
      </w:r>
      <w:r>
        <w:rPr/>
        <w:t>kan</w:t>
      </w:r>
      <w:r>
        <w:rPr>
          <w:spacing w:val="11"/>
        </w:rPr>
        <w:t> </w:t>
      </w:r>
      <w:r>
        <w:rPr/>
        <w:t>muligvis</w:t>
      </w:r>
      <w:r>
        <w:rPr>
          <w:spacing w:val="12"/>
        </w:rPr>
        <w:t> </w:t>
      </w:r>
      <w:r>
        <w:rPr/>
        <w:t>skyldes</w:t>
      </w:r>
      <w:r>
        <w:rPr>
          <w:spacing w:val="13"/>
        </w:rPr>
        <w:t> </w:t>
      </w:r>
      <w:r>
        <w:rPr/>
        <w:t>er</w:t>
      </w:r>
    </w:p>
    <w:p>
      <w:pPr>
        <w:spacing w:after="0" w:line="288" w:lineRule="auto"/>
        <w:jc w:val="both"/>
        <w:sectPr>
          <w:pgSz w:w="11910" w:h="16850"/>
          <w:pgMar w:header="0" w:footer="857" w:top="1380" w:bottom="1120" w:left="1460" w:right="680"/>
        </w:sectPr>
      </w:pPr>
    </w:p>
    <w:p>
      <w:pPr>
        <w:pStyle w:val="BodyText"/>
        <w:spacing w:line="288" w:lineRule="auto" w:before="75"/>
        <w:ind w:left="525"/>
      </w:pPr>
      <w:r>
        <w:rPr/>
        <w:t>behov for yderligere kvalitetssikring af disse data, der ikke indeholder kontinuerte (løbende) tidsserier for terrænnært grundvand.</w:t>
      </w:r>
    </w:p>
    <w:p>
      <w:pPr>
        <w:pStyle w:val="BodyText"/>
        <w:spacing w:before="6"/>
        <w:rPr>
          <w:sz w:val="25"/>
        </w:rPr>
      </w:pPr>
    </w:p>
    <w:p>
      <w:pPr>
        <w:spacing w:before="0"/>
        <w:ind w:left="525" w:right="852" w:firstLine="0"/>
        <w:jc w:val="left"/>
        <w:rPr>
          <w:rFonts w:ascii="Calibri" w:hAnsi="Calibri"/>
          <w:i/>
          <w:sz w:val="18"/>
        </w:rPr>
      </w:pPr>
      <w:bookmarkStart w:name="_bookmark68" w:id="92"/>
      <w:bookmarkEnd w:id="92"/>
      <w:r>
        <w:rPr/>
      </w:r>
      <w:r>
        <w:rPr>
          <w:rFonts w:ascii="Calibri" w:hAnsi="Calibri"/>
          <w:i/>
          <w:color w:val="44536A"/>
          <w:sz w:val="18"/>
        </w:rPr>
        <w:t>Tabel 12 Performance statistik for simuleret trykniveau på modelgrid niveau for alle tre kalibreringer (2000-2008). </w:t>
      </w:r>
      <w:r>
        <w:rPr>
          <w:rFonts w:ascii="Calibri" w:hAnsi="Calibri"/>
          <w:i/>
          <w:color w:val="44536A"/>
          <w:sz w:val="18"/>
        </w:rPr>
        <w:t>Jupiter og Region indikerer separat statistik for hhv. data fra Jupiter databasen og Regionernes data. Alle størrelser er i [m]. Middelfejl er angivet som obs –</w:t>
      </w:r>
      <w:r>
        <w:rPr>
          <w:rFonts w:ascii="Calibri" w:hAnsi="Calibri"/>
          <w:i/>
          <w:color w:val="44536A"/>
          <w:spacing w:val="-5"/>
          <w:sz w:val="18"/>
        </w:rPr>
        <w:t> </w:t>
      </w:r>
      <w:r>
        <w:rPr>
          <w:rFonts w:ascii="Calibri" w:hAnsi="Calibri"/>
          <w:i/>
          <w:color w:val="44536A"/>
          <w:sz w:val="18"/>
        </w:rPr>
        <w:t>sim.</w:t>
      </w:r>
    </w:p>
    <w:p>
      <w:pPr>
        <w:pStyle w:val="BodyText"/>
        <w:spacing w:before="3"/>
        <w:rPr>
          <w:rFonts w:ascii="Calibri"/>
          <w:i/>
          <w:sz w:val="16"/>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79"/>
        <w:gridCol w:w="859"/>
        <w:gridCol w:w="963"/>
        <w:gridCol w:w="958"/>
        <w:gridCol w:w="963"/>
        <w:gridCol w:w="958"/>
        <w:gridCol w:w="963"/>
      </w:tblGrid>
      <w:tr>
        <w:trPr>
          <w:trHeight w:val="322" w:hRule="atLeast"/>
        </w:trPr>
        <w:tc>
          <w:tcPr>
            <w:tcW w:w="1279" w:type="dxa"/>
          </w:tcPr>
          <w:p>
            <w:pPr>
              <w:pStyle w:val="TableParagraph"/>
              <w:spacing w:before="13"/>
              <w:ind w:left="69"/>
              <w:jc w:val="left"/>
              <w:rPr>
                <w:rFonts w:ascii="Calibri"/>
                <w:b/>
                <w:sz w:val="22"/>
              </w:rPr>
            </w:pPr>
            <w:r>
              <w:rPr>
                <w:rFonts w:ascii="Calibri"/>
                <w:b/>
                <w:sz w:val="22"/>
              </w:rPr>
              <w:t>Kalibrering</w:t>
            </w:r>
          </w:p>
        </w:tc>
        <w:tc>
          <w:tcPr>
            <w:tcW w:w="1822" w:type="dxa"/>
            <w:gridSpan w:val="2"/>
            <w:tcBorders>
              <w:right w:val="single" w:sz="8" w:space="0" w:color="000000"/>
            </w:tcBorders>
          </w:tcPr>
          <w:p>
            <w:pPr>
              <w:pStyle w:val="TableParagraph"/>
              <w:spacing w:before="13"/>
              <w:ind w:left="170"/>
              <w:jc w:val="left"/>
              <w:rPr>
                <w:rFonts w:ascii="Calibri"/>
                <w:b/>
                <w:sz w:val="22"/>
              </w:rPr>
            </w:pPr>
            <w:r>
              <w:rPr>
                <w:rFonts w:ascii="Calibri"/>
                <w:b/>
                <w:sz w:val="22"/>
              </w:rPr>
              <w:t>100m_Jup+Reg</w:t>
            </w:r>
          </w:p>
        </w:tc>
        <w:tc>
          <w:tcPr>
            <w:tcW w:w="1921" w:type="dxa"/>
            <w:gridSpan w:val="2"/>
            <w:tcBorders>
              <w:left w:val="single" w:sz="8" w:space="0" w:color="000000"/>
              <w:right w:val="single" w:sz="8" w:space="0" w:color="000000"/>
            </w:tcBorders>
          </w:tcPr>
          <w:p>
            <w:pPr>
              <w:pStyle w:val="TableParagraph"/>
              <w:spacing w:before="13"/>
              <w:ind w:left="484"/>
              <w:jc w:val="left"/>
              <w:rPr>
                <w:rFonts w:ascii="Calibri"/>
                <w:b/>
                <w:sz w:val="22"/>
              </w:rPr>
            </w:pPr>
            <w:r>
              <w:rPr>
                <w:rFonts w:ascii="Calibri"/>
                <w:b/>
                <w:sz w:val="22"/>
              </w:rPr>
              <w:t>100m_Jup</w:t>
            </w:r>
          </w:p>
        </w:tc>
        <w:tc>
          <w:tcPr>
            <w:tcW w:w="1921" w:type="dxa"/>
            <w:gridSpan w:val="2"/>
            <w:tcBorders>
              <w:left w:val="single" w:sz="8" w:space="0" w:color="000000"/>
            </w:tcBorders>
          </w:tcPr>
          <w:p>
            <w:pPr>
              <w:pStyle w:val="TableParagraph"/>
              <w:spacing w:before="13"/>
              <w:ind w:left="258"/>
              <w:jc w:val="left"/>
              <w:rPr>
                <w:rFonts w:ascii="Calibri"/>
                <w:b/>
                <w:sz w:val="22"/>
              </w:rPr>
            </w:pPr>
            <w:r>
              <w:rPr>
                <w:rFonts w:ascii="Calibri"/>
                <w:b/>
                <w:sz w:val="22"/>
              </w:rPr>
              <w:t>500m_Jup+Reg</w:t>
            </w:r>
          </w:p>
        </w:tc>
      </w:tr>
      <w:tr>
        <w:trPr>
          <w:trHeight w:val="291" w:hRule="atLeast"/>
        </w:trPr>
        <w:tc>
          <w:tcPr>
            <w:tcW w:w="1279" w:type="dxa"/>
            <w:tcBorders>
              <w:bottom w:val="single" w:sz="8" w:space="0" w:color="000000"/>
            </w:tcBorders>
          </w:tcPr>
          <w:p>
            <w:pPr>
              <w:pStyle w:val="TableParagraph"/>
              <w:jc w:val="left"/>
              <w:rPr>
                <w:rFonts w:ascii="Times New Roman"/>
                <w:sz w:val="20"/>
              </w:rPr>
            </w:pPr>
          </w:p>
        </w:tc>
        <w:tc>
          <w:tcPr>
            <w:tcW w:w="859" w:type="dxa"/>
            <w:tcBorders>
              <w:bottom w:val="single" w:sz="8" w:space="0" w:color="000000"/>
            </w:tcBorders>
          </w:tcPr>
          <w:p>
            <w:pPr>
              <w:pStyle w:val="TableParagraph"/>
              <w:ind w:left="56" w:right="151"/>
              <w:rPr>
                <w:rFonts w:ascii="Calibri"/>
                <w:sz w:val="22"/>
              </w:rPr>
            </w:pPr>
            <w:r>
              <w:rPr>
                <w:rFonts w:ascii="Calibri"/>
                <w:sz w:val="22"/>
              </w:rPr>
              <w:t>Jupiter</w:t>
            </w:r>
          </w:p>
        </w:tc>
        <w:tc>
          <w:tcPr>
            <w:tcW w:w="963" w:type="dxa"/>
            <w:tcBorders>
              <w:bottom w:val="single" w:sz="8" w:space="0" w:color="000000"/>
              <w:right w:val="single" w:sz="8" w:space="0" w:color="000000"/>
            </w:tcBorders>
          </w:tcPr>
          <w:p>
            <w:pPr>
              <w:pStyle w:val="TableParagraph"/>
              <w:ind w:left="152" w:right="141"/>
              <w:rPr>
                <w:rFonts w:ascii="Calibri"/>
                <w:sz w:val="22"/>
              </w:rPr>
            </w:pPr>
            <w:r>
              <w:rPr>
                <w:rFonts w:ascii="Calibri"/>
                <w:sz w:val="22"/>
              </w:rPr>
              <w:t>Region</w:t>
            </w:r>
          </w:p>
        </w:tc>
        <w:tc>
          <w:tcPr>
            <w:tcW w:w="958" w:type="dxa"/>
            <w:tcBorders>
              <w:left w:val="single" w:sz="8" w:space="0" w:color="000000"/>
              <w:bottom w:val="single" w:sz="8" w:space="0" w:color="000000"/>
            </w:tcBorders>
          </w:tcPr>
          <w:p>
            <w:pPr>
              <w:pStyle w:val="TableParagraph"/>
              <w:ind w:left="143" w:right="150"/>
              <w:rPr>
                <w:rFonts w:ascii="Calibri"/>
                <w:sz w:val="22"/>
              </w:rPr>
            </w:pPr>
            <w:r>
              <w:rPr>
                <w:rFonts w:ascii="Calibri"/>
                <w:sz w:val="22"/>
              </w:rPr>
              <w:t>Jupiter</w:t>
            </w:r>
          </w:p>
        </w:tc>
        <w:tc>
          <w:tcPr>
            <w:tcW w:w="963" w:type="dxa"/>
            <w:tcBorders>
              <w:bottom w:val="single" w:sz="8" w:space="0" w:color="000000"/>
              <w:right w:val="single" w:sz="8" w:space="0" w:color="000000"/>
            </w:tcBorders>
          </w:tcPr>
          <w:p>
            <w:pPr>
              <w:pStyle w:val="TableParagraph"/>
              <w:ind w:left="152" w:right="143"/>
              <w:rPr>
                <w:rFonts w:ascii="Calibri"/>
                <w:sz w:val="22"/>
              </w:rPr>
            </w:pPr>
            <w:r>
              <w:rPr>
                <w:rFonts w:ascii="Calibri"/>
                <w:sz w:val="22"/>
              </w:rPr>
              <w:t>Region</w:t>
            </w:r>
          </w:p>
        </w:tc>
        <w:tc>
          <w:tcPr>
            <w:tcW w:w="958" w:type="dxa"/>
            <w:tcBorders>
              <w:left w:val="single" w:sz="8" w:space="0" w:color="000000"/>
              <w:bottom w:val="single" w:sz="8" w:space="0" w:color="000000"/>
            </w:tcBorders>
          </w:tcPr>
          <w:p>
            <w:pPr>
              <w:pStyle w:val="TableParagraph"/>
              <w:ind w:left="143" w:right="151"/>
              <w:rPr>
                <w:rFonts w:ascii="Calibri"/>
                <w:sz w:val="22"/>
              </w:rPr>
            </w:pPr>
            <w:r>
              <w:rPr>
                <w:rFonts w:ascii="Calibri"/>
                <w:sz w:val="22"/>
              </w:rPr>
              <w:t>Jupiter</w:t>
            </w:r>
          </w:p>
        </w:tc>
        <w:tc>
          <w:tcPr>
            <w:tcW w:w="963" w:type="dxa"/>
            <w:tcBorders>
              <w:bottom w:val="single" w:sz="8" w:space="0" w:color="000000"/>
            </w:tcBorders>
          </w:tcPr>
          <w:p>
            <w:pPr>
              <w:pStyle w:val="TableParagraph"/>
              <w:ind w:left="56" w:right="57"/>
              <w:rPr>
                <w:rFonts w:ascii="Calibri"/>
                <w:sz w:val="22"/>
              </w:rPr>
            </w:pPr>
            <w:r>
              <w:rPr>
                <w:rFonts w:ascii="Calibri"/>
                <w:sz w:val="22"/>
              </w:rPr>
              <w:t>Region</w:t>
            </w:r>
          </w:p>
        </w:tc>
      </w:tr>
      <w:tr>
        <w:trPr>
          <w:trHeight w:val="305" w:hRule="atLeast"/>
        </w:trPr>
        <w:tc>
          <w:tcPr>
            <w:tcW w:w="1279" w:type="dxa"/>
            <w:tcBorders>
              <w:top w:val="single" w:sz="8" w:space="0" w:color="000000"/>
            </w:tcBorders>
          </w:tcPr>
          <w:p>
            <w:pPr>
              <w:pStyle w:val="TableParagraph"/>
              <w:spacing w:before="1"/>
              <w:ind w:left="69"/>
              <w:jc w:val="left"/>
              <w:rPr>
                <w:rFonts w:ascii="Calibri"/>
                <w:sz w:val="22"/>
              </w:rPr>
            </w:pPr>
            <w:r>
              <w:rPr>
                <w:rFonts w:ascii="Calibri"/>
                <w:sz w:val="22"/>
              </w:rPr>
              <w:t>ME tn</w:t>
            </w:r>
          </w:p>
        </w:tc>
        <w:tc>
          <w:tcPr>
            <w:tcW w:w="859" w:type="dxa"/>
            <w:tcBorders>
              <w:top w:val="single" w:sz="8" w:space="0" w:color="000000"/>
            </w:tcBorders>
          </w:tcPr>
          <w:p>
            <w:pPr>
              <w:pStyle w:val="TableParagraph"/>
              <w:spacing w:before="1"/>
              <w:ind w:left="55" w:right="151"/>
              <w:rPr>
                <w:rFonts w:ascii="Calibri"/>
                <w:sz w:val="22"/>
              </w:rPr>
            </w:pPr>
            <w:r>
              <w:rPr>
                <w:rFonts w:ascii="Calibri"/>
                <w:sz w:val="22"/>
              </w:rPr>
              <w:t>0.1</w:t>
            </w:r>
          </w:p>
        </w:tc>
        <w:tc>
          <w:tcPr>
            <w:tcW w:w="963" w:type="dxa"/>
            <w:tcBorders>
              <w:top w:val="single" w:sz="8" w:space="0" w:color="000000"/>
              <w:right w:val="single" w:sz="8" w:space="0" w:color="000000"/>
            </w:tcBorders>
          </w:tcPr>
          <w:p>
            <w:pPr>
              <w:pStyle w:val="TableParagraph"/>
              <w:spacing w:before="1"/>
              <w:ind w:left="152" w:right="142"/>
              <w:rPr>
                <w:rFonts w:ascii="Calibri"/>
                <w:sz w:val="22"/>
              </w:rPr>
            </w:pPr>
            <w:r>
              <w:rPr>
                <w:rFonts w:ascii="Calibri"/>
                <w:sz w:val="22"/>
              </w:rPr>
              <w:t>2.1</w:t>
            </w:r>
          </w:p>
        </w:tc>
        <w:tc>
          <w:tcPr>
            <w:tcW w:w="958" w:type="dxa"/>
            <w:tcBorders>
              <w:top w:val="single" w:sz="8" w:space="0" w:color="000000"/>
              <w:left w:val="single" w:sz="8" w:space="0" w:color="000000"/>
            </w:tcBorders>
          </w:tcPr>
          <w:p>
            <w:pPr>
              <w:pStyle w:val="TableParagraph"/>
              <w:spacing w:before="1"/>
              <w:ind w:left="143" w:right="151"/>
              <w:rPr>
                <w:rFonts w:ascii="Calibri"/>
                <w:sz w:val="22"/>
              </w:rPr>
            </w:pPr>
            <w:r>
              <w:rPr>
                <w:rFonts w:ascii="Calibri"/>
                <w:sz w:val="22"/>
              </w:rPr>
              <w:t>0.2</w:t>
            </w:r>
          </w:p>
        </w:tc>
        <w:tc>
          <w:tcPr>
            <w:tcW w:w="963" w:type="dxa"/>
            <w:tcBorders>
              <w:top w:val="single" w:sz="8" w:space="0" w:color="000000"/>
              <w:right w:val="single" w:sz="8" w:space="0" w:color="000000"/>
            </w:tcBorders>
          </w:tcPr>
          <w:p>
            <w:pPr>
              <w:pStyle w:val="TableParagraph"/>
              <w:spacing w:before="1"/>
              <w:ind w:left="151" w:right="143"/>
              <w:rPr>
                <w:rFonts w:ascii="Calibri"/>
                <w:sz w:val="22"/>
              </w:rPr>
            </w:pPr>
            <w:r>
              <w:rPr>
                <w:rFonts w:ascii="Calibri"/>
                <w:sz w:val="22"/>
              </w:rPr>
              <w:t>2.2</w:t>
            </w:r>
          </w:p>
        </w:tc>
        <w:tc>
          <w:tcPr>
            <w:tcW w:w="958" w:type="dxa"/>
            <w:tcBorders>
              <w:top w:val="single" w:sz="8" w:space="0" w:color="000000"/>
              <w:left w:val="single" w:sz="8" w:space="0" w:color="000000"/>
            </w:tcBorders>
          </w:tcPr>
          <w:p>
            <w:pPr>
              <w:pStyle w:val="TableParagraph"/>
              <w:spacing w:before="1"/>
              <w:ind w:left="142" w:right="151"/>
              <w:rPr>
                <w:rFonts w:ascii="Calibri"/>
                <w:sz w:val="22"/>
              </w:rPr>
            </w:pPr>
            <w:r>
              <w:rPr>
                <w:rFonts w:ascii="Calibri"/>
                <w:sz w:val="22"/>
              </w:rPr>
              <w:t>0.0</w:t>
            </w:r>
          </w:p>
        </w:tc>
        <w:tc>
          <w:tcPr>
            <w:tcW w:w="963" w:type="dxa"/>
            <w:tcBorders>
              <w:top w:val="single" w:sz="8" w:space="0" w:color="000000"/>
            </w:tcBorders>
          </w:tcPr>
          <w:p>
            <w:pPr>
              <w:pStyle w:val="TableParagraph"/>
              <w:spacing w:before="1"/>
              <w:ind w:left="57" w:right="57"/>
              <w:rPr>
                <w:rFonts w:ascii="Calibri"/>
                <w:sz w:val="22"/>
              </w:rPr>
            </w:pPr>
            <w:r>
              <w:rPr>
                <w:rFonts w:ascii="Calibri"/>
                <w:sz w:val="22"/>
              </w:rPr>
              <w:t>2.0</w:t>
            </w:r>
          </w:p>
        </w:tc>
      </w:tr>
      <w:tr>
        <w:trPr>
          <w:trHeight w:val="300" w:hRule="atLeast"/>
        </w:trPr>
        <w:tc>
          <w:tcPr>
            <w:tcW w:w="1279" w:type="dxa"/>
          </w:tcPr>
          <w:p>
            <w:pPr>
              <w:pStyle w:val="TableParagraph"/>
              <w:spacing w:line="264" w:lineRule="exact"/>
              <w:ind w:left="69"/>
              <w:jc w:val="left"/>
              <w:rPr>
                <w:rFonts w:ascii="Calibri"/>
                <w:sz w:val="22"/>
              </w:rPr>
            </w:pPr>
            <w:r>
              <w:rPr>
                <w:rFonts w:ascii="Calibri"/>
                <w:sz w:val="22"/>
              </w:rPr>
              <w:t>MAE tn</w:t>
            </w:r>
          </w:p>
        </w:tc>
        <w:tc>
          <w:tcPr>
            <w:tcW w:w="859" w:type="dxa"/>
          </w:tcPr>
          <w:p>
            <w:pPr>
              <w:pStyle w:val="TableParagraph"/>
              <w:spacing w:line="264" w:lineRule="exact"/>
              <w:ind w:left="55" w:right="151"/>
              <w:rPr>
                <w:rFonts w:ascii="Calibri"/>
                <w:sz w:val="22"/>
              </w:rPr>
            </w:pPr>
            <w:r>
              <w:rPr>
                <w:rFonts w:ascii="Calibri"/>
                <w:sz w:val="22"/>
              </w:rPr>
              <w:t>1.6</w:t>
            </w:r>
          </w:p>
        </w:tc>
        <w:tc>
          <w:tcPr>
            <w:tcW w:w="963" w:type="dxa"/>
            <w:tcBorders>
              <w:right w:val="single" w:sz="8" w:space="0" w:color="000000"/>
            </w:tcBorders>
          </w:tcPr>
          <w:p>
            <w:pPr>
              <w:pStyle w:val="TableParagraph"/>
              <w:spacing w:line="264" w:lineRule="exact"/>
              <w:ind w:left="152" w:right="142"/>
              <w:rPr>
                <w:rFonts w:ascii="Calibri"/>
                <w:sz w:val="22"/>
              </w:rPr>
            </w:pPr>
            <w:r>
              <w:rPr>
                <w:rFonts w:ascii="Calibri"/>
                <w:sz w:val="22"/>
              </w:rPr>
              <w:t>2.5</w:t>
            </w:r>
          </w:p>
        </w:tc>
        <w:tc>
          <w:tcPr>
            <w:tcW w:w="958" w:type="dxa"/>
            <w:tcBorders>
              <w:left w:val="single" w:sz="8" w:space="0" w:color="000000"/>
            </w:tcBorders>
          </w:tcPr>
          <w:p>
            <w:pPr>
              <w:pStyle w:val="TableParagraph"/>
              <w:spacing w:line="264" w:lineRule="exact"/>
              <w:ind w:left="143" w:right="151"/>
              <w:rPr>
                <w:rFonts w:ascii="Calibri"/>
                <w:sz w:val="22"/>
              </w:rPr>
            </w:pPr>
            <w:r>
              <w:rPr>
                <w:rFonts w:ascii="Calibri"/>
                <w:sz w:val="22"/>
              </w:rPr>
              <w:t>1.6</w:t>
            </w:r>
          </w:p>
        </w:tc>
        <w:tc>
          <w:tcPr>
            <w:tcW w:w="963" w:type="dxa"/>
            <w:tcBorders>
              <w:right w:val="single" w:sz="8" w:space="0" w:color="000000"/>
            </w:tcBorders>
          </w:tcPr>
          <w:p>
            <w:pPr>
              <w:pStyle w:val="TableParagraph"/>
              <w:spacing w:line="264" w:lineRule="exact"/>
              <w:ind w:left="151" w:right="143"/>
              <w:rPr>
                <w:rFonts w:ascii="Calibri"/>
                <w:sz w:val="22"/>
              </w:rPr>
            </w:pPr>
            <w:r>
              <w:rPr>
                <w:rFonts w:ascii="Calibri"/>
                <w:sz w:val="22"/>
              </w:rPr>
              <w:t>2.6</w:t>
            </w:r>
          </w:p>
        </w:tc>
        <w:tc>
          <w:tcPr>
            <w:tcW w:w="958" w:type="dxa"/>
            <w:tcBorders>
              <w:left w:val="single" w:sz="8" w:space="0" w:color="000000"/>
            </w:tcBorders>
          </w:tcPr>
          <w:p>
            <w:pPr>
              <w:pStyle w:val="TableParagraph"/>
              <w:spacing w:line="264" w:lineRule="exact"/>
              <w:ind w:left="142" w:right="151"/>
              <w:rPr>
                <w:rFonts w:ascii="Calibri"/>
                <w:sz w:val="22"/>
              </w:rPr>
            </w:pPr>
            <w:r>
              <w:rPr>
                <w:rFonts w:ascii="Calibri"/>
                <w:sz w:val="22"/>
              </w:rPr>
              <w:t>1.8</w:t>
            </w:r>
          </w:p>
        </w:tc>
        <w:tc>
          <w:tcPr>
            <w:tcW w:w="963" w:type="dxa"/>
          </w:tcPr>
          <w:p>
            <w:pPr>
              <w:pStyle w:val="TableParagraph"/>
              <w:spacing w:line="264" w:lineRule="exact"/>
              <w:ind w:left="57" w:right="57"/>
              <w:rPr>
                <w:rFonts w:ascii="Calibri"/>
                <w:sz w:val="22"/>
              </w:rPr>
            </w:pPr>
            <w:r>
              <w:rPr>
                <w:rFonts w:ascii="Calibri"/>
                <w:sz w:val="22"/>
              </w:rPr>
              <w:t>3.1</w:t>
            </w:r>
          </w:p>
        </w:tc>
      </w:tr>
      <w:tr>
        <w:trPr>
          <w:trHeight w:val="300" w:hRule="atLeast"/>
        </w:trPr>
        <w:tc>
          <w:tcPr>
            <w:tcW w:w="1279" w:type="dxa"/>
          </w:tcPr>
          <w:p>
            <w:pPr>
              <w:pStyle w:val="TableParagraph"/>
              <w:spacing w:line="264" w:lineRule="exact"/>
              <w:ind w:left="69"/>
              <w:jc w:val="left"/>
              <w:rPr>
                <w:rFonts w:ascii="Calibri"/>
                <w:sz w:val="22"/>
              </w:rPr>
            </w:pPr>
            <w:r>
              <w:rPr>
                <w:rFonts w:ascii="Calibri"/>
                <w:sz w:val="22"/>
              </w:rPr>
              <w:t>ME dyb</w:t>
            </w:r>
          </w:p>
        </w:tc>
        <w:tc>
          <w:tcPr>
            <w:tcW w:w="859" w:type="dxa"/>
          </w:tcPr>
          <w:p>
            <w:pPr>
              <w:pStyle w:val="TableParagraph"/>
              <w:spacing w:line="264" w:lineRule="exact"/>
              <w:ind w:left="55" w:right="151"/>
              <w:rPr>
                <w:rFonts w:ascii="Calibri"/>
                <w:sz w:val="22"/>
              </w:rPr>
            </w:pPr>
            <w:r>
              <w:rPr>
                <w:rFonts w:ascii="Calibri"/>
                <w:sz w:val="22"/>
              </w:rPr>
              <w:t>-2.0</w:t>
            </w:r>
          </w:p>
        </w:tc>
        <w:tc>
          <w:tcPr>
            <w:tcW w:w="963" w:type="dxa"/>
            <w:tcBorders>
              <w:right w:val="single" w:sz="8" w:space="0" w:color="000000"/>
            </w:tcBorders>
          </w:tcPr>
          <w:p>
            <w:pPr>
              <w:pStyle w:val="TableParagraph"/>
              <w:spacing w:line="264" w:lineRule="exact"/>
              <w:ind w:left="152" w:right="142"/>
              <w:rPr>
                <w:rFonts w:ascii="Calibri"/>
                <w:sz w:val="22"/>
              </w:rPr>
            </w:pPr>
            <w:r>
              <w:rPr>
                <w:rFonts w:ascii="Calibri"/>
                <w:sz w:val="22"/>
              </w:rPr>
              <w:t>0.1</w:t>
            </w:r>
          </w:p>
        </w:tc>
        <w:tc>
          <w:tcPr>
            <w:tcW w:w="958" w:type="dxa"/>
            <w:tcBorders>
              <w:left w:val="single" w:sz="8" w:space="0" w:color="000000"/>
            </w:tcBorders>
          </w:tcPr>
          <w:p>
            <w:pPr>
              <w:pStyle w:val="TableParagraph"/>
              <w:spacing w:line="264" w:lineRule="exact"/>
              <w:ind w:left="143" w:right="151"/>
              <w:rPr>
                <w:rFonts w:ascii="Calibri"/>
                <w:sz w:val="22"/>
              </w:rPr>
            </w:pPr>
            <w:r>
              <w:rPr>
                <w:rFonts w:ascii="Calibri"/>
                <w:sz w:val="22"/>
              </w:rPr>
              <w:t>-1.9</w:t>
            </w:r>
          </w:p>
        </w:tc>
        <w:tc>
          <w:tcPr>
            <w:tcW w:w="963" w:type="dxa"/>
            <w:tcBorders>
              <w:right w:val="single" w:sz="8" w:space="0" w:color="000000"/>
            </w:tcBorders>
          </w:tcPr>
          <w:p>
            <w:pPr>
              <w:pStyle w:val="TableParagraph"/>
              <w:spacing w:line="264" w:lineRule="exact"/>
              <w:ind w:left="151" w:right="143"/>
              <w:rPr>
                <w:rFonts w:ascii="Calibri"/>
                <w:sz w:val="22"/>
              </w:rPr>
            </w:pPr>
            <w:r>
              <w:rPr>
                <w:rFonts w:ascii="Calibri"/>
                <w:sz w:val="22"/>
              </w:rPr>
              <w:t>0.2</w:t>
            </w:r>
          </w:p>
        </w:tc>
        <w:tc>
          <w:tcPr>
            <w:tcW w:w="958" w:type="dxa"/>
            <w:tcBorders>
              <w:left w:val="single" w:sz="8" w:space="0" w:color="000000"/>
            </w:tcBorders>
          </w:tcPr>
          <w:p>
            <w:pPr>
              <w:pStyle w:val="TableParagraph"/>
              <w:spacing w:line="264" w:lineRule="exact"/>
              <w:ind w:left="142" w:right="151"/>
              <w:rPr>
                <w:rFonts w:ascii="Calibri"/>
                <w:sz w:val="22"/>
              </w:rPr>
            </w:pPr>
            <w:r>
              <w:rPr>
                <w:rFonts w:ascii="Calibri"/>
                <w:sz w:val="22"/>
              </w:rPr>
              <w:t>-0.6</w:t>
            </w:r>
          </w:p>
        </w:tc>
        <w:tc>
          <w:tcPr>
            <w:tcW w:w="963" w:type="dxa"/>
          </w:tcPr>
          <w:p>
            <w:pPr>
              <w:pStyle w:val="TableParagraph"/>
              <w:spacing w:line="264" w:lineRule="exact"/>
              <w:ind w:left="57" w:right="57"/>
              <w:rPr>
                <w:rFonts w:ascii="Calibri"/>
                <w:sz w:val="22"/>
              </w:rPr>
            </w:pPr>
            <w:r>
              <w:rPr>
                <w:rFonts w:ascii="Calibri"/>
                <w:sz w:val="22"/>
              </w:rPr>
              <w:t>1.1</w:t>
            </w:r>
          </w:p>
        </w:tc>
      </w:tr>
      <w:tr>
        <w:trPr>
          <w:trHeight w:val="296" w:hRule="atLeast"/>
        </w:trPr>
        <w:tc>
          <w:tcPr>
            <w:tcW w:w="1279" w:type="dxa"/>
          </w:tcPr>
          <w:p>
            <w:pPr>
              <w:pStyle w:val="TableParagraph"/>
              <w:spacing w:line="264" w:lineRule="exact"/>
              <w:ind w:left="69"/>
              <w:jc w:val="left"/>
              <w:rPr>
                <w:rFonts w:ascii="Calibri"/>
                <w:sz w:val="22"/>
              </w:rPr>
            </w:pPr>
            <w:r>
              <w:rPr>
                <w:rFonts w:ascii="Calibri"/>
                <w:sz w:val="22"/>
              </w:rPr>
              <w:t>MAE dyb</w:t>
            </w:r>
          </w:p>
        </w:tc>
        <w:tc>
          <w:tcPr>
            <w:tcW w:w="859" w:type="dxa"/>
          </w:tcPr>
          <w:p>
            <w:pPr>
              <w:pStyle w:val="TableParagraph"/>
              <w:spacing w:line="264" w:lineRule="exact"/>
              <w:ind w:left="55" w:right="151"/>
              <w:rPr>
                <w:rFonts w:ascii="Calibri"/>
                <w:sz w:val="22"/>
              </w:rPr>
            </w:pPr>
            <w:r>
              <w:rPr>
                <w:rFonts w:ascii="Calibri"/>
                <w:sz w:val="22"/>
              </w:rPr>
              <w:t>3.4</w:t>
            </w:r>
          </w:p>
        </w:tc>
        <w:tc>
          <w:tcPr>
            <w:tcW w:w="963" w:type="dxa"/>
            <w:tcBorders>
              <w:right w:val="single" w:sz="8" w:space="0" w:color="000000"/>
            </w:tcBorders>
          </w:tcPr>
          <w:p>
            <w:pPr>
              <w:pStyle w:val="TableParagraph"/>
              <w:spacing w:line="264" w:lineRule="exact"/>
              <w:ind w:left="152" w:right="142"/>
              <w:rPr>
                <w:rFonts w:ascii="Calibri"/>
                <w:sz w:val="22"/>
              </w:rPr>
            </w:pPr>
            <w:r>
              <w:rPr>
                <w:rFonts w:ascii="Calibri"/>
                <w:sz w:val="22"/>
              </w:rPr>
              <w:t>2.3</w:t>
            </w:r>
          </w:p>
        </w:tc>
        <w:tc>
          <w:tcPr>
            <w:tcW w:w="958" w:type="dxa"/>
            <w:tcBorders>
              <w:left w:val="single" w:sz="8" w:space="0" w:color="000000"/>
            </w:tcBorders>
          </w:tcPr>
          <w:p>
            <w:pPr>
              <w:pStyle w:val="TableParagraph"/>
              <w:spacing w:line="264" w:lineRule="exact"/>
              <w:ind w:left="143" w:right="151"/>
              <w:rPr>
                <w:rFonts w:ascii="Calibri"/>
                <w:sz w:val="22"/>
              </w:rPr>
            </w:pPr>
            <w:r>
              <w:rPr>
                <w:rFonts w:ascii="Calibri"/>
                <w:sz w:val="22"/>
              </w:rPr>
              <w:t>3.4</w:t>
            </w:r>
          </w:p>
        </w:tc>
        <w:tc>
          <w:tcPr>
            <w:tcW w:w="963" w:type="dxa"/>
            <w:tcBorders>
              <w:right w:val="single" w:sz="8" w:space="0" w:color="000000"/>
            </w:tcBorders>
          </w:tcPr>
          <w:p>
            <w:pPr>
              <w:pStyle w:val="TableParagraph"/>
              <w:spacing w:line="264" w:lineRule="exact"/>
              <w:ind w:left="151" w:right="143"/>
              <w:rPr>
                <w:rFonts w:ascii="Calibri"/>
                <w:sz w:val="22"/>
              </w:rPr>
            </w:pPr>
            <w:r>
              <w:rPr>
                <w:rFonts w:ascii="Calibri"/>
                <w:sz w:val="22"/>
              </w:rPr>
              <w:t>2.2</w:t>
            </w:r>
          </w:p>
        </w:tc>
        <w:tc>
          <w:tcPr>
            <w:tcW w:w="958" w:type="dxa"/>
            <w:tcBorders>
              <w:left w:val="single" w:sz="8" w:space="0" w:color="000000"/>
            </w:tcBorders>
          </w:tcPr>
          <w:p>
            <w:pPr>
              <w:pStyle w:val="TableParagraph"/>
              <w:spacing w:line="264" w:lineRule="exact"/>
              <w:ind w:left="142" w:right="151"/>
              <w:rPr>
                <w:rFonts w:ascii="Calibri"/>
                <w:sz w:val="22"/>
              </w:rPr>
            </w:pPr>
            <w:r>
              <w:rPr>
                <w:rFonts w:ascii="Calibri"/>
                <w:sz w:val="22"/>
              </w:rPr>
              <w:t>3.0</w:t>
            </w:r>
          </w:p>
        </w:tc>
        <w:tc>
          <w:tcPr>
            <w:tcW w:w="963" w:type="dxa"/>
          </w:tcPr>
          <w:p>
            <w:pPr>
              <w:pStyle w:val="TableParagraph"/>
              <w:spacing w:line="264" w:lineRule="exact"/>
              <w:ind w:left="57" w:right="57"/>
              <w:rPr>
                <w:rFonts w:ascii="Calibri"/>
                <w:sz w:val="22"/>
              </w:rPr>
            </w:pPr>
            <w:r>
              <w:rPr>
                <w:rFonts w:ascii="Calibri"/>
                <w:sz w:val="22"/>
              </w:rPr>
              <w:t>2.8</w:t>
            </w:r>
          </w:p>
        </w:tc>
      </w:tr>
      <w:tr>
        <w:trPr>
          <w:trHeight w:val="333" w:hRule="atLeast"/>
        </w:trPr>
        <w:tc>
          <w:tcPr>
            <w:tcW w:w="1279" w:type="dxa"/>
            <w:shd w:val="clear" w:color="auto" w:fill="D9D9D9"/>
          </w:tcPr>
          <w:p>
            <w:pPr>
              <w:pStyle w:val="TableParagraph"/>
              <w:spacing w:line="267" w:lineRule="exact"/>
              <w:ind w:left="69"/>
              <w:jc w:val="left"/>
              <w:rPr>
                <w:rFonts w:ascii="Calibri"/>
                <w:sz w:val="22"/>
              </w:rPr>
            </w:pPr>
            <w:r>
              <w:rPr>
                <w:rFonts w:ascii="Calibri"/>
                <w:position w:val="2"/>
                <w:sz w:val="22"/>
              </w:rPr>
              <w:t>ME</w:t>
            </w:r>
            <w:r>
              <w:rPr>
                <w:rFonts w:ascii="Calibri"/>
                <w:sz w:val="14"/>
              </w:rPr>
              <w:t>90Q </w:t>
            </w:r>
            <w:r>
              <w:rPr>
                <w:rFonts w:ascii="Calibri"/>
                <w:position w:val="2"/>
                <w:sz w:val="22"/>
              </w:rPr>
              <w:t>tn</w:t>
            </w:r>
          </w:p>
        </w:tc>
        <w:tc>
          <w:tcPr>
            <w:tcW w:w="859" w:type="dxa"/>
            <w:shd w:val="clear" w:color="auto" w:fill="D9D9D9"/>
          </w:tcPr>
          <w:p>
            <w:pPr>
              <w:pStyle w:val="TableParagraph"/>
              <w:spacing w:line="268" w:lineRule="exact"/>
              <w:ind w:left="55" w:right="151"/>
              <w:rPr>
                <w:rFonts w:ascii="Calibri"/>
                <w:sz w:val="22"/>
              </w:rPr>
            </w:pPr>
            <w:r>
              <w:rPr>
                <w:rFonts w:ascii="Calibri"/>
                <w:sz w:val="22"/>
              </w:rPr>
              <w:t>-0.3</w:t>
            </w:r>
          </w:p>
        </w:tc>
        <w:tc>
          <w:tcPr>
            <w:tcW w:w="963" w:type="dxa"/>
            <w:tcBorders>
              <w:right w:val="single" w:sz="8" w:space="0" w:color="000000"/>
            </w:tcBorders>
            <w:shd w:val="clear" w:color="auto" w:fill="D9D9D9"/>
          </w:tcPr>
          <w:p>
            <w:pPr>
              <w:pStyle w:val="TableParagraph"/>
              <w:spacing w:line="268" w:lineRule="exact"/>
              <w:ind w:left="152" w:right="142"/>
              <w:rPr>
                <w:rFonts w:ascii="Calibri"/>
                <w:sz w:val="22"/>
              </w:rPr>
            </w:pPr>
            <w:r>
              <w:rPr>
                <w:rFonts w:ascii="Calibri"/>
                <w:sz w:val="22"/>
              </w:rPr>
              <w:t>1.0</w:t>
            </w:r>
          </w:p>
        </w:tc>
        <w:tc>
          <w:tcPr>
            <w:tcW w:w="958" w:type="dxa"/>
            <w:tcBorders>
              <w:left w:val="single" w:sz="8" w:space="0" w:color="000000"/>
            </w:tcBorders>
            <w:shd w:val="clear" w:color="auto" w:fill="D9D9D9"/>
          </w:tcPr>
          <w:p>
            <w:pPr>
              <w:pStyle w:val="TableParagraph"/>
              <w:spacing w:line="268" w:lineRule="exact"/>
              <w:ind w:left="143" w:right="151"/>
              <w:rPr>
                <w:rFonts w:ascii="Calibri"/>
                <w:sz w:val="22"/>
              </w:rPr>
            </w:pPr>
            <w:r>
              <w:rPr>
                <w:rFonts w:ascii="Calibri"/>
                <w:sz w:val="22"/>
              </w:rPr>
              <w:t>-0.2</w:t>
            </w:r>
          </w:p>
        </w:tc>
        <w:tc>
          <w:tcPr>
            <w:tcW w:w="963" w:type="dxa"/>
            <w:tcBorders>
              <w:right w:val="single" w:sz="8" w:space="0" w:color="000000"/>
            </w:tcBorders>
            <w:shd w:val="clear" w:color="auto" w:fill="D9D9D9"/>
          </w:tcPr>
          <w:p>
            <w:pPr>
              <w:pStyle w:val="TableParagraph"/>
              <w:spacing w:line="268" w:lineRule="exact"/>
              <w:ind w:left="151" w:right="143"/>
              <w:rPr>
                <w:rFonts w:ascii="Calibri"/>
                <w:sz w:val="22"/>
              </w:rPr>
            </w:pPr>
            <w:r>
              <w:rPr>
                <w:rFonts w:ascii="Calibri"/>
                <w:sz w:val="22"/>
              </w:rPr>
              <w:t>1.0</w:t>
            </w:r>
          </w:p>
        </w:tc>
        <w:tc>
          <w:tcPr>
            <w:tcW w:w="958" w:type="dxa"/>
            <w:tcBorders>
              <w:left w:val="single" w:sz="8" w:space="0" w:color="000000"/>
            </w:tcBorders>
            <w:shd w:val="clear" w:color="auto" w:fill="D9D9D9"/>
          </w:tcPr>
          <w:p>
            <w:pPr>
              <w:pStyle w:val="TableParagraph"/>
              <w:spacing w:line="268" w:lineRule="exact"/>
              <w:ind w:left="142" w:right="151"/>
              <w:rPr>
                <w:rFonts w:ascii="Calibri"/>
                <w:sz w:val="22"/>
              </w:rPr>
            </w:pPr>
            <w:r>
              <w:rPr>
                <w:rFonts w:ascii="Calibri"/>
                <w:sz w:val="22"/>
              </w:rPr>
              <w:t>-0.2</w:t>
            </w:r>
          </w:p>
        </w:tc>
        <w:tc>
          <w:tcPr>
            <w:tcW w:w="963" w:type="dxa"/>
            <w:shd w:val="clear" w:color="auto" w:fill="D9D9D9"/>
          </w:tcPr>
          <w:p>
            <w:pPr>
              <w:pStyle w:val="TableParagraph"/>
              <w:spacing w:line="268" w:lineRule="exact"/>
              <w:ind w:left="57" w:right="57"/>
              <w:rPr>
                <w:rFonts w:ascii="Calibri"/>
                <w:sz w:val="22"/>
              </w:rPr>
            </w:pPr>
            <w:r>
              <w:rPr>
                <w:rFonts w:ascii="Calibri"/>
                <w:sz w:val="22"/>
              </w:rPr>
              <w:t>0.7</w:t>
            </w:r>
          </w:p>
        </w:tc>
      </w:tr>
      <w:tr>
        <w:trPr>
          <w:trHeight w:val="360" w:hRule="atLeast"/>
        </w:trPr>
        <w:tc>
          <w:tcPr>
            <w:tcW w:w="1279" w:type="dxa"/>
            <w:shd w:val="clear" w:color="auto" w:fill="D9D9D9"/>
          </w:tcPr>
          <w:p>
            <w:pPr>
              <w:pStyle w:val="TableParagraph"/>
              <w:spacing w:before="25"/>
              <w:ind w:left="69"/>
              <w:jc w:val="left"/>
              <w:rPr>
                <w:rFonts w:ascii="Calibri"/>
                <w:sz w:val="22"/>
              </w:rPr>
            </w:pPr>
            <w:r>
              <w:rPr>
                <w:rFonts w:ascii="Calibri"/>
                <w:position w:val="2"/>
                <w:sz w:val="22"/>
              </w:rPr>
              <w:t>MAE</w:t>
            </w:r>
            <w:r>
              <w:rPr>
                <w:rFonts w:ascii="Calibri"/>
                <w:sz w:val="14"/>
              </w:rPr>
              <w:t>90Q </w:t>
            </w:r>
            <w:r>
              <w:rPr>
                <w:rFonts w:ascii="Calibri"/>
                <w:position w:val="2"/>
                <w:sz w:val="22"/>
              </w:rPr>
              <w:t>tn</w:t>
            </w:r>
          </w:p>
        </w:tc>
        <w:tc>
          <w:tcPr>
            <w:tcW w:w="859" w:type="dxa"/>
            <w:shd w:val="clear" w:color="auto" w:fill="D9D9D9"/>
          </w:tcPr>
          <w:p>
            <w:pPr>
              <w:pStyle w:val="TableParagraph"/>
              <w:spacing w:before="26"/>
              <w:ind w:left="55" w:right="151"/>
              <w:rPr>
                <w:rFonts w:ascii="Calibri"/>
                <w:sz w:val="22"/>
              </w:rPr>
            </w:pPr>
            <w:r>
              <w:rPr>
                <w:rFonts w:ascii="Calibri"/>
                <w:sz w:val="22"/>
              </w:rPr>
              <w:t>1.1</w:t>
            </w:r>
          </w:p>
        </w:tc>
        <w:tc>
          <w:tcPr>
            <w:tcW w:w="963" w:type="dxa"/>
            <w:tcBorders>
              <w:right w:val="single" w:sz="8" w:space="0" w:color="000000"/>
            </w:tcBorders>
            <w:shd w:val="clear" w:color="auto" w:fill="D9D9D9"/>
          </w:tcPr>
          <w:p>
            <w:pPr>
              <w:pStyle w:val="TableParagraph"/>
              <w:spacing w:before="26"/>
              <w:ind w:left="152" w:right="142"/>
              <w:rPr>
                <w:rFonts w:ascii="Calibri"/>
                <w:sz w:val="22"/>
              </w:rPr>
            </w:pPr>
            <w:r>
              <w:rPr>
                <w:rFonts w:ascii="Calibri"/>
                <w:sz w:val="22"/>
              </w:rPr>
              <w:t>1.4</w:t>
            </w:r>
          </w:p>
        </w:tc>
        <w:tc>
          <w:tcPr>
            <w:tcW w:w="958" w:type="dxa"/>
            <w:tcBorders>
              <w:left w:val="single" w:sz="8" w:space="0" w:color="000000"/>
            </w:tcBorders>
            <w:shd w:val="clear" w:color="auto" w:fill="D9D9D9"/>
          </w:tcPr>
          <w:p>
            <w:pPr>
              <w:pStyle w:val="TableParagraph"/>
              <w:spacing w:before="26"/>
              <w:ind w:left="143" w:right="151"/>
              <w:rPr>
                <w:rFonts w:ascii="Calibri"/>
                <w:sz w:val="22"/>
              </w:rPr>
            </w:pPr>
            <w:r>
              <w:rPr>
                <w:rFonts w:ascii="Calibri"/>
                <w:sz w:val="22"/>
              </w:rPr>
              <w:t>1.0</w:t>
            </w:r>
          </w:p>
        </w:tc>
        <w:tc>
          <w:tcPr>
            <w:tcW w:w="963" w:type="dxa"/>
            <w:tcBorders>
              <w:right w:val="single" w:sz="8" w:space="0" w:color="000000"/>
            </w:tcBorders>
            <w:shd w:val="clear" w:color="auto" w:fill="D9D9D9"/>
          </w:tcPr>
          <w:p>
            <w:pPr>
              <w:pStyle w:val="TableParagraph"/>
              <w:spacing w:before="26"/>
              <w:ind w:left="151" w:right="143"/>
              <w:rPr>
                <w:rFonts w:ascii="Calibri"/>
                <w:sz w:val="22"/>
              </w:rPr>
            </w:pPr>
            <w:r>
              <w:rPr>
                <w:rFonts w:ascii="Calibri"/>
                <w:sz w:val="22"/>
              </w:rPr>
              <w:t>1.5</w:t>
            </w:r>
          </w:p>
        </w:tc>
        <w:tc>
          <w:tcPr>
            <w:tcW w:w="958" w:type="dxa"/>
            <w:tcBorders>
              <w:left w:val="single" w:sz="8" w:space="0" w:color="000000"/>
            </w:tcBorders>
            <w:shd w:val="clear" w:color="auto" w:fill="D9D9D9"/>
          </w:tcPr>
          <w:p>
            <w:pPr>
              <w:pStyle w:val="TableParagraph"/>
              <w:spacing w:before="26"/>
              <w:ind w:left="142" w:right="151"/>
              <w:rPr>
                <w:rFonts w:ascii="Calibri"/>
                <w:sz w:val="22"/>
              </w:rPr>
            </w:pPr>
            <w:r>
              <w:rPr>
                <w:rFonts w:ascii="Calibri"/>
                <w:sz w:val="22"/>
              </w:rPr>
              <w:t>1.2</w:t>
            </w:r>
          </w:p>
        </w:tc>
        <w:tc>
          <w:tcPr>
            <w:tcW w:w="963" w:type="dxa"/>
            <w:shd w:val="clear" w:color="auto" w:fill="D9D9D9"/>
          </w:tcPr>
          <w:p>
            <w:pPr>
              <w:pStyle w:val="TableParagraph"/>
              <w:spacing w:before="26"/>
              <w:ind w:left="57" w:right="57"/>
              <w:rPr>
                <w:rFonts w:ascii="Calibri"/>
                <w:sz w:val="22"/>
              </w:rPr>
            </w:pPr>
            <w:r>
              <w:rPr>
                <w:rFonts w:ascii="Calibri"/>
                <w:sz w:val="22"/>
              </w:rPr>
              <w:t>1.9</w:t>
            </w:r>
          </w:p>
        </w:tc>
      </w:tr>
      <w:tr>
        <w:trPr>
          <w:trHeight w:val="360" w:hRule="atLeast"/>
        </w:trPr>
        <w:tc>
          <w:tcPr>
            <w:tcW w:w="1279" w:type="dxa"/>
            <w:shd w:val="clear" w:color="auto" w:fill="D9D9D9"/>
          </w:tcPr>
          <w:p>
            <w:pPr>
              <w:pStyle w:val="TableParagraph"/>
              <w:spacing w:before="25"/>
              <w:ind w:left="69"/>
              <w:jc w:val="left"/>
              <w:rPr>
                <w:rFonts w:ascii="Calibri"/>
                <w:sz w:val="22"/>
              </w:rPr>
            </w:pPr>
            <w:r>
              <w:rPr>
                <w:rFonts w:ascii="Calibri"/>
                <w:position w:val="2"/>
                <w:sz w:val="22"/>
              </w:rPr>
              <w:t>ME</w:t>
            </w:r>
            <w:r>
              <w:rPr>
                <w:rFonts w:ascii="Calibri"/>
                <w:sz w:val="14"/>
              </w:rPr>
              <w:t>90Q </w:t>
            </w:r>
            <w:r>
              <w:rPr>
                <w:rFonts w:ascii="Calibri"/>
                <w:position w:val="2"/>
                <w:sz w:val="22"/>
              </w:rPr>
              <w:t>dyb</w:t>
            </w:r>
          </w:p>
        </w:tc>
        <w:tc>
          <w:tcPr>
            <w:tcW w:w="859" w:type="dxa"/>
            <w:shd w:val="clear" w:color="auto" w:fill="D9D9D9"/>
          </w:tcPr>
          <w:p>
            <w:pPr>
              <w:pStyle w:val="TableParagraph"/>
              <w:spacing w:before="25"/>
              <w:ind w:left="55" w:right="151"/>
              <w:rPr>
                <w:rFonts w:ascii="Calibri"/>
                <w:sz w:val="22"/>
              </w:rPr>
            </w:pPr>
            <w:r>
              <w:rPr>
                <w:rFonts w:ascii="Calibri"/>
                <w:sz w:val="22"/>
              </w:rPr>
              <w:t>-1.4</w:t>
            </w:r>
          </w:p>
        </w:tc>
        <w:tc>
          <w:tcPr>
            <w:tcW w:w="963" w:type="dxa"/>
            <w:tcBorders>
              <w:right w:val="single" w:sz="8" w:space="0" w:color="000000"/>
            </w:tcBorders>
            <w:shd w:val="clear" w:color="auto" w:fill="D9D9D9"/>
          </w:tcPr>
          <w:p>
            <w:pPr>
              <w:pStyle w:val="TableParagraph"/>
              <w:spacing w:before="25"/>
              <w:ind w:left="152" w:right="142"/>
              <w:rPr>
                <w:rFonts w:ascii="Calibri"/>
                <w:sz w:val="22"/>
              </w:rPr>
            </w:pPr>
            <w:r>
              <w:rPr>
                <w:rFonts w:ascii="Calibri"/>
                <w:sz w:val="22"/>
              </w:rPr>
              <w:t>0.1</w:t>
            </w:r>
          </w:p>
        </w:tc>
        <w:tc>
          <w:tcPr>
            <w:tcW w:w="958" w:type="dxa"/>
            <w:tcBorders>
              <w:left w:val="single" w:sz="8" w:space="0" w:color="000000"/>
            </w:tcBorders>
            <w:shd w:val="clear" w:color="auto" w:fill="D9D9D9"/>
          </w:tcPr>
          <w:p>
            <w:pPr>
              <w:pStyle w:val="TableParagraph"/>
              <w:spacing w:before="25"/>
              <w:ind w:left="143" w:right="151"/>
              <w:rPr>
                <w:rFonts w:ascii="Calibri"/>
                <w:sz w:val="22"/>
              </w:rPr>
            </w:pPr>
            <w:r>
              <w:rPr>
                <w:rFonts w:ascii="Calibri"/>
                <w:sz w:val="22"/>
              </w:rPr>
              <w:t>-1.3</w:t>
            </w:r>
          </w:p>
        </w:tc>
        <w:tc>
          <w:tcPr>
            <w:tcW w:w="963" w:type="dxa"/>
            <w:tcBorders>
              <w:right w:val="single" w:sz="8" w:space="0" w:color="000000"/>
            </w:tcBorders>
            <w:shd w:val="clear" w:color="auto" w:fill="D9D9D9"/>
          </w:tcPr>
          <w:p>
            <w:pPr>
              <w:pStyle w:val="TableParagraph"/>
              <w:spacing w:before="25"/>
              <w:ind w:left="151" w:right="143"/>
              <w:rPr>
                <w:rFonts w:ascii="Calibri"/>
                <w:sz w:val="22"/>
              </w:rPr>
            </w:pPr>
            <w:r>
              <w:rPr>
                <w:rFonts w:ascii="Calibri"/>
                <w:sz w:val="22"/>
              </w:rPr>
              <w:t>0.1</w:t>
            </w:r>
          </w:p>
        </w:tc>
        <w:tc>
          <w:tcPr>
            <w:tcW w:w="958" w:type="dxa"/>
            <w:tcBorders>
              <w:left w:val="single" w:sz="8" w:space="0" w:color="000000"/>
            </w:tcBorders>
            <w:shd w:val="clear" w:color="auto" w:fill="D9D9D9"/>
          </w:tcPr>
          <w:p>
            <w:pPr>
              <w:pStyle w:val="TableParagraph"/>
              <w:spacing w:before="25"/>
              <w:ind w:left="142" w:right="151"/>
              <w:rPr>
                <w:rFonts w:ascii="Calibri"/>
                <w:sz w:val="22"/>
              </w:rPr>
            </w:pPr>
            <w:r>
              <w:rPr>
                <w:rFonts w:ascii="Calibri"/>
                <w:sz w:val="22"/>
              </w:rPr>
              <w:t>-0.7</w:t>
            </w:r>
          </w:p>
        </w:tc>
        <w:tc>
          <w:tcPr>
            <w:tcW w:w="963" w:type="dxa"/>
            <w:shd w:val="clear" w:color="auto" w:fill="D9D9D9"/>
          </w:tcPr>
          <w:p>
            <w:pPr>
              <w:pStyle w:val="TableParagraph"/>
              <w:spacing w:before="25"/>
              <w:ind w:left="57" w:right="57"/>
              <w:rPr>
                <w:rFonts w:ascii="Calibri"/>
                <w:sz w:val="22"/>
              </w:rPr>
            </w:pPr>
            <w:r>
              <w:rPr>
                <w:rFonts w:ascii="Calibri"/>
                <w:sz w:val="22"/>
              </w:rPr>
              <w:t>-0.2</w:t>
            </w:r>
          </w:p>
        </w:tc>
      </w:tr>
      <w:tr>
        <w:trPr>
          <w:trHeight w:val="386" w:hRule="atLeast"/>
        </w:trPr>
        <w:tc>
          <w:tcPr>
            <w:tcW w:w="1279" w:type="dxa"/>
            <w:shd w:val="clear" w:color="auto" w:fill="D9D9D9"/>
          </w:tcPr>
          <w:p>
            <w:pPr>
              <w:pStyle w:val="TableParagraph"/>
              <w:spacing w:before="25"/>
              <w:ind w:left="69"/>
              <w:jc w:val="left"/>
              <w:rPr>
                <w:rFonts w:ascii="Calibri"/>
                <w:sz w:val="22"/>
              </w:rPr>
            </w:pPr>
            <w:r>
              <w:rPr>
                <w:rFonts w:ascii="Calibri"/>
                <w:position w:val="2"/>
                <w:sz w:val="22"/>
              </w:rPr>
              <w:t>MAE</w:t>
            </w:r>
            <w:r>
              <w:rPr>
                <w:rFonts w:ascii="Calibri"/>
                <w:sz w:val="14"/>
              </w:rPr>
              <w:t>90Q </w:t>
            </w:r>
            <w:r>
              <w:rPr>
                <w:rFonts w:ascii="Calibri"/>
                <w:position w:val="2"/>
                <w:sz w:val="22"/>
              </w:rPr>
              <w:t>dyb</w:t>
            </w:r>
          </w:p>
        </w:tc>
        <w:tc>
          <w:tcPr>
            <w:tcW w:w="859" w:type="dxa"/>
            <w:shd w:val="clear" w:color="auto" w:fill="D9D9D9"/>
          </w:tcPr>
          <w:p>
            <w:pPr>
              <w:pStyle w:val="TableParagraph"/>
              <w:spacing w:before="25"/>
              <w:ind w:left="55" w:right="151"/>
              <w:rPr>
                <w:rFonts w:ascii="Calibri"/>
                <w:sz w:val="22"/>
              </w:rPr>
            </w:pPr>
            <w:r>
              <w:rPr>
                <w:rFonts w:ascii="Calibri"/>
                <w:sz w:val="22"/>
              </w:rPr>
              <w:t>2.4</w:t>
            </w:r>
          </w:p>
        </w:tc>
        <w:tc>
          <w:tcPr>
            <w:tcW w:w="963" w:type="dxa"/>
            <w:tcBorders>
              <w:right w:val="single" w:sz="8" w:space="0" w:color="000000"/>
            </w:tcBorders>
            <w:shd w:val="clear" w:color="auto" w:fill="D9D9D9"/>
          </w:tcPr>
          <w:p>
            <w:pPr>
              <w:pStyle w:val="TableParagraph"/>
              <w:spacing w:before="25"/>
              <w:ind w:left="152" w:right="142"/>
              <w:rPr>
                <w:rFonts w:ascii="Calibri"/>
                <w:sz w:val="22"/>
              </w:rPr>
            </w:pPr>
            <w:r>
              <w:rPr>
                <w:rFonts w:ascii="Calibri"/>
                <w:sz w:val="22"/>
              </w:rPr>
              <w:t>1.7</w:t>
            </w:r>
          </w:p>
        </w:tc>
        <w:tc>
          <w:tcPr>
            <w:tcW w:w="958" w:type="dxa"/>
            <w:tcBorders>
              <w:left w:val="single" w:sz="8" w:space="0" w:color="000000"/>
            </w:tcBorders>
            <w:shd w:val="clear" w:color="auto" w:fill="D9D9D9"/>
          </w:tcPr>
          <w:p>
            <w:pPr>
              <w:pStyle w:val="TableParagraph"/>
              <w:spacing w:before="25"/>
              <w:ind w:left="143" w:right="151"/>
              <w:rPr>
                <w:rFonts w:ascii="Calibri"/>
                <w:sz w:val="22"/>
              </w:rPr>
            </w:pPr>
            <w:r>
              <w:rPr>
                <w:rFonts w:ascii="Calibri"/>
                <w:sz w:val="22"/>
              </w:rPr>
              <w:t>2.4</w:t>
            </w:r>
          </w:p>
        </w:tc>
        <w:tc>
          <w:tcPr>
            <w:tcW w:w="963" w:type="dxa"/>
            <w:tcBorders>
              <w:right w:val="single" w:sz="8" w:space="0" w:color="000000"/>
            </w:tcBorders>
            <w:shd w:val="clear" w:color="auto" w:fill="D9D9D9"/>
          </w:tcPr>
          <w:p>
            <w:pPr>
              <w:pStyle w:val="TableParagraph"/>
              <w:spacing w:before="25"/>
              <w:ind w:left="151" w:right="143"/>
              <w:rPr>
                <w:rFonts w:ascii="Calibri"/>
                <w:sz w:val="22"/>
              </w:rPr>
            </w:pPr>
            <w:r>
              <w:rPr>
                <w:rFonts w:ascii="Calibri"/>
                <w:sz w:val="22"/>
              </w:rPr>
              <w:t>1.5</w:t>
            </w:r>
          </w:p>
        </w:tc>
        <w:tc>
          <w:tcPr>
            <w:tcW w:w="958" w:type="dxa"/>
            <w:tcBorders>
              <w:left w:val="single" w:sz="8" w:space="0" w:color="000000"/>
            </w:tcBorders>
            <w:shd w:val="clear" w:color="auto" w:fill="D9D9D9"/>
          </w:tcPr>
          <w:p>
            <w:pPr>
              <w:pStyle w:val="TableParagraph"/>
              <w:spacing w:before="25"/>
              <w:ind w:left="142" w:right="151"/>
              <w:rPr>
                <w:rFonts w:ascii="Calibri"/>
                <w:sz w:val="22"/>
              </w:rPr>
            </w:pPr>
            <w:r>
              <w:rPr>
                <w:rFonts w:ascii="Calibri"/>
                <w:sz w:val="22"/>
              </w:rPr>
              <w:t>2.1</w:t>
            </w:r>
          </w:p>
        </w:tc>
        <w:tc>
          <w:tcPr>
            <w:tcW w:w="963" w:type="dxa"/>
            <w:shd w:val="clear" w:color="auto" w:fill="D9D9D9"/>
          </w:tcPr>
          <w:p>
            <w:pPr>
              <w:pStyle w:val="TableParagraph"/>
              <w:spacing w:before="25"/>
              <w:ind w:left="57" w:right="57"/>
              <w:rPr>
                <w:rFonts w:ascii="Calibri"/>
                <w:sz w:val="22"/>
              </w:rPr>
            </w:pPr>
            <w:r>
              <w:rPr>
                <w:rFonts w:ascii="Calibri"/>
                <w:sz w:val="22"/>
              </w:rPr>
              <w:t>1.8</w:t>
            </w:r>
          </w:p>
        </w:tc>
      </w:tr>
    </w:tbl>
    <w:p>
      <w:pPr>
        <w:pStyle w:val="BodyText"/>
        <w:spacing w:before="8"/>
        <w:rPr>
          <w:rFonts w:ascii="Calibri"/>
          <w:i/>
          <w:sz w:val="23"/>
        </w:rPr>
      </w:pPr>
    </w:p>
    <w:p>
      <w:pPr>
        <w:spacing w:before="0"/>
        <w:ind w:left="525" w:right="852" w:firstLine="0"/>
        <w:jc w:val="left"/>
        <w:rPr>
          <w:rFonts w:ascii="Calibri" w:hAnsi="Calibri"/>
          <w:i/>
          <w:sz w:val="18"/>
        </w:rPr>
      </w:pPr>
      <w:bookmarkStart w:name="_bookmark69" w:id="93"/>
      <w:bookmarkEnd w:id="93"/>
      <w:r>
        <w:rPr/>
      </w:r>
      <w:r>
        <w:rPr>
          <w:rFonts w:ascii="Calibri" w:hAnsi="Calibri"/>
          <w:i/>
          <w:color w:val="44536A"/>
          <w:sz w:val="18"/>
        </w:rPr>
        <w:t>Tabel 13 Performance statistik for simuleret trykniveau på modelgrid niveau for alle tre valideringer (2009-2016). </w:t>
      </w:r>
      <w:r>
        <w:rPr>
          <w:rFonts w:ascii="Calibri" w:hAnsi="Calibri"/>
          <w:i/>
          <w:color w:val="44536A"/>
          <w:sz w:val="18"/>
        </w:rPr>
        <w:t>Jupiter og Region indikerer separat statistik for hhv. data fra Jupiter databasen og Regionernes data. Alle størrelser er i [m]. Middelfejl er angivet som obs –</w:t>
      </w:r>
      <w:r>
        <w:rPr>
          <w:rFonts w:ascii="Calibri" w:hAnsi="Calibri"/>
          <w:i/>
          <w:color w:val="44536A"/>
          <w:spacing w:val="-6"/>
          <w:sz w:val="18"/>
        </w:rPr>
        <w:t> </w:t>
      </w:r>
      <w:r>
        <w:rPr>
          <w:rFonts w:ascii="Calibri" w:hAnsi="Calibri"/>
          <w:i/>
          <w:color w:val="44536A"/>
          <w:sz w:val="18"/>
        </w:rPr>
        <w:t>sim.</w:t>
      </w:r>
    </w:p>
    <w:p>
      <w:pPr>
        <w:pStyle w:val="BodyText"/>
        <w:spacing w:before="3" w:after="1"/>
        <w:rPr>
          <w:rFonts w:ascii="Calibri"/>
          <w:i/>
          <w:sz w:val="16"/>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70"/>
        <w:gridCol w:w="869"/>
        <w:gridCol w:w="963"/>
        <w:gridCol w:w="958"/>
        <w:gridCol w:w="963"/>
        <w:gridCol w:w="958"/>
        <w:gridCol w:w="963"/>
      </w:tblGrid>
      <w:tr>
        <w:trPr>
          <w:trHeight w:val="331" w:hRule="atLeast"/>
        </w:trPr>
        <w:tc>
          <w:tcPr>
            <w:tcW w:w="1270" w:type="dxa"/>
          </w:tcPr>
          <w:p>
            <w:pPr>
              <w:pStyle w:val="TableParagraph"/>
              <w:spacing w:before="30"/>
              <w:ind w:left="69"/>
              <w:jc w:val="left"/>
              <w:rPr>
                <w:rFonts w:ascii="Calibri"/>
                <w:b/>
                <w:sz w:val="22"/>
              </w:rPr>
            </w:pPr>
            <w:r>
              <w:rPr>
                <w:rFonts w:ascii="Calibri"/>
                <w:b/>
                <w:sz w:val="22"/>
              </w:rPr>
              <w:t>Validering</w:t>
            </w:r>
          </w:p>
        </w:tc>
        <w:tc>
          <w:tcPr>
            <w:tcW w:w="1832" w:type="dxa"/>
            <w:gridSpan w:val="2"/>
            <w:tcBorders>
              <w:right w:val="single" w:sz="8" w:space="0" w:color="000000"/>
            </w:tcBorders>
          </w:tcPr>
          <w:p>
            <w:pPr>
              <w:pStyle w:val="TableParagraph"/>
              <w:spacing w:before="16"/>
              <w:ind w:left="179"/>
              <w:jc w:val="left"/>
              <w:rPr>
                <w:rFonts w:ascii="Calibri"/>
                <w:b/>
                <w:sz w:val="22"/>
              </w:rPr>
            </w:pPr>
            <w:r>
              <w:rPr>
                <w:rFonts w:ascii="Calibri"/>
                <w:b/>
                <w:sz w:val="22"/>
              </w:rPr>
              <w:t>100m_Jup+Reg</w:t>
            </w:r>
          </w:p>
        </w:tc>
        <w:tc>
          <w:tcPr>
            <w:tcW w:w="1921" w:type="dxa"/>
            <w:gridSpan w:val="2"/>
            <w:tcBorders>
              <w:left w:val="single" w:sz="8" w:space="0" w:color="000000"/>
              <w:right w:val="single" w:sz="8" w:space="0" w:color="000000"/>
            </w:tcBorders>
          </w:tcPr>
          <w:p>
            <w:pPr>
              <w:pStyle w:val="TableParagraph"/>
              <w:spacing w:before="16"/>
              <w:ind w:left="483"/>
              <w:jc w:val="left"/>
              <w:rPr>
                <w:rFonts w:ascii="Calibri"/>
                <w:b/>
                <w:sz w:val="22"/>
              </w:rPr>
            </w:pPr>
            <w:r>
              <w:rPr>
                <w:rFonts w:ascii="Calibri"/>
                <w:b/>
                <w:sz w:val="22"/>
              </w:rPr>
              <w:t>100m_Jup</w:t>
            </w:r>
          </w:p>
        </w:tc>
        <w:tc>
          <w:tcPr>
            <w:tcW w:w="1921" w:type="dxa"/>
            <w:gridSpan w:val="2"/>
            <w:tcBorders>
              <w:left w:val="single" w:sz="8" w:space="0" w:color="000000"/>
            </w:tcBorders>
          </w:tcPr>
          <w:p>
            <w:pPr>
              <w:pStyle w:val="TableParagraph"/>
              <w:spacing w:before="16"/>
              <w:ind w:left="257"/>
              <w:jc w:val="left"/>
              <w:rPr>
                <w:rFonts w:ascii="Calibri"/>
                <w:b/>
                <w:sz w:val="22"/>
              </w:rPr>
            </w:pPr>
            <w:r>
              <w:rPr>
                <w:rFonts w:ascii="Calibri"/>
                <w:b/>
                <w:sz w:val="22"/>
              </w:rPr>
              <w:t>500m_Jup+Reg</w:t>
            </w:r>
          </w:p>
        </w:tc>
      </w:tr>
      <w:tr>
        <w:trPr>
          <w:trHeight w:val="285" w:hRule="atLeast"/>
        </w:trPr>
        <w:tc>
          <w:tcPr>
            <w:tcW w:w="1270" w:type="dxa"/>
            <w:tcBorders>
              <w:bottom w:val="single" w:sz="8" w:space="0" w:color="000000"/>
            </w:tcBorders>
          </w:tcPr>
          <w:p>
            <w:pPr>
              <w:pStyle w:val="TableParagraph"/>
              <w:jc w:val="left"/>
              <w:rPr>
                <w:rFonts w:ascii="Times New Roman"/>
                <w:sz w:val="20"/>
              </w:rPr>
            </w:pPr>
          </w:p>
        </w:tc>
        <w:tc>
          <w:tcPr>
            <w:tcW w:w="869" w:type="dxa"/>
            <w:tcBorders>
              <w:bottom w:val="single" w:sz="8" w:space="0" w:color="000000"/>
            </w:tcBorders>
          </w:tcPr>
          <w:p>
            <w:pPr>
              <w:pStyle w:val="TableParagraph"/>
              <w:spacing w:line="261" w:lineRule="exact"/>
              <w:ind w:left="65" w:right="152"/>
              <w:rPr>
                <w:rFonts w:ascii="Calibri"/>
                <w:sz w:val="22"/>
              </w:rPr>
            </w:pPr>
            <w:r>
              <w:rPr>
                <w:rFonts w:ascii="Calibri"/>
                <w:sz w:val="22"/>
              </w:rPr>
              <w:t>Jupiter</w:t>
            </w:r>
          </w:p>
        </w:tc>
        <w:tc>
          <w:tcPr>
            <w:tcW w:w="963" w:type="dxa"/>
            <w:tcBorders>
              <w:bottom w:val="single" w:sz="8" w:space="0" w:color="000000"/>
              <w:right w:val="single" w:sz="8" w:space="0" w:color="000000"/>
            </w:tcBorders>
          </w:tcPr>
          <w:p>
            <w:pPr>
              <w:pStyle w:val="TableParagraph"/>
              <w:spacing w:line="261" w:lineRule="exact"/>
              <w:ind w:left="152" w:right="143"/>
              <w:rPr>
                <w:rFonts w:ascii="Calibri"/>
                <w:sz w:val="22"/>
              </w:rPr>
            </w:pPr>
            <w:r>
              <w:rPr>
                <w:rFonts w:ascii="Calibri"/>
                <w:sz w:val="22"/>
              </w:rPr>
              <w:t>Region</w:t>
            </w:r>
          </w:p>
        </w:tc>
        <w:tc>
          <w:tcPr>
            <w:tcW w:w="958" w:type="dxa"/>
            <w:tcBorders>
              <w:left w:val="single" w:sz="8" w:space="0" w:color="000000"/>
              <w:bottom w:val="single" w:sz="8" w:space="0" w:color="000000"/>
            </w:tcBorders>
          </w:tcPr>
          <w:p>
            <w:pPr>
              <w:pStyle w:val="TableParagraph"/>
              <w:spacing w:line="261" w:lineRule="exact"/>
              <w:ind w:left="142" w:right="151"/>
              <w:rPr>
                <w:rFonts w:ascii="Calibri"/>
                <w:sz w:val="22"/>
              </w:rPr>
            </w:pPr>
            <w:r>
              <w:rPr>
                <w:rFonts w:ascii="Calibri"/>
                <w:sz w:val="22"/>
              </w:rPr>
              <w:t>Jupiter</w:t>
            </w:r>
          </w:p>
        </w:tc>
        <w:tc>
          <w:tcPr>
            <w:tcW w:w="963" w:type="dxa"/>
            <w:tcBorders>
              <w:bottom w:val="single" w:sz="8" w:space="0" w:color="000000"/>
              <w:right w:val="single" w:sz="8" w:space="0" w:color="000000"/>
            </w:tcBorders>
          </w:tcPr>
          <w:p>
            <w:pPr>
              <w:pStyle w:val="TableParagraph"/>
              <w:spacing w:line="261" w:lineRule="exact"/>
              <w:ind w:left="150" w:right="143"/>
              <w:rPr>
                <w:rFonts w:ascii="Calibri"/>
                <w:sz w:val="22"/>
              </w:rPr>
            </w:pPr>
            <w:r>
              <w:rPr>
                <w:rFonts w:ascii="Calibri"/>
                <w:sz w:val="22"/>
              </w:rPr>
              <w:t>Region</w:t>
            </w:r>
          </w:p>
        </w:tc>
        <w:tc>
          <w:tcPr>
            <w:tcW w:w="958" w:type="dxa"/>
            <w:tcBorders>
              <w:left w:val="single" w:sz="8" w:space="0" w:color="000000"/>
              <w:bottom w:val="single" w:sz="8" w:space="0" w:color="000000"/>
            </w:tcBorders>
          </w:tcPr>
          <w:p>
            <w:pPr>
              <w:pStyle w:val="TableParagraph"/>
              <w:spacing w:line="261" w:lineRule="exact"/>
              <w:ind w:left="141" w:right="151"/>
              <w:rPr>
                <w:rFonts w:ascii="Calibri"/>
                <w:sz w:val="22"/>
              </w:rPr>
            </w:pPr>
            <w:r>
              <w:rPr>
                <w:rFonts w:ascii="Calibri"/>
                <w:sz w:val="22"/>
              </w:rPr>
              <w:t>Jupiter</w:t>
            </w:r>
          </w:p>
        </w:tc>
        <w:tc>
          <w:tcPr>
            <w:tcW w:w="963" w:type="dxa"/>
            <w:tcBorders>
              <w:bottom w:val="single" w:sz="8" w:space="0" w:color="000000"/>
            </w:tcBorders>
          </w:tcPr>
          <w:p>
            <w:pPr>
              <w:pStyle w:val="TableParagraph"/>
              <w:spacing w:line="261" w:lineRule="exact"/>
              <w:ind w:left="56" w:right="57"/>
              <w:rPr>
                <w:rFonts w:ascii="Calibri"/>
                <w:sz w:val="22"/>
              </w:rPr>
            </w:pPr>
            <w:r>
              <w:rPr>
                <w:rFonts w:ascii="Calibri"/>
                <w:sz w:val="22"/>
              </w:rPr>
              <w:t>Region</w:t>
            </w:r>
          </w:p>
        </w:tc>
      </w:tr>
      <w:tr>
        <w:trPr>
          <w:trHeight w:val="303" w:hRule="atLeast"/>
        </w:trPr>
        <w:tc>
          <w:tcPr>
            <w:tcW w:w="1270" w:type="dxa"/>
            <w:tcBorders>
              <w:top w:val="single" w:sz="8" w:space="0" w:color="000000"/>
            </w:tcBorders>
          </w:tcPr>
          <w:p>
            <w:pPr>
              <w:pStyle w:val="TableParagraph"/>
              <w:spacing w:line="267" w:lineRule="exact"/>
              <w:ind w:left="69"/>
              <w:jc w:val="left"/>
              <w:rPr>
                <w:rFonts w:ascii="Calibri"/>
                <w:sz w:val="22"/>
              </w:rPr>
            </w:pPr>
            <w:r>
              <w:rPr>
                <w:rFonts w:ascii="Calibri"/>
                <w:sz w:val="22"/>
              </w:rPr>
              <w:t>ME tn</w:t>
            </w:r>
          </w:p>
        </w:tc>
        <w:tc>
          <w:tcPr>
            <w:tcW w:w="869" w:type="dxa"/>
            <w:tcBorders>
              <w:top w:val="single" w:sz="8" w:space="0" w:color="000000"/>
            </w:tcBorders>
          </w:tcPr>
          <w:p>
            <w:pPr>
              <w:pStyle w:val="TableParagraph"/>
              <w:spacing w:line="267" w:lineRule="exact"/>
              <w:ind w:left="64" w:right="152"/>
              <w:rPr>
                <w:rFonts w:ascii="Calibri"/>
                <w:sz w:val="22"/>
              </w:rPr>
            </w:pPr>
            <w:r>
              <w:rPr>
                <w:rFonts w:ascii="Calibri"/>
                <w:sz w:val="22"/>
              </w:rPr>
              <w:t>0.7</w:t>
            </w:r>
          </w:p>
        </w:tc>
        <w:tc>
          <w:tcPr>
            <w:tcW w:w="963" w:type="dxa"/>
            <w:tcBorders>
              <w:top w:val="single" w:sz="8" w:space="0" w:color="000000"/>
              <w:right w:val="single" w:sz="8" w:space="0" w:color="000000"/>
            </w:tcBorders>
          </w:tcPr>
          <w:p>
            <w:pPr>
              <w:pStyle w:val="TableParagraph"/>
              <w:spacing w:line="267" w:lineRule="exact"/>
              <w:ind w:left="151" w:right="143"/>
              <w:rPr>
                <w:rFonts w:ascii="Calibri"/>
                <w:sz w:val="22"/>
              </w:rPr>
            </w:pPr>
            <w:r>
              <w:rPr>
                <w:rFonts w:ascii="Calibri"/>
                <w:sz w:val="22"/>
              </w:rPr>
              <w:t>4.1</w:t>
            </w:r>
          </w:p>
        </w:tc>
        <w:tc>
          <w:tcPr>
            <w:tcW w:w="958" w:type="dxa"/>
            <w:tcBorders>
              <w:top w:val="single" w:sz="8" w:space="0" w:color="000000"/>
              <w:left w:val="single" w:sz="8" w:space="0" w:color="000000"/>
            </w:tcBorders>
          </w:tcPr>
          <w:p>
            <w:pPr>
              <w:pStyle w:val="TableParagraph"/>
              <w:spacing w:line="267" w:lineRule="exact"/>
              <w:ind w:left="141" w:right="151"/>
              <w:rPr>
                <w:rFonts w:ascii="Calibri"/>
                <w:sz w:val="22"/>
              </w:rPr>
            </w:pPr>
            <w:r>
              <w:rPr>
                <w:rFonts w:ascii="Calibri"/>
                <w:sz w:val="22"/>
              </w:rPr>
              <w:t>0.8</w:t>
            </w:r>
          </w:p>
        </w:tc>
        <w:tc>
          <w:tcPr>
            <w:tcW w:w="963" w:type="dxa"/>
            <w:tcBorders>
              <w:top w:val="single" w:sz="8" w:space="0" w:color="000000"/>
              <w:right w:val="single" w:sz="8" w:space="0" w:color="000000"/>
            </w:tcBorders>
          </w:tcPr>
          <w:p>
            <w:pPr>
              <w:pStyle w:val="TableParagraph"/>
              <w:spacing w:line="267" w:lineRule="exact"/>
              <w:ind w:left="149" w:right="143"/>
              <w:rPr>
                <w:rFonts w:ascii="Calibri"/>
                <w:sz w:val="22"/>
              </w:rPr>
            </w:pPr>
            <w:r>
              <w:rPr>
                <w:rFonts w:ascii="Calibri"/>
                <w:sz w:val="22"/>
              </w:rPr>
              <w:t>4.3</w:t>
            </w:r>
          </w:p>
        </w:tc>
        <w:tc>
          <w:tcPr>
            <w:tcW w:w="958" w:type="dxa"/>
            <w:tcBorders>
              <w:top w:val="single" w:sz="8" w:space="0" w:color="000000"/>
              <w:left w:val="single" w:sz="8" w:space="0" w:color="000000"/>
            </w:tcBorders>
          </w:tcPr>
          <w:p>
            <w:pPr>
              <w:pStyle w:val="TableParagraph"/>
              <w:spacing w:line="267" w:lineRule="exact"/>
              <w:ind w:left="140" w:right="151"/>
              <w:rPr>
                <w:rFonts w:ascii="Calibri"/>
                <w:sz w:val="22"/>
              </w:rPr>
            </w:pPr>
            <w:r>
              <w:rPr>
                <w:rFonts w:ascii="Calibri"/>
                <w:sz w:val="22"/>
              </w:rPr>
              <w:t>0.1</w:t>
            </w:r>
          </w:p>
        </w:tc>
        <w:tc>
          <w:tcPr>
            <w:tcW w:w="963" w:type="dxa"/>
            <w:tcBorders>
              <w:top w:val="single" w:sz="8" w:space="0" w:color="000000"/>
            </w:tcBorders>
          </w:tcPr>
          <w:p>
            <w:pPr>
              <w:pStyle w:val="TableParagraph"/>
              <w:spacing w:line="267" w:lineRule="exact"/>
              <w:ind w:left="55" w:right="57"/>
              <w:rPr>
                <w:rFonts w:ascii="Calibri"/>
                <w:sz w:val="22"/>
              </w:rPr>
            </w:pPr>
            <w:r>
              <w:rPr>
                <w:rFonts w:ascii="Calibri"/>
                <w:sz w:val="22"/>
              </w:rPr>
              <w:t>2.8</w:t>
            </w:r>
          </w:p>
        </w:tc>
      </w:tr>
      <w:tr>
        <w:trPr>
          <w:trHeight w:val="300" w:hRule="atLeast"/>
        </w:trPr>
        <w:tc>
          <w:tcPr>
            <w:tcW w:w="1270" w:type="dxa"/>
          </w:tcPr>
          <w:p>
            <w:pPr>
              <w:pStyle w:val="TableParagraph"/>
              <w:spacing w:line="264" w:lineRule="exact"/>
              <w:ind w:left="69"/>
              <w:jc w:val="left"/>
              <w:rPr>
                <w:rFonts w:ascii="Calibri"/>
                <w:sz w:val="22"/>
              </w:rPr>
            </w:pPr>
            <w:r>
              <w:rPr>
                <w:rFonts w:ascii="Calibri"/>
                <w:sz w:val="22"/>
              </w:rPr>
              <w:t>MAE tn</w:t>
            </w:r>
          </w:p>
        </w:tc>
        <w:tc>
          <w:tcPr>
            <w:tcW w:w="869" w:type="dxa"/>
          </w:tcPr>
          <w:p>
            <w:pPr>
              <w:pStyle w:val="TableParagraph"/>
              <w:spacing w:line="264" w:lineRule="exact"/>
              <w:ind w:left="64" w:right="152"/>
              <w:rPr>
                <w:rFonts w:ascii="Calibri"/>
                <w:sz w:val="22"/>
              </w:rPr>
            </w:pPr>
            <w:r>
              <w:rPr>
                <w:rFonts w:ascii="Calibri"/>
                <w:sz w:val="22"/>
              </w:rPr>
              <w:t>2.0</w:t>
            </w:r>
          </w:p>
        </w:tc>
        <w:tc>
          <w:tcPr>
            <w:tcW w:w="963" w:type="dxa"/>
            <w:tcBorders>
              <w:right w:val="single" w:sz="8" w:space="0" w:color="000000"/>
            </w:tcBorders>
          </w:tcPr>
          <w:p>
            <w:pPr>
              <w:pStyle w:val="TableParagraph"/>
              <w:spacing w:line="264" w:lineRule="exact"/>
              <w:ind w:left="151" w:right="143"/>
              <w:rPr>
                <w:rFonts w:ascii="Calibri"/>
                <w:sz w:val="22"/>
              </w:rPr>
            </w:pPr>
            <w:r>
              <w:rPr>
                <w:rFonts w:ascii="Calibri"/>
                <w:sz w:val="22"/>
              </w:rPr>
              <w:t>4.7</w:t>
            </w:r>
          </w:p>
        </w:tc>
        <w:tc>
          <w:tcPr>
            <w:tcW w:w="958" w:type="dxa"/>
            <w:tcBorders>
              <w:left w:val="single" w:sz="8" w:space="0" w:color="000000"/>
            </w:tcBorders>
          </w:tcPr>
          <w:p>
            <w:pPr>
              <w:pStyle w:val="TableParagraph"/>
              <w:spacing w:line="264" w:lineRule="exact"/>
              <w:ind w:left="141" w:right="151"/>
              <w:rPr>
                <w:rFonts w:ascii="Calibri"/>
                <w:sz w:val="22"/>
              </w:rPr>
            </w:pPr>
            <w:r>
              <w:rPr>
                <w:rFonts w:ascii="Calibri"/>
                <w:sz w:val="22"/>
              </w:rPr>
              <w:t>2.0</w:t>
            </w:r>
          </w:p>
        </w:tc>
        <w:tc>
          <w:tcPr>
            <w:tcW w:w="963" w:type="dxa"/>
            <w:tcBorders>
              <w:right w:val="single" w:sz="8" w:space="0" w:color="000000"/>
            </w:tcBorders>
          </w:tcPr>
          <w:p>
            <w:pPr>
              <w:pStyle w:val="TableParagraph"/>
              <w:spacing w:line="264" w:lineRule="exact"/>
              <w:ind w:left="149" w:right="143"/>
              <w:rPr>
                <w:rFonts w:ascii="Calibri"/>
                <w:sz w:val="22"/>
              </w:rPr>
            </w:pPr>
            <w:r>
              <w:rPr>
                <w:rFonts w:ascii="Calibri"/>
                <w:sz w:val="22"/>
              </w:rPr>
              <w:t>4.8</w:t>
            </w:r>
          </w:p>
        </w:tc>
        <w:tc>
          <w:tcPr>
            <w:tcW w:w="958" w:type="dxa"/>
            <w:tcBorders>
              <w:left w:val="single" w:sz="8" w:space="0" w:color="000000"/>
            </w:tcBorders>
          </w:tcPr>
          <w:p>
            <w:pPr>
              <w:pStyle w:val="TableParagraph"/>
              <w:spacing w:line="264" w:lineRule="exact"/>
              <w:ind w:left="140" w:right="151"/>
              <w:rPr>
                <w:rFonts w:ascii="Calibri"/>
                <w:sz w:val="22"/>
              </w:rPr>
            </w:pPr>
            <w:r>
              <w:rPr>
                <w:rFonts w:ascii="Calibri"/>
                <w:sz w:val="22"/>
              </w:rPr>
              <w:t>2.2</w:t>
            </w:r>
          </w:p>
        </w:tc>
        <w:tc>
          <w:tcPr>
            <w:tcW w:w="963" w:type="dxa"/>
          </w:tcPr>
          <w:p>
            <w:pPr>
              <w:pStyle w:val="TableParagraph"/>
              <w:spacing w:line="264" w:lineRule="exact"/>
              <w:ind w:left="55" w:right="57"/>
              <w:rPr>
                <w:rFonts w:ascii="Calibri"/>
                <w:sz w:val="22"/>
              </w:rPr>
            </w:pPr>
            <w:r>
              <w:rPr>
                <w:rFonts w:ascii="Calibri"/>
                <w:sz w:val="22"/>
              </w:rPr>
              <w:t>3.6</w:t>
            </w:r>
          </w:p>
        </w:tc>
      </w:tr>
      <w:tr>
        <w:trPr>
          <w:trHeight w:val="300" w:hRule="atLeast"/>
        </w:trPr>
        <w:tc>
          <w:tcPr>
            <w:tcW w:w="1270" w:type="dxa"/>
          </w:tcPr>
          <w:p>
            <w:pPr>
              <w:pStyle w:val="TableParagraph"/>
              <w:spacing w:line="264" w:lineRule="exact"/>
              <w:ind w:left="69"/>
              <w:jc w:val="left"/>
              <w:rPr>
                <w:rFonts w:ascii="Calibri"/>
                <w:sz w:val="22"/>
              </w:rPr>
            </w:pPr>
            <w:r>
              <w:rPr>
                <w:rFonts w:ascii="Calibri"/>
                <w:sz w:val="22"/>
              </w:rPr>
              <w:t>ME dyb</w:t>
            </w:r>
          </w:p>
        </w:tc>
        <w:tc>
          <w:tcPr>
            <w:tcW w:w="869" w:type="dxa"/>
          </w:tcPr>
          <w:p>
            <w:pPr>
              <w:pStyle w:val="TableParagraph"/>
              <w:spacing w:line="264" w:lineRule="exact"/>
              <w:ind w:left="64" w:right="152"/>
              <w:rPr>
                <w:rFonts w:ascii="Calibri"/>
                <w:sz w:val="22"/>
              </w:rPr>
            </w:pPr>
            <w:r>
              <w:rPr>
                <w:rFonts w:ascii="Calibri"/>
                <w:sz w:val="22"/>
              </w:rPr>
              <w:t>-2.1</w:t>
            </w:r>
          </w:p>
        </w:tc>
        <w:tc>
          <w:tcPr>
            <w:tcW w:w="963" w:type="dxa"/>
            <w:tcBorders>
              <w:right w:val="single" w:sz="8" w:space="0" w:color="000000"/>
            </w:tcBorders>
          </w:tcPr>
          <w:p>
            <w:pPr>
              <w:pStyle w:val="TableParagraph"/>
              <w:spacing w:line="264" w:lineRule="exact"/>
              <w:ind w:left="151" w:right="143"/>
              <w:rPr>
                <w:rFonts w:ascii="Calibri"/>
                <w:sz w:val="22"/>
              </w:rPr>
            </w:pPr>
            <w:r>
              <w:rPr>
                <w:rFonts w:ascii="Calibri"/>
                <w:sz w:val="22"/>
              </w:rPr>
              <w:t>-0.3</w:t>
            </w:r>
          </w:p>
        </w:tc>
        <w:tc>
          <w:tcPr>
            <w:tcW w:w="958" w:type="dxa"/>
            <w:tcBorders>
              <w:left w:val="single" w:sz="8" w:space="0" w:color="000000"/>
            </w:tcBorders>
          </w:tcPr>
          <w:p>
            <w:pPr>
              <w:pStyle w:val="TableParagraph"/>
              <w:spacing w:line="264" w:lineRule="exact"/>
              <w:ind w:left="141" w:right="151"/>
              <w:rPr>
                <w:rFonts w:ascii="Calibri"/>
                <w:sz w:val="22"/>
              </w:rPr>
            </w:pPr>
            <w:r>
              <w:rPr>
                <w:rFonts w:ascii="Calibri"/>
                <w:sz w:val="22"/>
              </w:rPr>
              <w:t>-2.0</w:t>
            </w:r>
          </w:p>
        </w:tc>
        <w:tc>
          <w:tcPr>
            <w:tcW w:w="963" w:type="dxa"/>
            <w:tcBorders>
              <w:right w:val="single" w:sz="8" w:space="0" w:color="000000"/>
            </w:tcBorders>
          </w:tcPr>
          <w:p>
            <w:pPr>
              <w:pStyle w:val="TableParagraph"/>
              <w:spacing w:line="264" w:lineRule="exact"/>
              <w:ind w:left="149" w:right="143"/>
              <w:rPr>
                <w:rFonts w:ascii="Calibri"/>
                <w:sz w:val="22"/>
              </w:rPr>
            </w:pPr>
            <w:r>
              <w:rPr>
                <w:rFonts w:ascii="Calibri"/>
                <w:sz w:val="22"/>
              </w:rPr>
              <w:t>-0.1</w:t>
            </w:r>
          </w:p>
        </w:tc>
        <w:tc>
          <w:tcPr>
            <w:tcW w:w="958" w:type="dxa"/>
            <w:tcBorders>
              <w:left w:val="single" w:sz="8" w:space="0" w:color="000000"/>
            </w:tcBorders>
          </w:tcPr>
          <w:p>
            <w:pPr>
              <w:pStyle w:val="TableParagraph"/>
              <w:spacing w:line="264" w:lineRule="exact"/>
              <w:ind w:left="140" w:right="151"/>
              <w:rPr>
                <w:rFonts w:ascii="Calibri"/>
                <w:sz w:val="22"/>
              </w:rPr>
            </w:pPr>
            <w:r>
              <w:rPr>
                <w:rFonts w:ascii="Calibri"/>
                <w:sz w:val="22"/>
              </w:rPr>
              <w:t>-0.9</w:t>
            </w:r>
          </w:p>
        </w:tc>
        <w:tc>
          <w:tcPr>
            <w:tcW w:w="963" w:type="dxa"/>
          </w:tcPr>
          <w:p>
            <w:pPr>
              <w:pStyle w:val="TableParagraph"/>
              <w:spacing w:line="264" w:lineRule="exact"/>
              <w:ind w:left="55" w:right="57"/>
              <w:rPr>
                <w:rFonts w:ascii="Calibri"/>
                <w:sz w:val="22"/>
              </w:rPr>
            </w:pPr>
            <w:r>
              <w:rPr>
                <w:rFonts w:ascii="Calibri"/>
                <w:sz w:val="22"/>
              </w:rPr>
              <w:t>0.4</w:t>
            </w:r>
          </w:p>
        </w:tc>
      </w:tr>
      <w:tr>
        <w:trPr>
          <w:trHeight w:val="296" w:hRule="atLeast"/>
        </w:trPr>
        <w:tc>
          <w:tcPr>
            <w:tcW w:w="1270" w:type="dxa"/>
          </w:tcPr>
          <w:p>
            <w:pPr>
              <w:pStyle w:val="TableParagraph"/>
              <w:spacing w:line="264" w:lineRule="exact"/>
              <w:ind w:left="69"/>
              <w:jc w:val="left"/>
              <w:rPr>
                <w:rFonts w:ascii="Calibri"/>
                <w:sz w:val="22"/>
              </w:rPr>
            </w:pPr>
            <w:r>
              <w:rPr>
                <w:rFonts w:ascii="Calibri"/>
                <w:sz w:val="22"/>
              </w:rPr>
              <w:t>MAE dyb</w:t>
            </w:r>
          </w:p>
        </w:tc>
        <w:tc>
          <w:tcPr>
            <w:tcW w:w="869" w:type="dxa"/>
          </w:tcPr>
          <w:p>
            <w:pPr>
              <w:pStyle w:val="TableParagraph"/>
              <w:spacing w:line="264" w:lineRule="exact"/>
              <w:ind w:left="64" w:right="152"/>
              <w:rPr>
                <w:rFonts w:ascii="Calibri"/>
                <w:sz w:val="22"/>
              </w:rPr>
            </w:pPr>
            <w:r>
              <w:rPr>
                <w:rFonts w:ascii="Calibri"/>
                <w:sz w:val="22"/>
              </w:rPr>
              <w:t>3.6</w:t>
            </w:r>
          </w:p>
        </w:tc>
        <w:tc>
          <w:tcPr>
            <w:tcW w:w="963" w:type="dxa"/>
            <w:tcBorders>
              <w:right w:val="single" w:sz="8" w:space="0" w:color="000000"/>
            </w:tcBorders>
          </w:tcPr>
          <w:p>
            <w:pPr>
              <w:pStyle w:val="TableParagraph"/>
              <w:spacing w:line="264" w:lineRule="exact"/>
              <w:ind w:left="151" w:right="143"/>
              <w:rPr>
                <w:rFonts w:ascii="Calibri"/>
                <w:sz w:val="22"/>
              </w:rPr>
            </w:pPr>
            <w:r>
              <w:rPr>
                <w:rFonts w:ascii="Calibri"/>
                <w:sz w:val="22"/>
              </w:rPr>
              <w:t>1.9</w:t>
            </w:r>
          </w:p>
        </w:tc>
        <w:tc>
          <w:tcPr>
            <w:tcW w:w="958" w:type="dxa"/>
            <w:tcBorders>
              <w:left w:val="single" w:sz="8" w:space="0" w:color="000000"/>
            </w:tcBorders>
          </w:tcPr>
          <w:p>
            <w:pPr>
              <w:pStyle w:val="TableParagraph"/>
              <w:spacing w:line="264" w:lineRule="exact"/>
              <w:ind w:left="141" w:right="151"/>
              <w:rPr>
                <w:rFonts w:ascii="Calibri"/>
                <w:sz w:val="22"/>
              </w:rPr>
            </w:pPr>
            <w:r>
              <w:rPr>
                <w:rFonts w:ascii="Calibri"/>
                <w:sz w:val="22"/>
              </w:rPr>
              <w:t>3.7</w:t>
            </w:r>
          </w:p>
        </w:tc>
        <w:tc>
          <w:tcPr>
            <w:tcW w:w="963" w:type="dxa"/>
            <w:tcBorders>
              <w:right w:val="single" w:sz="8" w:space="0" w:color="000000"/>
            </w:tcBorders>
          </w:tcPr>
          <w:p>
            <w:pPr>
              <w:pStyle w:val="TableParagraph"/>
              <w:spacing w:line="264" w:lineRule="exact"/>
              <w:ind w:left="149" w:right="143"/>
              <w:rPr>
                <w:rFonts w:ascii="Calibri"/>
                <w:sz w:val="22"/>
              </w:rPr>
            </w:pPr>
            <w:r>
              <w:rPr>
                <w:rFonts w:ascii="Calibri"/>
                <w:sz w:val="22"/>
              </w:rPr>
              <w:t>1.7</w:t>
            </w:r>
          </w:p>
        </w:tc>
        <w:tc>
          <w:tcPr>
            <w:tcW w:w="958" w:type="dxa"/>
            <w:tcBorders>
              <w:left w:val="single" w:sz="8" w:space="0" w:color="000000"/>
            </w:tcBorders>
          </w:tcPr>
          <w:p>
            <w:pPr>
              <w:pStyle w:val="TableParagraph"/>
              <w:spacing w:line="264" w:lineRule="exact"/>
              <w:ind w:left="140" w:right="151"/>
              <w:rPr>
                <w:rFonts w:ascii="Calibri"/>
                <w:sz w:val="22"/>
              </w:rPr>
            </w:pPr>
            <w:r>
              <w:rPr>
                <w:rFonts w:ascii="Calibri"/>
                <w:sz w:val="22"/>
              </w:rPr>
              <w:t>2.7</w:t>
            </w:r>
          </w:p>
        </w:tc>
        <w:tc>
          <w:tcPr>
            <w:tcW w:w="963" w:type="dxa"/>
          </w:tcPr>
          <w:p>
            <w:pPr>
              <w:pStyle w:val="TableParagraph"/>
              <w:spacing w:line="264" w:lineRule="exact"/>
              <w:ind w:left="55" w:right="57"/>
              <w:rPr>
                <w:rFonts w:ascii="Calibri"/>
                <w:sz w:val="22"/>
              </w:rPr>
            </w:pPr>
            <w:r>
              <w:rPr>
                <w:rFonts w:ascii="Calibri"/>
                <w:sz w:val="22"/>
              </w:rPr>
              <w:t>1.7</w:t>
            </w:r>
          </w:p>
        </w:tc>
      </w:tr>
      <w:tr>
        <w:trPr>
          <w:trHeight w:val="333" w:hRule="atLeast"/>
        </w:trPr>
        <w:tc>
          <w:tcPr>
            <w:tcW w:w="1270" w:type="dxa"/>
            <w:shd w:val="clear" w:color="auto" w:fill="D9D9D9"/>
          </w:tcPr>
          <w:p>
            <w:pPr>
              <w:pStyle w:val="TableParagraph"/>
              <w:spacing w:line="267" w:lineRule="exact"/>
              <w:ind w:left="69"/>
              <w:jc w:val="left"/>
              <w:rPr>
                <w:rFonts w:ascii="Calibri"/>
                <w:sz w:val="22"/>
              </w:rPr>
            </w:pPr>
            <w:r>
              <w:rPr>
                <w:rFonts w:ascii="Calibri"/>
                <w:position w:val="2"/>
                <w:sz w:val="22"/>
              </w:rPr>
              <w:t>ME</w:t>
            </w:r>
            <w:r>
              <w:rPr>
                <w:rFonts w:ascii="Calibri"/>
                <w:sz w:val="14"/>
              </w:rPr>
              <w:t>90Q </w:t>
            </w:r>
            <w:r>
              <w:rPr>
                <w:rFonts w:ascii="Calibri"/>
                <w:position w:val="2"/>
                <w:sz w:val="22"/>
              </w:rPr>
              <w:t>tn</w:t>
            </w:r>
          </w:p>
        </w:tc>
        <w:tc>
          <w:tcPr>
            <w:tcW w:w="869" w:type="dxa"/>
            <w:shd w:val="clear" w:color="auto" w:fill="D9D9D9"/>
          </w:tcPr>
          <w:p>
            <w:pPr>
              <w:pStyle w:val="TableParagraph"/>
              <w:spacing w:line="268" w:lineRule="exact"/>
              <w:ind w:left="64" w:right="152"/>
              <w:rPr>
                <w:rFonts w:ascii="Calibri"/>
                <w:sz w:val="22"/>
              </w:rPr>
            </w:pPr>
            <w:r>
              <w:rPr>
                <w:rFonts w:ascii="Calibri"/>
                <w:sz w:val="22"/>
              </w:rPr>
              <w:t>0.4</w:t>
            </w:r>
          </w:p>
        </w:tc>
        <w:tc>
          <w:tcPr>
            <w:tcW w:w="963" w:type="dxa"/>
            <w:tcBorders>
              <w:right w:val="single" w:sz="8" w:space="0" w:color="000000"/>
            </w:tcBorders>
            <w:shd w:val="clear" w:color="auto" w:fill="D9D9D9"/>
          </w:tcPr>
          <w:p>
            <w:pPr>
              <w:pStyle w:val="TableParagraph"/>
              <w:spacing w:line="268" w:lineRule="exact"/>
              <w:ind w:left="151" w:right="143"/>
              <w:rPr>
                <w:rFonts w:ascii="Calibri"/>
                <w:sz w:val="22"/>
              </w:rPr>
            </w:pPr>
            <w:r>
              <w:rPr>
                <w:rFonts w:ascii="Calibri"/>
                <w:sz w:val="22"/>
              </w:rPr>
              <w:t>2.5</w:t>
            </w:r>
          </w:p>
        </w:tc>
        <w:tc>
          <w:tcPr>
            <w:tcW w:w="958" w:type="dxa"/>
            <w:tcBorders>
              <w:left w:val="single" w:sz="8" w:space="0" w:color="000000"/>
            </w:tcBorders>
            <w:shd w:val="clear" w:color="auto" w:fill="D9D9D9"/>
          </w:tcPr>
          <w:p>
            <w:pPr>
              <w:pStyle w:val="TableParagraph"/>
              <w:spacing w:line="268" w:lineRule="exact"/>
              <w:ind w:left="141" w:right="151"/>
              <w:rPr>
                <w:rFonts w:ascii="Calibri"/>
                <w:sz w:val="22"/>
              </w:rPr>
            </w:pPr>
            <w:r>
              <w:rPr>
                <w:rFonts w:ascii="Calibri"/>
                <w:sz w:val="22"/>
              </w:rPr>
              <w:t>0.5</w:t>
            </w:r>
          </w:p>
        </w:tc>
        <w:tc>
          <w:tcPr>
            <w:tcW w:w="963" w:type="dxa"/>
            <w:tcBorders>
              <w:right w:val="single" w:sz="8" w:space="0" w:color="000000"/>
            </w:tcBorders>
            <w:shd w:val="clear" w:color="auto" w:fill="D9D9D9"/>
          </w:tcPr>
          <w:p>
            <w:pPr>
              <w:pStyle w:val="TableParagraph"/>
              <w:spacing w:line="268" w:lineRule="exact"/>
              <w:ind w:left="149" w:right="143"/>
              <w:rPr>
                <w:rFonts w:ascii="Calibri"/>
                <w:sz w:val="22"/>
              </w:rPr>
            </w:pPr>
            <w:r>
              <w:rPr>
                <w:rFonts w:ascii="Calibri"/>
                <w:sz w:val="22"/>
              </w:rPr>
              <w:t>2.6</w:t>
            </w:r>
          </w:p>
        </w:tc>
        <w:tc>
          <w:tcPr>
            <w:tcW w:w="958" w:type="dxa"/>
            <w:tcBorders>
              <w:left w:val="single" w:sz="8" w:space="0" w:color="000000"/>
            </w:tcBorders>
            <w:shd w:val="clear" w:color="auto" w:fill="D9D9D9"/>
          </w:tcPr>
          <w:p>
            <w:pPr>
              <w:pStyle w:val="TableParagraph"/>
              <w:spacing w:line="268" w:lineRule="exact"/>
              <w:ind w:left="140" w:right="151"/>
              <w:rPr>
                <w:rFonts w:ascii="Calibri"/>
                <w:sz w:val="22"/>
              </w:rPr>
            </w:pPr>
            <w:r>
              <w:rPr>
                <w:rFonts w:ascii="Calibri"/>
                <w:sz w:val="22"/>
              </w:rPr>
              <w:t>-0.2</w:t>
            </w:r>
          </w:p>
        </w:tc>
        <w:tc>
          <w:tcPr>
            <w:tcW w:w="963" w:type="dxa"/>
            <w:shd w:val="clear" w:color="auto" w:fill="D9D9D9"/>
          </w:tcPr>
          <w:p>
            <w:pPr>
              <w:pStyle w:val="TableParagraph"/>
              <w:spacing w:line="268" w:lineRule="exact"/>
              <w:ind w:left="55" w:right="57"/>
              <w:rPr>
                <w:rFonts w:ascii="Calibri"/>
                <w:sz w:val="22"/>
              </w:rPr>
            </w:pPr>
            <w:r>
              <w:rPr>
                <w:rFonts w:ascii="Calibri"/>
                <w:sz w:val="22"/>
              </w:rPr>
              <w:t>0.8</w:t>
            </w:r>
          </w:p>
        </w:tc>
      </w:tr>
      <w:tr>
        <w:trPr>
          <w:trHeight w:val="360" w:hRule="atLeast"/>
        </w:trPr>
        <w:tc>
          <w:tcPr>
            <w:tcW w:w="1270" w:type="dxa"/>
            <w:shd w:val="clear" w:color="auto" w:fill="D9D9D9"/>
          </w:tcPr>
          <w:p>
            <w:pPr>
              <w:pStyle w:val="TableParagraph"/>
              <w:spacing w:before="25"/>
              <w:ind w:left="69"/>
              <w:jc w:val="left"/>
              <w:rPr>
                <w:rFonts w:ascii="Calibri"/>
                <w:sz w:val="22"/>
              </w:rPr>
            </w:pPr>
            <w:r>
              <w:rPr>
                <w:rFonts w:ascii="Calibri"/>
                <w:position w:val="2"/>
                <w:sz w:val="22"/>
              </w:rPr>
              <w:t>MAE</w:t>
            </w:r>
            <w:r>
              <w:rPr>
                <w:rFonts w:ascii="Calibri"/>
                <w:sz w:val="14"/>
              </w:rPr>
              <w:t>90Q </w:t>
            </w:r>
            <w:r>
              <w:rPr>
                <w:rFonts w:ascii="Calibri"/>
                <w:position w:val="2"/>
                <w:sz w:val="22"/>
              </w:rPr>
              <w:t>tn</w:t>
            </w:r>
          </w:p>
        </w:tc>
        <w:tc>
          <w:tcPr>
            <w:tcW w:w="869" w:type="dxa"/>
            <w:shd w:val="clear" w:color="auto" w:fill="D9D9D9"/>
          </w:tcPr>
          <w:p>
            <w:pPr>
              <w:pStyle w:val="TableParagraph"/>
              <w:spacing w:before="25"/>
              <w:ind w:left="64" w:right="152"/>
              <w:rPr>
                <w:rFonts w:ascii="Calibri"/>
                <w:sz w:val="22"/>
              </w:rPr>
            </w:pPr>
            <w:r>
              <w:rPr>
                <w:rFonts w:ascii="Calibri"/>
                <w:sz w:val="22"/>
              </w:rPr>
              <w:t>1.6</w:t>
            </w:r>
          </w:p>
        </w:tc>
        <w:tc>
          <w:tcPr>
            <w:tcW w:w="963" w:type="dxa"/>
            <w:tcBorders>
              <w:right w:val="single" w:sz="8" w:space="0" w:color="000000"/>
            </w:tcBorders>
            <w:shd w:val="clear" w:color="auto" w:fill="D9D9D9"/>
          </w:tcPr>
          <w:p>
            <w:pPr>
              <w:pStyle w:val="TableParagraph"/>
              <w:spacing w:before="25"/>
              <w:ind w:left="151" w:right="143"/>
              <w:rPr>
                <w:rFonts w:ascii="Calibri"/>
                <w:sz w:val="22"/>
              </w:rPr>
            </w:pPr>
            <w:r>
              <w:rPr>
                <w:rFonts w:ascii="Calibri"/>
                <w:sz w:val="22"/>
              </w:rPr>
              <w:t>3.1</w:t>
            </w:r>
          </w:p>
        </w:tc>
        <w:tc>
          <w:tcPr>
            <w:tcW w:w="958" w:type="dxa"/>
            <w:tcBorders>
              <w:left w:val="single" w:sz="8" w:space="0" w:color="000000"/>
            </w:tcBorders>
            <w:shd w:val="clear" w:color="auto" w:fill="D9D9D9"/>
          </w:tcPr>
          <w:p>
            <w:pPr>
              <w:pStyle w:val="TableParagraph"/>
              <w:spacing w:before="25"/>
              <w:ind w:left="141" w:right="151"/>
              <w:rPr>
                <w:rFonts w:ascii="Calibri"/>
                <w:sz w:val="22"/>
              </w:rPr>
            </w:pPr>
            <w:r>
              <w:rPr>
                <w:rFonts w:ascii="Calibri"/>
                <w:sz w:val="22"/>
              </w:rPr>
              <w:t>1.6</w:t>
            </w:r>
          </w:p>
        </w:tc>
        <w:tc>
          <w:tcPr>
            <w:tcW w:w="963" w:type="dxa"/>
            <w:tcBorders>
              <w:right w:val="single" w:sz="8" w:space="0" w:color="000000"/>
            </w:tcBorders>
            <w:shd w:val="clear" w:color="auto" w:fill="D9D9D9"/>
          </w:tcPr>
          <w:p>
            <w:pPr>
              <w:pStyle w:val="TableParagraph"/>
              <w:spacing w:before="25"/>
              <w:ind w:left="149" w:right="143"/>
              <w:rPr>
                <w:rFonts w:ascii="Calibri"/>
                <w:sz w:val="22"/>
              </w:rPr>
            </w:pPr>
            <w:r>
              <w:rPr>
                <w:rFonts w:ascii="Calibri"/>
                <w:sz w:val="22"/>
              </w:rPr>
              <w:t>3.3</w:t>
            </w:r>
          </w:p>
        </w:tc>
        <w:tc>
          <w:tcPr>
            <w:tcW w:w="958" w:type="dxa"/>
            <w:tcBorders>
              <w:left w:val="single" w:sz="8" w:space="0" w:color="000000"/>
            </w:tcBorders>
            <w:shd w:val="clear" w:color="auto" w:fill="D9D9D9"/>
          </w:tcPr>
          <w:p>
            <w:pPr>
              <w:pStyle w:val="TableParagraph"/>
              <w:spacing w:before="25"/>
              <w:ind w:left="140" w:right="151"/>
              <w:rPr>
                <w:rFonts w:ascii="Calibri"/>
                <w:sz w:val="22"/>
              </w:rPr>
            </w:pPr>
            <w:r>
              <w:rPr>
                <w:rFonts w:ascii="Calibri"/>
                <w:sz w:val="22"/>
              </w:rPr>
              <w:t>1.7</w:t>
            </w:r>
          </w:p>
        </w:tc>
        <w:tc>
          <w:tcPr>
            <w:tcW w:w="963" w:type="dxa"/>
            <w:shd w:val="clear" w:color="auto" w:fill="D9D9D9"/>
          </w:tcPr>
          <w:p>
            <w:pPr>
              <w:pStyle w:val="TableParagraph"/>
              <w:spacing w:before="25"/>
              <w:ind w:left="55" w:right="57"/>
              <w:rPr>
                <w:rFonts w:ascii="Calibri"/>
                <w:sz w:val="22"/>
              </w:rPr>
            </w:pPr>
            <w:r>
              <w:rPr>
                <w:rFonts w:ascii="Calibri"/>
                <w:sz w:val="22"/>
              </w:rPr>
              <w:t>1.8</w:t>
            </w:r>
          </w:p>
        </w:tc>
      </w:tr>
      <w:tr>
        <w:trPr>
          <w:trHeight w:val="360" w:hRule="atLeast"/>
        </w:trPr>
        <w:tc>
          <w:tcPr>
            <w:tcW w:w="1270" w:type="dxa"/>
            <w:shd w:val="clear" w:color="auto" w:fill="D9D9D9"/>
          </w:tcPr>
          <w:p>
            <w:pPr>
              <w:pStyle w:val="TableParagraph"/>
              <w:spacing w:before="25"/>
              <w:ind w:left="69"/>
              <w:jc w:val="left"/>
              <w:rPr>
                <w:rFonts w:ascii="Calibri"/>
                <w:sz w:val="22"/>
              </w:rPr>
            </w:pPr>
            <w:r>
              <w:rPr>
                <w:rFonts w:ascii="Calibri"/>
                <w:position w:val="2"/>
                <w:sz w:val="22"/>
              </w:rPr>
              <w:t>ME</w:t>
            </w:r>
            <w:r>
              <w:rPr>
                <w:rFonts w:ascii="Calibri"/>
                <w:sz w:val="14"/>
              </w:rPr>
              <w:t>90Q </w:t>
            </w:r>
            <w:r>
              <w:rPr>
                <w:rFonts w:ascii="Calibri"/>
                <w:position w:val="2"/>
                <w:sz w:val="22"/>
              </w:rPr>
              <w:t>dyb</w:t>
            </w:r>
          </w:p>
        </w:tc>
        <w:tc>
          <w:tcPr>
            <w:tcW w:w="869" w:type="dxa"/>
            <w:shd w:val="clear" w:color="auto" w:fill="D9D9D9"/>
          </w:tcPr>
          <w:p>
            <w:pPr>
              <w:pStyle w:val="TableParagraph"/>
              <w:spacing w:before="25"/>
              <w:ind w:left="64" w:right="152"/>
              <w:rPr>
                <w:rFonts w:ascii="Calibri"/>
                <w:sz w:val="22"/>
              </w:rPr>
            </w:pPr>
            <w:r>
              <w:rPr>
                <w:rFonts w:ascii="Calibri"/>
                <w:sz w:val="22"/>
              </w:rPr>
              <w:t>-1.8</w:t>
            </w:r>
          </w:p>
        </w:tc>
        <w:tc>
          <w:tcPr>
            <w:tcW w:w="963" w:type="dxa"/>
            <w:tcBorders>
              <w:right w:val="single" w:sz="8" w:space="0" w:color="000000"/>
            </w:tcBorders>
            <w:shd w:val="clear" w:color="auto" w:fill="D9D9D9"/>
          </w:tcPr>
          <w:p>
            <w:pPr>
              <w:pStyle w:val="TableParagraph"/>
              <w:spacing w:before="25"/>
              <w:ind w:left="151" w:right="143"/>
              <w:rPr>
                <w:rFonts w:ascii="Calibri"/>
                <w:sz w:val="22"/>
              </w:rPr>
            </w:pPr>
            <w:r>
              <w:rPr>
                <w:rFonts w:ascii="Calibri"/>
                <w:sz w:val="22"/>
              </w:rPr>
              <w:t>-0.3</w:t>
            </w:r>
          </w:p>
        </w:tc>
        <w:tc>
          <w:tcPr>
            <w:tcW w:w="958" w:type="dxa"/>
            <w:tcBorders>
              <w:left w:val="single" w:sz="8" w:space="0" w:color="000000"/>
            </w:tcBorders>
            <w:shd w:val="clear" w:color="auto" w:fill="D9D9D9"/>
          </w:tcPr>
          <w:p>
            <w:pPr>
              <w:pStyle w:val="TableParagraph"/>
              <w:spacing w:before="25"/>
              <w:ind w:left="141" w:right="151"/>
              <w:rPr>
                <w:rFonts w:ascii="Calibri"/>
                <w:sz w:val="22"/>
              </w:rPr>
            </w:pPr>
            <w:r>
              <w:rPr>
                <w:rFonts w:ascii="Calibri"/>
                <w:sz w:val="22"/>
              </w:rPr>
              <w:t>-1.7</w:t>
            </w:r>
          </w:p>
        </w:tc>
        <w:tc>
          <w:tcPr>
            <w:tcW w:w="963" w:type="dxa"/>
            <w:tcBorders>
              <w:right w:val="single" w:sz="8" w:space="0" w:color="000000"/>
            </w:tcBorders>
            <w:shd w:val="clear" w:color="auto" w:fill="D9D9D9"/>
          </w:tcPr>
          <w:p>
            <w:pPr>
              <w:pStyle w:val="TableParagraph"/>
              <w:spacing w:before="25"/>
              <w:ind w:left="149" w:right="143"/>
              <w:rPr>
                <w:rFonts w:ascii="Calibri"/>
                <w:sz w:val="22"/>
              </w:rPr>
            </w:pPr>
            <w:r>
              <w:rPr>
                <w:rFonts w:ascii="Calibri"/>
                <w:sz w:val="22"/>
              </w:rPr>
              <w:t>-0.6</w:t>
            </w:r>
          </w:p>
        </w:tc>
        <w:tc>
          <w:tcPr>
            <w:tcW w:w="958" w:type="dxa"/>
            <w:tcBorders>
              <w:left w:val="single" w:sz="8" w:space="0" w:color="000000"/>
            </w:tcBorders>
            <w:shd w:val="clear" w:color="auto" w:fill="D9D9D9"/>
          </w:tcPr>
          <w:p>
            <w:pPr>
              <w:pStyle w:val="TableParagraph"/>
              <w:spacing w:before="25"/>
              <w:ind w:left="140" w:right="151"/>
              <w:rPr>
                <w:rFonts w:ascii="Calibri"/>
                <w:sz w:val="22"/>
              </w:rPr>
            </w:pPr>
            <w:r>
              <w:rPr>
                <w:rFonts w:ascii="Calibri"/>
                <w:sz w:val="22"/>
              </w:rPr>
              <w:t>-1.1</w:t>
            </w:r>
          </w:p>
        </w:tc>
        <w:tc>
          <w:tcPr>
            <w:tcW w:w="963" w:type="dxa"/>
            <w:shd w:val="clear" w:color="auto" w:fill="D9D9D9"/>
          </w:tcPr>
          <w:p>
            <w:pPr>
              <w:pStyle w:val="TableParagraph"/>
              <w:spacing w:before="25"/>
              <w:ind w:left="55" w:right="57"/>
              <w:rPr>
                <w:rFonts w:ascii="Calibri"/>
                <w:sz w:val="22"/>
              </w:rPr>
            </w:pPr>
            <w:r>
              <w:rPr>
                <w:rFonts w:ascii="Calibri"/>
                <w:sz w:val="22"/>
              </w:rPr>
              <w:t>0.1</w:t>
            </w:r>
          </w:p>
        </w:tc>
      </w:tr>
      <w:tr>
        <w:trPr>
          <w:trHeight w:val="386" w:hRule="atLeast"/>
        </w:trPr>
        <w:tc>
          <w:tcPr>
            <w:tcW w:w="1270" w:type="dxa"/>
            <w:shd w:val="clear" w:color="auto" w:fill="D9D9D9"/>
          </w:tcPr>
          <w:p>
            <w:pPr>
              <w:pStyle w:val="TableParagraph"/>
              <w:spacing w:before="25"/>
              <w:ind w:left="69"/>
              <w:jc w:val="left"/>
              <w:rPr>
                <w:rFonts w:ascii="Calibri"/>
                <w:sz w:val="22"/>
              </w:rPr>
            </w:pPr>
            <w:r>
              <w:rPr>
                <w:rFonts w:ascii="Calibri"/>
                <w:position w:val="2"/>
                <w:sz w:val="22"/>
              </w:rPr>
              <w:t>MAE</w:t>
            </w:r>
            <w:r>
              <w:rPr>
                <w:rFonts w:ascii="Calibri"/>
                <w:sz w:val="14"/>
              </w:rPr>
              <w:t>90Q </w:t>
            </w:r>
            <w:r>
              <w:rPr>
                <w:rFonts w:ascii="Calibri"/>
                <w:position w:val="2"/>
                <w:sz w:val="22"/>
              </w:rPr>
              <w:t>dyb</w:t>
            </w:r>
          </w:p>
        </w:tc>
        <w:tc>
          <w:tcPr>
            <w:tcW w:w="869" w:type="dxa"/>
            <w:shd w:val="clear" w:color="auto" w:fill="D9D9D9"/>
          </w:tcPr>
          <w:p>
            <w:pPr>
              <w:pStyle w:val="TableParagraph"/>
              <w:spacing w:before="25"/>
              <w:ind w:left="64" w:right="152"/>
              <w:rPr>
                <w:rFonts w:ascii="Calibri"/>
                <w:sz w:val="22"/>
              </w:rPr>
            </w:pPr>
            <w:r>
              <w:rPr>
                <w:rFonts w:ascii="Calibri"/>
                <w:sz w:val="22"/>
              </w:rPr>
              <w:t>2.6</w:t>
            </w:r>
          </w:p>
        </w:tc>
        <w:tc>
          <w:tcPr>
            <w:tcW w:w="963" w:type="dxa"/>
            <w:tcBorders>
              <w:right w:val="single" w:sz="8" w:space="0" w:color="000000"/>
            </w:tcBorders>
            <w:shd w:val="clear" w:color="auto" w:fill="D9D9D9"/>
          </w:tcPr>
          <w:p>
            <w:pPr>
              <w:pStyle w:val="TableParagraph"/>
              <w:spacing w:before="25"/>
              <w:ind w:left="151" w:right="143"/>
              <w:rPr>
                <w:rFonts w:ascii="Calibri"/>
                <w:sz w:val="22"/>
              </w:rPr>
            </w:pPr>
            <w:r>
              <w:rPr>
                <w:rFonts w:ascii="Calibri"/>
                <w:sz w:val="22"/>
              </w:rPr>
              <w:t>1.7</w:t>
            </w:r>
          </w:p>
        </w:tc>
        <w:tc>
          <w:tcPr>
            <w:tcW w:w="958" w:type="dxa"/>
            <w:tcBorders>
              <w:left w:val="single" w:sz="8" w:space="0" w:color="000000"/>
            </w:tcBorders>
            <w:shd w:val="clear" w:color="auto" w:fill="D9D9D9"/>
          </w:tcPr>
          <w:p>
            <w:pPr>
              <w:pStyle w:val="TableParagraph"/>
              <w:spacing w:before="25"/>
              <w:ind w:left="141" w:right="151"/>
              <w:rPr>
                <w:rFonts w:ascii="Calibri"/>
                <w:sz w:val="22"/>
              </w:rPr>
            </w:pPr>
            <w:r>
              <w:rPr>
                <w:rFonts w:ascii="Calibri"/>
                <w:sz w:val="22"/>
              </w:rPr>
              <w:t>2.6</w:t>
            </w:r>
          </w:p>
        </w:tc>
        <w:tc>
          <w:tcPr>
            <w:tcW w:w="963" w:type="dxa"/>
            <w:tcBorders>
              <w:right w:val="single" w:sz="8" w:space="0" w:color="000000"/>
            </w:tcBorders>
            <w:shd w:val="clear" w:color="auto" w:fill="D9D9D9"/>
          </w:tcPr>
          <w:p>
            <w:pPr>
              <w:pStyle w:val="TableParagraph"/>
              <w:spacing w:before="25"/>
              <w:ind w:left="149" w:right="143"/>
              <w:rPr>
                <w:rFonts w:ascii="Calibri"/>
                <w:sz w:val="22"/>
              </w:rPr>
            </w:pPr>
            <w:r>
              <w:rPr>
                <w:rFonts w:ascii="Calibri"/>
                <w:sz w:val="22"/>
              </w:rPr>
              <w:t>1.5</w:t>
            </w:r>
          </w:p>
        </w:tc>
        <w:tc>
          <w:tcPr>
            <w:tcW w:w="958" w:type="dxa"/>
            <w:tcBorders>
              <w:left w:val="single" w:sz="8" w:space="0" w:color="000000"/>
            </w:tcBorders>
            <w:shd w:val="clear" w:color="auto" w:fill="D9D9D9"/>
          </w:tcPr>
          <w:p>
            <w:pPr>
              <w:pStyle w:val="TableParagraph"/>
              <w:spacing w:before="25"/>
              <w:ind w:left="140" w:right="151"/>
              <w:rPr>
                <w:rFonts w:ascii="Calibri"/>
                <w:sz w:val="22"/>
              </w:rPr>
            </w:pPr>
            <w:r>
              <w:rPr>
                <w:rFonts w:ascii="Calibri"/>
                <w:sz w:val="22"/>
              </w:rPr>
              <w:t>1.9</w:t>
            </w:r>
          </w:p>
        </w:tc>
        <w:tc>
          <w:tcPr>
            <w:tcW w:w="963" w:type="dxa"/>
            <w:shd w:val="clear" w:color="auto" w:fill="D9D9D9"/>
          </w:tcPr>
          <w:p>
            <w:pPr>
              <w:pStyle w:val="TableParagraph"/>
              <w:spacing w:before="25"/>
              <w:ind w:left="55" w:right="57"/>
              <w:rPr>
                <w:rFonts w:ascii="Calibri"/>
                <w:sz w:val="22"/>
              </w:rPr>
            </w:pPr>
            <w:r>
              <w:rPr>
                <w:rFonts w:ascii="Calibri"/>
                <w:sz w:val="22"/>
              </w:rPr>
              <w:t>1.5</w:t>
            </w:r>
          </w:p>
        </w:tc>
      </w:tr>
    </w:tbl>
    <w:p>
      <w:pPr>
        <w:pStyle w:val="BodyText"/>
        <w:spacing w:before="7"/>
        <w:rPr>
          <w:rFonts w:ascii="Calibri"/>
          <w:i/>
          <w:sz w:val="23"/>
        </w:rPr>
      </w:pPr>
    </w:p>
    <w:p>
      <w:pPr>
        <w:pStyle w:val="BodyText"/>
        <w:spacing w:line="288" w:lineRule="auto"/>
        <w:ind w:left="525" w:right="730"/>
        <w:jc w:val="both"/>
      </w:pPr>
      <w:hyperlink w:history="true" w:anchor="_bookmark70">
        <w:r>
          <w:rPr/>
          <w:t>Figur</w:t>
        </w:r>
        <w:r>
          <w:rPr>
            <w:spacing w:val="-15"/>
          </w:rPr>
          <w:t> </w:t>
        </w:r>
        <w:r>
          <w:rPr/>
          <w:t>45</w:t>
        </w:r>
        <w:r>
          <w:rPr>
            <w:spacing w:val="-13"/>
          </w:rPr>
          <w:t> </w:t>
        </w:r>
      </w:hyperlink>
      <w:r>
        <w:rPr/>
        <w:t>viser</w:t>
      </w:r>
      <w:r>
        <w:rPr>
          <w:spacing w:val="-16"/>
        </w:rPr>
        <w:t> </w:t>
      </w:r>
      <w:r>
        <w:rPr/>
        <w:t>kurverne</w:t>
      </w:r>
      <w:r>
        <w:rPr>
          <w:spacing w:val="-16"/>
        </w:rPr>
        <w:t> </w:t>
      </w:r>
      <w:r>
        <w:rPr/>
        <w:t>for</w:t>
      </w:r>
      <w:r>
        <w:rPr>
          <w:spacing w:val="-15"/>
        </w:rPr>
        <w:t> </w:t>
      </w:r>
      <w:r>
        <w:rPr/>
        <w:t>de</w:t>
      </w:r>
      <w:r>
        <w:rPr>
          <w:spacing w:val="-12"/>
        </w:rPr>
        <w:t> </w:t>
      </w:r>
      <w:r>
        <w:rPr/>
        <w:t>sorterede</w:t>
      </w:r>
      <w:r>
        <w:rPr>
          <w:spacing w:val="-13"/>
        </w:rPr>
        <w:t> </w:t>
      </w:r>
      <w:r>
        <w:rPr/>
        <w:t>middelfejl</w:t>
      </w:r>
      <w:r>
        <w:rPr>
          <w:spacing w:val="-12"/>
        </w:rPr>
        <w:t> </w:t>
      </w:r>
      <w:r>
        <w:rPr/>
        <w:t>pr.</w:t>
      </w:r>
      <w:r>
        <w:rPr>
          <w:spacing w:val="-16"/>
        </w:rPr>
        <w:t> </w:t>
      </w:r>
      <w:r>
        <w:rPr/>
        <w:t>modelgrid</w:t>
      </w:r>
      <w:r>
        <w:rPr>
          <w:spacing w:val="-11"/>
        </w:rPr>
        <w:t> </w:t>
      </w:r>
      <w:r>
        <w:rPr/>
        <w:t>for</w:t>
      </w:r>
      <w:r>
        <w:rPr>
          <w:spacing w:val="-14"/>
        </w:rPr>
        <w:t> </w:t>
      </w:r>
      <w:r>
        <w:rPr/>
        <w:t>alle</w:t>
      </w:r>
      <w:r>
        <w:rPr>
          <w:spacing w:val="-13"/>
        </w:rPr>
        <w:t> </w:t>
      </w:r>
      <w:r>
        <w:rPr/>
        <w:t>tre</w:t>
      </w:r>
      <w:r>
        <w:rPr>
          <w:spacing w:val="-14"/>
        </w:rPr>
        <w:t> </w:t>
      </w:r>
      <w:r>
        <w:rPr/>
        <w:t>kalibreringer.</w:t>
      </w:r>
      <w:r>
        <w:rPr>
          <w:spacing w:val="-15"/>
        </w:rPr>
        <w:t> </w:t>
      </w:r>
      <w:r>
        <w:rPr/>
        <w:t>Som </w:t>
      </w:r>
      <w:hyperlink w:history="true" w:anchor="_bookmark68">
        <w:r>
          <w:rPr/>
          <w:t>tabel</w:t>
        </w:r>
        <w:r>
          <w:rPr>
            <w:spacing w:val="-13"/>
          </w:rPr>
          <w:t> </w:t>
        </w:r>
        <w:r>
          <w:rPr/>
          <w:t>12</w:t>
        </w:r>
        <w:r>
          <w:rPr>
            <w:spacing w:val="-13"/>
          </w:rPr>
          <w:t> </w:t>
        </w:r>
      </w:hyperlink>
      <w:r>
        <w:rPr/>
        <w:t>og</w:t>
      </w:r>
      <w:r>
        <w:rPr>
          <w:spacing w:val="-13"/>
        </w:rPr>
        <w:t> </w:t>
      </w:r>
      <w:r>
        <w:rPr/>
        <w:t>13</w:t>
      </w:r>
      <w:r>
        <w:rPr>
          <w:spacing w:val="-13"/>
        </w:rPr>
        <w:t> </w:t>
      </w:r>
      <w:r>
        <w:rPr/>
        <w:t>viser</w:t>
      </w:r>
      <w:r>
        <w:rPr>
          <w:spacing w:val="-14"/>
        </w:rPr>
        <w:t> </w:t>
      </w:r>
      <w:r>
        <w:rPr/>
        <w:t>den</w:t>
      </w:r>
      <w:r>
        <w:rPr>
          <w:spacing w:val="-13"/>
        </w:rPr>
        <w:t> </w:t>
      </w:r>
      <w:r>
        <w:rPr/>
        <w:t>at</w:t>
      </w:r>
      <w:r>
        <w:rPr>
          <w:spacing w:val="-14"/>
        </w:rPr>
        <w:t> </w:t>
      </w:r>
      <w:r>
        <w:rPr/>
        <w:t>de</w:t>
      </w:r>
      <w:r>
        <w:rPr>
          <w:spacing w:val="-13"/>
        </w:rPr>
        <w:t> </w:t>
      </w:r>
      <w:r>
        <w:rPr/>
        <w:t>to</w:t>
      </w:r>
      <w:r>
        <w:rPr>
          <w:spacing w:val="-13"/>
        </w:rPr>
        <w:t> </w:t>
      </w:r>
      <w:r>
        <w:rPr/>
        <w:t>100</w:t>
      </w:r>
      <w:r>
        <w:rPr>
          <w:spacing w:val="-15"/>
        </w:rPr>
        <w:t> </w:t>
      </w:r>
      <w:r>
        <w:rPr/>
        <w:t>m</w:t>
      </w:r>
      <w:r>
        <w:rPr>
          <w:spacing w:val="-14"/>
        </w:rPr>
        <w:t> </w:t>
      </w:r>
      <w:r>
        <w:rPr/>
        <w:t>modeller</w:t>
      </w:r>
      <w:r>
        <w:rPr>
          <w:spacing w:val="-14"/>
        </w:rPr>
        <w:t> </w:t>
      </w:r>
      <w:r>
        <w:rPr/>
        <w:t>er</w:t>
      </w:r>
      <w:r>
        <w:rPr>
          <w:spacing w:val="-13"/>
        </w:rPr>
        <w:t> </w:t>
      </w:r>
      <w:r>
        <w:rPr/>
        <w:t>(næsten)</w:t>
      </w:r>
      <w:r>
        <w:rPr>
          <w:spacing w:val="-13"/>
        </w:rPr>
        <w:t> </w:t>
      </w:r>
      <w:r>
        <w:rPr/>
        <w:t>identiske,</w:t>
      </w:r>
      <w:r>
        <w:rPr>
          <w:spacing w:val="-14"/>
        </w:rPr>
        <w:t> </w:t>
      </w:r>
      <w:r>
        <w:rPr/>
        <w:t>mens</w:t>
      </w:r>
      <w:r>
        <w:rPr>
          <w:spacing w:val="-13"/>
        </w:rPr>
        <w:t> </w:t>
      </w:r>
      <w:r>
        <w:rPr/>
        <w:t>500</w:t>
      </w:r>
      <w:r>
        <w:rPr>
          <w:spacing w:val="-13"/>
        </w:rPr>
        <w:t> </w:t>
      </w:r>
      <w:r>
        <w:rPr/>
        <w:t>m</w:t>
      </w:r>
      <w:r>
        <w:rPr>
          <w:spacing w:val="-14"/>
        </w:rPr>
        <w:t> </w:t>
      </w:r>
      <w:r>
        <w:rPr/>
        <w:t>modellen har en lidt anden fordeling af fejl, hvor 500 m modellen har færre grid med negativ fejl og flere med positiv for de dybe pejlinger og generelt større fejl for det terrænnære. Det er dog vigtigt</w:t>
      </w:r>
      <w:r>
        <w:rPr>
          <w:spacing w:val="-4"/>
        </w:rPr>
        <w:t> </w:t>
      </w:r>
      <w:r>
        <w:rPr/>
        <w:t>at</w:t>
      </w:r>
      <w:r>
        <w:rPr>
          <w:spacing w:val="-3"/>
        </w:rPr>
        <w:t> </w:t>
      </w:r>
      <w:r>
        <w:rPr/>
        <w:t>pointere</w:t>
      </w:r>
      <w:r>
        <w:rPr>
          <w:spacing w:val="-2"/>
        </w:rPr>
        <w:t> </w:t>
      </w:r>
      <w:r>
        <w:rPr/>
        <w:t>at</w:t>
      </w:r>
      <w:r>
        <w:rPr>
          <w:spacing w:val="-3"/>
        </w:rPr>
        <w:t> </w:t>
      </w:r>
      <w:r>
        <w:rPr/>
        <w:t>sammenligningen</w:t>
      </w:r>
      <w:r>
        <w:rPr>
          <w:spacing w:val="-7"/>
        </w:rPr>
        <w:t> </w:t>
      </w:r>
      <w:r>
        <w:rPr/>
        <w:t>mellem</w:t>
      </w:r>
      <w:r>
        <w:rPr>
          <w:spacing w:val="-1"/>
        </w:rPr>
        <w:t> </w:t>
      </w:r>
      <w:r>
        <w:rPr/>
        <w:t>100</w:t>
      </w:r>
      <w:r>
        <w:rPr>
          <w:spacing w:val="-2"/>
        </w:rPr>
        <w:t> </w:t>
      </w:r>
      <w:r>
        <w:rPr/>
        <w:t>m</w:t>
      </w:r>
      <w:r>
        <w:rPr>
          <w:spacing w:val="-3"/>
        </w:rPr>
        <w:t> </w:t>
      </w:r>
      <w:r>
        <w:rPr/>
        <w:t>og</w:t>
      </w:r>
      <w:r>
        <w:rPr>
          <w:spacing w:val="-2"/>
        </w:rPr>
        <w:t> </w:t>
      </w:r>
      <w:r>
        <w:rPr/>
        <w:t>500</w:t>
      </w:r>
      <w:r>
        <w:rPr>
          <w:spacing w:val="-4"/>
        </w:rPr>
        <w:t> </w:t>
      </w:r>
      <w:r>
        <w:rPr/>
        <w:t>m</w:t>
      </w:r>
      <w:r>
        <w:rPr>
          <w:spacing w:val="-5"/>
        </w:rPr>
        <w:t> </w:t>
      </w:r>
      <w:r>
        <w:rPr/>
        <w:t>modeller</w:t>
      </w:r>
      <w:r>
        <w:rPr>
          <w:spacing w:val="-3"/>
        </w:rPr>
        <w:t> </w:t>
      </w:r>
      <w:r>
        <w:rPr/>
        <w:t>på</w:t>
      </w:r>
      <w:r>
        <w:rPr>
          <w:spacing w:val="-2"/>
        </w:rPr>
        <w:t> </w:t>
      </w:r>
      <w:r>
        <w:rPr/>
        <w:t>grid</w:t>
      </w:r>
      <w:r>
        <w:rPr>
          <w:spacing w:val="-3"/>
        </w:rPr>
        <w:t> </w:t>
      </w:r>
      <w:r>
        <w:rPr/>
        <w:t>niveau</w:t>
      </w:r>
      <w:r>
        <w:rPr>
          <w:spacing w:val="-4"/>
        </w:rPr>
        <w:t> </w:t>
      </w:r>
      <w:r>
        <w:rPr/>
        <w:t>ikke er helt entydig, da antallet at grids og de pejleboringer, som aggregeres indenfor et grid, varierer med gridstørrelsen. Mht. performance er alle tre modeller dog meget sammenligne- lige, særligt på de terrænnære pejlinger. For valideringsperioden performer 500 m modellen ifølge </w:t>
      </w:r>
      <w:hyperlink w:history="true" w:anchor="_bookmark69">
        <w:r>
          <w:rPr/>
          <w:t>tabel 13 </w:t>
        </w:r>
      </w:hyperlink>
      <w:r>
        <w:rPr/>
        <w:t>godt, men dette skyldes aggregeringen af fejl med modsat fortegn indenfor nogle</w:t>
      </w:r>
      <w:r>
        <w:rPr>
          <w:spacing w:val="-5"/>
        </w:rPr>
        <w:t> </w:t>
      </w:r>
      <w:r>
        <w:rPr/>
        <w:t>enkelte</w:t>
      </w:r>
      <w:r>
        <w:rPr>
          <w:spacing w:val="-4"/>
        </w:rPr>
        <w:t> </w:t>
      </w:r>
      <w:r>
        <w:rPr/>
        <w:t>grids</w:t>
      </w:r>
      <w:r>
        <w:rPr>
          <w:spacing w:val="-4"/>
        </w:rPr>
        <w:t> </w:t>
      </w:r>
      <w:r>
        <w:rPr/>
        <w:t>med</w:t>
      </w:r>
      <w:r>
        <w:rPr>
          <w:spacing w:val="-4"/>
        </w:rPr>
        <w:t> </w:t>
      </w:r>
      <w:r>
        <w:rPr/>
        <w:t>store</w:t>
      </w:r>
      <w:r>
        <w:rPr>
          <w:spacing w:val="-4"/>
        </w:rPr>
        <w:t> </w:t>
      </w:r>
      <w:r>
        <w:rPr/>
        <w:t>fejl.</w:t>
      </w:r>
      <w:r>
        <w:rPr>
          <w:spacing w:val="-5"/>
        </w:rPr>
        <w:t> </w:t>
      </w:r>
      <w:r>
        <w:rPr/>
        <w:t>Analyseres</w:t>
      </w:r>
      <w:r>
        <w:rPr>
          <w:spacing w:val="-4"/>
        </w:rPr>
        <w:t> </w:t>
      </w:r>
      <w:r>
        <w:rPr/>
        <w:t>performance</w:t>
      </w:r>
      <w:r>
        <w:rPr>
          <w:spacing w:val="-3"/>
        </w:rPr>
        <w:t> </w:t>
      </w:r>
      <w:r>
        <w:rPr/>
        <w:t>på</w:t>
      </w:r>
      <w:r>
        <w:rPr>
          <w:spacing w:val="-3"/>
        </w:rPr>
        <w:t> </w:t>
      </w:r>
      <w:r>
        <w:rPr/>
        <w:t>boringsniveau</w:t>
      </w:r>
      <w:r>
        <w:rPr>
          <w:spacing w:val="-4"/>
        </w:rPr>
        <w:t> </w:t>
      </w:r>
      <w:r>
        <w:rPr/>
        <w:t>er</w:t>
      </w:r>
      <w:r>
        <w:rPr>
          <w:spacing w:val="-4"/>
        </w:rPr>
        <w:t> </w:t>
      </w:r>
      <w:r>
        <w:rPr/>
        <w:t>alle</w:t>
      </w:r>
      <w:r>
        <w:rPr>
          <w:spacing w:val="-4"/>
        </w:rPr>
        <w:t> </w:t>
      </w:r>
      <w:r>
        <w:rPr/>
        <w:t>resulta- ter for validerings perioden meget</w:t>
      </w:r>
      <w:r>
        <w:rPr>
          <w:spacing w:val="-8"/>
        </w:rPr>
        <w:t> </w:t>
      </w:r>
      <w:r>
        <w:rPr/>
        <w:t>sammenlignelige.</w:t>
      </w:r>
    </w:p>
    <w:p>
      <w:pPr>
        <w:spacing w:after="0" w:line="288" w:lineRule="auto"/>
        <w:jc w:val="both"/>
        <w:sectPr>
          <w:pgSz w:w="11910" w:h="16850"/>
          <w:pgMar w:header="0" w:footer="857" w:top="1340" w:bottom="1120" w:left="1460" w:right="680"/>
        </w:sectPr>
      </w:pPr>
    </w:p>
    <w:p>
      <w:pPr>
        <w:pStyle w:val="BodyText"/>
        <w:spacing w:before="1"/>
        <w:rPr>
          <w:sz w:val="11"/>
        </w:rPr>
      </w:pPr>
    </w:p>
    <w:p>
      <w:pPr>
        <w:pStyle w:val="BodyText"/>
        <w:ind w:left="1262"/>
        <w:rPr>
          <w:sz w:val="20"/>
        </w:rPr>
      </w:pPr>
      <w:r>
        <w:rPr>
          <w:sz w:val="20"/>
        </w:rPr>
        <w:drawing>
          <wp:inline distT="0" distB="0" distL="0" distR="0">
            <wp:extent cx="4932830" cy="2487168"/>
            <wp:effectExtent l="0" t="0" r="0" b="0"/>
            <wp:docPr id="91" name="image64.png" descr="Q:\_Storaa_calibration_comparison\Figures\Storaa_All_13_22_24.png"/>
            <wp:cNvGraphicFramePr>
              <a:graphicFrameLocks noChangeAspect="1"/>
            </wp:cNvGraphicFramePr>
            <a:graphic>
              <a:graphicData uri="http://schemas.openxmlformats.org/drawingml/2006/picture">
                <pic:pic>
                  <pic:nvPicPr>
                    <pic:cNvPr id="92" name="image64.png"/>
                    <pic:cNvPicPr/>
                  </pic:nvPicPr>
                  <pic:blipFill>
                    <a:blip r:embed="rId70" cstate="print"/>
                    <a:stretch>
                      <a:fillRect/>
                    </a:stretch>
                  </pic:blipFill>
                  <pic:spPr>
                    <a:xfrm>
                      <a:off x="0" y="0"/>
                      <a:ext cx="4932830" cy="2487168"/>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8"/>
        <w:rPr>
          <w:sz w:val="29"/>
        </w:rPr>
      </w:pPr>
      <w:r>
        <w:rPr/>
        <w:drawing>
          <wp:anchor distT="0" distB="0" distL="0" distR="0" allowOverlap="1" layoutInCell="1" locked="0" behindDoc="0" simplePos="0" relativeHeight="40">
            <wp:simplePos x="0" y="0"/>
            <wp:positionH relativeFrom="page">
              <wp:posOffset>1728773</wp:posOffset>
            </wp:positionH>
            <wp:positionV relativeFrom="paragraph">
              <wp:posOffset>241849</wp:posOffset>
            </wp:positionV>
            <wp:extent cx="4932410" cy="2487168"/>
            <wp:effectExtent l="0" t="0" r="0" b="0"/>
            <wp:wrapTopAndBottom/>
            <wp:docPr id="93" name="image65.png" descr="Q:\_Storaa_calibration_comparison\Figures\Storaa_Tn_13_22_24.png"/>
            <wp:cNvGraphicFramePr>
              <a:graphicFrameLocks noChangeAspect="1"/>
            </wp:cNvGraphicFramePr>
            <a:graphic>
              <a:graphicData uri="http://schemas.openxmlformats.org/drawingml/2006/picture">
                <pic:pic>
                  <pic:nvPicPr>
                    <pic:cNvPr id="94" name="image65.png"/>
                    <pic:cNvPicPr/>
                  </pic:nvPicPr>
                  <pic:blipFill>
                    <a:blip r:embed="rId71" cstate="print"/>
                    <a:stretch>
                      <a:fillRect/>
                    </a:stretch>
                  </pic:blipFill>
                  <pic:spPr>
                    <a:xfrm>
                      <a:off x="0" y="0"/>
                      <a:ext cx="4932410" cy="2487168"/>
                    </a:xfrm>
                    <a:prstGeom prst="rect">
                      <a:avLst/>
                    </a:prstGeom>
                  </pic:spPr>
                </pic:pic>
              </a:graphicData>
            </a:graphic>
          </wp:anchor>
        </w:drawing>
      </w:r>
    </w:p>
    <w:p>
      <w:pPr>
        <w:pStyle w:val="BodyText"/>
        <w:rPr>
          <w:sz w:val="20"/>
        </w:rPr>
      </w:pPr>
    </w:p>
    <w:p>
      <w:pPr>
        <w:pStyle w:val="BodyText"/>
        <w:spacing w:before="3"/>
        <w:rPr>
          <w:sz w:val="18"/>
        </w:rPr>
      </w:pPr>
    </w:p>
    <w:p>
      <w:pPr>
        <w:spacing w:before="64"/>
        <w:ind w:left="525" w:right="0" w:firstLine="0"/>
        <w:jc w:val="left"/>
        <w:rPr>
          <w:rFonts w:ascii="Calibri" w:hAnsi="Calibri"/>
          <w:i/>
          <w:sz w:val="18"/>
        </w:rPr>
      </w:pPr>
      <w:bookmarkStart w:name="_bookmark70" w:id="94"/>
      <w:bookmarkEnd w:id="94"/>
      <w:r>
        <w:rPr/>
      </w:r>
      <w:r>
        <w:rPr>
          <w:rFonts w:ascii="Calibri" w:hAnsi="Calibri"/>
          <w:i/>
          <w:color w:val="44536A"/>
          <w:sz w:val="18"/>
        </w:rPr>
        <w:t>Figur 45 Sorteret Middelfejl pr. modelgrid for Storå-modellerne. Øverst alle pejlinger, nederst kun terrænnære.</w:t>
      </w:r>
    </w:p>
    <w:p>
      <w:pPr>
        <w:spacing w:after="0"/>
        <w:jc w:val="left"/>
        <w:rPr>
          <w:rFonts w:ascii="Calibri" w:hAnsi="Calibri"/>
          <w:sz w:val="18"/>
        </w:rPr>
        <w:sectPr>
          <w:pgSz w:w="11910" w:h="16850"/>
          <w:pgMar w:header="0" w:footer="857" w:top="1600" w:bottom="1120" w:left="1460" w:right="680"/>
        </w:sectPr>
      </w:pPr>
    </w:p>
    <w:p>
      <w:pPr>
        <w:pStyle w:val="BodyText"/>
        <w:spacing w:line="288" w:lineRule="auto" w:before="75"/>
        <w:ind w:left="525" w:right="734"/>
        <w:jc w:val="both"/>
      </w:pPr>
      <w:hyperlink w:history="true" w:anchor="_bookmark71">
        <w:r>
          <w:rPr/>
          <w:t>Figur 46 </w:t>
        </w:r>
      </w:hyperlink>
      <w:r>
        <w:rPr/>
        <w:t>illustrerer den rumlige fordeling af fejl på gridniveau for 100m_Jup+Reg kalibrerin- gen. For de terrænnære pejlinger er fejlene generelt små og der er ikke en udpræget zone- ring af fejlene. For de dybe pejlinger ses store fejl omkring Holstebro by samt langs model- randen i den nordlige og østlige del af oplandet. Dette indikerer en utilstrækkelig geologisk model samt problemer med randbetingelserne.</w:t>
      </w:r>
    </w:p>
    <w:p>
      <w:pPr>
        <w:pStyle w:val="BodyText"/>
        <w:rPr>
          <w:sz w:val="20"/>
        </w:rPr>
      </w:pPr>
    </w:p>
    <w:p>
      <w:pPr>
        <w:pStyle w:val="BodyText"/>
        <w:rPr>
          <w:sz w:val="20"/>
        </w:rPr>
      </w:pPr>
    </w:p>
    <w:p>
      <w:pPr>
        <w:pStyle w:val="BodyText"/>
        <w:rPr>
          <w:sz w:val="12"/>
        </w:rPr>
      </w:pPr>
      <w:r>
        <w:rPr/>
        <w:drawing>
          <wp:anchor distT="0" distB="0" distL="0" distR="0" allowOverlap="1" layoutInCell="1" locked="0" behindDoc="0" simplePos="0" relativeHeight="41">
            <wp:simplePos x="0" y="0"/>
            <wp:positionH relativeFrom="page">
              <wp:posOffset>1660947</wp:posOffset>
            </wp:positionH>
            <wp:positionV relativeFrom="paragraph">
              <wp:posOffset>112494</wp:posOffset>
            </wp:positionV>
            <wp:extent cx="5082602" cy="5801106"/>
            <wp:effectExtent l="0" t="0" r="0" b="0"/>
            <wp:wrapTopAndBottom/>
            <wp:docPr id="95" name="image66.jpeg" descr="Q:\_Storaa_calibration_comparison\Figures\Storaa_H_grids_13.png"/>
            <wp:cNvGraphicFramePr>
              <a:graphicFrameLocks noChangeAspect="1"/>
            </wp:cNvGraphicFramePr>
            <a:graphic>
              <a:graphicData uri="http://schemas.openxmlformats.org/drawingml/2006/picture">
                <pic:pic>
                  <pic:nvPicPr>
                    <pic:cNvPr id="96" name="image66.jpeg"/>
                    <pic:cNvPicPr/>
                  </pic:nvPicPr>
                  <pic:blipFill>
                    <a:blip r:embed="rId72" cstate="print"/>
                    <a:stretch>
                      <a:fillRect/>
                    </a:stretch>
                  </pic:blipFill>
                  <pic:spPr>
                    <a:xfrm>
                      <a:off x="0" y="0"/>
                      <a:ext cx="5082602" cy="5801106"/>
                    </a:xfrm>
                    <a:prstGeom prst="rect">
                      <a:avLst/>
                    </a:prstGeom>
                  </pic:spPr>
                </pic:pic>
              </a:graphicData>
            </a:graphic>
          </wp:anchor>
        </w:drawing>
      </w:r>
    </w:p>
    <w:p>
      <w:pPr>
        <w:pStyle w:val="BodyText"/>
        <w:rPr>
          <w:sz w:val="22"/>
        </w:rPr>
      </w:pPr>
    </w:p>
    <w:p>
      <w:pPr>
        <w:spacing w:before="1"/>
        <w:ind w:left="525" w:right="756" w:firstLine="0"/>
        <w:jc w:val="both"/>
        <w:rPr>
          <w:rFonts w:ascii="Calibri" w:hAnsi="Calibri"/>
          <w:sz w:val="18"/>
        </w:rPr>
      </w:pPr>
      <w:bookmarkStart w:name="_bookmark71" w:id="95"/>
      <w:bookmarkEnd w:id="95"/>
      <w:r>
        <w:rPr/>
      </w:r>
      <w:r>
        <w:rPr>
          <w:rFonts w:ascii="Calibri" w:hAnsi="Calibri"/>
          <w:i/>
          <w:color w:val="44536A"/>
          <w:sz w:val="18"/>
        </w:rPr>
        <w:t>Figur 46 </w:t>
      </w:r>
      <w:r>
        <w:rPr>
          <w:rFonts w:ascii="Calibri" w:hAnsi="Calibri"/>
          <w:color w:val="44536A"/>
          <w:sz w:val="18"/>
        </w:rPr>
        <w:t>Middelfejl for </w:t>
      </w:r>
      <w:r>
        <w:rPr>
          <w:rFonts w:ascii="Calibri" w:hAnsi="Calibri"/>
          <w:i/>
          <w:color w:val="44536A"/>
          <w:sz w:val="18"/>
        </w:rPr>
        <w:t>modelgrid </w:t>
      </w:r>
      <w:r>
        <w:rPr>
          <w:rFonts w:ascii="Calibri" w:hAnsi="Calibri"/>
          <w:color w:val="44536A"/>
          <w:sz w:val="18"/>
        </w:rPr>
        <w:t>for Storå-modellen (100m_Jup+Reg) for perioden 2000 – 2008 baseret på både Jupiter data og data fra Regionerne. Øverst all pejleboringer, nederst kun terrænnære boringer (filter dybde &lt;10 m).</w:t>
      </w:r>
    </w:p>
    <w:p>
      <w:pPr>
        <w:spacing w:after="0"/>
        <w:jc w:val="both"/>
        <w:rPr>
          <w:rFonts w:ascii="Calibri" w:hAnsi="Calibri"/>
          <w:sz w:val="18"/>
        </w:rPr>
        <w:sectPr>
          <w:pgSz w:w="11910" w:h="16850"/>
          <w:pgMar w:header="0" w:footer="857" w:top="1340" w:bottom="1120" w:left="1460" w:right="680"/>
        </w:sectPr>
      </w:pPr>
    </w:p>
    <w:p>
      <w:pPr>
        <w:pStyle w:val="Heading5"/>
        <w:spacing w:before="75"/>
        <w:rPr>
          <w:i/>
        </w:rPr>
      </w:pPr>
      <w:r>
        <w:rPr>
          <w:i/>
        </w:rPr>
        <w:t>Valideringstest i forhold til tidsserier for terrænnært trykniveau ved Sunds</w:t>
      </w:r>
    </w:p>
    <w:p>
      <w:pPr>
        <w:pStyle w:val="BodyText"/>
        <w:spacing w:line="288" w:lineRule="auto" w:before="49"/>
        <w:ind w:left="525" w:right="732"/>
        <w:jc w:val="both"/>
      </w:pPr>
      <w:r>
        <w:rPr/>
        <w:t>Der er meget få pejle tidsserier til rådighed for det terrænnære grundvand. Der er dog fore- taget en valideringstest i forhold til simuleret trykniveau for en god observeret tidsserie ved Tranevej i Sunds, se </w:t>
      </w:r>
      <w:hyperlink w:history="true" w:anchor="_bookmark72">
        <w:r>
          <w:rPr/>
          <w:t>figur 47</w:t>
        </w:r>
      </w:hyperlink>
      <w:r>
        <w:rPr/>
        <w:t>. Testen viser, at modellen har en god dynamik med fluktuatio- ner,</w:t>
      </w:r>
      <w:r>
        <w:rPr>
          <w:spacing w:val="-12"/>
        </w:rPr>
        <w:t> </w:t>
      </w:r>
      <w:r>
        <w:rPr/>
        <w:t>der</w:t>
      </w:r>
      <w:r>
        <w:rPr>
          <w:spacing w:val="-11"/>
        </w:rPr>
        <w:t> </w:t>
      </w:r>
      <w:r>
        <w:rPr/>
        <w:t>er</w:t>
      </w:r>
      <w:r>
        <w:rPr>
          <w:spacing w:val="-11"/>
        </w:rPr>
        <w:t> </w:t>
      </w:r>
      <w:r>
        <w:rPr/>
        <w:t>i</w:t>
      </w:r>
      <w:r>
        <w:rPr>
          <w:spacing w:val="-9"/>
        </w:rPr>
        <w:t> </w:t>
      </w:r>
      <w:r>
        <w:rPr/>
        <w:t>god</w:t>
      </w:r>
      <w:r>
        <w:rPr>
          <w:spacing w:val="-10"/>
        </w:rPr>
        <w:t> </w:t>
      </w:r>
      <w:r>
        <w:rPr/>
        <w:t>overensstemmelse</w:t>
      </w:r>
      <w:r>
        <w:rPr>
          <w:spacing w:val="-13"/>
        </w:rPr>
        <w:t> </w:t>
      </w:r>
      <w:r>
        <w:rPr/>
        <w:t>med</w:t>
      </w:r>
      <w:r>
        <w:rPr>
          <w:spacing w:val="-13"/>
        </w:rPr>
        <w:t> </w:t>
      </w:r>
      <w:r>
        <w:rPr/>
        <w:t>målte</w:t>
      </w:r>
      <w:r>
        <w:rPr>
          <w:spacing w:val="-10"/>
        </w:rPr>
        <w:t> </w:t>
      </w:r>
      <w:r>
        <w:rPr/>
        <w:t>fluktuationer</w:t>
      </w:r>
      <w:r>
        <w:rPr>
          <w:spacing w:val="-11"/>
        </w:rPr>
        <w:t> </w:t>
      </w:r>
      <w:r>
        <w:rPr/>
        <w:t>ved</w:t>
      </w:r>
      <w:r>
        <w:rPr>
          <w:spacing w:val="-10"/>
        </w:rPr>
        <w:t> </w:t>
      </w:r>
      <w:r>
        <w:rPr/>
        <w:t>Sunds.</w:t>
      </w:r>
      <w:r>
        <w:rPr>
          <w:spacing w:val="-14"/>
        </w:rPr>
        <w:t> </w:t>
      </w:r>
      <w:r>
        <w:rPr/>
        <w:t>Det</w:t>
      </w:r>
      <w:r>
        <w:rPr>
          <w:spacing w:val="-11"/>
        </w:rPr>
        <w:t> </w:t>
      </w:r>
      <w:r>
        <w:rPr/>
        <w:t>absolutte</w:t>
      </w:r>
      <w:r>
        <w:rPr>
          <w:spacing w:val="-11"/>
        </w:rPr>
        <w:t> </w:t>
      </w:r>
      <w:r>
        <w:rPr/>
        <w:t>niveau kan ikke vurderes, da den præcise kote for målingen ved Sunds ikke er til rådighed, men observationer af den tidslige udvikling i terrænnært grundvand er yderst informativt både til operationelt brug og til kalibrering/validering af</w:t>
      </w:r>
      <w:r>
        <w:rPr>
          <w:spacing w:val="-11"/>
        </w:rPr>
        <w:t> </w:t>
      </w:r>
      <w:r>
        <w:rPr/>
        <w:t>modeller.</w:t>
      </w:r>
    </w:p>
    <w:p>
      <w:pPr>
        <w:pStyle w:val="BodyText"/>
        <w:spacing w:before="10"/>
      </w:pPr>
      <w:r>
        <w:rPr/>
        <w:drawing>
          <wp:anchor distT="0" distB="0" distL="0" distR="0" allowOverlap="1" layoutInCell="1" locked="0" behindDoc="0" simplePos="0" relativeHeight="42">
            <wp:simplePos x="0" y="0"/>
            <wp:positionH relativeFrom="page">
              <wp:posOffset>1260475</wp:posOffset>
            </wp:positionH>
            <wp:positionV relativeFrom="paragraph">
              <wp:posOffset>184970</wp:posOffset>
            </wp:positionV>
            <wp:extent cx="5373445" cy="3361563"/>
            <wp:effectExtent l="0" t="0" r="0" b="0"/>
            <wp:wrapTopAndBottom/>
            <wp:docPr id="97" name="image67.png" descr=""/>
            <wp:cNvGraphicFramePr>
              <a:graphicFrameLocks noChangeAspect="1"/>
            </wp:cNvGraphicFramePr>
            <a:graphic>
              <a:graphicData uri="http://schemas.openxmlformats.org/drawingml/2006/picture">
                <pic:pic>
                  <pic:nvPicPr>
                    <pic:cNvPr id="98" name="image67.png"/>
                    <pic:cNvPicPr/>
                  </pic:nvPicPr>
                  <pic:blipFill>
                    <a:blip r:embed="rId73" cstate="print"/>
                    <a:stretch>
                      <a:fillRect/>
                    </a:stretch>
                  </pic:blipFill>
                  <pic:spPr>
                    <a:xfrm>
                      <a:off x="0" y="0"/>
                      <a:ext cx="5373445" cy="3361563"/>
                    </a:xfrm>
                    <a:prstGeom prst="rect">
                      <a:avLst/>
                    </a:prstGeom>
                  </pic:spPr>
                </pic:pic>
              </a:graphicData>
            </a:graphic>
          </wp:anchor>
        </w:drawing>
      </w:r>
    </w:p>
    <w:p>
      <w:pPr>
        <w:spacing w:before="47"/>
        <w:ind w:left="525" w:right="1006" w:firstLine="0"/>
        <w:jc w:val="left"/>
        <w:rPr>
          <w:rFonts w:ascii="Calibri" w:hAnsi="Calibri"/>
          <w:i/>
          <w:sz w:val="18"/>
        </w:rPr>
      </w:pPr>
      <w:bookmarkStart w:name="_bookmark72" w:id="96"/>
      <w:bookmarkEnd w:id="96"/>
      <w:r>
        <w:rPr/>
      </w:r>
      <w:r>
        <w:rPr>
          <w:rFonts w:ascii="Calibri" w:hAnsi="Calibri"/>
          <w:i/>
          <w:color w:val="44536A"/>
          <w:sz w:val="18"/>
        </w:rPr>
        <w:t>Figur 47 Valideringstest I forhold til kontinuert registrering af trykniveau fra pejlestation på Tranevej I Sunds. Blå: </w:t>
      </w:r>
      <w:r>
        <w:rPr>
          <w:rFonts w:ascii="Calibri" w:hAnsi="Calibri"/>
          <w:i/>
          <w:color w:val="44536A"/>
          <w:sz w:val="18"/>
        </w:rPr>
        <w:t>simuleret; Rød: observeret.</w:t>
      </w:r>
    </w:p>
    <w:p>
      <w:pPr>
        <w:pStyle w:val="BodyText"/>
        <w:rPr>
          <w:rFonts w:ascii="Calibri"/>
          <w:i/>
          <w:sz w:val="18"/>
        </w:rPr>
      </w:pPr>
    </w:p>
    <w:p>
      <w:pPr>
        <w:pStyle w:val="BodyText"/>
        <w:rPr>
          <w:rFonts w:ascii="Calibri"/>
          <w:i/>
          <w:sz w:val="18"/>
        </w:rPr>
      </w:pPr>
    </w:p>
    <w:p>
      <w:pPr>
        <w:pStyle w:val="BodyText"/>
        <w:rPr>
          <w:rFonts w:ascii="Calibri"/>
          <w:i/>
          <w:sz w:val="18"/>
        </w:rPr>
      </w:pPr>
    </w:p>
    <w:p>
      <w:pPr>
        <w:pStyle w:val="Heading2"/>
        <w:numPr>
          <w:ilvl w:val="1"/>
          <w:numId w:val="14"/>
        </w:numPr>
        <w:tabs>
          <w:tab w:pos="1141" w:val="left" w:leader="none"/>
          <w:tab w:pos="1142" w:val="left" w:leader="none"/>
        </w:tabs>
        <w:spacing w:line="240" w:lineRule="auto" w:before="138" w:after="0"/>
        <w:ind w:left="525" w:right="979" w:firstLine="0"/>
        <w:jc w:val="left"/>
      </w:pPr>
      <w:bookmarkStart w:name="_bookmark73" w:id="97"/>
      <w:bookmarkEnd w:id="97"/>
      <w:r>
        <w:rPr>
          <w:b w:val="0"/>
        </w:rPr>
      </w:r>
      <w:bookmarkStart w:name="_bookmark73" w:id="98"/>
      <w:bookmarkEnd w:id="98"/>
      <w:r>
        <w:rPr/>
        <w:t>R</w:t>
      </w:r>
      <w:r>
        <w:rPr/>
        <w:t>esultater af MIKE SHE kalibrering og validering, Odense Å</w:t>
      </w:r>
    </w:p>
    <w:p>
      <w:pPr>
        <w:pStyle w:val="BodyText"/>
        <w:spacing w:before="240"/>
        <w:ind w:left="525"/>
      </w:pPr>
      <w:r>
        <w:rPr/>
        <w:t>Føjende afsnit beskriver optimerede parameterværdier, vandføring samt trykniveau.</w:t>
      </w:r>
    </w:p>
    <w:p>
      <w:pPr>
        <w:pStyle w:val="BodyText"/>
        <w:spacing w:before="3"/>
        <w:rPr>
          <w:sz w:val="29"/>
        </w:rPr>
      </w:pPr>
    </w:p>
    <w:p>
      <w:pPr>
        <w:pStyle w:val="Heading5"/>
        <w:rPr>
          <w:i/>
        </w:rPr>
      </w:pPr>
      <w:r>
        <w:rPr>
          <w:i/>
        </w:rPr>
        <w:t>Optimerede parameterværdier</w:t>
      </w:r>
    </w:p>
    <w:p>
      <w:pPr>
        <w:pStyle w:val="BodyText"/>
        <w:spacing w:line="288" w:lineRule="auto" w:before="50"/>
        <w:ind w:left="525" w:right="730"/>
        <w:jc w:val="both"/>
      </w:pPr>
      <w:r>
        <w:rPr/>
        <w:t>For Odense Å modellen er der udvalgt 7 kalibreringsparametre som inkluderer roddybde, lækage koefficient, dræn tidskonstant samt fire hydrauliske ledningsevner for hhv. kvartært sand,</w:t>
      </w:r>
      <w:r>
        <w:rPr>
          <w:spacing w:val="-9"/>
        </w:rPr>
        <w:t> </w:t>
      </w:r>
      <w:r>
        <w:rPr/>
        <w:t>kvartært</w:t>
      </w:r>
      <w:r>
        <w:rPr>
          <w:spacing w:val="-7"/>
        </w:rPr>
        <w:t> </w:t>
      </w:r>
      <w:r>
        <w:rPr/>
        <w:t>ler,</w:t>
      </w:r>
      <w:r>
        <w:rPr>
          <w:spacing w:val="-7"/>
        </w:rPr>
        <w:t> </w:t>
      </w:r>
      <w:r>
        <w:rPr/>
        <w:t>ler</w:t>
      </w:r>
      <w:r>
        <w:rPr>
          <w:spacing w:val="-7"/>
        </w:rPr>
        <w:t> </w:t>
      </w:r>
      <w:r>
        <w:rPr/>
        <w:t>i</w:t>
      </w:r>
      <w:r>
        <w:rPr>
          <w:spacing w:val="-5"/>
        </w:rPr>
        <w:t> </w:t>
      </w:r>
      <w:r>
        <w:rPr/>
        <w:t>det</w:t>
      </w:r>
      <w:r>
        <w:rPr>
          <w:spacing w:val="-8"/>
        </w:rPr>
        <w:t> </w:t>
      </w:r>
      <w:r>
        <w:rPr/>
        <w:t>øvre</w:t>
      </w:r>
      <w:r>
        <w:rPr>
          <w:spacing w:val="-6"/>
        </w:rPr>
        <w:t> </w:t>
      </w:r>
      <w:r>
        <w:rPr/>
        <w:t>model</w:t>
      </w:r>
      <w:r>
        <w:rPr>
          <w:spacing w:val="-7"/>
        </w:rPr>
        <w:t> </w:t>
      </w:r>
      <w:r>
        <w:rPr/>
        <w:t>lag</w:t>
      </w:r>
      <w:r>
        <w:rPr>
          <w:spacing w:val="-5"/>
        </w:rPr>
        <w:t> </w:t>
      </w:r>
      <w:r>
        <w:rPr/>
        <w:t>samt</w:t>
      </w:r>
      <w:r>
        <w:rPr>
          <w:spacing w:val="-7"/>
        </w:rPr>
        <w:t> </w:t>
      </w:r>
      <w:r>
        <w:rPr/>
        <w:t>kalkmagasinet.</w:t>
      </w:r>
      <w:r>
        <w:rPr>
          <w:spacing w:val="46"/>
        </w:rPr>
        <w:t> </w:t>
      </w:r>
      <w:r>
        <w:rPr/>
        <w:t>Som</w:t>
      </w:r>
      <w:r>
        <w:rPr>
          <w:spacing w:val="-4"/>
        </w:rPr>
        <w:t> </w:t>
      </w:r>
      <w:r>
        <w:rPr/>
        <w:t>det</w:t>
      </w:r>
      <w:r>
        <w:rPr>
          <w:spacing w:val="-7"/>
        </w:rPr>
        <w:t> </w:t>
      </w:r>
      <w:r>
        <w:rPr/>
        <w:t>fremgår</w:t>
      </w:r>
      <w:r>
        <w:rPr>
          <w:spacing w:val="-6"/>
        </w:rPr>
        <w:t> </w:t>
      </w:r>
      <w:r>
        <w:rPr/>
        <w:t>af</w:t>
      </w:r>
      <w:r>
        <w:rPr>
          <w:spacing w:val="-6"/>
        </w:rPr>
        <w:t> </w:t>
      </w:r>
      <w:hyperlink w:history="true" w:anchor="_bookmark74">
        <w:r>
          <w:rPr/>
          <w:t>figur</w:t>
        </w:r>
        <w:r>
          <w:rPr>
            <w:spacing w:val="-6"/>
          </w:rPr>
          <w:t> </w:t>
        </w:r>
        <w:r>
          <w:rPr/>
          <w:t>48</w:t>
        </w:r>
      </w:hyperlink>
      <w:r>
        <w:rPr/>
        <w:t>, er der meget begrænset forskel på de optimerede parameterværdier for de to 100 m</w:t>
      </w:r>
      <w:r>
        <w:rPr>
          <w:spacing w:val="-32"/>
        </w:rPr>
        <w:t> </w:t>
      </w:r>
      <w:r>
        <w:rPr/>
        <w:t>model- kalibreringer,</w:t>
      </w:r>
      <w:r>
        <w:rPr>
          <w:spacing w:val="-10"/>
        </w:rPr>
        <w:t> </w:t>
      </w:r>
      <w:r>
        <w:rPr/>
        <w:t>hvor</w:t>
      </w:r>
      <w:r>
        <w:rPr>
          <w:spacing w:val="-8"/>
        </w:rPr>
        <w:t> </w:t>
      </w:r>
      <w:r>
        <w:rPr/>
        <w:t>eneste</w:t>
      </w:r>
      <w:r>
        <w:rPr>
          <w:spacing w:val="-10"/>
        </w:rPr>
        <w:t> </w:t>
      </w:r>
      <w:r>
        <w:rPr/>
        <w:t>forskel</w:t>
      </w:r>
      <w:r>
        <w:rPr>
          <w:spacing w:val="-6"/>
        </w:rPr>
        <w:t> </w:t>
      </w:r>
      <w:r>
        <w:rPr/>
        <w:t>er</w:t>
      </w:r>
      <w:r>
        <w:rPr>
          <w:spacing w:val="-8"/>
        </w:rPr>
        <w:t> </w:t>
      </w:r>
      <w:r>
        <w:rPr/>
        <w:t>tilføjelsen</w:t>
      </w:r>
      <w:r>
        <w:rPr>
          <w:spacing w:val="-8"/>
        </w:rPr>
        <w:t> </w:t>
      </w:r>
      <w:r>
        <w:rPr/>
        <w:t>af</w:t>
      </w:r>
      <w:r>
        <w:rPr>
          <w:spacing w:val="-8"/>
        </w:rPr>
        <w:t> </w:t>
      </w:r>
      <w:r>
        <w:rPr/>
        <w:t>flere</w:t>
      </w:r>
      <w:r>
        <w:rPr>
          <w:spacing w:val="-7"/>
        </w:rPr>
        <w:t> </w:t>
      </w:r>
      <w:r>
        <w:rPr/>
        <w:t>pejleobservationer.</w:t>
      </w:r>
      <w:r>
        <w:rPr>
          <w:spacing w:val="-8"/>
        </w:rPr>
        <w:t> </w:t>
      </w:r>
      <w:r>
        <w:rPr/>
        <w:t>Eneste</w:t>
      </w:r>
      <w:r>
        <w:rPr>
          <w:spacing w:val="-7"/>
        </w:rPr>
        <w:t> </w:t>
      </w:r>
      <w:r>
        <w:rPr/>
        <w:t>væsentlige forskel er på lækage koefficienten, som har lav sensitivitet. Da de to kalibreringer giver stort set</w:t>
      </w:r>
      <w:r>
        <w:rPr>
          <w:spacing w:val="-7"/>
        </w:rPr>
        <w:t> </w:t>
      </w:r>
      <w:r>
        <w:rPr/>
        <w:t>samme</w:t>
      </w:r>
      <w:r>
        <w:rPr>
          <w:spacing w:val="-5"/>
        </w:rPr>
        <w:t> </w:t>
      </w:r>
      <w:r>
        <w:rPr/>
        <w:t>parameterværdier</w:t>
      </w:r>
      <w:r>
        <w:rPr>
          <w:spacing w:val="-5"/>
        </w:rPr>
        <w:t> </w:t>
      </w:r>
      <w:r>
        <w:rPr/>
        <w:t>vil</w:t>
      </w:r>
      <w:r>
        <w:rPr>
          <w:spacing w:val="-4"/>
        </w:rPr>
        <w:t> </w:t>
      </w:r>
      <w:r>
        <w:rPr/>
        <w:t>deres</w:t>
      </w:r>
      <w:r>
        <w:rPr>
          <w:spacing w:val="-6"/>
        </w:rPr>
        <w:t> </w:t>
      </w:r>
      <w:r>
        <w:rPr/>
        <w:t>simuleringer</w:t>
      </w:r>
      <w:r>
        <w:rPr>
          <w:spacing w:val="-8"/>
        </w:rPr>
        <w:t> </w:t>
      </w:r>
      <w:r>
        <w:rPr/>
        <w:t>og</w:t>
      </w:r>
      <w:r>
        <w:rPr>
          <w:spacing w:val="-4"/>
        </w:rPr>
        <w:t> </w:t>
      </w:r>
      <w:r>
        <w:rPr/>
        <w:t>performance</w:t>
      </w:r>
      <w:r>
        <w:rPr>
          <w:spacing w:val="-5"/>
        </w:rPr>
        <w:t> </w:t>
      </w:r>
      <w:r>
        <w:rPr/>
        <w:t>også</w:t>
      </w:r>
      <w:r>
        <w:rPr>
          <w:spacing w:val="-5"/>
        </w:rPr>
        <w:t> </w:t>
      </w:r>
      <w:r>
        <w:rPr/>
        <w:t>være</w:t>
      </w:r>
      <w:r>
        <w:rPr>
          <w:spacing w:val="-8"/>
        </w:rPr>
        <w:t> </w:t>
      </w:r>
      <w:r>
        <w:rPr/>
        <w:t>meget</w:t>
      </w:r>
      <w:r>
        <w:rPr>
          <w:spacing w:val="-6"/>
        </w:rPr>
        <w:t> </w:t>
      </w:r>
      <w:r>
        <w:rPr/>
        <w:t>sam- menlignelige. 500 m modellen giver lidt andre parameterværdier, særligt for topjorden, kal- ken, lækagen og</w:t>
      </w:r>
      <w:r>
        <w:rPr>
          <w:spacing w:val="-4"/>
        </w:rPr>
        <w:t> </w:t>
      </w:r>
      <w:r>
        <w:rPr/>
        <w:t>roddybden.</w:t>
      </w:r>
    </w:p>
    <w:p>
      <w:pPr>
        <w:spacing w:after="0" w:line="288" w:lineRule="auto"/>
        <w:jc w:val="both"/>
        <w:sectPr>
          <w:pgSz w:w="11910" w:h="16850"/>
          <w:pgMar w:header="0" w:footer="857" w:top="1340" w:bottom="1120" w:left="1460" w:right="680"/>
        </w:sectPr>
      </w:pPr>
    </w:p>
    <w:p>
      <w:pPr>
        <w:pStyle w:val="BodyText"/>
        <w:ind w:left="525"/>
        <w:rPr>
          <w:sz w:val="20"/>
        </w:rPr>
      </w:pPr>
      <w:r>
        <w:rPr>
          <w:sz w:val="20"/>
        </w:rPr>
        <w:drawing>
          <wp:inline distT="0" distB="0" distL="0" distR="0">
            <wp:extent cx="4435098" cy="2891599"/>
            <wp:effectExtent l="0" t="0" r="0" b="0"/>
            <wp:docPr id="99" name="image68.png" descr=""/>
            <wp:cNvGraphicFramePr>
              <a:graphicFrameLocks noChangeAspect="1"/>
            </wp:cNvGraphicFramePr>
            <a:graphic>
              <a:graphicData uri="http://schemas.openxmlformats.org/drawingml/2006/picture">
                <pic:pic>
                  <pic:nvPicPr>
                    <pic:cNvPr id="100" name="image68.png"/>
                    <pic:cNvPicPr/>
                  </pic:nvPicPr>
                  <pic:blipFill>
                    <a:blip r:embed="rId74" cstate="print"/>
                    <a:stretch>
                      <a:fillRect/>
                    </a:stretch>
                  </pic:blipFill>
                  <pic:spPr>
                    <a:xfrm>
                      <a:off x="0" y="0"/>
                      <a:ext cx="4435098" cy="2891599"/>
                    </a:xfrm>
                    <a:prstGeom prst="rect">
                      <a:avLst/>
                    </a:prstGeom>
                  </pic:spPr>
                </pic:pic>
              </a:graphicData>
            </a:graphic>
          </wp:inline>
        </w:drawing>
      </w:r>
      <w:r>
        <w:rPr>
          <w:sz w:val="20"/>
        </w:rPr>
      </w:r>
    </w:p>
    <w:p>
      <w:pPr>
        <w:spacing w:before="83"/>
        <w:ind w:left="525" w:right="0" w:firstLine="0"/>
        <w:jc w:val="left"/>
        <w:rPr>
          <w:rFonts w:ascii="Calibri" w:hAnsi="Calibri"/>
          <w:i/>
          <w:sz w:val="18"/>
        </w:rPr>
      </w:pPr>
      <w:bookmarkStart w:name="_bookmark74" w:id="99"/>
      <w:bookmarkEnd w:id="99"/>
      <w:r>
        <w:rPr/>
      </w:r>
      <w:r>
        <w:rPr>
          <w:rFonts w:ascii="Calibri" w:hAnsi="Calibri"/>
          <w:i/>
          <w:color w:val="44536A"/>
          <w:sz w:val="18"/>
        </w:rPr>
        <w:t>Figur 48 Optimerede parameterværdier for de tre modelkalibreringer.</w:t>
      </w:r>
    </w:p>
    <w:p>
      <w:pPr>
        <w:pStyle w:val="BodyText"/>
        <w:rPr>
          <w:rFonts w:ascii="Calibri"/>
          <w:i/>
          <w:sz w:val="18"/>
        </w:rPr>
      </w:pPr>
    </w:p>
    <w:p>
      <w:pPr>
        <w:pStyle w:val="BodyText"/>
        <w:spacing w:before="10"/>
        <w:rPr>
          <w:rFonts w:ascii="Calibri"/>
          <w:i/>
        </w:rPr>
      </w:pPr>
    </w:p>
    <w:p>
      <w:pPr>
        <w:pStyle w:val="Heading5"/>
        <w:rPr>
          <w:i/>
        </w:rPr>
      </w:pPr>
      <w:r>
        <w:rPr>
          <w:i/>
        </w:rPr>
        <w:t>Vandføring</w:t>
      </w:r>
    </w:p>
    <w:p>
      <w:pPr>
        <w:pStyle w:val="BodyText"/>
        <w:spacing w:before="49"/>
        <w:ind w:left="525"/>
      </w:pPr>
      <w:r>
        <w:rPr/>
        <w:t>Model performance for vandføring for de tre kalibreringer for Odense Å er angivet i </w:t>
      </w:r>
      <w:hyperlink w:history="true" w:anchor="_bookmark75">
        <w:r>
          <w:rPr/>
          <w:t>tabel</w:t>
        </w:r>
        <w:r>
          <w:rPr>
            <w:spacing w:val="22"/>
          </w:rPr>
          <w:t> </w:t>
        </w:r>
        <w:r>
          <w:rPr>
            <w:spacing w:val="-3"/>
          </w:rPr>
          <w:t>14</w:t>
        </w:r>
      </w:hyperlink>
    </w:p>
    <w:p>
      <w:pPr>
        <w:pStyle w:val="BodyText"/>
        <w:spacing w:line="276" w:lineRule="auto" w:before="37"/>
        <w:ind w:left="525" w:right="732"/>
        <w:jc w:val="both"/>
      </w:pPr>
      <w:r>
        <w:rPr/>
        <w:t>- 16 for både kalibrerings- og valideringsperioderne. De to 100 m modeller er stort set iden- tiske mht. vandførings performance og der opnås generelt gode resultater for NSE, samt vandbalance</w:t>
      </w:r>
      <w:r>
        <w:rPr>
          <w:spacing w:val="-5"/>
        </w:rPr>
        <w:t> </w:t>
      </w:r>
      <w:r>
        <w:rPr/>
        <w:t>værdier</w:t>
      </w:r>
      <w:r>
        <w:rPr>
          <w:spacing w:val="-6"/>
        </w:rPr>
        <w:t> </w:t>
      </w:r>
      <w:r>
        <w:rPr/>
        <w:t>på</w:t>
      </w:r>
      <w:r>
        <w:rPr>
          <w:spacing w:val="-5"/>
        </w:rPr>
        <w:t> </w:t>
      </w:r>
      <w:r>
        <w:rPr/>
        <w:t>0-6</w:t>
      </w:r>
      <w:r>
        <w:rPr>
          <w:spacing w:val="-5"/>
        </w:rPr>
        <w:t> </w:t>
      </w:r>
      <w:r>
        <w:rPr/>
        <w:t>%</w:t>
      </w:r>
      <w:r>
        <w:rPr>
          <w:spacing w:val="-6"/>
        </w:rPr>
        <w:t> </w:t>
      </w:r>
      <w:r>
        <w:rPr/>
        <w:t>for</w:t>
      </w:r>
      <w:r>
        <w:rPr>
          <w:spacing w:val="-6"/>
        </w:rPr>
        <w:t> </w:t>
      </w:r>
      <w:r>
        <w:rPr/>
        <w:t>årsvandbalancer</w:t>
      </w:r>
      <w:r>
        <w:rPr>
          <w:spacing w:val="-5"/>
        </w:rPr>
        <w:t> </w:t>
      </w:r>
      <w:r>
        <w:rPr/>
        <w:t>på</w:t>
      </w:r>
      <w:r>
        <w:rPr>
          <w:spacing w:val="-5"/>
        </w:rPr>
        <w:t> </w:t>
      </w:r>
      <w:r>
        <w:rPr/>
        <w:t>de</w:t>
      </w:r>
      <w:r>
        <w:rPr>
          <w:spacing w:val="-3"/>
        </w:rPr>
        <w:t> </w:t>
      </w:r>
      <w:r>
        <w:rPr/>
        <w:t>større</w:t>
      </w:r>
      <w:r>
        <w:rPr>
          <w:spacing w:val="-5"/>
        </w:rPr>
        <w:t> </w:t>
      </w:r>
      <w:r>
        <w:rPr/>
        <w:t>vandløb</w:t>
      </w:r>
      <w:r>
        <w:rPr>
          <w:spacing w:val="-4"/>
        </w:rPr>
        <w:t> </w:t>
      </w:r>
      <w:r>
        <w:rPr/>
        <w:t>og</w:t>
      </w:r>
      <w:r>
        <w:rPr>
          <w:spacing w:val="-5"/>
        </w:rPr>
        <w:t> </w:t>
      </w:r>
      <w:r>
        <w:rPr/>
        <w:t>0-40%</w:t>
      </w:r>
      <w:r>
        <w:rPr>
          <w:spacing w:val="-5"/>
        </w:rPr>
        <w:t> </w:t>
      </w:r>
      <w:r>
        <w:rPr/>
        <w:t>for</w:t>
      </w:r>
      <w:r>
        <w:rPr>
          <w:spacing w:val="-6"/>
        </w:rPr>
        <w:t> </w:t>
      </w:r>
      <w:r>
        <w:rPr/>
        <w:t>som- mervandbalancer. For de to små vandløb (450035, 450045) opnås vandbalancer på ca.</w:t>
      </w:r>
      <w:r>
        <w:rPr>
          <w:spacing w:val="53"/>
        </w:rPr>
        <w:t> </w:t>
      </w:r>
      <w:r>
        <w:rPr/>
        <w:t>25</w:t>
      </w:r>
    </w:p>
    <w:p>
      <w:pPr>
        <w:pStyle w:val="BodyText"/>
        <w:spacing w:line="276" w:lineRule="auto"/>
        <w:ind w:left="525" w:right="728"/>
        <w:jc w:val="both"/>
      </w:pPr>
      <w:r>
        <w:rPr/>
        <w:t>%.</w:t>
      </w:r>
      <w:r>
        <w:rPr>
          <w:spacing w:val="-5"/>
        </w:rPr>
        <w:t> </w:t>
      </w:r>
      <w:r>
        <w:rPr/>
        <w:t>NSE</w:t>
      </w:r>
      <w:r>
        <w:rPr>
          <w:spacing w:val="-3"/>
        </w:rPr>
        <w:t> </w:t>
      </w:r>
      <w:r>
        <w:rPr/>
        <w:t>værdierne</w:t>
      </w:r>
      <w:r>
        <w:rPr>
          <w:spacing w:val="-6"/>
        </w:rPr>
        <w:t> </w:t>
      </w:r>
      <w:r>
        <w:rPr/>
        <w:t>ligger</w:t>
      </w:r>
      <w:r>
        <w:rPr>
          <w:spacing w:val="-6"/>
        </w:rPr>
        <w:t> </w:t>
      </w:r>
      <w:r>
        <w:rPr/>
        <w:t>på</w:t>
      </w:r>
      <w:r>
        <w:rPr>
          <w:spacing w:val="-3"/>
        </w:rPr>
        <w:t> </w:t>
      </w:r>
      <w:r>
        <w:rPr/>
        <w:t>ca.</w:t>
      </w:r>
      <w:r>
        <w:rPr>
          <w:spacing w:val="-5"/>
        </w:rPr>
        <w:t> </w:t>
      </w:r>
      <w:r>
        <w:rPr/>
        <w:t>0.4-0.7</w:t>
      </w:r>
      <w:r>
        <w:rPr>
          <w:spacing w:val="-4"/>
        </w:rPr>
        <w:t> </w:t>
      </w:r>
      <w:r>
        <w:rPr/>
        <w:t>for</w:t>
      </w:r>
      <w:r>
        <w:rPr>
          <w:spacing w:val="-4"/>
        </w:rPr>
        <w:t> </w:t>
      </w:r>
      <w:r>
        <w:rPr/>
        <w:t>de</w:t>
      </w:r>
      <w:r>
        <w:rPr>
          <w:spacing w:val="-3"/>
        </w:rPr>
        <w:t> </w:t>
      </w:r>
      <w:r>
        <w:rPr/>
        <w:t>små</w:t>
      </w:r>
      <w:r>
        <w:rPr>
          <w:spacing w:val="-6"/>
        </w:rPr>
        <w:t> </w:t>
      </w:r>
      <w:r>
        <w:rPr/>
        <w:t>vandløb</w:t>
      </w:r>
      <w:r>
        <w:rPr>
          <w:spacing w:val="-4"/>
        </w:rPr>
        <w:t> </w:t>
      </w:r>
      <w:r>
        <w:rPr/>
        <w:t>og</w:t>
      </w:r>
      <w:r>
        <w:rPr>
          <w:spacing w:val="-6"/>
        </w:rPr>
        <w:t> </w:t>
      </w:r>
      <w:r>
        <w:rPr/>
        <w:t>omkring</w:t>
      </w:r>
      <w:r>
        <w:rPr>
          <w:spacing w:val="-6"/>
        </w:rPr>
        <w:t> </w:t>
      </w:r>
      <w:r>
        <w:rPr/>
        <w:t>0.75-0.9</w:t>
      </w:r>
      <w:r>
        <w:rPr>
          <w:spacing w:val="-4"/>
        </w:rPr>
        <w:t> </w:t>
      </w:r>
      <w:r>
        <w:rPr/>
        <w:t>for</w:t>
      </w:r>
      <w:r>
        <w:rPr>
          <w:spacing w:val="-7"/>
        </w:rPr>
        <w:t> </w:t>
      </w:r>
      <w:r>
        <w:rPr/>
        <w:t>de</w:t>
      </w:r>
      <w:r>
        <w:rPr>
          <w:spacing w:val="-3"/>
        </w:rPr>
        <w:t> </w:t>
      </w:r>
      <w:r>
        <w:rPr/>
        <w:t>store vandløb. For 500 m modellen opnås stort set identisk overordnet performance som for </w:t>
      </w:r>
      <w:r>
        <w:rPr>
          <w:spacing w:val="-3"/>
        </w:rPr>
        <w:t>100 </w:t>
      </w:r>
      <w:r>
        <w:rPr/>
        <w:t>m modellerne. For valideringsperioden falder modelperformance generelt for Odense Å mo- dellerne primært pga. en større vandbalancefejl, som også påvirker NSE. Den større vand- balancefejl (og dårligere hydrograf performance) kan indikere, at der er en generel model- strukturfejl på randbetingelser og/eller på intern modelstruktur (fx geologisk model), noget modellen kompenserer for i kalibrering, men fejler på i valideringstest. Resultater fra DK- model for Odense Å (450001) giver væsentlig mindre forskel i performance for fx (2011-16) sammenlignet med DK-modellens kalibreringsperiode (2000-2006) så nedbøren er forment- lig ikke forklaringen, men dynamiske ændrede randbetingelser kan være en forklaring (der anvendes samme gradientrandbetingelse udtrukket fra DK-model for kalibrering- og valide- ringsperioden).</w:t>
      </w:r>
    </w:p>
    <w:p>
      <w:pPr>
        <w:spacing w:after="0" w:line="276" w:lineRule="auto"/>
        <w:jc w:val="both"/>
        <w:sectPr>
          <w:pgSz w:w="11910" w:h="16850"/>
          <w:pgMar w:header="0" w:footer="857" w:top="1420" w:bottom="1120" w:left="1460" w:right="680"/>
        </w:sectPr>
      </w:pPr>
    </w:p>
    <w:p>
      <w:pPr>
        <w:spacing w:before="39"/>
        <w:ind w:left="525" w:right="0" w:firstLine="0"/>
        <w:jc w:val="left"/>
        <w:rPr>
          <w:rFonts w:ascii="Calibri" w:hAnsi="Calibri"/>
          <w:i/>
          <w:sz w:val="18"/>
        </w:rPr>
      </w:pPr>
      <w:bookmarkStart w:name="_bookmark75" w:id="100"/>
      <w:bookmarkEnd w:id="100"/>
      <w:r>
        <w:rPr/>
      </w:r>
      <w:r>
        <w:rPr>
          <w:rFonts w:ascii="Calibri" w:hAnsi="Calibri"/>
          <w:i/>
          <w:color w:val="44536A"/>
          <w:sz w:val="18"/>
        </w:rPr>
        <w:t>Tabel 14 Performance statistik for vandføring for Odense Å for </w:t>
      </w:r>
      <w:r>
        <w:rPr>
          <w:rFonts w:ascii="Calibri" w:hAnsi="Calibri"/>
          <w:b/>
          <w:i/>
          <w:color w:val="44536A"/>
          <w:sz w:val="18"/>
        </w:rPr>
        <w:t>100m_Jup+Reg </w:t>
      </w:r>
      <w:r>
        <w:rPr>
          <w:rFonts w:ascii="Calibri" w:hAnsi="Calibri"/>
          <w:i/>
          <w:color w:val="44536A"/>
          <w:sz w:val="18"/>
        </w:rPr>
        <w:t>modellen.</w:t>
      </w:r>
    </w:p>
    <w:p>
      <w:pPr>
        <w:pStyle w:val="BodyText"/>
        <w:spacing w:before="4"/>
        <w:rPr>
          <w:rFonts w:ascii="Calibri"/>
          <w:i/>
          <w:sz w:val="24"/>
        </w:rPr>
      </w:pPr>
    </w:p>
    <w:tbl>
      <w:tblPr>
        <w:tblW w:w="0" w:type="auto"/>
        <w:jc w:val="left"/>
        <w:tblInd w:w="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61"/>
        <w:gridCol w:w="1184"/>
        <w:gridCol w:w="1011"/>
        <w:gridCol w:w="888"/>
        <w:gridCol w:w="695"/>
        <w:gridCol w:w="1031"/>
        <w:gridCol w:w="685"/>
        <w:gridCol w:w="654"/>
        <w:gridCol w:w="985"/>
        <w:gridCol w:w="633"/>
      </w:tblGrid>
      <w:tr>
        <w:trPr>
          <w:trHeight w:val="202" w:hRule="atLeast"/>
        </w:trPr>
        <w:tc>
          <w:tcPr>
            <w:tcW w:w="1945" w:type="dxa"/>
            <w:gridSpan w:val="2"/>
          </w:tcPr>
          <w:p>
            <w:pPr>
              <w:pStyle w:val="TableParagraph"/>
              <w:spacing w:line="182" w:lineRule="exact"/>
              <w:ind w:left="83"/>
              <w:jc w:val="left"/>
              <w:rPr>
                <w:rFonts w:ascii="Calibri"/>
                <w:b/>
                <w:sz w:val="20"/>
              </w:rPr>
            </w:pPr>
            <w:r>
              <w:rPr>
                <w:rFonts w:ascii="Calibri"/>
                <w:b/>
                <w:sz w:val="20"/>
              </w:rPr>
              <w:t>100m_Jup+Reg</w:t>
            </w:r>
          </w:p>
        </w:tc>
        <w:tc>
          <w:tcPr>
            <w:tcW w:w="1011" w:type="dxa"/>
          </w:tcPr>
          <w:p>
            <w:pPr>
              <w:pStyle w:val="TableParagraph"/>
              <w:jc w:val="left"/>
              <w:rPr>
                <w:rFonts w:ascii="Times New Roman"/>
                <w:sz w:val="14"/>
              </w:rPr>
            </w:pPr>
          </w:p>
        </w:tc>
        <w:tc>
          <w:tcPr>
            <w:tcW w:w="888" w:type="dxa"/>
          </w:tcPr>
          <w:p>
            <w:pPr>
              <w:pStyle w:val="TableParagraph"/>
              <w:jc w:val="left"/>
              <w:rPr>
                <w:rFonts w:ascii="Times New Roman"/>
                <w:sz w:val="14"/>
              </w:rPr>
            </w:pPr>
          </w:p>
        </w:tc>
        <w:tc>
          <w:tcPr>
            <w:tcW w:w="695" w:type="dxa"/>
          </w:tcPr>
          <w:p>
            <w:pPr>
              <w:pStyle w:val="TableParagraph"/>
              <w:jc w:val="left"/>
              <w:rPr>
                <w:rFonts w:ascii="Times New Roman"/>
                <w:sz w:val="14"/>
              </w:rPr>
            </w:pPr>
          </w:p>
        </w:tc>
        <w:tc>
          <w:tcPr>
            <w:tcW w:w="1031" w:type="dxa"/>
          </w:tcPr>
          <w:p>
            <w:pPr>
              <w:pStyle w:val="TableParagraph"/>
              <w:spacing w:line="182" w:lineRule="exact"/>
              <w:ind w:left="33" w:right="49"/>
              <w:rPr>
                <w:rFonts w:ascii="Calibri"/>
                <w:b/>
                <w:sz w:val="20"/>
              </w:rPr>
            </w:pPr>
            <w:r>
              <w:rPr>
                <w:rFonts w:ascii="Calibri"/>
                <w:b/>
                <w:sz w:val="20"/>
              </w:rPr>
              <w:t>Kalibrering</w:t>
            </w:r>
          </w:p>
        </w:tc>
        <w:tc>
          <w:tcPr>
            <w:tcW w:w="685" w:type="dxa"/>
          </w:tcPr>
          <w:p>
            <w:pPr>
              <w:pStyle w:val="TableParagraph"/>
              <w:jc w:val="left"/>
              <w:rPr>
                <w:rFonts w:ascii="Times New Roman"/>
                <w:sz w:val="14"/>
              </w:rPr>
            </w:pPr>
          </w:p>
        </w:tc>
        <w:tc>
          <w:tcPr>
            <w:tcW w:w="654" w:type="dxa"/>
          </w:tcPr>
          <w:p>
            <w:pPr>
              <w:pStyle w:val="TableParagraph"/>
              <w:jc w:val="left"/>
              <w:rPr>
                <w:rFonts w:ascii="Times New Roman"/>
                <w:sz w:val="14"/>
              </w:rPr>
            </w:pPr>
          </w:p>
        </w:tc>
        <w:tc>
          <w:tcPr>
            <w:tcW w:w="985" w:type="dxa"/>
          </w:tcPr>
          <w:p>
            <w:pPr>
              <w:pStyle w:val="TableParagraph"/>
              <w:spacing w:line="182" w:lineRule="exact"/>
              <w:ind w:left="33" w:right="65"/>
              <w:rPr>
                <w:rFonts w:ascii="Calibri"/>
                <w:b/>
                <w:sz w:val="20"/>
              </w:rPr>
            </w:pPr>
            <w:r>
              <w:rPr>
                <w:rFonts w:ascii="Calibri"/>
                <w:b/>
                <w:sz w:val="20"/>
              </w:rPr>
              <w:t>Validering</w:t>
            </w:r>
          </w:p>
        </w:tc>
        <w:tc>
          <w:tcPr>
            <w:tcW w:w="633" w:type="dxa"/>
          </w:tcPr>
          <w:p>
            <w:pPr>
              <w:pStyle w:val="TableParagraph"/>
              <w:jc w:val="left"/>
              <w:rPr>
                <w:rFonts w:ascii="Times New Roman"/>
                <w:sz w:val="14"/>
              </w:rPr>
            </w:pPr>
          </w:p>
        </w:tc>
      </w:tr>
      <w:tr>
        <w:trPr>
          <w:trHeight w:val="487" w:hRule="atLeast"/>
        </w:trPr>
        <w:tc>
          <w:tcPr>
            <w:tcW w:w="761" w:type="dxa"/>
            <w:tcBorders>
              <w:bottom w:val="single" w:sz="4" w:space="0" w:color="000000"/>
            </w:tcBorders>
          </w:tcPr>
          <w:p>
            <w:pPr>
              <w:pStyle w:val="TableParagraph"/>
              <w:spacing w:before="12"/>
              <w:jc w:val="left"/>
              <w:rPr>
                <w:rFonts w:ascii="Calibri"/>
                <w:i/>
                <w:sz w:val="19"/>
              </w:rPr>
            </w:pPr>
          </w:p>
          <w:p>
            <w:pPr>
              <w:pStyle w:val="TableParagraph"/>
              <w:spacing w:line="223" w:lineRule="exact"/>
              <w:ind w:left="36" w:right="50"/>
              <w:rPr>
                <w:rFonts w:ascii="Calibri"/>
                <w:sz w:val="20"/>
              </w:rPr>
            </w:pPr>
            <w:r>
              <w:rPr>
                <w:rFonts w:ascii="Calibri"/>
                <w:sz w:val="20"/>
              </w:rPr>
              <w:t>Station</w:t>
            </w:r>
          </w:p>
        </w:tc>
        <w:tc>
          <w:tcPr>
            <w:tcW w:w="1184" w:type="dxa"/>
            <w:tcBorders>
              <w:bottom w:val="single" w:sz="4" w:space="0" w:color="000000"/>
            </w:tcBorders>
          </w:tcPr>
          <w:p>
            <w:pPr>
              <w:pStyle w:val="TableParagraph"/>
              <w:spacing w:before="12"/>
              <w:jc w:val="left"/>
              <w:rPr>
                <w:rFonts w:ascii="Calibri"/>
                <w:i/>
                <w:sz w:val="19"/>
              </w:rPr>
            </w:pPr>
          </w:p>
          <w:p>
            <w:pPr>
              <w:pStyle w:val="TableParagraph"/>
              <w:spacing w:line="223" w:lineRule="exact"/>
              <w:ind w:left="71"/>
              <w:jc w:val="left"/>
              <w:rPr>
                <w:rFonts w:ascii="Calibri"/>
                <w:sz w:val="20"/>
              </w:rPr>
            </w:pPr>
            <w:r>
              <w:rPr>
                <w:rFonts w:ascii="Calibri"/>
                <w:sz w:val="20"/>
              </w:rPr>
              <w:t>Branch</w:t>
            </w:r>
          </w:p>
        </w:tc>
        <w:tc>
          <w:tcPr>
            <w:tcW w:w="1011" w:type="dxa"/>
            <w:tcBorders>
              <w:bottom w:val="single" w:sz="4" w:space="0" w:color="000000"/>
            </w:tcBorders>
          </w:tcPr>
          <w:p>
            <w:pPr>
              <w:pStyle w:val="TableParagraph"/>
              <w:spacing w:before="12"/>
              <w:jc w:val="left"/>
              <w:rPr>
                <w:rFonts w:ascii="Calibri"/>
                <w:i/>
                <w:sz w:val="19"/>
              </w:rPr>
            </w:pPr>
          </w:p>
          <w:p>
            <w:pPr>
              <w:pStyle w:val="TableParagraph"/>
              <w:spacing w:line="223" w:lineRule="exact"/>
              <w:ind w:left="120" w:right="103"/>
              <w:rPr>
                <w:rFonts w:ascii="Calibri"/>
                <w:sz w:val="20"/>
              </w:rPr>
            </w:pPr>
            <w:r>
              <w:rPr>
                <w:rFonts w:ascii="Calibri"/>
                <w:sz w:val="20"/>
              </w:rPr>
              <w:t>Chainage</w:t>
            </w:r>
          </w:p>
        </w:tc>
        <w:tc>
          <w:tcPr>
            <w:tcW w:w="888" w:type="dxa"/>
            <w:tcBorders>
              <w:bottom w:val="single" w:sz="4" w:space="0" w:color="000000"/>
              <w:right w:val="single" w:sz="4" w:space="0" w:color="000000"/>
            </w:tcBorders>
          </w:tcPr>
          <w:p>
            <w:pPr>
              <w:pStyle w:val="TableParagraph"/>
              <w:spacing w:line="243" w:lineRule="exact"/>
              <w:ind w:left="121"/>
              <w:jc w:val="left"/>
              <w:rPr>
                <w:rFonts w:ascii="Calibri"/>
                <w:sz w:val="20"/>
              </w:rPr>
            </w:pPr>
            <w:r>
              <w:rPr>
                <w:rFonts w:ascii="Calibri"/>
                <w:sz w:val="20"/>
              </w:rPr>
              <w:t>Opland</w:t>
            </w:r>
          </w:p>
          <w:p>
            <w:pPr>
              <w:pStyle w:val="TableParagraph"/>
              <w:spacing w:line="223" w:lineRule="exact"/>
              <w:ind w:left="202"/>
              <w:jc w:val="left"/>
              <w:rPr>
                <w:rFonts w:ascii="Calibri"/>
                <w:sz w:val="20"/>
              </w:rPr>
            </w:pPr>
            <w:r>
              <w:rPr>
                <w:rFonts w:ascii="Calibri"/>
                <w:sz w:val="20"/>
              </w:rPr>
              <w:t>[km2]</w:t>
            </w:r>
          </w:p>
        </w:tc>
        <w:tc>
          <w:tcPr>
            <w:tcW w:w="695" w:type="dxa"/>
            <w:tcBorders>
              <w:left w:val="single" w:sz="4" w:space="0" w:color="000000"/>
              <w:bottom w:val="single" w:sz="4" w:space="0" w:color="000000"/>
            </w:tcBorders>
          </w:tcPr>
          <w:p>
            <w:pPr>
              <w:pStyle w:val="TableParagraph"/>
              <w:spacing w:line="243" w:lineRule="exact"/>
              <w:ind w:left="193"/>
              <w:jc w:val="left"/>
              <w:rPr>
                <w:rFonts w:ascii="Calibri"/>
                <w:sz w:val="20"/>
              </w:rPr>
            </w:pPr>
            <w:r>
              <w:rPr>
                <w:rFonts w:ascii="Calibri"/>
                <w:sz w:val="20"/>
              </w:rPr>
              <w:t>fbal</w:t>
            </w:r>
          </w:p>
          <w:p>
            <w:pPr>
              <w:pStyle w:val="TableParagraph"/>
              <w:spacing w:line="223" w:lineRule="exact"/>
              <w:ind w:left="214"/>
              <w:jc w:val="left"/>
              <w:rPr>
                <w:rFonts w:ascii="Calibri"/>
                <w:sz w:val="20"/>
              </w:rPr>
            </w:pPr>
            <w:r>
              <w:rPr>
                <w:rFonts w:ascii="Calibri"/>
                <w:sz w:val="20"/>
              </w:rPr>
              <w:t>[%]</w:t>
            </w:r>
          </w:p>
        </w:tc>
        <w:tc>
          <w:tcPr>
            <w:tcW w:w="1031" w:type="dxa"/>
            <w:tcBorders>
              <w:bottom w:val="single" w:sz="4" w:space="0" w:color="000000"/>
            </w:tcBorders>
          </w:tcPr>
          <w:p>
            <w:pPr>
              <w:pStyle w:val="TableParagraph"/>
              <w:spacing w:line="236" w:lineRule="exact" w:before="10"/>
              <w:ind w:left="374" w:right="133" w:hanging="241"/>
              <w:jc w:val="left"/>
              <w:rPr>
                <w:rFonts w:ascii="Calibri"/>
                <w:sz w:val="20"/>
              </w:rPr>
            </w:pPr>
            <w:r>
              <w:rPr>
                <w:rFonts w:ascii="Calibri"/>
                <w:position w:val="1"/>
                <w:sz w:val="20"/>
              </w:rPr>
              <w:t>fbal</w:t>
            </w:r>
            <w:r>
              <w:rPr>
                <w:rFonts w:ascii="Calibri"/>
                <w:sz w:val="13"/>
              </w:rPr>
              <w:t>sommer </w:t>
            </w:r>
            <w:r>
              <w:rPr>
                <w:rFonts w:ascii="Calibri"/>
                <w:sz w:val="20"/>
              </w:rPr>
              <w:t>[%]</w:t>
            </w:r>
          </w:p>
        </w:tc>
        <w:tc>
          <w:tcPr>
            <w:tcW w:w="685" w:type="dxa"/>
            <w:tcBorders>
              <w:bottom w:val="single" w:sz="4" w:space="0" w:color="000000"/>
              <w:right w:val="single" w:sz="4" w:space="0" w:color="000000"/>
            </w:tcBorders>
          </w:tcPr>
          <w:p>
            <w:pPr>
              <w:pStyle w:val="TableParagraph"/>
              <w:spacing w:line="243" w:lineRule="exact"/>
              <w:ind w:left="130" w:right="151"/>
              <w:rPr>
                <w:rFonts w:ascii="Calibri"/>
                <w:sz w:val="20"/>
              </w:rPr>
            </w:pPr>
            <w:r>
              <w:rPr>
                <w:rFonts w:ascii="Calibri"/>
                <w:sz w:val="20"/>
              </w:rPr>
              <w:t>NSE</w:t>
            </w:r>
          </w:p>
          <w:p>
            <w:pPr>
              <w:pStyle w:val="TableParagraph"/>
              <w:spacing w:line="223" w:lineRule="exact"/>
              <w:ind w:left="130" w:right="151"/>
              <w:rPr>
                <w:rFonts w:ascii="Calibri"/>
                <w:sz w:val="20"/>
              </w:rPr>
            </w:pPr>
            <w:r>
              <w:rPr>
                <w:rFonts w:ascii="Calibri"/>
                <w:sz w:val="20"/>
              </w:rPr>
              <w:t>[-]</w:t>
            </w:r>
          </w:p>
        </w:tc>
        <w:tc>
          <w:tcPr>
            <w:tcW w:w="654" w:type="dxa"/>
            <w:tcBorders>
              <w:left w:val="single" w:sz="4" w:space="0" w:color="000000"/>
              <w:bottom w:val="single" w:sz="4" w:space="0" w:color="000000"/>
            </w:tcBorders>
          </w:tcPr>
          <w:p>
            <w:pPr>
              <w:pStyle w:val="TableParagraph"/>
              <w:spacing w:line="243" w:lineRule="exact"/>
              <w:ind w:left="192"/>
              <w:jc w:val="left"/>
              <w:rPr>
                <w:rFonts w:ascii="Calibri"/>
                <w:sz w:val="20"/>
              </w:rPr>
            </w:pPr>
            <w:r>
              <w:rPr>
                <w:rFonts w:ascii="Calibri"/>
                <w:sz w:val="20"/>
              </w:rPr>
              <w:t>fbal</w:t>
            </w:r>
          </w:p>
          <w:p>
            <w:pPr>
              <w:pStyle w:val="TableParagraph"/>
              <w:spacing w:line="223" w:lineRule="exact"/>
              <w:ind w:left="213"/>
              <w:jc w:val="left"/>
              <w:rPr>
                <w:rFonts w:ascii="Calibri"/>
                <w:sz w:val="20"/>
              </w:rPr>
            </w:pPr>
            <w:r>
              <w:rPr>
                <w:rFonts w:ascii="Calibri"/>
                <w:sz w:val="20"/>
              </w:rPr>
              <w:t>[%]</w:t>
            </w:r>
          </w:p>
        </w:tc>
        <w:tc>
          <w:tcPr>
            <w:tcW w:w="985" w:type="dxa"/>
            <w:tcBorders>
              <w:bottom w:val="single" w:sz="4" w:space="0" w:color="000000"/>
            </w:tcBorders>
          </w:tcPr>
          <w:p>
            <w:pPr>
              <w:pStyle w:val="TableParagraph"/>
              <w:spacing w:line="236" w:lineRule="exact" w:before="10"/>
              <w:ind w:left="359" w:hanging="238"/>
              <w:jc w:val="left"/>
              <w:rPr>
                <w:rFonts w:ascii="Calibri"/>
                <w:sz w:val="20"/>
              </w:rPr>
            </w:pPr>
            <w:r>
              <w:rPr>
                <w:rFonts w:ascii="Calibri"/>
                <w:w w:val="95"/>
                <w:position w:val="1"/>
                <w:sz w:val="20"/>
              </w:rPr>
              <w:t>fbal</w:t>
            </w:r>
            <w:r>
              <w:rPr>
                <w:rFonts w:ascii="Calibri"/>
                <w:w w:val="95"/>
                <w:sz w:val="13"/>
              </w:rPr>
              <w:t>sommer </w:t>
            </w:r>
            <w:r>
              <w:rPr>
                <w:rFonts w:ascii="Calibri"/>
                <w:sz w:val="20"/>
              </w:rPr>
              <w:t>[%]</w:t>
            </w:r>
          </w:p>
        </w:tc>
        <w:tc>
          <w:tcPr>
            <w:tcW w:w="633" w:type="dxa"/>
            <w:tcBorders>
              <w:bottom w:val="single" w:sz="4" w:space="0" w:color="000000"/>
            </w:tcBorders>
          </w:tcPr>
          <w:p>
            <w:pPr>
              <w:pStyle w:val="TableParagraph"/>
              <w:spacing w:line="243" w:lineRule="exact"/>
              <w:ind w:left="128"/>
              <w:jc w:val="left"/>
              <w:rPr>
                <w:rFonts w:ascii="Calibri"/>
                <w:sz w:val="20"/>
              </w:rPr>
            </w:pPr>
            <w:r>
              <w:rPr>
                <w:rFonts w:ascii="Calibri"/>
                <w:sz w:val="20"/>
              </w:rPr>
              <w:t>NSE</w:t>
            </w:r>
          </w:p>
          <w:p>
            <w:pPr>
              <w:pStyle w:val="TableParagraph"/>
              <w:spacing w:line="223" w:lineRule="exact"/>
              <w:ind w:left="195"/>
              <w:jc w:val="left"/>
              <w:rPr>
                <w:rFonts w:ascii="Calibri"/>
                <w:sz w:val="20"/>
              </w:rPr>
            </w:pPr>
            <w:r>
              <w:rPr>
                <w:rFonts w:ascii="Calibri"/>
                <w:sz w:val="20"/>
              </w:rPr>
              <w:t>[-]</w:t>
            </w:r>
          </w:p>
        </w:tc>
      </w:tr>
      <w:tr>
        <w:trPr>
          <w:trHeight w:val="292" w:hRule="atLeast"/>
        </w:trPr>
        <w:tc>
          <w:tcPr>
            <w:tcW w:w="761" w:type="dxa"/>
            <w:tcBorders>
              <w:top w:val="single" w:sz="4" w:space="0" w:color="000000"/>
            </w:tcBorders>
          </w:tcPr>
          <w:p>
            <w:pPr>
              <w:pStyle w:val="TableParagraph"/>
              <w:spacing w:before="1"/>
              <w:ind w:left="61" w:right="50"/>
              <w:rPr>
                <w:rFonts w:ascii="Calibri"/>
                <w:sz w:val="20"/>
              </w:rPr>
            </w:pPr>
            <w:r>
              <w:rPr>
                <w:rFonts w:ascii="Calibri"/>
                <w:sz w:val="20"/>
              </w:rPr>
              <w:t>450001</w:t>
            </w:r>
          </w:p>
        </w:tc>
        <w:tc>
          <w:tcPr>
            <w:tcW w:w="1184" w:type="dxa"/>
            <w:tcBorders>
              <w:top w:val="single" w:sz="4" w:space="0" w:color="000000"/>
            </w:tcBorders>
          </w:tcPr>
          <w:p>
            <w:pPr>
              <w:pStyle w:val="TableParagraph"/>
              <w:spacing w:before="1"/>
              <w:ind w:left="71"/>
              <w:jc w:val="left"/>
              <w:rPr>
                <w:rFonts w:ascii="Calibri" w:hAnsi="Calibri"/>
                <w:sz w:val="20"/>
              </w:rPr>
            </w:pPr>
            <w:r>
              <w:rPr>
                <w:rFonts w:ascii="Calibri" w:hAnsi="Calibri"/>
                <w:sz w:val="20"/>
              </w:rPr>
              <w:t>Odense Å</w:t>
            </w:r>
          </w:p>
        </w:tc>
        <w:tc>
          <w:tcPr>
            <w:tcW w:w="1011" w:type="dxa"/>
            <w:tcBorders>
              <w:top w:val="single" w:sz="4" w:space="0" w:color="000000"/>
            </w:tcBorders>
          </w:tcPr>
          <w:p>
            <w:pPr>
              <w:pStyle w:val="TableParagraph"/>
              <w:spacing w:before="1"/>
              <w:ind w:left="118" w:right="103"/>
              <w:rPr>
                <w:rFonts w:ascii="Calibri"/>
                <w:sz w:val="20"/>
              </w:rPr>
            </w:pPr>
            <w:r>
              <w:rPr>
                <w:rFonts w:ascii="Calibri"/>
                <w:sz w:val="20"/>
              </w:rPr>
              <w:t>45365</w:t>
            </w:r>
          </w:p>
        </w:tc>
        <w:tc>
          <w:tcPr>
            <w:tcW w:w="888" w:type="dxa"/>
            <w:tcBorders>
              <w:top w:val="single" w:sz="4" w:space="0" w:color="000000"/>
              <w:right w:val="single" w:sz="4" w:space="0" w:color="000000"/>
            </w:tcBorders>
          </w:tcPr>
          <w:p>
            <w:pPr>
              <w:pStyle w:val="TableParagraph"/>
              <w:spacing w:before="1"/>
              <w:ind w:left="169" w:right="218"/>
              <w:rPr>
                <w:rFonts w:ascii="Calibri"/>
                <w:sz w:val="20"/>
              </w:rPr>
            </w:pPr>
            <w:r>
              <w:rPr>
                <w:rFonts w:ascii="Calibri"/>
                <w:sz w:val="20"/>
              </w:rPr>
              <w:t>535.1</w:t>
            </w:r>
          </w:p>
        </w:tc>
        <w:tc>
          <w:tcPr>
            <w:tcW w:w="695" w:type="dxa"/>
            <w:tcBorders>
              <w:top w:val="single" w:sz="4" w:space="0" w:color="000000"/>
              <w:left w:val="single" w:sz="4" w:space="0" w:color="000000"/>
            </w:tcBorders>
          </w:tcPr>
          <w:p>
            <w:pPr>
              <w:pStyle w:val="TableParagraph"/>
              <w:spacing w:before="1"/>
              <w:ind w:left="116" w:right="115"/>
              <w:rPr>
                <w:rFonts w:ascii="Calibri"/>
                <w:sz w:val="20"/>
              </w:rPr>
            </w:pPr>
            <w:r>
              <w:rPr>
                <w:rFonts w:ascii="Calibri"/>
                <w:sz w:val="20"/>
              </w:rPr>
              <w:t>4.4</w:t>
            </w:r>
          </w:p>
        </w:tc>
        <w:tc>
          <w:tcPr>
            <w:tcW w:w="1031" w:type="dxa"/>
            <w:tcBorders>
              <w:top w:val="single" w:sz="4" w:space="0" w:color="000000"/>
            </w:tcBorders>
          </w:tcPr>
          <w:p>
            <w:pPr>
              <w:pStyle w:val="TableParagraph"/>
              <w:spacing w:before="1"/>
              <w:ind w:left="33" w:right="48"/>
              <w:rPr>
                <w:rFonts w:ascii="Calibri"/>
                <w:sz w:val="20"/>
              </w:rPr>
            </w:pPr>
            <w:r>
              <w:rPr>
                <w:rFonts w:ascii="Calibri"/>
                <w:sz w:val="20"/>
              </w:rPr>
              <w:t>-3.7</w:t>
            </w:r>
          </w:p>
        </w:tc>
        <w:tc>
          <w:tcPr>
            <w:tcW w:w="685" w:type="dxa"/>
            <w:tcBorders>
              <w:top w:val="single" w:sz="4" w:space="0" w:color="000000"/>
              <w:right w:val="single" w:sz="4" w:space="0" w:color="000000"/>
            </w:tcBorders>
          </w:tcPr>
          <w:p>
            <w:pPr>
              <w:pStyle w:val="TableParagraph"/>
              <w:spacing w:before="1"/>
              <w:ind w:left="130" w:right="154"/>
              <w:rPr>
                <w:rFonts w:ascii="Calibri"/>
                <w:sz w:val="20"/>
              </w:rPr>
            </w:pPr>
            <w:r>
              <w:rPr>
                <w:rFonts w:ascii="Calibri"/>
                <w:sz w:val="20"/>
              </w:rPr>
              <w:t>0.88</w:t>
            </w:r>
          </w:p>
        </w:tc>
        <w:tc>
          <w:tcPr>
            <w:tcW w:w="654" w:type="dxa"/>
            <w:tcBorders>
              <w:top w:val="single" w:sz="4" w:space="0" w:color="000000"/>
              <w:left w:val="single" w:sz="4" w:space="0" w:color="000000"/>
            </w:tcBorders>
          </w:tcPr>
          <w:p>
            <w:pPr>
              <w:pStyle w:val="TableParagraph"/>
              <w:spacing w:before="1"/>
              <w:ind w:left="147" w:right="107"/>
              <w:rPr>
                <w:rFonts w:ascii="Calibri"/>
                <w:sz w:val="20"/>
              </w:rPr>
            </w:pPr>
            <w:r>
              <w:rPr>
                <w:rFonts w:ascii="Calibri"/>
                <w:sz w:val="20"/>
              </w:rPr>
              <w:t>21.2</w:t>
            </w:r>
          </w:p>
        </w:tc>
        <w:tc>
          <w:tcPr>
            <w:tcW w:w="985" w:type="dxa"/>
            <w:tcBorders>
              <w:top w:val="single" w:sz="4" w:space="0" w:color="000000"/>
            </w:tcBorders>
          </w:tcPr>
          <w:p>
            <w:pPr>
              <w:pStyle w:val="TableParagraph"/>
              <w:spacing w:before="1"/>
              <w:ind w:left="33" w:right="33"/>
              <w:rPr>
                <w:rFonts w:ascii="Calibri"/>
                <w:sz w:val="20"/>
              </w:rPr>
            </w:pPr>
            <w:r>
              <w:rPr>
                <w:rFonts w:ascii="Calibri"/>
                <w:sz w:val="20"/>
              </w:rPr>
              <w:t>16.7</w:t>
            </w:r>
          </w:p>
        </w:tc>
        <w:tc>
          <w:tcPr>
            <w:tcW w:w="633" w:type="dxa"/>
            <w:tcBorders>
              <w:top w:val="single" w:sz="4" w:space="0" w:color="000000"/>
            </w:tcBorders>
          </w:tcPr>
          <w:p>
            <w:pPr>
              <w:pStyle w:val="TableParagraph"/>
              <w:spacing w:before="1"/>
              <w:ind w:left="92" w:right="146"/>
              <w:rPr>
                <w:rFonts w:ascii="Calibri"/>
                <w:sz w:val="20"/>
              </w:rPr>
            </w:pPr>
            <w:r>
              <w:rPr>
                <w:rFonts w:ascii="Calibri"/>
                <w:sz w:val="20"/>
              </w:rPr>
              <w:t>0.66</w:t>
            </w:r>
          </w:p>
        </w:tc>
      </w:tr>
      <w:tr>
        <w:trPr>
          <w:trHeight w:val="300" w:hRule="atLeast"/>
        </w:trPr>
        <w:tc>
          <w:tcPr>
            <w:tcW w:w="761" w:type="dxa"/>
          </w:tcPr>
          <w:p>
            <w:pPr>
              <w:pStyle w:val="TableParagraph"/>
              <w:spacing w:before="9"/>
              <w:ind w:left="61" w:right="50"/>
              <w:rPr>
                <w:rFonts w:ascii="Calibri"/>
                <w:sz w:val="20"/>
              </w:rPr>
            </w:pPr>
            <w:r>
              <w:rPr>
                <w:rFonts w:ascii="Calibri"/>
                <w:sz w:val="20"/>
              </w:rPr>
              <w:t>450002</w:t>
            </w:r>
          </w:p>
        </w:tc>
        <w:tc>
          <w:tcPr>
            <w:tcW w:w="1184" w:type="dxa"/>
          </w:tcPr>
          <w:p>
            <w:pPr>
              <w:pStyle w:val="TableParagraph"/>
              <w:spacing w:before="9"/>
              <w:ind w:left="71"/>
              <w:jc w:val="left"/>
              <w:rPr>
                <w:rFonts w:ascii="Calibri" w:hAnsi="Calibri"/>
                <w:sz w:val="20"/>
              </w:rPr>
            </w:pPr>
            <w:r>
              <w:rPr>
                <w:rFonts w:ascii="Calibri" w:hAnsi="Calibri"/>
                <w:sz w:val="20"/>
              </w:rPr>
              <w:t>Odense Å</w:t>
            </w:r>
          </w:p>
        </w:tc>
        <w:tc>
          <w:tcPr>
            <w:tcW w:w="1011" w:type="dxa"/>
          </w:tcPr>
          <w:p>
            <w:pPr>
              <w:pStyle w:val="TableParagraph"/>
              <w:spacing w:before="9"/>
              <w:ind w:left="118" w:right="103"/>
              <w:rPr>
                <w:rFonts w:ascii="Calibri"/>
                <w:sz w:val="20"/>
              </w:rPr>
            </w:pPr>
            <w:r>
              <w:rPr>
                <w:rFonts w:ascii="Calibri"/>
                <w:sz w:val="20"/>
              </w:rPr>
              <w:t>44162</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535.0</w:t>
            </w:r>
          </w:p>
        </w:tc>
        <w:tc>
          <w:tcPr>
            <w:tcW w:w="695" w:type="dxa"/>
            <w:tcBorders>
              <w:left w:val="single" w:sz="4" w:space="0" w:color="000000"/>
            </w:tcBorders>
          </w:tcPr>
          <w:p>
            <w:pPr>
              <w:pStyle w:val="TableParagraph"/>
              <w:spacing w:before="9"/>
              <w:ind w:left="118" w:right="115"/>
              <w:rPr>
                <w:rFonts w:ascii="Calibri"/>
                <w:sz w:val="20"/>
              </w:rPr>
            </w:pPr>
            <w:r>
              <w:rPr>
                <w:rFonts w:ascii="Calibri"/>
                <w:sz w:val="20"/>
              </w:rPr>
              <w:t>-0.4</w:t>
            </w:r>
          </w:p>
        </w:tc>
        <w:tc>
          <w:tcPr>
            <w:tcW w:w="1031" w:type="dxa"/>
          </w:tcPr>
          <w:p>
            <w:pPr>
              <w:pStyle w:val="TableParagraph"/>
              <w:spacing w:before="9"/>
              <w:ind w:left="33" w:right="48"/>
              <w:rPr>
                <w:rFonts w:ascii="Calibri"/>
                <w:sz w:val="20"/>
              </w:rPr>
            </w:pPr>
            <w:r>
              <w:rPr>
                <w:rFonts w:ascii="Calibri"/>
                <w:sz w:val="20"/>
              </w:rPr>
              <w:t>-13.8</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0.88</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18.8</w:t>
            </w:r>
          </w:p>
        </w:tc>
        <w:tc>
          <w:tcPr>
            <w:tcW w:w="985" w:type="dxa"/>
          </w:tcPr>
          <w:p>
            <w:pPr>
              <w:pStyle w:val="TableParagraph"/>
              <w:spacing w:before="9"/>
              <w:ind w:left="33" w:right="33"/>
              <w:rPr>
                <w:rFonts w:ascii="Calibri"/>
                <w:sz w:val="20"/>
              </w:rPr>
            </w:pPr>
            <w:r>
              <w:rPr>
                <w:rFonts w:ascii="Calibri"/>
                <w:sz w:val="20"/>
              </w:rPr>
              <w:t>13.2</w:t>
            </w:r>
          </w:p>
        </w:tc>
        <w:tc>
          <w:tcPr>
            <w:tcW w:w="633" w:type="dxa"/>
          </w:tcPr>
          <w:p>
            <w:pPr>
              <w:pStyle w:val="TableParagraph"/>
              <w:spacing w:before="9"/>
              <w:ind w:left="92" w:right="146"/>
              <w:rPr>
                <w:rFonts w:ascii="Calibri"/>
                <w:sz w:val="20"/>
              </w:rPr>
            </w:pPr>
            <w:r>
              <w:rPr>
                <w:rFonts w:ascii="Calibri"/>
                <w:sz w:val="20"/>
              </w:rPr>
              <w:t>0.69</w:t>
            </w:r>
          </w:p>
        </w:tc>
      </w:tr>
      <w:tr>
        <w:trPr>
          <w:trHeight w:val="300" w:hRule="atLeast"/>
        </w:trPr>
        <w:tc>
          <w:tcPr>
            <w:tcW w:w="761" w:type="dxa"/>
          </w:tcPr>
          <w:p>
            <w:pPr>
              <w:pStyle w:val="TableParagraph"/>
              <w:spacing w:before="9"/>
              <w:ind w:left="61" w:right="50"/>
              <w:rPr>
                <w:rFonts w:ascii="Calibri"/>
                <w:sz w:val="20"/>
              </w:rPr>
            </w:pPr>
            <w:r>
              <w:rPr>
                <w:rFonts w:ascii="Calibri"/>
                <w:sz w:val="20"/>
              </w:rPr>
              <w:t>450003</w:t>
            </w:r>
          </w:p>
        </w:tc>
        <w:tc>
          <w:tcPr>
            <w:tcW w:w="1184" w:type="dxa"/>
          </w:tcPr>
          <w:p>
            <w:pPr>
              <w:pStyle w:val="TableParagraph"/>
              <w:spacing w:before="9"/>
              <w:ind w:left="71"/>
              <w:jc w:val="left"/>
              <w:rPr>
                <w:rFonts w:ascii="Calibri" w:hAnsi="Calibri"/>
                <w:sz w:val="20"/>
              </w:rPr>
            </w:pPr>
            <w:r>
              <w:rPr>
                <w:rFonts w:ascii="Calibri" w:hAnsi="Calibri"/>
                <w:sz w:val="20"/>
              </w:rPr>
              <w:t>Odense Å</w:t>
            </w:r>
          </w:p>
        </w:tc>
        <w:tc>
          <w:tcPr>
            <w:tcW w:w="1011" w:type="dxa"/>
          </w:tcPr>
          <w:p>
            <w:pPr>
              <w:pStyle w:val="TableParagraph"/>
              <w:spacing w:before="9"/>
              <w:ind w:left="118" w:right="103"/>
              <w:rPr>
                <w:rFonts w:ascii="Calibri"/>
                <w:sz w:val="20"/>
              </w:rPr>
            </w:pPr>
            <w:r>
              <w:rPr>
                <w:rFonts w:ascii="Calibri"/>
                <w:sz w:val="20"/>
              </w:rPr>
              <w:t>31583</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485.9</w:t>
            </w:r>
          </w:p>
        </w:tc>
        <w:tc>
          <w:tcPr>
            <w:tcW w:w="695" w:type="dxa"/>
            <w:tcBorders>
              <w:left w:val="single" w:sz="4" w:space="0" w:color="000000"/>
            </w:tcBorders>
          </w:tcPr>
          <w:p>
            <w:pPr>
              <w:pStyle w:val="TableParagraph"/>
              <w:spacing w:before="9"/>
              <w:ind w:left="116" w:right="115"/>
              <w:rPr>
                <w:rFonts w:ascii="Calibri"/>
                <w:sz w:val="20"/>
              </w:rPr>
            </w:pPr>
            <w:r>
              <w:rPr>
                <w:rFonts w:ascii="Calibri"/>
                <w:sz w:val="20"/>
              </w:rPr>
              <w:t>6.1</w:t>
            </w:r>
          </w:p>
        </w:tc>
        <w:tc>
          <w:tcPr>
            <w:tcW w:w="1031" w:type="dxa"/>
          </w:tcPr>
          <w:p>
            <w:pPr>
              <w:pStyle w:val="TableParagraph"/>
              <w:spacing w:before="9"/>
              <w:ind w:left="33" w:right="48"/>
              <w:rPr>
                <w:rFonts w:ascii="Calibri"/>
                <w:sz w:val="20"/>
              </w:rPr>
            </w:pPr>
            <w:r>
              <w:rPr>
                <w:rFonts w:ascii="Calibri"/>
                <w:sz w:val="20"/>
              </w:rPr>
              <w:t>-1.2</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0.88</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26.6</w:t>
            </w:r>
          </w:p>
        </w:tc>
        <w:tc>
          <w:tcPr>
            <w:tcW w:w="985" w:type="dxa"/>
          </w:tcPr>
          <w:p>
            <w:pPr>
              <w:pStyle w:val="TableParagraph"/>
              <w:spacing w:before="9"/>
              <w:ind w:left="33" w:right="33"/>
              <w:rPr>
                <w:rFonts w:ascii="Calibri"/>
                <w:sz w:val="20"/>
              </w:rPr>
            </w:pPr>
            <w:r>
              <w:rPr>
                <w:rFonts w:ascii="Calibri"/>
                <w:sz w:val="20"/>
              </w:rPr>
              <w:t>29.7</w:t>
            </w:r>
          </w:p>
        </w:tc>
        <w:tc>
          <w:tcPr>
            <w:tcW w:w="633" w:type="dxa"/>
          </w:tcPr>
          <w:p>
            <w:pPr>
              <w:pStyle w:val="TableParagraph"/>
              <w:spacing w:before="9"/>
              <w:ind w:left="92" w:right="146"/>
              <w:rPr>
                <w:rFonts w:ascii="Calibri"/>
                <w:sz w:val="20"/>
              </w:rPr>
            </w:pPr>
            <w:r>
              <w:rPr>
                <w:rFonts w:ascii="Calibri"/>
                <w:sz w:val="20"/>
              </w:rPr>
              <w:t>0.65</w:t>
            </w:r>
          </w:p>
        </w:tc>
      </w:tr>
      <w:tr>
        <w:trPr>
          <w:trHeight w:val="300" w:hRule="atLeast"/>
        </w:trPr>
        <w:tc>
          <w:tcPr>
            <w:tcW w:w="761" w:type="dxa"/>
          </w:tcPr>
          <w:p>
            <w:pPr>
              <w:pStyle w:val="TableParagraph"/>
              <w:spacing w:before="9"/>
              <w:ind w:left="61" w:right="50"/>
              <w:rPr>
                <w:rFonts w:ascii="Calibri"/>
                <w:sz w:val="20"/>
              </w:rPr>
            </w:pPr>
            <w:r>
              <w:rPr>
                <w:rFonts w:ascii="Calibri"/>
                <w:sz w:val="20"/>
              </w:rPr>
              <w:t>450004</w:t>
            </w:r>
          </w:p>
        </w:tc>
        <w:tc>
          <w:tcPr>
            <w:tcW w:w="1184" w:type="dxa"/>
          </w:tcPr>
          <w:p>
            <w:pPr>
              <w:pStyle w:val="TableParagraph"/>
              <w:spacing w:before="9"/>
              <w:ind w:left="71"/>
              <w:jc w:val="left"/>
              <w:rPr>
                <w:rFonts w:ascii="Calibri" w:hAnsi="Calibri"/>
                <w:sz w:val="20"/>
              </w:rPr>
            </w:pPr>
            <w:r>
              <w:rPr>
                <w:rFonts w:ascii="Calibri" w:hAnsi="Calibri"/>
                <w:sz w:val="20"/>
              </w:rPr>
              <w:t>Odense Å</w:t>
            </w:r>
          </w:p>
        </w:tc>
        <w:tc>
          <w:tcPr>
            <w:tcW w:w="1011" w:type="dxa"/>
          </w:tcPr>
          <w:p>
            <w:pPr>
              <w:pStyle w:val="TableParagraph"/>
              <w:spacing w:before="9"/>
              <w:ind w:left="118" w:right="103"/>
              <w:rPr>
                <w:rFonts w:ascii="Calibri"/>
                <w:sz w:val="20"/>
              </w:rPr>
            </w:pPr>
            <w:r>
              <w:rPr>
                <w:rFonts w:ascii="Calibri"/>
                <w:sz w:val="20"/>
              </w:rPr>
              <w:t>17718</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301.6</w:t>
            </w:r>
          </w:p>
        </w:tc>
        <w:tc>
          <w:tcPr>
            <w:tcW w:w="695" w:type="dxa"/>
            <w:tcBorders>
              <w:left w:val="single" w:sz="4" w:space="0" w:color="000000"/>
            </w:tcBorders>
          </w:tcPr>
          <w:p>
            <w:pPr>
              <w:pStyle w:val="TableParagraph"/>
              <w:spacing w:before="9"/>
              <w:ind w:left="116" w:right="115"/>
              <w:rPr>
                <w:rFonts w:ascii="Calibri"/>
                <w:sz w:val="20"/>
              </w:rPr>
            </w:pPr>
            <w:r>
              <w:rPr>
                <w:rFonts w:ascii="Calibri"/>
                <w:sz w:val="20"/>
              </w:rPr>
              <w:t>13.8</w:t>
            </w:r>
          </w:p>
        </w:tc>
        <w:tc>
          <w:tcPr>
            <w:tcW w:w="1031" w:type="dxa"/>
          </w:tcPr>
          <w:p>
            <w:pPr>
              <w:pStyle w:val="TableParagraph"/>
              <w:spacing w:before="9"/>
              <w:ind w:left="32" w:right="49"/>
              <w:rPr>
                <w:rFonts w:ascii="Calibri"/>
                <w:sz w:val="20"/>
              </w:rPr>
            </w:pPr>
            <w:r>
              <w:rPr>
                <w:rFonts w:ascii="Calibri"/>
                <w:sz w:val="20"/>
              </w:rPr>
              <w:t>7.6</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0.82</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29.4</w:t>
            </w:r>
          </w:p>
        </w:tc>
        <w:tc>
          <w:tcPr>
            <w:tcW w:w="985" w:type="dxa"/>
          </w:tcPr>
          <w:p>
            <w:pPr>
              <w:pStyle w:val="TableParagraph"/>
              <w:spacing w:before="9"/>
              <w:ind w:left="33" w:right="33"/>
              <w:rPr>
                <w:rFonts w:ascii="Calibri"/>
                <w:sz w:val="20"/>
              </w:rPr>
            </w:pPr>
            <w:r>
              <w:rPr>
                <w:rFonts w:ascii="Calibri"/>
                <w:sz w:val="20"/>
              </w:rPr>
              <w:t>33.1</w:t>
            </w:r>
          </w:p>
        </w:tc>
        <w:tc>
          <w:tcPr>
            <w:tcW w:w="633" w:type="dxa"/>
          </w:tcPr>
          <w:p>
            <w:pPr>
              <w:pStyle w:val="TableParagraph"/>
              <w:spacing w:before="9"/>
              <w:ind w:left="92" w:right="146"/>
              <w:rPr>
                <w:rFonts w:ascii="Calibri"/>
                <w:sz w:val="20"/>
              </w:rPr>
            </w:pPr>
            <w:r>
              <w:rPr>
                <w:rFonts w:ascii="Calibri"/>
                <w:sz w:val="20"/>
              </w:rPr>
              <w:t>0.60</w:t>
            </w:r>
          </w:p>
        </w:tc>
      </w:tr>
      <w:tr>
        <w:trPr>
          <w:trHeight w:val="300" w:hRule="atLeast"/>
        </w:trPr>
        <w:tc>
          <w:tcPr>
            <w:tcW w:w="761" w:type="dxa"/>
          </w:tcPr>
          <w:p>
            <w:pPr>
              <w:pStyle w:val="TableParagraph"/>
              <w:spacing w:before="9"/>
              <w:ind w:left="61" w:right="50"/>
              <w:rPr>
                <w:rFonts w:ascii="Calibri"/>
                <w:sz w:val="20"/>
              </w:rPr>
            </w:pPr>
            <w:r>
              <w:rPr>
                <w:rFonts w:ascii="Calibri"/>
                <w:sz w:val="20"/>
              </w:rPr>
              <w:t>450005</w:t>
            </w:r>
          </w:p>
        </w:tc>
        <w:tc>
          <w:tcPr>
            <w:tcW w:w="1184" w:type="dxa"/>
          </w:tcPr>
          <w:p>
            <w:pPr>
              <w:pStyle w:val="TableParagraph"/>
              <w:spacing w:before="9"/>
              <w:ind w:left="71"/>
              <w:jc w:val="left"/>
              <w:rPr>
                <w:rFonts w:ascii="Calibri" w:hAnsi="Calibri"/>
                <w:sz w:val="20"/>
              </w:rPr>
            </w:pPr>
            <w:r>
              <w:rPr>
                <w:rFonts w:ascii="Calibri" w:hAnsi="Calibri"/>
                <w:sz w:val="20"/>
              </w:rPr>
              <w:t>Stavis Å</w:t>
            </w:r>
          </w:p>
        </w:tc>
        <w:tc>
          <w:tcPr>
            <w:tcW w:w="1011" w:type="dxa"/>
          </w:tcPr>
          <w:p>
            <w:pPr>
              <w:pStyle w:val="TableParagraph"/>
              <w:spacing w:before="9"/>
              <w:ind w:left="118" w:right="103"/>
              <w:rPr>
                <w:rFonts w:ascii="Calibri"/>
                <w:sz w:val="20"/>
              </w:rPr>
            </w:pPr>
            <w:r>
              <w:rPr>
                <w:rFonts w:ascii="Calibri"/>
                <w:sz w:val="20"/>
              </w:rPr>
              <w:t>18267</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78.0</w:t>
            </w:r>
          </w:p>
        </w:tc>
        <w:tc>
          <w:tcPr>
            <w:tcW w:w="695" w:type="dxa"/>
            <w:tcBorders>
              <w:left w:val="single" w:sz="4" w:space="0" w:color="000000"/>
            </w:tcBorders>
          </w:tcPr>
          <w:p>
            <w:pPr>
              <w:pStyle w:val="TableParagraph"/>
              <w:spacing w:before="9"/>
              <w:ind w:left="116" w:right="115"/>
              <w:rPr>
                <w:rFonts w:ascii="Calibri"/>
                <w:sz w:val="20"/>
              </w:rPr>
            </w:pPr>
            <w:r>
              <w:rPr>
                <w:rFonts w:ascii="Calibri"/>
                <w:sz w:val="20"/>
              </w:rPr>
              <w:t>3.3</w:t>
            </w:r>
          </w:p>
        </w:tc>
        <w:tc>
          <w:tcPr>
            <w:tcW w:w="1031" w:type="dxa"/>
          </w:tcPr>
          <w:p>
            <w:pPr>
              <w:pStyle w:val="TableParagraph"/>
              <w:spacing w:before="9"/>
              <w:ind w:left="33" w:right="48"/>
              <w:rPr>
                <w:rFonts w:ascii="Calibri"/>
                <w:sz w:val="20"/>
              </w:rPr>
            </w:pPr>
            <w:r>
              <w:rPr>
                <w:rFonts w:ascii="Calibri"/>
                <w:sz w:val="20"/>
              </w:rPr>
              <w:t>-39.7</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0.73</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17.8</w:t>
            </w:r>
          </w:p>
        </w:tc>
        <w:tc>
          <w:tcPr>
            <w:tcW w:w="985" w:type="dxa"/>
          </w:tcPr>
          <w:p>
            <w:pPr>
              <w:pStyle w:val="TableParagraph"/>
              <w:spacing w:before="9"/>
              <w:ind w:left="33" w:right="33"/>
              <w:rPr>
                <w:rFonts w:ascii="Calibri"/>
                <w:sz w:val="20"/>
              </w:rPr>
            </w:pPr>
            <w:r>
              <w:rPr>
                <w:rFonts w:ascii="Calibri"/>
                <w:sz w:val="20"/>
              </w:rPr>
              <w:t>-11.9</w:t>
            </w:r>
          </w:p>
        </w:tc>
        <w:tc>
          <w:tcPr>
            <w:tcW w:w="633" w:type="dxa"/>
          </w:tcPr>
          <w:p>
            <w:pPr>
              <w:pStyle w:val="TableParagraph"/>
              <w:spacing w:before="9"/>
              <w:ind w:left="92" w:right="146"/>
              <w:rPr>
                <w:rFonts w:ascii="Calibri"/>
                <w:sz w:val="20"/>
              </w:rPr>
            </w:pPr>
            <w:r>
              <w:rPr>
                <w:rFonts w:ascii="Calibri"/>
                <w:sz w:val="20"/>
              </w:rPr>
              <w:t>0.60</w:t>
            </w:r>
          </w:p>
        </w:tc>
      </w:tr>
      <w:tr>
        <w:trPr>
          <w:trHeight w:val="300" w:hRule="atLeast"/>
        </w:trPr>
        <w:tc>
          <w:tcPr>
            <w:tcW w:w="761" w:type="dxa"/>
          </w:tcPr>
          <w:p>
            <w:pPr>
              <w:pStyle w:val="TableParagraph"/>
              <w:spacing w:before="9"/>
              <w:ind w:left="61" w:right="50"/>
              <w:rPr>
                <w:rFonts w:ascii="Calibri"/>
                <w:sz w:val="20"/>
              </w:rPr>
            </w:pPr>
            <w:r>
              <w:rPr>
                <w:rFonts w:ascii="Calibri"/>
                <w:sz w:val="20"/>
              </w:rPr>
              <w:t>450035</w:t>
            </w:r>
          </w:p>
        </w:tc>
        <w:tc>
          <w:tcPr>
            <w:tcW w:w="1184" w:type="dxa"/>
          </w:tcPr>
          <w:p>
            <w:pPr>
              <w:pStyle w:val="TableParagraph"/>
              <w:spacing w:before="9"/>
              <w:ind w:left="71"/>
              <w:jc w:val="left"/>
              <w:rPr>
                <w:rFonts w:ascii="Calibri"/>
                <w:sz w:val="20"/>
              </w:rPr>
            </w:pPr>
            <w:r>
              <w:rPr>
                <w:rFonts w:ascii="Calibri"/>
                <w:sz w:val="20"/>
              </w:rPr>
              <w:t>Branch_117</w:t>
            </w:r>
          </w:p>
        </w:tc>
        <w:tc>
          <w:tcPr>
            <w:tcW w:w="1011" w:type="dxa"/>
          </w:tcPr>
          <w:p>
            <w:pPr>
              <w:pStyle w:val="TableParagraph"/>
              <w:spacing w:before="9"/>
              <w:ind w:left="118" w:right="103"/>
              <w:rPr>
                <w:rFonts w:ascii="Calibri"/>
                <w:sz w:val="20"/>
              </w:rPr>
            </w:pPr>
            <w:r>
              <w:rPr>
                <w:rFonts w:ascii="Calibri"/>
                <w:sz w:val="20"/>
              </w:rPr>
              <w:t>652</w:t>
            </w:r>
          </w:p>
        </w:tc>
        <w:tc>
          <w:tcPr>
            <w:tcW w:w="888" w:type="dxa"/>
            <w:tcBorders>
              <w:right w:val="single" w:sz="4" w:space="0" w:color="000000"/>
            </w:tcBorders>
          </w:tcPr>
          <w:p>
            <w:pPr>
              <w:pStyle w:val="TableParagraph"/>
              <w:jc w:val="left"/>
              <w:rPr>
                <w:rFonts w:ascii="Times New Roman"/>
                <w:sz w:val="18"/>
              </w:rPr>
            </w:pPr>
          </w:p>
        </w:tc>
        <w:tc>
          <w:tcPr>
            <w:tcW w:w="695" w:type="dxa"/>
            <w:tcBorders>
              <w:left w:val="single" w:sz="4" w:space="0" w:color="000000"/>
            </w:tcBorders>
          </w:tcPr>
          <w:p>
            <w:pPr>
              <w:pStyle w:val="TableParagraph"/>
              <w:spacing w:before="9"/>
              <w:ind w:left="116" w:right="115"/>
              <w:rPr>
                <w:rFonts w:ascii="Calibri"/>
                <w:sz w:val="20"/>
              </w:rPr>
            </w:pPr>
            <w:r>
              <w:rPr>
                <w:rFonts w:ascii="Calibri"/>
                <w:sz w:val="20"/>
              </w:rPr>
              <w:t>23.3</w:t>
            </w:r>
          </w:p>
        </w:tc>
        <w:tc>
          <w:tcPr>
            <w:tcW w:w="1031" w:type="dxa"/>
          </w:tcPr>
          <w:p>
            <w:pPr>
              <w:pStyle w:val="TableParagraph"/>
              <w:spacing w:before="9"/>
              <w:ind w:left="32" w:right="49"/>
              <w:rPr>
                <w:rFonts w:ascii="Calibri"/>
                <w:sz w:val="20"/>
              </w:rPr>
            </w:pPr>
            <w:r>
              <w:rPr>
                <w:rFonts w:ascii="Calibri"/>
                <w:sz w:val="20"/>
              </w:rPr>
              <w:t>7.3</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0.71</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48.9</w:t>
            </w:r>
          </w:p>
        </w:tc>
        <w:tc>
          <w:tcPr>
            <w:tcW w:w="985" w:type="dxa"/>
          </w:tcPr>
          <w:p>
            <w:pPr>
              <w:pStyle w:val="TableParagraph"/>
              <w:spacing w:before="9"/>
              <w:ind w:left="33" w:right="33"/>
              <w:rPr>
                <w:rFonts w:ascii="Calibri"/>
                <w:sz w:val="20"/>
              </w:rPr>
            </w:pPr>
            <w:r>
              <w:rPr>
                <w:rFonts w:ascii="Calibri"/>
                <w:sz w:val="20"/>
              </w:rPr>
              <w:t>70.1</w:t>
            </w:r>
          </w:p>
        </w:tc>
        <w:tc>
          <w:tcPr>
            <w:tcW w:w="633" w:type="dxa"/>
          </w:tcPr>
          <w:p>
            <w:pPr>
              <w:pStyle w:val="TableParagraph"/>
              <w:spacing w:before="9"/>
              <w:ind w:left="92" w:right="146"/>
              <w:rPr>
                <w:rFonts w:ascii="Calibri"/>
                <w:sz w:val="20"/>
              </w:rPr>
            </w:pPr>
            <w:r>
              <w:rPr>
                <w:rFonts w:ascii="Calibri"/>
                <w:sz w:val="20"/>
              </w:rPr>
              <w:t>0.12</w:t>
            </w:r>
          </w:p>
        </w:tc>
      </w:tr>
      <w:tr>
        <w:trPr>
          <w:trHeight w:val="300" w:hRule="atLeast"/>
        </w:trPr>
        <w:tc>
          <w:tcPr>
            <w:tcW w:w="761" w:type="dxa"/>
          </w:tcPr>
          <w:p>
            <w:pPr>
              <w:pStyle w:val="TableParagraph"/>
              <w:spacing w:before="9"/>
              <w:ind w:left="61" w:right="50"/>
              <w:rPr>
                <w:rFonts w:ascii="Calibri"/>
                <w:sz w:val="20"/>
              </w:rPr>
            </w:pPr>
            <w:r>
              <w:rPr>
                <w:rFonts w:ascii="Calibri"/>
                <w:sz w:val="20"/>
              </w:rPr>
              <w:t>450043</w:t>
            </w:r>
          </w:p>
        </w:tc>
        <w:tc>
          <w:tcPr>
            <w:tcW w:w="1184" w:type="dxa"/>
          </w:tcPr>
          <w:p>
            <w:pPr>
              <w:pStyle w:val="TableParagraph"/>
              <w:spacing w:before="9"/>
              <w:ind w:left="71"/>
              <w:jc w:val="left"/>
              <w:rPr>
                <w:rFonts w:ascii="Calibri" w:hAnsi="Calibri"/>
                <w:sz w:val="20"/>
              </w:rPr>
            </w:pPr>
            <w:r>
              <w:rPr>
                <w:rFonts w:ascii="Calibri" w:hAnsi="Calibri"/>
                <w:sz w:val="20"/>
              </w:rPr>
              <w:t>Lindved Å</w:t>
            </w:r>
          </w:p>
        </w:tc>
        <w:tc>
          <w:tcPr>
            <w:tcW w:w="1011" w:type="dxa"/>
          </w:tcPr>
          <w:p>
            <w:pPr>
              <w:pStyle w:val="TableParagraph"/>
              <w:spacing w:before="9"/>
              <w:ind w:left="118" w:right="103"/>
              <w:rPr>
                <w:rFonts w:ascii="Calibri"/>
                <w:sz w:val="20"/>
              </w:rPr>
            </w:pPr>
            <w:r>
              <w:rPr>
                <w:rFonts w:ascii="Calibri"/>
                <w:sz w:val="20"/>
              </w:rPr>
              <w:t>19794</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64.7</w:t>
            </w:r>
          </w:p>
        </w:tc>
        <w:tc>
          <w:tcPr>
            <w:tcW w:w="695" w:type="dxa"/>
            <w:tcBorders>
              <w:left w:val="single" w:sz="4" w:space="0" w:color="000000"/>
            </w:tcBorders>
          </w:tcPr>
          <w:p>
            <w:pPr>
              <w:pStyle w:val="TableParagraph"/>
              <w:spacing w:before="9"/>
              <w:ind w:left="118" w:right="115"/>
              <w:rPr>
                <w:rFonts w:ascii="Calibri"/>
                <w:sz w:val="20"/>
              </w:rPr>
            </w:pPr>
            <w:r>
              <w:rPr>
                <w:rFonts w:ascii="Calibri"/>
                <w:sz w:val="20"/>
              </w:rPr>
              <w:t>-2.3</w:t>
            </w:r>
          </w:p>
        </w:tc>
        <w:tc>
          <w:tcPr>
            <w:tcW w:w="1031" w:type="dxa"/>
          </w:tcPr>
          <w:p>
            <w:pPr>
              <w:pStyle w:val="TableParagraph"/>
              <w:spacing w:before="9"/>
              <w:ind w:left="32" w:right="49"/>
              <w:rPr>
                <w:rFonts w:ascii="Calibri"/>
                <w:sz w:val="20"/>
              </w:rPr>
            </w:pPr>
            <w:r>
              <w:rPr>
                <w:rFonts w:ascii="Calibri"/>
                <w:sz w:val="20"/>
              </w:rPr>
              <w:t>6.4</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0.88</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15.1</w:t>
            </w:r>
          </w:p>
        </w:tc>
        <w:tc>
          <w:tcPr>
            <w:tcW w:w="985" w:type="dxa"/>
          </w:tcPr>
          <w:p>
            <w:pPr>
              <w:pStyle w:val="TableParagraph"/>
              <w:spacing w:before="9"/>
              <w:ind w:left="33" w:right="33"/>
              <w:rPr>
                <w:rFonts w:ascii="Calibri"/>
                <w:sz w:val="20"/>
              </w:rPr>
            </w:pPr>
            <w:r>
              <w:rPr>
                <w:rFonts w:ascii="Calibri"/>
                <w:sz w:val="20"/>
              </w:rPr>
              <w:t>19.4</w:t>
            </w:r>
          </w:p>
        </w:tc>
        <w:tc>
          <w:tcPr>
            <w:tcW w:w="633" w:type="dxa"/>
          </w:tcPr>
          <w:p>
            <w:pPr>
              <w:pStyle w:val="TableParagraph"/>
              <w:spacing w:before="9"/>
              <w:ind w:left="92" w:right="146"/>
              <w:rPr>
                <w:rFonts w:ascii="Calibri"/>
                <w:sz w:val="20"/>
              </w:rPr>
            </w:pPr>
            <w:r>
              <w:rPr>
                <w:rFonts w:ascii="Calibri"/>
                <w:sz w:val="20"/>
              </w:rPr>
              <w:t>0.71</w:t>
            </w:r>
          </w:p>
        </w:tc>
      </w:tr>
      <w:tr>
        <w:trPr>
          <w:trHeight w:val="300" w:hRule="atLeast"/>
        </w:trPr>
        <w:tc>
          <w:tcPr>
            <w:tcW w:w="761" w:type="dxa"/>
          </w:tcPr>
          <w:p>
            <w:pPr>
              <w:pStyle w:val="TableParagraph"/>
              <w:spacing w:before="9"/>
              <w:ind w:left="61" w:right="50"/>
              <w:rPr>
                <w:rFonts w:ascii="Calibri"/>
                <w:sz w:val="20"/>
              </w:rPr>
            </w:pPr>
            <w:r>
              <w:rPr>
                <w:rFonts w:ascii="Calibri"/>
                <w:sz w:val="20"/>
              </w:rPr>
              <w:t>450045</w:t>
            </w:r>
          </w:p>
        </w:tc>
        <w:tc>
          <w:tcPr>
            <w:tcW w:w="1184" w:type="dxa"/>
          </w:tcPr>
          <w:p>
            <w:pPr>
              <w:pStyle w:val="TableParagraph"/>
              <w:spacing w:before="9"/>
              <w:ind w:left="71"/>
              <w:jc w:val="left"/>
              <w:rPr>
                <w:rFonts w:ascii="Calibri" w:hAnsi="Calibri"/>
                <w:sz w:val="20"/>
              </w:rPr>
            </w:pPr>
            <w:r>
              <w:rPr>
                <w:rFonts w:ascii="Calibri" w:hAnsi="Calibri"/>
                <w:sz w:val="20"/>
              </w:rPr>
              <w:t>Odense Å</w:t>
            </w:r>
          </w:p>
        </w:tc>
        <w:tc>
          <w:tcPr>
            <w:tcW w:w="1011" w:type="dxa"/>
          </w:tcPr>
          <w:p>
            <w:pPr>
              <w:pStyle w:val="TableParagraph"/>
              <w:spacing w:before="9"/>
              <w:ind w:left="118" w:right="103"/>
              <w:rPr>
                <w:rFonts w:ascii="Calibri"/>
                <w:sz w:val="20"/>
              </w:rPr>
            </w:pPr>
            <w:r>
              <w:rPr>
                <w:rFonts w:ascii="Calibri"/>
                <w:sz w:val="20"/>
              </w:rPr>
              <w:t>276</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29.5</w:t>
            </w:r>
          </w:p>
        </w:tc>
        <w:tc>
          <w:tcPr>
            <w:tcW w:w="695" w:type="dxa"/>
            <w:tcBorders>
              <w:left w:val="single" w:sz="4" w:space="0" w:color="000000"/>
            </w:tcBorders>
          </w:tcPr>
          <w:p>
            <w:pPr>
              <w:pStyle w:val="TableParagraph"/>
              <w:spacing w:before="9"/>
              <w:ind w:left="118" w:right="115"/>
              <w:rPr>
                <w:rFonts w:ascii="Calibri"/>
                <w:sz w:val="20"/>
              </w:rPr>
            </w:pPr>
            <w:r>
              <w:rPr>
                <w:rFonts w:ascii="Calibri"/>
                <w:sz w:val="20"/>
              </w:rPr>
              <w:t>-23.6</w:t>
            </w:r>
          </w:p>
        </w:tc>
        <w:tc>
          <w:tcPr>
            <w:tcW w:w="1031" w:type="dxa"/>
          </w:tcPr>
          <w:p>
            <w:pPr>
              <w:pStyle w:val="TableParagraph"/>
              <w:spacing w:before="9"/>
              <w:ind w:left="33" w:right="48"/>
              <w:rPr>
                <w:rFonts w:ascii="Calibri"/>
                <w:sz w:val="20"/>
              </w:rPr>
            </w:pPr>
            <w:r>
              <w:rPr>
                <w:rFonts w:ascii="Calibri"/>
                <w:sz w:val="20"/>
              </w:rPr>
              <w:t>-23.2</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0.42</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9.7</w:t>
            </w:r>
          </w:p>
        </w:tc>
        <w:tc>
          <w:tcPr>
            <w:tcW w:w="985" w:type="dxa"/>
          </w:tcPr>
          <w:p>
            <w:pPr>
              <w:pStyle w:val="TableParagraph"/>
              <w:spacing w:before="9"/>
              <w:ind w:left="33" w:right="33"/>
              <w:rPr>
                <w:rFonts w:ascii="Calibri"/>
                <w:sz w:val="20"/>
              </w:rPr>
            </w:pPr>
            <w:r>
              <w:rPr>
                <w:rFonts w:ascii="Calibri"/>
                <w:sz w:val="20"/>
              </w:rPr>
              <w:t>12.2</w:t>
            </w:r>
          </w:p>
        </w:tc>
        <w:tc>
          <w:tcPr>
            <w:tcW w:w="633" w:type="dxa"/>
          </w:tcPr>
          <w:p>
            <w:pPr>
              <w:pStyle w:val="TableParagraph"/>
              <w:spacing w:before="9"/>
              <w:ind w:left="92" w:right="146"/>
              <w:rPr>
                <w:rFonts w:ascii="Calibri"/>
                <w:sz w:val="20"/>
              </w:rPr>
            </w:pPr>
            <w:r>
              <w:rPr>
                <w:rFonts w:ascii="Calibri"/>
                <w:sz w:val="20"/>
              </w:rPr>
              <w:t>0.64</w:t>
            </w:r>
          </w:p>
        </w:tc>
      </w:tr>
      <w:tr>
        <w:trPr>
          <w:trHeight w:val="313" w:hRule="atLeast"/>
        </w:trPr>
        <w:tc>
          <w:tcPr>
            <w:tcW w:w="761" w:type="dxa"/>
            <w:tcBorders>
              <w:bottom w:val="single" w:sz="4" w:space="0" w:color="000000"/>
            </w:tcBorders>
          </w:tcPr>
          <w:p>
            <w:pPr>
              <w:pStyle w:val="TableParagraph"/>
              <w:spacing w:before="9"/>
              <w:ind w:left="61" w:right="50"/>
              <w:rPr>
                <w:rFonts w:ascii="Calibri"/>
                <w:sz w:val="20"/>
              </w:rPr>
            </w:pPr>
            <w:r>
              <w:rPr>
                <w:rFonts w:ascii="Calibri"/>
                <w:sz w:val="20"/>
              </w:rPr>
              <w:t>450058</w:t>
            </w:r>
          </w:p>
        </w:tc>
        <w:tc>
          <w:tcPr>
            <w:tcW w:w="1184" w:type="dxa"/>
            <w:tcBorders>
              <w:bottom w:val="single" w:sz="4" w:space="0" w:color="000000"/>
            </w:tcBorders>
          </w:tcPr>
          <w:p>
            <w:pPr>
              <w:pStyle w:val="TableParagraph"/>
              <w:spacing w:before="9"/>
              <w:ind w:left="71"/>
              <w:jc w:val="left"/>
              <w:rPr>
                <w:rFonts w:ascii="Calibri" w:hAnsi="Calibri"/>
                <w:sz w:val="20"/>
              </w:rPr>
            </w:pPr>
            <w:r>
              <w:rPr>
                <w:rFonts w:ascii="Calibri" w:hAnsi="Calibri"/>
                <w:sz w:val="20"/>
              </w:rPr>
              <w:t>Gels Å</w:t>
            </w:r>
          </w:p>
        </w:tc>
        <w:tc>
          <w:tcPr>
            <w:tcW w:w="1011" w:type="dxa"/>
            <w:tcBorders>
              <w:bottom w:val="single" w:sz="4" w:space="0" w:color="000000"/>
            </w:tcBorders>
          </w:tcPr>
          <w:p>
            <w:pPr>
              <w:pStyle w:val="TableParagraph"/>
              <w:spacing w:before="9"/>
              <w:ind w:left="118" w:right="103"/>
              <w:rPr>
                <w:rFonts w:ascii="Calibri"/>
                <w:sz w:val="20"/>
              </w:rPr>
            </w:pPr>
            <w:r>
              <w:rPr>
                <w:rFonts w:ascii="Calibri"/>
                <w:sz w:val="20"/>
              </w:rPr>
              <w:t>11015</w:t>
            </w:r>
          </w:p>
        </w:tc>
        <w:tc>
          <w:tcPr>
            <w:tcW w:w="888" w:type="dxa"/>
            <w:tcBorders>
              <w:bottom w:val="single" w:sz="4" w:space="0" w:color="000000"/>
              <w:right w:val="single" w:sz="4" w:space="0" w:color="000000"/>
            </w:tcBorders>
          </w:tcPr>
          <w:p>
            <w:pPr>
              <w:pStyle w:val="TableParagraph"/>
              <w:spacing w:before="9"/>
              <w:ind w:left="169" w:right="218"/>
              <w:rPr>
                <w:rFonts w:ascii="Calibri"/>
                <w:sz w:val="20"/>
              </w:rPr>
            </w:pPr>
            <w:r>
              <w:rPr>
                <w:rFonts w:ascii="Calibri"/>
                <w:sz w:val="20"/>
              </w:rPr>
              <w:t>28.3</w:t>
            </w:r>
          </w:p>
        </w:tc>
        <w:tc>
          <w:tcPr>
            <w:tcW w:w="695" w:type="dxa"/>
            <w:tcBorders>
              <w:left w:val="single" w:sz="4" w:space="0" w:color="000000"/>
              <w:bottom w:val="single" w:sz="4" w:space="0" w:color="000000"/>
            </w:tcBorders>
          </w:tcPr>
          <w:p>
            <w:pPr>
              <w:pStyle w:val="TableParagraph"/>
              <w:spacing w:before="9"/>
              <w:ind w:left="118" w:right="115"/>
              <w:rPr>
                <w:rFonts w:ascii="Calibri"/>
                <w:sz w:val="20"/>
              </w:rPr>
            </w:pPr>
            <w:r>
              <w:rPr>
                <w:rFonts w:ascii="Calibri"/>
                <w:sz w:val="20"/>
              </w:rPr>
              <w:t>-0.4</w:t>
            </w:r>
          </w:p>
        </w:tc>
        <w:tc>
          <w:tcPr>
            <w:tcW w:w="1031" w:type="dxa"/>
            <w:tcBorders>
              <w:bottom w:val="single" w:sz="4" w:space="0" w:color="000000"/>
            </w:tcBorders>
          </w:tcPr>
          <w:p>
            <w:pPr>
              <w:pStyle w:val="TableParagraph"/>
              <w:spacing w:before="9"/>
              <w:ind w:left="32" w:right="49"/>
              <w:rPr>
                <w:rFonts w:ascii="Calibri"/>
                <w:sz w:val="20"/>
              </w:rPr>
            </w:pPr>
            <w:r>
              <w:rPr>
                <w:rFonts w:ascii="Calibri"/>
                <w:sz w:val="20"/>
              </w:rPr>
              <w:t>0.6</w:t>
            </w:r>
          </w:p>
        </w:tc>
        <w:tc>
          <w:tcPr>
            <w:tcW w:w="685" w:type="dxa"/>
            <w:tcBorders>
              <w:bottom w:val="single" w:sz="4" w:space="0" w:color="000000"/>
              <w:right w:val="single" w:sz="4" w:space="0" w:color="000000"/>
            </w:tcBorders>
          </w:tcPr>
          <w:p>
            <w:pPr>
              <w:pStyle w:val="TableParagraph"/>
              <w:spacing w:before="9"/>
              <w:ind w:left="130" w:right="154"/>
              <w:rPr>
                <w:rFonts w:ascii="Calibri"/>
                <w:sz w:val="20"/>
              </w:rPr>
            </w:pPr>
            <w:r>
              <w:rPr>
                <w:rFonts w:ascii="Calibri"/>
                <w:sz w:val="20"/>
              </w:rPr>
              <w:t>0.82</w:t>
            </w:r>
          </w:p>
        </w:tc>
        <w:tc>
          <w:tcPr>
            <w:tcW w:w="654" w:type="dxa"/>
            <w:tcBorders>
              <w:left w:val="single" w:sz="4" w:space="0" w:color="000000"/>
              <w:bottom w:val="single" w:sz="4" w:space="0" w:color="000000"/>
            </w:tcBorders>
          </w:tcPr>
          <w:p>
            <w:pPr>
              <w:pStyle w:val="TableParagraph"/>
              <w:spacing w:before="9"/>
              <w:ind w:left="147" w:right="107"/>
              <w:rPr>
                <w:rFonts w:ascii="Calibri"/>
                <w:sz w:val="20"/>
              </w:rPr>
            </w:pPr>
            <w:r>
              <w:rPr>
                <w:rFonts w:ascii="Calibri"/>
                <w:sz w:val="20"/>
              </w:rPr>
              <w:t>1.2</w:t>
            </w:r>
          </w:p>
        </w:tc>
        <w:tc>
          <w:tcPr>
            <w:tcW w:w="985" w:type="dxa"/>
            <w:tcBorders>
              <w:bottom w:val="single" w:sz="4" w:space="0" w:color="000000"/>
            </w:tcBorders>
          </w:tcPr>
          <w:p>
            <w:pPr>
              <w:pStyle w:val="TableParagraph"/>
              <w:spacing w:before="9"/>
              <w:ind w:left="33" w:right="33"/>
              <w:rPr>
                <w:rFonts w:ascii="Calibri"/>
                <w:sz w:val="20"/>
              </w:rPr>
            </w:pPr>
            <w:r>
              <w:rPr>
                <w:rFonts w:ascii="Calibri"/>
                <w:sz w:val="20"/>
              </w:rPr>
              <w:t>11.2</w:t>
            </w:r>
          </w:p>
        </w:tc>
        <w:tc>
          <w:tcPr>
            <w:tcW w:w="633" w:type="dxa"/>
            <w:tcBorders>
              <w:bottom w:val="single" w:sz="4" w:space="0" w:color="000000"/>
            </w:tcBorders>
          </w:tcPr>
          <w:p>
            <w:pPr>
              <w:pStyle w:val="TableParagraph"/>
              <w:spacing w:before="9"/>
              <w:ind w:left="92" w:right="146"/>
              <w:rPr>
                <w:rFonts w:ascii="Calibri"/>
                <w:sz w:val="20"/>
              </w:rPr>
            </w:pPr>
            <w:r>
              <w:rPr>
                <w:rFonts w:ascii="Calibri"/>
                <w:sz w:val="20"/>
              </w:rPr>
              <w:t>0.61</w:t>
            </w:r>
          </w:p>
        </w:tc>
      </w:tr>
    </w:tbl>
    <w:p>
      <w:pPr>
        <w:pStyle w:val="BodyText"/>
        <w:spacing w:before="6"/>
        <w:rPr>
          <w:rFonts w:ascii="Calibri"/>
          <w:i/>
          <w:sz w:val="23"/>
        </w:rPr>
      </w:pPr>
    </w:p>
    <w:p>
      <w:pPr>
        <w:spacing w:before="0"/>
        <w:ind w:left="525" w:right="0" w:firstLine="0"/>
        <w:jc w:val="left"/>
        <w:rPr>
          <w:rFonts w:ascii="Calibri" w:hAnsi="Calibri"/>
          <w:i/>
          <w:sz w:val="18"/>
        </w:rPr>
      </w:pPr>
      <w:r>
        <w:rPr>
          <w:rFonts w:ascii="Calibri" w:hAnsi="Calibri"/>
          <w:i/>
          <w:color w:val="44536A"/>
          <w:sz w:val="18"/>
        </w:rPr>
        <w:t>Tabel 15 Performance statistik for vandføring for Odense Å for </w:t>
      </w:r>
      <w:r>
        <w:rPr>
          <w:rFonts w:ascii="Calibri" w:hAnsi="Calibri"/>
          <w:b/>
          <w:i/>
          <w:color w:val="44536A"/>
          <w:sz w:val="18"/>
        </w:rPr>
        <w:t>100m_Jup </w:t>
      </w:r>
      <w:r>
        <w:rPr>
          <w:rFonts w:ascii="Calibri" w:hAnsi="Calibri"/>
          <w:i/>
          <w:color w:val="44536A"/>
          <w:sz w:val="18"/>
        </w:rPr>
        <w:t>modellen.</w:t>
      </w:r>
    </w:p>
    <w:p>
      <w:pPr>
        <w:pStyle w:val="BodyText"/>
        <w:spacing w:before="3" w:after="1"/>
        <w:rPr>
          <w:rFonts w:ascii="Calibri"/>
          <w:i/>
          <w:sz w:val="24"/>
        </w:rPr>
      </w:pPr>
    </w:p>
    <w:tbl>
      <w:tblPr>
        <w:tblW w:w="0" w:type="auto"/>
        <w:jc w:val="left"/>
        <w:tblInd w:w="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61"/>
        <w:gridCol w:w="1184"/>
        <w:gridCol w:w="1011"/>
        <w:gridCol w:w="888"/>
        <w:gridCol w:w="695"/>
        <w:gridCol w:w="1031"/>
        <w:gridCol w:w="685"/>
        <w:gridCol w:w="654"/>
        <w:gridCol w:w="985"/>
        <w:gridCol w:w="633"/>
      </w:tblGrid>
      <w:tr>
        <w:trPr>
          <w:trHeight w:val="202" w:hRule="atLeast"/>
        </w:trPr>
        <w:tc>
          <w:tcPr>
            <w:tcW w:w="1945" w:type="dxa"/>
            <w:gridSpan w:val="2"/>
          </w:tcPr>
          <w:p>
            <w:pPr>
              <w:pStyle w:val="TableParagraph"/>
              <w:spacing w:line="182" w:lineRule="exact"/>
              <w:ind w:left="83"/>
              <w:jc w:val="left"/>
              <w:rPr>
                <w:rFonts w:ascii="Calibri"/>
                <w:b/>
                <w:sz w:val="20"/>
              </w:rPr>
            </w:pPr>
            <w:r>
              <w:rPr>
                <w:rFonts w:ascii="Calibri"/>
                <w:b/>
                <w:sz w:val="20"/>
              </w:rPr>
              <w:t>100m_Jup</w:t>
            </w:r>
          </w:p>
        </w:tc>
        <w:tc>
          <w:tcPr>
            <w:tcW w:w="1011" w:type="dxa"/>
          </w:tcPr>
          <w:p>
            <w:pPr>
              <w:pStyle w:val="TableParagraph"/>
              <w:jc w:val="left"/>
              <w:rPr>
                <w:rFonts w:ascii="Times New Roman"/>
                <w:sz w:val="14"/>
              </w:rPr>
            </w:pPr>
          </w:p>
        </w:tc>
        <w:tc>
          <w:tcPr>
            <w:tcW w:w="888" w:type="dxa"/>
          </w:tcPr>
          <w:p>
            <w:pPr>
              <w:pStyle w:val="TableParagraph"/>
              <w:jc w:val="left"/>
              <w:rPr>
                <w:rFonts w:ascii="Times New Roman"/>
                <w:sz w:val="14"/>
              </w:rPr>
            </w:pPr>
          </w:p>
        </w:tc>
        <w:tc>
          <w:tcPr>
            <w:tcW w:w="695" w:type="dxa"/>
          </w:tcPr>
          <w:p>
            <w:pPr>
              <w:pStyle w:val="TableParagraph"/>
              <w:jc w:val="left"/>
              <w:rPr>
                <w:rFonts w:ascii="Times New Roman"/>
                <w:sz w:val="14"/>
              </w:rPr>
            </w:pPr>
          </w:p>
        </w:tc>
        <w:tc>
          <w:tcPr>
            <w:tcW w:w="1031" w:type="dxa"/>
          </w:tcPr>
          <w:p>
            <w:pPr>
              <w:pStyle w:val="TableParagraph"/>
              <w:spacing w:line="182" w:lineRule="exact"/>
              <w:ind w:left="33" w:right="49"/>
              <w:rPr>
                <w:rFonts w:ascii="Calibri"/>
                <w:b/>
                <w:sz w:val="20"/>
              </w:rPr>
            </w:pPr>
            <w:r>
              <w:rPr>
                <w:rFonts w:ascii="Calibri"/>
                <w:b/>
                <w:sz w:val="20"/>
              </w:rPr>
              <w:t>Kalibrering</w:t>
            </w:r>
          </w:p>
        </w:tc>
        <w:tc>
          <w:tcPr>
            <w:tcW w:w="685" w:type="dxa"/>
          </w:tcPr>
          <w:p>
            <w:pPr>
              <w:pStyle w:val="TableParagraph"/>
              <w:jc w:val="left"/>
              <w:rPr>
                <w:rFonts w:ascii="Times New Roman"/>
                <w:sz w:val="14"/>
              </w:rPr>
            </w:pPr>
          </w:p>
        </w:tc>
        <w:tc>
          <w:tcPr>
            <w:tcW w:w="654" w:type="dxa"/>
          </w:tcPr>
          <w:p>
            <w:pPr>
              <w:pStyle w:val="TableParagraph"/>
              <w:jc w:val="left"/>
              <w:rPr>
                <w:rFonts w:ascii="Times New Roman"/>
                <w:sz w:val="14"/>
              </w:rPr>
            </w:pPr>
          </w:p>
        </w:tc>
        <w:tc>
          <w:tcPr>
            <w:tcW w:w="985" w:type="dxa"/>
          </w:tcPr>
          <w:p>
            <w:pPr>
              <w:pStyle w:val="TableParagraph"/>
              <w:spacing w:line="182" w:lineRule="exact"/>
              <w:ind w:left="33" w:right="65"/>
              <w:rPr>
                <w:rFonts w:ascii="Calibri"/>
                <w:b/>
                <w:sz w:val="20"/>
              </w:rPr>
            </w:pPr>
            <w:r>
              <w:rPr>
                <w:rFonts w:ascii="Calibri"/>
                <w:b/>
                <w:sz w:val="20"/>
              </w:rPr>
              <w:t>Validering</w:t>
            </w:r>
          </w:p>
        </w:tc>
        <w:tc>
          <w:tcPr>
            <w:tcW w:w="633" w:type="dxa"/>
          </w:tcPr>
          <w:p>
            <w:pPr>
              <w:pStyle w:val="TableParagraph"/>
              <w:jc w:val="left"/>
              <w:rPr>
                <w:rFonts w:ascii="Times New Roman"/>
                <w:sz w:val="14"/>
              </w:rPr>
            </w:pPr>
          </w:p>
        </w:tc>
      </w:tr>
      <w:tr>
        <w:trPr>
          <w:trHeight w:val="489" w:hRule="atLeast"/>
        </w:trPr>
        <w:tc>
          <w:tcPr>
            <w:tcW w:w="761" w:type="dxa"/>
            <w:tcBorders>
              <w:bottom w:val="single" w:sz="4" w:space="0" w:color="000000"/>
            </w:tcBorders>
          </w:tcPr>
          <w:p>
            <w:pPr>
              <w:pStyle w:val="TableParagraph"/>
              <w:spacing w:before="2"/>
              <w:jc w:val="left"/>
              <w:rPr>
                <w:rFonts w:ascii="Calibri"/>
                <w:i/>
                <w:sz w:val="20"/>
              </w:rPr>
            </w:pPr>
          </w:p>
          <w:p>
            <w:pPr>
              <w:pStyle w:val="TableParagraph"/>
              <w:spacing w:line="223" w:lineRule="exact"/>
              <w:ind w:left="36" w:right="50"/>
              <w:rPr>
                <w:rFonts w:ascii="Calibri"/>
                <w:sz w:val="20"/>
              </w:rPr>
            </w:pPr>
            <w:r>
              <w:rPr>
                <w:rFonts w:ascii="Calibri"/>
                <w:sz w:val="20"/>
              </w:rPr>
              <w:t>Station</w:t>
            </w:r>
          </w:p>
        </w:tc>
        <w:tc>
          <w:tcPr>
            <w:tcW w:w="1184" w:type="dxa"/>
            <w:tcBorders>
              <w:bottom w:val="single" w:sz="4" w:space="0" w:color="000000"/>
            </w:tcBorders>
          </w:tcPr>
          <w:p>
            <w:pPr>
              <w:pStyle w:val="TableParagraph"/>
              <w:spacing w:before="2"/>
              <w:jc w:val="left"/>
              <w:rPr>
                <w:rFonts w:ascii="Calibri"/>
                <w:i/>
                <w:sz w:val="20"/>
              </w:rPr>
            </w:pPr>
          </w:p>
          <w:p>
            <w:pPr>
              <w:pStyle w:val="TableParagraph"/>
              <w:spacing w:line="223" w:lineRule="exact"/>
              <w:ind w:left="71"/>
              <w:jc w:val="left"/>
              <w:rPr>
                <w:rFonts w:ascii="Calibri"/>
                <w:sz w:val="20"/>
              </w:rPr>
            </w:pPr>
            <w:r>
              <w:rPr>
                <w:rFonts w:ascii="Calibri"/>
                <w:sz w:val="20"/>
              </w:rPr>
              <w:t>Branch</w:t>
            </w:r>
          </w:p>
        </w:tc>
        <w:tc>
          <w:tcPr>
            <w:tcW w:w="1011" w:type="dxa"/>
            <w:tcBorders>
              <w:bottom w:val="single" w:sz="4" w:space="0" w:color="000000"/>
            </w:tcBorders>
          </w:tcPr>
          <w:p>
            <w:pPr>
              <w:pStyle w:val="TableParagraph"/>
              <w:spacing w:before="2"/>
              <w:jc w:val="left"/>
              <w:rPr>
                <w:rFonts w:ascii="Calibri"/>
                <w:i/>
                <w:sz w:val="20"/>
              </w:rPr>
            </w:pPr>
          </w:p>
          <w:p>
            <w:pPr>
              <w:pStyle w:val="TableParagraph"/>
              <w:spacing w:line="223" w:lineRule="exact"/>
              <w:ind w:left="120" w:right="103"/>
              <w:rPr>
                <w:rFonts w:ascii="Calibri"/>
                <w:sz w:val="20"/>
              </w:rPr>
            </w:pPr>
            <w:r>
              <w:rPr>
                <w:rFonts w:ascii="Calibri"/>
                <w:sz w:val="20"/>
              </w:rPr>
              <w:t>Chainage</w:t>
            </w:r>
          </w:p>
        </w:tc>
        <w:tc>
          <w:tcPr>
            <w:tcW w:w="888" w:type="dxa"/>
            <w:tcBorders>
              <w:bottom w:val="single" w:sz="4" w:space="0" w:color="000000"/>
              <w:right w:val="single" w:sz="4" w:space="0" w:color="000000"/>
            </w:tcBorders>
          </w:tcPr>
          <w:p>
            <w:pPr>
              <w:pStyle w:val="TableParagraph"/>
              <w:spacing w:line="240" w:lineRule="atLeast" w:before="1"/>
              <w:ind w:left="202" w:right="153" w:hanging="82"/>
              <w:jc w:val="left"/>
              <w:rPr>
                <w:rFonts w:ascii="Calibri"/>
                <w:sz w:val="20"/>
              </w:rPr>
            </w:pPr>
            <w:r>
              <w:rPr>
                <w:rFonts w:ascii="Calibri"/>
                <w:sz w:val="20"/>
              </w:rPr>
              <w:t>Opland [km2]</w:t>
            </w:r>
          </w:p>
        </w:tc>
        <w:tc>
          <w:tcPr>
            <w:tcW w:w="695" w:type="dxa"/>
            <w:tcBorders>
              <w:left w:val="single" w:sz="4" w:space="0" w:color="000000"/>
              <w:bottom w:val="single" w:sz="4" w:space="0" w:color="000000"/>
            </w:tcBorders>
          </w:tcPr>
          <w:p>
            <w:pPr>
              <w:pStyle w:val="TableParagraph"/>
              <w:spacing w:line="240" w:lineRule="atLeast" w:before="1"/>
              <w:ind w:left="214" w:right="170" w:hanging="22"/>
              <w:jc w:val="left"/>
              <w:rPr>
                <w:rFonts w:ascii="Calibri"/>
                <w:sz w:val="20"/>
              </w:rPr>
            </w:pPr>
            <w:r>
              <w:rPr>
                <w:rFonts w:ascii="Calibri"/>
                <w:sz w:val="20"/>
              </w:rPr>
              <w:t>fbal [%]</w:t>
            </w:r>
          </w:p>
        </w:tc>
        <w:tc>
          <w:tcPr>
            <w:tcW w:w="1031" w:type="dxa"/>
            <w:tcBorders>
              <w:bottom w:val="single" w:sz="4" w:space="0" w:color="000000"/>
            </w:tcBorders>
          </w:tcPr>
          <w:p>
            <w:pPr>
              <w:pStyle w:val="TableParagraph"/>
              <w:spacing w:line="240" w:lineRule="atLeast" w:before="1"/>
              <w:ind w:left="374" w:right="133" w:hanging="241"/>
              <w:jc w:val="left"/>
              <w:rPr>
                <w:rFonts w:ascii="Calibri"/>
                <w:sz w:val="20"/>
              </w:rPr>
            </w:pPr>
            <w:r>
              <w:rPr>
                <w:rFonts w:ascii="Calibri"/>
                <w:position w:val="1"/>
                <w:sz w:val="20"/>
              </w:rPr>
              <w:t>fbal</w:t>
            </w:r>
            <w:r>
              <w:rPr>
                <w:rFonts w:ascii="Calibri"/>
                <w:sz w:val="13"/>
              </w:rPr>
              <w:t>sommer </w:t>
            </w:r>
            <w:r>
              <w:rPr>
                <w:rFonts w:ascii="Calibri"/>
                <w:sz w:val="20"/>
              </w:rPr>
              <w:t>[%]</w:t>
            </w:r>
          </w:p>
        </w:tc>
        <w:tc>
          <w:tcPr>
            <w:tcW w:w="685" w:type="dxa"/>
            <w:tcBorders>
              <w:bottom w:val="single" w:sz="4" w:space="0" w:color="000000"/>
              <w:right w:val="single" w:sz="4" w:space="0" w:color="000000"/>
            </w:tcBorders>
          </w:tcPr>
          <w:p>
            <w:pPr>
              <w:pStyle w:val="TableParagraph"/>
              <w:spacing w:line="240" w:lineRule="atLeast" w:before="1"/>
              <w:ind w:left="236" w:right="190" w:hanging="68"/>
              <w:jc w:val="left"/>
              <w:rPr>
                <w:rFonts w:ascii="Calibri"/>
                <w:sz w:val="20"/>
              </w:rPr>
            </w:pPr>
            <w:r>
              <w:rPr>
                <w:rFonts w:ascii="Calibri"/>
                <w:sz w:val="20"/>
              </w:rPr>
              <w:t>NSE [-]</w:t>
            </w:r>
          </w:p>
        </w:tc>
        <w:tc>
          <w:tcPr>
            <w:tcW w:w="654" w:type="dxa"/>
            <w:tcBorders>
              <w:left w:val="single" w:sz="4" w:space="0" w:color="000000"/>
              <w:bottom w:val="single" w:sz="4" w:space="0" w:color="000000"/>
            </w:tcBorders>
          </w:tcPr>
          <w:p>
            <w:pPr>
              <w:pStyle w:val="TableParagraph"/>
              <w:spacing w:line="240" w:lineRule="atLeast" w:before="1"/>
              <w:ind w:left="213" w:right="130" w:hanging="22"/>
              <w:jc w:val="left"/>
              <w:rPr>
                <w:rFonts w:ascii="Calibri"/>
                <w:sz w:val="20"/>
              </w:rPr>
            </w:pPr>
            <w:r>
              <w:rPr>
                <w:rFonts w:ascii="Calibri"/>
                <w:sz w:val="20"/>
              </w:rPr>
              <w:t>fbal [%]</w:t>
            </w:r>
          </w:p>
        </w:tc>
        <w:tc>
          <w:tcPr>
            <w:tcW w:w="985" w:type="dxa"/>
            <w:tcBorders>
              <w:bottom w:val="single" w:sz="4" w:space="0" w:color="000000"/>
            </w:tcBorders>
          </w:tcPr>
          <w:p>
            <w:pPr>
              <w:pStyle w:val="TableParagraph"/>
              <w:spacing w:line="240" w:lineRule="atLeast" w:before="1"/>
              <w:ind w:left="359" w:hanging="238"/>
              <w:jc w:val="left"/>
              <w:rPr>
                <w:rFonts w:ascii="Calibri"/>
                <w:sz w:val="20"/>
              </w:rPr>
            </w:pPr>
            <w:r>
              <w:rPr>
                <w:rFonts w:ascii="Calibri"/>
                <w:w w:val="95"/>
                <w:position w:val="1"/>
                <w:sz w:val="20"/>
              </w:rPr>
              <w:t>fbal</w:t>
            </w:r>
            <w:r>
              <w:rPr>
                <w:rFonts w:ascii="Calibri"/>
                <w:w w:val="95"/>
                <w:sz w:val="13"/>
              </w:rPr>
              <w:t>sommer </w:t>
            </w:r>
            <w:r>
              <w:rPr>
                <w:rFonts w:ascii="Calibri"/>
                <w:sz w:val="20"/>
              </w:rPr>
              <w:t>[%]</w:t>
            </w:r>
          </w:p>
        </w:tc>
        <w:tc>
          <w:tcPr>
            <w:tcW w:w="633" w:type="dxa"/>
            <w:tcBorders>
              <w:bottom w:val="single" w:sz="4" w:space="0" w:color="000000"/>
            </w:tcBorders>
          </w:tcPr>
          <w:p>
            <w:pPr>
              <w:pStyle w:val="TableParagraph"/>
              <w:spacing w:line="240" w:lineRule="atLeast" w:before="1"/>
              <w:ind w:left="195" w:right="184" w:hanging="68"/>
              <w:jc w:val="left"/>
              <w:rPr>
                <w:rFonts w:ascii="Calibri"/>
                <w:sz w:val="20"/>
              </w:rPr>
            </w:pPr>
            <w:r>
              <w:rPr>
                <w:rFonts w:ascii="Calibri"/>
                <w:sz w:val="20"/>
              </w:rPr>
              <w:t>NSE [-]</w:t>
            </w:r>
          </w:p>
        </w:tc>
      </w:tr>
      <w:tr>
        <w:trPr>
          <w:trHeight w:val="289" w:hRule="atLeast"/>
        </w:trPr>
        <w:tc>
          <w:tcPr>
            <w:tcW w:w="761" w:type="dxa"/>
            <w:tcBorders>
              <w:top w:val="single" w:sz="4" w:space="0" w:color="000000"/>
            </w:tcBorders>
          </w:tcPr>
          <w:p>
            <w:pPr>
              <w:pStyle w:val="TableParagraph"/>
              <w:spacing w:line="243" w:lineRule="exact"/>
              <w:ind w:left="61" w:right="50"/>
              <w:rPr>
                <w:rFonts w:ascii="Calibri"/>
                <w:sz w:val="20"/>
              </w:rPr>
            </w:pPr>
            <w:r>
              <w:rPr>
                <w:rFonts w:ascii="Calibri"/>
                <w:sz w:val="20"/>
              </w:rPr>
              <w:t>450001</w:t>
            </w:r>
          </w:p>
        </w:tc>
        <w:tc>
          <w:tcPr>
            <w:tcW w:w="1184" w:type="dxa"/>
            <w:tcBorders>
              <w:top w:val="single" w:sz="4" w:space="0" w:color="000000"/>
            </w:tcBorders>
          </w:tcPr>
          <w:p>
            <w:pPr>
              <w:pStyle w:val="TableParagraph"/>
              <w:spacing w:line="243" w:lineRule="exact"/>
              <w:ind w:left="71"/>
              <w:jc w:val="left"/>
              <w:rPr>
                <w:rFonts w:ascii="Calibri"/>
                <w:sz w:val="20"/>
              </w:rPr>
            </w:pPr>
            <w:r>
              <w:rPr>
                <w:rFonts w:ascii="Calibri"/>
                <w:sz w:val="20"/>
              </w:rPr>
              <w:t>Odense_AA</w:t>
            </w:r>
          </w:p>
        </w:tc>
        <w:tc>
          <w:tcPr>
            <w:tcW w:w="1011" w:type="dxa"/>
            <w:tcBorders>
              <w:top w:val="single" w:sz="4" w:space="0" w:color="000000"/>
            </w:tcBorders>
          </w:tcPr>
          <w:p>
            <w:pPr>
              <w:pStyle w:val="TableParagraph"/>
              <w:spacing w:line="243" w:lineRule="exact"/>
              <w:ind w:left="118" w:right="103"/>
              <w:rPr>
                <w:rFonts w:ascii="Calibri"/>
                <w:sz w:val="20"/>
              </w:rPr>
            </w:pPr>
            <w:r>
              <w:rPr>
                <w:rFonts w:ascii="Calibri"/>
                <w:sz w:val="20"/>
              </w:rPr>
              <w:t>45365</w:t>
            </w:r>
          </w:p>
        </w:tc>
        <w:tc>
          <w:tcPr>
            <w:tcW w:w="888" w:type="dxa"/>
            <w:tcBorders>
              <w:top w:val="single" w:sz="4" w:space="0" w:color="000000"/>
              <w:right w:val="single" w:sz="4" w:space="0" w:color="000000"/>
            </w:tcBorders>
          </w:tcPr>
          <w:p>
            <w:pPr>
              <w:pStyle w:val="TableParagraph"/>
              <w:spacing w:line="243" w:lineRule="exact"/>
              <w:ind w:left="169" w:right="218"/>
              <w:rPr>
                <w:rFonts w:ascii="Calibri"/>
                <w:sz w:val="20"/>
              </w:rPr>
            </w:pPr>
            <w:r>
              <w:rPr>
                <w:rFonts w:ascii="Calibri"/>
                <w:sz w:val="20"/>
              </w:rPr>
              <w:t>535.1</w:t>
            </w:r>
          </w:p>
        </w:tc>
        <w:tc>
          <w:tcPr>
            <w:tcW w:w="695" w:type="dxa"/>
            <w:tcBorders>
              <w:top w:val="single" w:sz="4" w:space="0" w:color="000000"/>
              <w:left w:val="single" w:sz="4" w:space="0" w:color="000000"/>
            </w:tcBorders>
          </w:tcPr>
          <w:p>
            <w:pPr>
              <w:pStyle w:val="TableParagraph"/>
              <w:spacing w:line="243" w:lineRule="exact"/>
              <w:ind w:left="116" w:right="115"/>
              <w:rPr>
                <w:rFonts w:ascii="Calibri"/>
                <w:sz w:val="20"/>
              </w:rPr>
            </w:pPr>
            <w:r>
              <w:rPr>
                <w:rFonts w:ascii="Calibri"/>
                <w:sz w:val="20"/>
              </w:rPr>
              <w:t>4.9</w:t>
            </w:r>
          </w:p>
        </w:tc>
        <w:tc>
          <w:tcPr>
            <w:tcW w:w="1031" w:type="dxa"/>
            <w:tcBorders>
              <w:top w:val="single" w:sz="4" w:space="0" w:color="000000"/>
            </w:tcBorders>
          </w:tcPr>
          <w:p>
            <w:pPr>
              <w:pStyle w:val="TableParagraph"/>
              <w:spacing w:line="243" w:lineRule="exact"/>
              <w:ind w:left="33" w:right="48"/>
              <w:rPr>
                <w:rFonts w:ascii="Calibri"/>
                <w:sz w:val="20"/>
              </w:rPr>
            </w:pPr>
            <w:r>
              <w:rPr>
                <w:rFonts w:ascii="Calibri"/>
                <w:sz w:val="20"/>
              </w:rPr>
              <w:t>-3.5</w:t>
            </w:r>
          </w:p>
        </w:tc>
        <w:tc>
          <w:tcPr>
            <w:tcW w:w="685" w:type="dxa"/>
            <w:tcBorders>
              <w:top w:val="single" w:sz="4" w:space="0" w:color="000000"/>
              <w:right w:val="single" w:sz="4" w:space="0" w:color="000000"/>
            </w:tcBorders>
          </w:tcPr>
          <w:p>
            <w:pPr>
              <w:pStyle w:val="TableParagraph"/>
              <w:spacing w:line="243" w:lineRule="exact"/>
              <w:ind w:left="130" w:right="154"/>
              <w:rPr>
                <w:rFonts w:ascii="Calibri"/>
                <w:sz w:val="20"/>
              </w:rPr>
            </w:pPr>
            <w:r>
              <w:rPr>
                <w:rFonts w:ascii="Calibri"/>
                <w:sz w:val="20"/>
              </w:rPr>
              <w:t>0.89</w:t>
            </w:r>
          </w:p>
        </w:tc>
        <w:tc>
          <w:tcPr>
            <w:tcW w:w="654" w:type="dxa"/>
            <w:tcBorders>
              <w:top w:val="single" w:sz="4" w:space="0" w:color="000000"/>
              <w:left w:val="single" w:sz="4" w:space="0" w:color="000000"/>
            </w:tcBorders>
          </w:tcPr>
          <w:p>
            <w:pPr>
              <w:pStyle w:val="TableParagraph"/>
              <w:spacing w:line="243" w:lineRule="exact"/>
              <w:ind w:left="147" w:right="107"/>
              <w:rPr>
                <w:rFonts w:ascii="Calibri"/>
                <w:sz w:val="20"/>
              </w:rPr>
            </w:pPr>
            <w:r>
              <w:rPr>
                <w:rFonts w:ascii="Calibri"/>
                <w:sz w:val="20"/>
              </w:rPr>
              <w:t>21.6</w:t>
            </w:r>
          </w:p>
        </w:tc>
        <w:tc>
          <w:tcPr>
            <w:tcW w:w="985" w:type="dxa"/>
            <w:tcBorders>
              <w:top w:val="single" w:sz="4" w:space="0" w:color="000000"/>
            </w:tcBorders>
          </w:tcPr>
          <w:p>
            <w:pPr>
              <w:pStyle w:val="TableParagraph"/>
              <w:spacing w:line="243" w:lineRule="exact"/>
              <w:ind w:left="33" w:right="33"/>
              <w:rPr>
                <w:rFonts w:ascii="Calibri"/>
                <w:sz w:val="20"/>
              </w:rPr>
            </w:pPr>
            <w:r>
              <w:rPr>
                <w:rFonts w:ascii="Calibri"/>
                <w:sz w:val="20"/>
              </w:rPr>
              <w:t>16.5</w:t>
            </w:r>
          </w:p>
        </w:tc>
        <w:tc>
          <w:tcPr>
            <w:tcW w:w="633" w:type="dxa"/>
            <w:tcBorders>
              <w:top w:val="single" w:sz="4" w:space="0" w:color="000000"/>
            </w:tcBorders>
          </w:tcPr>
          <w:p>
            <w:pPr>
              <w:pStyle w:val="TableParagraph"/>
              <w:spacing w:line="243" w:lineRule="exact"/>
              <w:ind w:left="92" w:right="146"/>
              <w:rPr>
                <w:rFonts w:ascii="Calibri"/>
                <w:sz w:val="20"/>
              </w:rPr>
            </w:pPr>
            <w:r>
              <w:rPr>
                <w:rFonts w:ascii="Calibri"/>
                <w:sz w:val="20"/>
              </w:rPr>
              <w:t>0.67</w:t>
            </w:r>
          </w:p>
        </w:tc>
      </w:tr>
      <w:tr>
        <w:trPr>
          <w:trHeight w:val="300" w:hRule="atLeast"/>
        </w:trPr>
        <w:tc>
          <w:tcPr>
            <w:tcW w:w="761" w:type="dxa"/>
          </w:tcPr>
          <w:p>
            <w:pPr>
              <w:pStyle w:val="TableParagraph"/>
              <w:spacing w:before="9"/>
              <w:ind w:left="61" w:right="50"/>
              <w:rPr>
                <w:rFonts w:ascii="Calibri"/>
                <w:sz w:val="20"/>
              </w:rPr>
            </w:pPr>
            <w:r>
              <w:rPr>
                <w:rFonts w:ascii="Calibri"/>
                <w:sz w:val="20"/>
              </w:rPr>
              <w:t>450002</w:t>
            </w:r>
          </w:p>
        </w:tc>
        <w:tc>
          <w:tcPr>
            <w:tcW w:w="1184" w:type="dxa"/>
          </w:tcPr>
          <w:p>
            <w:pPr>
              <w:pStyle w:val="TableParagraph"/>
              <w:spacing w:before="9"/>
              <w:ind w:left="71"/>
              <w:jc w:val="left"/>
              <w:rPr>
                <w:rFonts w:ascii="Calibri"/>
                <w:sz w:val="20"/>
              </w:rPr>
            </w:pPr>
            <w:r>
              <w:rPr>
                <w:rFonts w:ascii="Calibri"/>
                <w:sz w:val="20"/>
              </w:rPr>
              <w:t>Odense_AA</w:t>
            </w:r>
          </w:p>
        </w:tc>
        <w:tc>
          <w:tcPr>
            <w:tcW w:w="1011" w:type="dxa"/>
          </w:tcPr>
          <w:p>
            <w:pPr>
              <w:pStyle w:val="TableParagraph"/>
              <w:spacing w:before="9"/>
              <w:ind w:left="118" w:right="103"/>
              <w:rPr>
                <w:rFonts w:ascii="Calibri"/>
                <w:sz w:val="20"/>
              </w:rPr>
            </w:pPr>
            <w:r>
              <w:rPr>
                <w:rFonts w:ascii="Calibri"/>
                <w:sz w:val="20"/>
              </w:rPr>
              <w:t>44162</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535.0</w:t>
            </w:r>
          </w:p>
        </w:tc>
        <w:tc>
          <w:tcPr>
            <w:tcW w:w="695" w:type="dxa"/>
            <w:tcBorders>
              <w:left w:val="single" w:sz="4" w:space="0" w:color="000000"/>
            </w:tcBorders>
          </w:tcPr>
          <w:p>
            <w:pPr>
              <w:pStyle w:val="TableParagraph"/>
              <w:spacing w:before="9"/>
              <w:ind w:left="116" w:right="115"/>
              <w:rPr>
                <w:rFonts w:ascii="Calibri"/>
                <w:sz w:val="20"/>
              </w:rPr>
            </w:pPr>
            <w:r>
              <w:rPr>
                <w:rFonts w:ascii="Calibri"/>
                <w:sz w:val="20"/>
              </w:rPr>
              <w:t>0.2</w:t>
            </w:r>
          </w:p>
        </w:tc>
        <w:tc>
          <w:tcPr>
            <w:tcW w:w="1031" w:type="dxa"/>
          </w:tcPr>
          <w:p>
            <w:pPr>
              <w:pStyle w:val="TableParagraph"/>
              <w:spacing w:before="9"/>
              <w:ind w:left="33" w:right="48"/>
              <w:rPr>
                <w:rFonts w:ascii="Calibri"/>
                <w:sz w:val="20"/>
              </w:rPr>
            </w:pPr>
            <w:r>
              <w:rPr>
                <w:rFonts w:ascii="Calibri"/>
                <w:sz w:val="20"/>
              </w:rPr>
              <w:t>-13.5</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0.89</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19.2</w:t>
            </w:r>
          </w:p>
        </w:tc>
        <w:tc>
          <w:tcPr>
            <w:tcW w:w="985" w:type="dxa"/>
          </w:tcPr>
          <w:p>
            <w:pPr>
              <w:pStyle w:val="TableParagraph"/>
              <w:spacing w:before="9"/>
              <w:ind w:left="33" w:right="33"/>
              <w:rPr>
                <w:rFonts w:ascii="Calibri"/>
                <w:sz w:val="20"/>
              </w:rPr>
            </w:pPr>
            <w:r>
              <w:rPr>
                <w:rFonts w:ascii="Calibri"/>
                <w:sz w:val="20"/>
              </w:rPr>
              <w:t>13.0</w:t>
            </w:r>
          </w:p>
        </w:tc>
        <w:tc>
          <w:tcPr>
            <w:tcW w:w="633" w:type="dxa"/>
          </w:tcPr>
          <w:p>
            <w:pPr>
              <w:pStyle w:val="TableParagraph"/>
              <w:spacing w:before="9"/>
              <w:ind w:left="92" w:right="146"/>
              <w:rPr>
                <w:rFonts w:ascii="Calibri"/>
                <w:sz w:val="20"/>
              </w:rPr>
            </w:pPr>
            <w:r>
              <w:rPr>
                <w:rFonts w:ascii="Calibri"/>
                <w:sz w:val="20"/>
              </w:rPr>
              <w:t>0.70</w:t>
            </w:r>
          </w:p>
        </w:tc>
      </w:tr>
      <w:tr>
        <w:trPr>
          <w:trHeight w:val="300" w:hRule="atLeast"/>
        </w:trPr>
        <w:tc>
          <w:tcPr>
            <w:tcW w:w="761" w:type="dxa"/>
          </w:tcPr>
          <w:p>
            <w:pPr>
              <w:pStyle w:val="TableParagraph"/>
              <w:spacing w:before="9"/>
              <w:ind w:left="61" w:right="50"/>
              <w:rPr>
                <w:rFonts w:ascii="Calibri"/>
                <w:sz w:val="20"/>
              </w:rPr>
            </w:pPr>
            <w:r>
              <w:rPr>
                <w:rFonts w:ascii="Calibri"/>
                <w:sz w:val="20"/>
              </w:rPr>
              <w:t>450003</w:t>
            </w:r>
          </w:p>
        </w:tc>
        <w:tc>
          <w:tcPr>
            <w:tcW w:w="1184" w:type="dxa"/>
          </w:tcPr>
          <w:p>
            <w:pPr>
              <w:pStyle w:val="TableParagraph"/>
              <w:spacing w:before="9"/>
              <w:ind w:left="71"/>
              <w:jc w:val="left"/>
              <w:rPr>
                <w:rFonts w:ascii="Calibri"/>
                <w:sz w:val="20"/>
              </w:rPr>
            </w:pPr>
            <w:r>
              <w:rPr>
                <w:rFonts w:ascii="Calibri"/>
                <w:sz w:val="20"/>
              </w:rPr>
              <w:t>Odense_AA</w:t>
            </w:r>
          </w:p>
        </w:tc>
        <w:tc>
          <w:tcPr>
            <w:tcW w:w="1011" w:type="dxa"/>
          </w:tcPr>
          <w:p>
            <w:pPr>
              <w:pStyle w:val="TableParagraph"/>
              <w:spacing w:before="9"/>
              <w:ind w:left="118" w:right="103"/>
              <w:rPr>
                <w:rFonts w:ascii="Calibri"/>
                <w:sz w:val="20"/>
              </w:rPr>
            </w:pPr>
            <w:r>
              <w:rPr>
                <w:rFonts w:ascii="Calibri"/>
                <w:sz w:val="20"/>
              </w:rPr>
              <w:t>31583</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485.9</w:t>
            </w:r>
          </w:p>
        </w:tc>
        <w:tc>
          <w:tcPr>
            <w:tcW w:w="695" w:type="dxa"/>
            <w:tcBorders>
              <w:left w:val="single" w:sz="4" w:space="0" w:color="000000"/>
            </w:tcBorders>
          </w:tcPr>
          <w:p>
            <w:pPr>
              <w:pStyle w:val="TableParagraph"/>
              <w:spacing w:before="9"/>
              <w:ind w:left="116" w:right="115"/>
              <w:rPr>
                <w:rFonts w:ascii="Calibri"/>
                <w:sz w:val="20"/>
              </w:rPr>
            </w:pPr>
            <w:r>
              <w:rPr>
                <w:rFonts w:ascii="Calibri"/>
                <w:sz w:val="20"/>
              </w:rPr>
              <w:t>6.4</w:t>
            </w:r>
          </w:p>
        </w:tc>
        <w:tc>
          <w:tcPr>
            <w:tcW w:w="1031" w:type="dxa"/>
          </w:tcPr>
          <w:p>
            <w:pPr>
              <w:pStyle w:val="TableParagraph"/>
              <w:spacing w:before="9"/>
              <w:ind w:left="33" w:right="48"/>
              <w:rPr>
                <w:rFonts w:ascii="Calibri"/>
                <w:sz w:val="20"/>
              </w:rPr>
            </w:pPr>
            <w:r>
              <w:rPr>
                <w:rFonts w:ascii="Calibri"/>
                <w:sz w:val="20"/>
              </w:rPr>
              <w:t>-1.1</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0.89</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26.8</w:t>
            </w:r>
          </w:p>
        </w:tc>
        <w:tc>
          <w:tcPr>
            <w:tcW w:w="985" w:type="dxa"/>
          </w:tcPr>
          <w:p>
            <w:pPr>
              <w:pStyle w:val="TableParagraph"/>
              <w:spacing w:before="9"/>
              <w:ind w:left="33" w:right="33"/>
              <w:rPr>
                <w:rFonts w:ascii="Calibri"/>
                <w:sz w:val="20"/>
              </w:rPr>
            </w:pPr>
            <w:r>
              <w:rPr>
                <w:rFonts w:ascii="Calibri"/>
                <w:sz w:val="20"/>
              </w:rPr>
              <w:t>29.3</w:t>
            </w:r>
          </w:p>
        </w:tc>
        <w:tc>
          <w:tcPr>
            <w:tcW w:w="633" w:type="dxa"/>
          </w:tcPr>
          <w:p>
            <w:pPr>
              <w:pStyle w:val="TableParagraph"/>
              <w:spacing w:before="9"/>
              <w:ind w:left="92" w:right="146"/>
              <w:rPr>
                <w:rFonts w:ascii="Calibri"/>
                <w:sz w:val="20"/>
              </w:rPr>
            </w:pPr>
            <w:r>
              <w:rPr>
                <w:rFonts w:ascii="Calibri"/>
                <w:sz w:val="20"/>
              </w:rPr>
              <w:t>0.67</w:t>
            </w:r>
          </w:p>
        </w:tc>
      </w:tr>
      <w:tr>
        <w:trPr>
          <w:trHeight w:val="300" w:hRule="atLeast"/>
        </w:trPr>
        <w:tc>
          <w:tcPr>
            <w:tcW w:w="761" w:type="dxa"/>
          </w:tcPr>
          <w:p>
            <w:pPr>
              <w:pStyle w:val="TableParagraph"/>
              <w:spacing w:before="9"/>
              <w:ind w:left="61" w:right="50"/>
              <w:rPr>
                <w:rFonts w:ascii="Calibri"/>
                <w:sz w:val="20"/>
              </w:rPr>
            </w:pPr>
            <w:r>
              <w:rPr>
                <w:rFonts w:ascii="Calibri"/>
                <w:sz w:val="20"/>
              </w:rPr>
              <w:t>450004</w:t>
            </w:r>
          </w:p>
        </w:tc>
        <w:tc>
          <w:tcPr>
            <w:tcW w:w="1184" w:type="dxa"/>
          </w:tcPr>
          <w:p>
            <w:pPr>
              <w:pStyle w:val="TableParagraph"/>
              <w:spacing w:before="9"/>
              <w:ind w:left="71"/>
              <w:jc w:val="left"/>
              <w:rPr>
                <w:rFonts w:ascii="Calibri"/>
                <w:sz w:val="20"/>
              </w:rPr>
            </w:pPr>
            <w:r>
              <w:rPr>
                <w:rFonts w:ascii="Calibri"/>
                <w:sz w:val="20"/>
              </w:rPr>
              <w:t>Odense_AA</w:t>
            </w:r>
          </w:p>
        </w:tc>
        <w:tc>
          <w:tcPr>
            <w:tcW w:w="1011" w:type="dxa"/>
          </w:tcPr>
          <w:p>
            <w:pPr>
              <w:pStyle w:val="TableParagraph"/>
              <w:spacing w:before="9"/>
              <w:ind w:left="118" w:right="103"/>
              <w:rPr>
                <w:rFonts w:ascii="Calibri"/>
                <w:sz w:val="20"/>
              </w:rPr>
            </w:pPr>
            <w:r>
              <w:rPr>
                <w:rFonts w:ascii="Calibri"/>
                <w:sz w:val="20"/>
              </w:rPr>
              <w:t>17718</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301.6</w:t>
            </w:r>
          </w:p>
        </w:tc>
        <w:tc>
          <w:tcPr>
            <w:tcW w:w="695" w:type="dxa"/>
            <w:tcBorders>
              <w:left w:val="single" w:sz="4" w:space="0" w:color="000000"/>
            </w:tcBorders>
          </w:tcPr>
          <w:p>
            <w:pPr>
              <w:pStyle w:val="TableParagraph"/>
              <w:spacing w:before="9"/>
              <w:ind w:left="116" w:right="115"/>
              <w:rPr>
                <w:rFonts w:ascii="Calibri"/>
                <w:sz w:val="20"/>
              </w:rPr>
            </w:pPr>
            <w:r>
              <w:rPr>
                <w:rFonts w:ascii="Calibri"/>
                <w:sz w:val="20"/>
              </w:rPr>
              <w:t>13.9</w:t>
            </w:r>
          </w:p>
        </w:tc>
        <w:tc>
          <w:tcPr>
            <w:tcW w:w="1031" w:type="dxa"/>
          </w:tcPr>
          <w:p>
            <w:pPr>
              <w:pStyle w:val="TableParagraph"/>
              <w:spacing w:before="9"/>
              <w:ind w:left="32" w:right="49"/>
              <w:rPr>
                <w:rFonts w:ascii="Calibri"/>
                <w:sz w:val="20"/>
              </w:rPr>
            </w:pPr>
            <w:r>
              <w:rPr>
                <w:rFonts w:ascii="Calibri"/>
                <w:sz w:val="20"/>
              </w:rPr>
              <w:t>6.4</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0.84</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29.3</w:t>
            </w:r>
          </w:p>
        </w:tc>
        <w:tc>
          <w:tcPr>
            <w:tcW w:w="985" w:type="dxa"/>
          </w:tcPr>
          <w:p>
            <w:pPr>
              <w:pStyle w:val="TableParagraph"/>
              <w:spacing w:before="9"/>
              <w:ind w:left="33" w:right="33"/>
              <w:rPr>
                <w:rFonts w:ascii="Calibri"/>
                <w:sz w:val="20"/>
              </w:rPr>
            </w:pPr>
            <w:r>
              <w:rPr>
                <w:rFonts w:ascii="Calibri"/>
                <w:sz w:val="20"/>
              </w:rPr>
              <w:t>31.7</w:t>
            </w:r>
          </w:p>
        </w:tc>
        <w:tc>
          <w:tcPr>
            <w:tcW w:w="633" w:type="dxa"/>
          </w:tcPr>
          <w:p>
            <w:pPr>
              <w:pStyle w:val="TableParagraph"/>
              <w:spacing w:before="9"/>
              <w:ind w:left="92" w:right="146"/>
              <w:rPr>
                <w:rFonts w:ascii="Calibri"/>
                <w:sz w:val="20"/>
              </w:rPr>
            </w:pPr>
            <w:r>
              <w:rPr>
                <w:rFonts w:ascii="Calibri"/>
                <w:sz w:val="20"/>
              </w:rPr>
              <w:t>0.62</w:t>
            </w:r>
          </w:p>
        </w:tc>
      </w:tr>
      <w:tr>
        <w:trPr>
          <w:trHeight w:val="300" w:hRule="atLeast"/>
        </w:trPr>
        <w:tc>
          <w:tcPr>
            <w:tcW w:w="761" w:type="dxa"/>
          </w:tcPr>
          <w:p>
            <w:pPr>
              <w:pStyle w:val="TableParagraph"/>
              <w:spacing w:before="9"/>
              <w:ind w:left="61" w:right="50"/>
              <w:rPr>
                <w:rFonts w:ascii="Calibri"/>
                <w:sz w:val="20"/>
              </w:rPr>
            </w:pPr>
            <w:r>
              <w:rPr>
                <w:rFonts w:ascii="Calibri"/>
                <w:sz w:val="20"/>
              </w:rPr>
              <w:t>450005</w:t>
            </w:r>
          </w:p>
        </w:tc>
        <w:tc>
          <w:tcPr>
            <w:tcW w:w="1184" w:type="dxa"/>
          </w:tcPr>
          <w:p>
            <w:pPr>
              <w:pStyle w:val="TableParagraph"/>
              <w:spacing w:before="9"/>
              <w:ind w:left="71"/>
              <w:jc w:val="left"/>
              <w:rPr>
                <w:rFonts w:ascii="Calibri"/>
                <w:sz w:val="20"/>
              </w:rPr>
            </w:pPr>
            <w:r>
              <w:rPr>
                <w:rFonts w:ascii="Calibri"/>
                <w:sz w:val="20"/>
              </w:rPr>
              <w:t>Stavis_AA</w:t>
            </w:r>
          </w:p>
        </w:tc>
        <w:tc>
          <w:tcPr>
            <w:tcW w:w="1011" w:type="dxa"/>
          </w:tcPr>
          <w:p>
            <w:pPr>
              <w:pStyle w:val="TableParagraph"/>
              <w:spacing w:before="9"/>
              <w:ind w:left="118" w:right="103"/>
              <w:rPr>
                <w:rFonts w:ascii="Calibri"/>
                <w:sz w:val="20"/>
              </w:rPr>
            </w:pPr>
            <w:r>
              <w:rPr>
                <w:rFonts w:ascii="Calibri"/>
                <w:sz w:val="20"/>
              </w:rPr>
              <w:t>18267</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78.0</w:t>
            </w:r>
          </w:p>
        </w:tc>
        <w:tc>
          <w:tcPr>
            <w:tcW w:w="695" w:type="dxa"/>
            <w:tcBorders>
              <w:left w:val="single" w:sz="4" w:space="0" w:color="000000"/>
            </w:tcBorders>
          </w:tcPr>
          <w:p>
            <w:pPr>
              <w:pStyle w:val="TableParagraph"/>
              <w:spacing w:before="9"/>
              <w:ind w:left="116" w:right="115"/>
              <w:rPr>
                <w:rFonts w:ascii="Calibri"/>
                <w:sz w:val="20"/>
              </w:rPr>
            </w:pPr>
            <w:r>
              <w:rPr>
                <w:rFonts w:ascii="Calibri"/>
                <w:sz w:val="20"/>
              </w:rPr>
              <w:t>2.4</w:t>
            </w:r>
          </w:p>
        </w:tc>
        <w:tc>
          <w:tcPr>
            <w:tcW w:w="1031" w:type="dxa"/>
          </w:tcPr>
          <w:p>
            <w:pPr>
              <w:pStyle w:val="TableParagraph"/>
              <w:spacing w:before="9"/>
              <w:ind w:left="33" w:right="48"/>
              <w:rPr>
                <w:rFonts w:ascii="Calibri"/>
                <w:sz w:val="20"/>
              </w:rPr>
            </w:pPr>
            <w:r>
              <w:rPr>
                <w:rFonts w:ascii="Calibri"/>
                <w:sz w:val="20"/>
              </w:rPr>
              <w:t>-39.8</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0.76</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16.5</w:t>
            </w:r>
          </w:p>
        </w:tc>
        <w:tc>
          <w:tcPr>
            <w:tcW w:w="985" w:type="dxa"/>
          </w:tcPr>
          <w:p>
            <w:pPr>
              <w:pStyle w:val="TableParagraph"/>
              <w:spacing w:before="9"/>
              <w:ind w:left="33" w:right="33"/>
              <w:rPr>
                <w:rFonts w:ascii="Calibri"/>
                <w:sz w:val="20"/>
              </w:rPr>
            </w:pPr>
            <w:r>
              <w:rPr>
                <w:rFonts w:ascii="Calibri"/>
                <w:sz w:val="20"/>
              </w:rPr>
              <w:t>-13.3</w:t>
            </w:r>
          </w:p>
        </w:tc>
        <w:tc>
          <w:tcPr>
            <w:tcW w:w="633" w:type="dxa"/>
          </w:tcPr>
          <w:p>
            <w:pPr>
              <w:pStyle w:val="TableParagraph"/>
              <w:spacing w:before="9"/>
              <w:ind w:left="92" w:right="146"/>
              <w:rPr>
                <w:rFonts w:ascii="Calibri"/>
                <w:sz w:val="20"/>
              </w:rPr>
            </w:pPr>
            <w:r>
              <w:rPr>
                <w:rFonts w:ascii="Calibri"/>
                <w:sz w:val="20"/>
              </w:rPr>
              <w:t>0.63</w:t>
            </w:r>
          </w:p>
        </w:tc>
      </w:tr>
      <w:tr>
        <w:trPr>
          <w:trHeight w:val="300" w:hRule="atLeast"/>
        </w:trPr>
        <w:tc>
          <w:tcPr>
            <w:tcW w:w="761" w:type="dxa"/>
          </w:tcPr>
          <w:p>
            <w:pPr>
              <w:pStyle w:val="TableParagraph"/>
              <w:spacing w:before="9"/>
              <w:ind w:left="61" w:right="50"/>
              <w:rPr>
                <w:rFonts w:ascii="Calibri"/>
                <w:sz w:val="20"/>
              </w:rPr>
            </w:pPr>
            <w:r>
              <w:rPr>
                <w:rFonts w:ascii="Calibri"/>
                <w:sz w:val="20"/>
              </w:rPr>
              <w:t>450035</w:t>
            </w:r>
          </w:p>
        </w:tc>
        <w:tc>
          <w:tcPr>
            <w:tcW w:w="1184" w:type="dxa"/>
          </w:tcPr>
          <w:p>
            <w:pPr>
              <w:pStyle w:val="TableParagraph"/>
              <w:spacing w:before="9"/>
              <w:ind w:left="71"/>
              <w:jc w:val="left"/>
              <w:rPr>
                <w:rFonts w:ascii="Calibri"/>
                <w:sz w:val="20"/>
              </w:rPr>
            </w:pPr>
            <w:r>
              <w:rPr>
                <w:rFonts w:ascii="Calibri"/>
                <w:sz w:val="20"/>
              </w:rPr>
              <w:t>Branch_117</w:t>
            </w:r>
          </w:p>
        </w:tc>
        <w:tc>
          <w:tcPr>
            <w:tcW w:w="1011" w:type="dxa"/>
          </w:tcPr>
          <w:p>
            <w:pPr>
              <w:pStyle w:val="TableParagraph"/>
              <w:spacing w:before="9"/>
              <w:ind w:left="118" w:right="103"/>
              <w:rPr>
                <w:rFonts w:ascii="Calibri"/>
                <w:sz w:val="20"/>
              </w:rPr>
            </w:pPr>
            <w:r>
              <w:rPr>
                <w:rFonts w:ascii="Calibri"/>
                <w:sz w:val="20"/>
              </w:rPr>
              <w:t>652</w:t>
            </w:r>
          </w:p>
        </w:tc>
        <w:tc>
          <w:tcPr>
            <w:tcW w:w="888" w:type="dxa"/>
            <w:tcBorders>
              <w:right w:val="single" w:sz="4" w:space="0" w:color="000000"/>
            </w:tcBorders>
          </w:tcPr>
          <w:p>
            <w:pPr>
              <w:pStyle w:val="TableParagraph"/>
              <w:jc w:val="left"/>
              <w:rPr>
                <w:rFonts w:ascii="Times New Roman"/>
                <w:sz w:val="18"/>
              </w:rPr>
            </w:pPr>
          </w:p>
        </w:tc>
        <w:tc>
          <w:tcPr>
            <w:tcW w:w="695" w:type="dxa"/>
            <w:tcBorders>
              <w:left w:val="single" w:sz="4" w:space="0" w:color="000000"/>
            </w:tcBorders>
          </w:tcPr>
          <w:p>
            <w:pPr>
              <w:pStyle w:val="TableParagraph"/>
              <w:spacing w:before="9"/>
              <w:ind w:left="116" w:right="115"/>
              <w:rPr>
                <w:rFonts w:ascii="Calibri"/>
                <w:sz w:val="20"/>
              </w:rPr>
            </w:pPr>
            <w:r>
              <w:rPr>
                <w:rFonts w:ascii="Calibri"/>
                <w:sz w:val="20"/>
              </w:rPr>
              <w:t>22.7</w:t>
            </w:r>
          </w:p>
        </w:tc>
        <w:tc>
          <w:tcPr>
            <w:tcW w:w="1031" w:type="dxa"/>
          </w:tcPr>
          <w:p>
            <w:pPr>
              <w:pStyle w:val="TableParagraph"/>
              <w:spacing w:before="9"/>
              <w:ind w:left="33" w:right="48"/>
              <w:rPr>
                <w:rFonts w:ascii="Calibri"/>
                <w:sz w:val="20"/>
              </w:rPr>
            </w:pPr>
            <w:r>
              <w:rPr>
                <w:rFonts w:ascii="Calibri"/>
                <w:sz w:val="20"/>
              </w:rPr>
              <w:t>-0.9</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0.72</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48.2</w:t>
            </w:r>
          </w:p>
        </w:tc>
        <w:tc>
          <w:tcPr>
            <w:tcW w:w="985" w:type="dxa"/>
          </w:tcPr>
          <w:p>
            <w:pPr>
              <w:pStyle w:val="TableParagraph"/>
              <w:spacing w:before="9"/>
              <w:ind w:left="33" w:right="33"/>
              <w:rPr>
                <w:rFonts w:ascii="Calibri"/>
                <w:sz w:val="20"/>
              </w:rPr>
            </w:pPr>
            <w:r>
              <w:rPr>
                <w:rFonts w:ascii="Calibri"/>
                <w:sz w:val="20"/>
              </w:rPr>
              <w:t>66.7</w:t>
            </w:r>
          </w:p>
        </w:tc>
        <w:tc>
          <w:tcPr>
            <w:tcW w:w="633" w:type="dxa"/>
          </w:tcPr>
          <w:p>
            <w:pPr>
              <w:pStyle w:val="TableParagraph"/>
              <w:spacing w:before="9"/>
              <w:ind w:left="92" w:right="146"/>
              <w:rPr>
                <w:rFonts w:ascii="Calibri"/>
                <w:sz w:val="20"/>
              </w:rPr>
            </w:pPr>
            <w:r>
              <w:rPr>
                <w:rFonts w:ascii="Calibri"/>
                <w:sz w:val="20"/>
              </w:rPr>
              <w:t>0.13</w:t>
            </w:r>
          </w:p>
        </w:tc>
      </w:tr>
      <w:tr>
        <w:trPr>
          <w:trHeight w:val="300" w:hRule="atLeast"/>
        </w:trPr>
        <w:tc>
          <w:tcPr>
            <w:tcW w:w="761" w:type="dxa"/>
          </w:tcPr>
          <w:p>
            <w:pPr>
              <w:pStyle w:val="TableParagraph"/>
              <w:spacing w:before="9"/>
              <w:ind w:left="61" w:right="50"/>
              <w:rPr>
                <w:rFonts w:ascii="Calibri"/>
                <w:sz w:val="20"/>
              </w:rPr>
            </w:pPr>
            <w:r>
              <w:rPr>
                <w:rFonts w:ascii="Calibri"/>
                <w:sz w:val="20"/>
              </w:rPr>
              <w:t>450043</w:t>
            </w:r>
          </w:p>
        </w:tc>
        <w:tc>
          <w:tcPr>
            <w:tcW w:w="1184" w:type="dxa"/>
          </w:tcPr>
          <w:p>
            <w:pPr>
              <w:pStyle w:val="TableParagraph"/>
              <w:spacing w:before="9"/>
              <w:ind w:left="71"/>
              <w:jc w:val="left"/>
              <w:rPr>
                <w:rFonts w:ascii="Calibri"/>
                <w:sz w:val="20"/>
              </w:rPr>
            </w:pPr>
            <w:r>
              <w:rPr>
                <w:rFonts w:ascii="Calibri"/>
                <w:sz w:val="20"/>
              </w:rPr>
              <w:t>Lindved_AA</w:t>
            </w:r>
          </w:p>
        </w:tc>
        <w:tc>
          <w:tcPr>
            <w:tcW w:w="1011" w:type="dxa"/>
          </w:tcPr>
          <w:p>
            <w:pPr>
              <w:pStyle w:val="TableParagraph"/>
              <w:spacing w:before="9"/>
              <w:ind w:left="118" w:right="103"/>
              <w:rPr>
                <w:rFonts w:ascii="Calibri"/>
                <w:sz w:val="20"/>
              </w:rPr>
            </w:pPr>
            <w:r>
              <w:rPr>
                <w:rFonts w:ascii="Calibri"/>
                <w:sz w:val="20"/>
              </w:rPr>
              <w:t>19794</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64.7</w:t>
            </w:r>
          </w:p>
        </w:tc>
        <w:tc>
          <w:tcPr>
            <w:tcW w:w="695" w:type="dxa"/>
            <w:tcBorders>
              <w:left w:val="single" w:sz="4" w:space="0" w:color="000000"/>
            </w:tcBorders>
          </w:tcPr>
          <w:p>
            <w:pPr>
              <w:pStyle w:val="TableParagraph"/>
              <w:spacing w:before="9"/>
              <w:ind w:left="118" w:right="115"/>
              <w:rPr>
                <w:rFonts w:ascii="Calibri"/>
                <w:sz w:val="20"/>
              </w:rPr>
            </w:pPr>
            <w:r>
              <w:rPr>
                <w:rFonts w:ascii="Calibri"/>
                <w:sz w:val="20"/>
              </w:rPr>
              <w:t>-4.6</w:t>
            </w:r>
          </w:p>
        </w:tc>
        <w:tc>
          <w:tcPr>
            <w:tcW w:w="1031" w:type="dxa"/>
          </w:tcPr>
          <w:p>
            <w:pPr>
              <w:pStyle w:val="TableParagraph"/>
              <w:spacing w:before="9"/>
              <w:ind w:left="32" w:right="49"/>
              <w:rPr>
                <w:rFonts w:ascii="Calibri"/>
                <w:sz w:val="20"/>
              </w:rPr>
            </w:pPr>
            <w:r>
              <w:rPr>
                <w:rFonts w:ascii="Calibri"/>
                <w:sz w:val="20"/>
              </w:rPr>
              <w:t>2.9</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0.87</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12.9</w:t>
            </w:r>
          </w:p>
        </w:tc>
        <w:tc>
          <w:tcPr>
            <w:tcW w:w="985" w:type="dxa"/>
          </w:tcPr>
          <w:p>
            <w:pPr>
              <w:pStyle w:val="TableParagraph"/>
              <w:spacing w:before="9"/>
              <w:ind w:left="33" w:right="33"/>
              <w:rPr>
                <w:rFonts w:ascii="Calibri"/>
                <w:sz w:val="20"/>
              </w:rPr>
            </w:pPr>
            <w:r>
              <w:rPr>
                <w:rFonts w:ascii="Calibri"/>
                <w:sz w:val="20"/>
              </w:rPr>
              <w:t>16.0</w:t>
            </w:r>
          </w:p>
        </w:tc>
        <w:tc>
          <w:tcPr>
            <w:tcW w:w="633" w:type="dxa"/>
          </w:tcPr>
          <w:p>
            <w:pPr>
              <w:pStyle w:val="TableParagraph"/>
              <w:spacing w:before="9"/>
              <w:ind w:left="92" w:right="146"/>
              <w:rPr>
                <w:rFonts w:ascii="Calibri"/>
                <w:sz w:val="20"/>
              </w:rPr>
            </w:pPr>
            <w:r>
              <w:rPr>
                <w:rFonts w:ascii="Calibri"/>
                <w:sz w:val="20"/>
              </w:rPr>
              <w:t>0.73</w:t>
            </w:r>
          </w:p>
        </w:tc>
      </w:tr>
      <w:tr>
        <w:trPr>
          <w:trHeight w:val="300" w:hRule="atLeast"/>
        </w:trPr>
        <w:tc>
          <w:tcPr>
            <w:tcW w:w="761" w:type="dxa"/>
          </w:tcPr>
          <w:p>
            <w:pPr>
              <w:pStyle w:val="TableParagraph"/>
              <w:spacing w:before="9"/>
              <w:ind w:left="61" w:right="50"/>
              <w:rPr>
                <w:rFonts w:ascii="Calibri"/>
                <w:sz w:val="20"/>
              </w:rPr>
            </w:pPr>
            <w:r>
              <w:rPr>
                <w:rFonts w:ascii="Calibri"/>
                <w:sz w:val="20"/>
              </w:rPr>
              <w:t>450045</w:t>
            </w:r>
          </w:p>
        </w:tc>
        <w:tc>
          <w:tcPr>
            <w:tcW w:w="1184" w:type="dxa"/>
          </w:tcPr>
          <w:p>
            <w:pPr>
              <w:pStyle w:val="TableParagraph"/>
              <w:spacing w:before="9"/>
              <w:ind w:left="71"/>
              <w:jc w:val="left"/>
              <w:rPr>
                <w:rFonts w:ascii="Calibri"/>
                <w:sz w:val="20"/>
              </w:rPr>
            </w:pPr>
            <w:r>
              <w:rPr>
                <w:rFonts w:ascii="Calibri"/>
                <w:sz w:val="20"/>
              </w:rPr>
              <w:t>Odense_AA</w:t>
            </w:r>
          </w:p>
        </w:tc>
        <w:tc>
          <w:tcPr>
            <w:tcW w:w="1011" w:type="dxa"/>
          </w:tcPr>
          <w:p>
            <w:pPr>
              <w:pStyle w:val="TableParagraph"/>
              <w:spacing w:before="9"/>
              <w:ind w:left="118" w:right="103"/>
              <w:rPr>
                <w:rFonts w:ascii="Calibri"/>
                <w:sz w:val="20"/>
              </w:rPr>
            </w:pPr>
            <w:r>
              <w:rPr>
                <w:rFonts w:ascii="Calibri"/>
                <w:sz w:val="20"/>
              </w:rPr>
              <w:t>276</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29.5</w:t>
            </w:r>
          </w:p>
        </w:tc>
        <w:tc>
          <w:tcPr>
            <w:tcW w:w="695" w:type="dxa"/>
            <w:tcBorders>
              <w:left w:val="single" w:sz="4" w:space="0" w:color="000000"/>
            </w:tcBorders>
          </w:tcPr>
          <w:p>
            <w:pPr>
              <w:pStyle w:val="TableParagraph"/>
              <w:spacing w:before="9"/>
              <w:ind w:left="118" w:right="115"/>
              <w:rPr>
                <w:rFonts w:ascii="Calibri"/>
                <w:sz w:val="20"/>
              </w:rPr>
            </w:pPr>
            <w:r>
              <w:rPr>
                <w:rFonts w:ascii="Calibri"/>
                <w:sz w:val="20"/>
              </w:rPr>
              <w:t>-23.8</w:t>
            </w:r>
          </w:p>
        </w:tc>
        <w:tc>
          <w:tcPr>
            <w:tcW w:w="1031" w:type="dxa"/>
          </w:tcPr>
          <w:p>
            <w:pPr>
              <w:pStyle w:val="TableParagraph"/>
              <w:spacing w:before="9"/>
              <w:ind w:left="33" w:right="48"/>
              <w:rPr>
                <w:rFonts w:ascii="Calibri"/>
                <w:sz w:val="20"/>
              </w:rPr>
            </w:pPr>
            <w:r>
              <w:rPr>
                <w:rFonts w:ascii="Calibri"/>
                <w:sz w:val="20"/>
              </w:rPr>
              <w:t>-23.4</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0.39</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9.1</w:t>
            </w:r>
          </w:p>
        </w:tc>
        <w:tc>
          <w:tcPr>
            <w:tcW w:w="985" w:type="dxa"/>
          </w:tcPr>
          <w:p>
            <w:pPr>
              <w:pStyle w:val="TableParagraph"/>
              <w:spacing w:before="9"/>
              <w:ind w:left="33" w:right="33"/>
              <w:rPr>
                <w:rFonts w:ascii="Calibri"/>
                <w:sz w:val="20"/>
              </w:rPr>
            </w:pPr>
            <w:r>
              <w:rPr>
                <w:rFonts w:ascii="Calibri"/>
                <w:sz w:val="20"/>
              </w:rPr>
              <w:t>10.5</w:t>
            </w:r>
          </w:p>
        </w:tc>
        <w:tc>
          <w:tcPr>
            <w:tcW w:w="633" w:type="dxa"/>
          </w:tcPr>
          <w:p>
            <w:pPr>
              <w:pStyle w:val="TableParagraph"/>
              <w:spacing w:before="9"/>
              <w:ind w:left="92" w:right="146"/>
              <w:rPr>
                <w:rFonts w:ascii="Calibri"/>
                <w:sz w:val="20"/>
              </w:rPr>
            </w:pPr>
            <w:r>
              <w:rPr>
                <w:rFonts w:ascii="Calibri"/>
                <w:sz w:val="20"/>
              </w:rPr>
              <w:t>0.62</w:t>
            </w:r>
          </w:p>
        </w:tc>
      </w:tr>
      <w:tr>
        <w:trPr>
          <w:trHeight w:val="312" w:hRule="atLeast"/>
        </w:trPr>
        <w:tc>
          <w:tcPr>
            <w:tcW w:w="761" w:type="dxa"/>
            <w:tcBorders>
              <w:bottom w:val="single" w:sz="4" w:space="0" w:color="000000"/>
            </w:tcBorders>
          </w:tcPr>
          <w:p>
            <w:pPr>
              <w:pStyle w:val="TableParagraph"/>
              <w:spacing w:before="9"/>
              <w:ind w:left="61" w:right="50"/>
              <w:rPr>
                <w:rFonts w:ascii="Calibri"/>
                <w:sz w:val="20"/>
              </w:rPr>
            </w:pPr>
            <w:r>
              <w:rPr>
                <w:rFonts w:ascii="Calibri"/>
                <w:sz w:val="20"/>
              </w:rPr>
              <w:t>450058</w:t>
            </w:r>
          </w:p>
        </w:tc>
        <w:tc>
          <w:tcPr>
            <w:tcW w:w="1184" w:type="dxa"/>
            <w:tcBorders>
              <w:bottom w:val="single" w:sz="4" w:space="0" w:color="000000"/>
            </w:tcBorders>
          </w:tcPr>
          <w:p>
            <w:pPr>
              <w:pStyle w:val="TableParagraph"/>
              <w:spacing w:before="9"/>
              <w:ind w:left="71"/>
              <w:jc w:val="left"/>
              <w:rPr>
                <w:rFonts w:ascii="Calibri"/>
                <w:sz w:val="20"/>
              </w:rPr>
            </w:pPr>
            <w:r>
              <w:rPr>
                <w:rFonts w:ascii="Calibri"/>
                <w:sz w:val="20"/>
              </w:rPr>
              <w:t>GELS</w:t>
            </w:r>
          </w:p>
        </w:tc>
        <w:tc>
          <w:tcPr>
            <w:tcW w:w="1011" w:type="dxa"/>
            <w:tcBorders>
              <w:bottom w:val="single" w:sz="4" w:space="0" w:color="000000"/>
            </w:tcBorders>
          </w:tcPr>
          <w:p>
            <w:pPr>
              <w:pStyle w:val="TableParagraph"/>
              <w:spacing w:before="9"/>
              <w:ind w:left="118" w:right="103"/>
              <w:rPr>
                <w:rFonts w:ascii="Calibri"/>
                <w:sz w:val="20"/>
              </w:rPr>
            </w:pPr>
            <w:r>
              <w:rPr>
                <w:rFonts w:ascii="Calibri"/>
                <w:sz w:val="20"/>
              </w:rPr>
              <w:t>11015</w:t>
            </w:r>
          </w:p>
        </w:tc>
        <w:tc>
          <w:tcPr>
            <w:tcW w:w="888" w:type="dxa"/>
            <w:tcBorders>
              <w:bottom w:val="single" w:sz="4" w:space="0" w:color="000000"/>
              <w:right w:val="single" w:sz="4" w:space="0" w:color="000000"/>
            </w:tcBorders>
          </w:tcPr>
          <w:p>
            <w:pPr>
              <w:pStyle w:val="TableParagraph"/>
              <w:spacing w:before="9"/>
              <w:ind w:left="169" w:right="218"/>
              <w:rPr>
                <w:rFonts w:ascii="Calibri"/>
                <w:sz w:val="20"/>
              </w:rPr>
            </w:pPr>
            <w:r>
              <w:rPr>
                <w:rFonts w:ascii="Calibri"/>
                <w:sz w:val="20"/>
              </w:rPr>
              <w:t>28.3</w:t>
            </w:r>
          </w:p>
        </w:tc>
        <w:tc>
          <w:tcPr>
            <w:tcW w:w="695" w:type="dxa"/>
            <w:tcBorders>
              <w:left w:val="single" w:sz="4" w:space="0" w:color="000000"/>
              <w:bottom w:val="single" w:sz="4" w:space="0" w:color="000000"/>
            </w:tcBorders>
          </w:tcPr>
          <w:p>
            <w:pPr>
              <w:pStyle w:val="TableParagraph"/>
              <w:spacing w:before="9"/>
              <w:ind w:left="116" w:right="115"/>
              <w:rPr>
                <w:rFonts w:ascii="Calibri"/>
                <w:sz w:val="20"/>
              </w:rPr>
            </w:pPr>
            <w:r>
              <w:rPr>
                <w:rFonts w:ascii="Calibri"/>
                <w:sz w:val="20"/>
              </w:rPr>
              <w:t>1.4</w:t>
            </w:r>
          </w:p>
        </w:tc>
        <w:tc>
          <w:tcPr>
            <w:tcW w:w="1031" w:type="dxa"/>
            <w:tcBorders>
              <w:bottom w:val="single" w:sz="4" w:space="0" w:color="000000"/>
            </w:tcBorders>
          </w:tcPr>
          <w:p>
            <w:pPr>
              <w:pStyle w:val="TableParagraph"/>
              <w:spacing w:before="9"/>
              <w:ind w:left="32" w:right="49"/>
              <w:rPr>
                <w:rFonts w:ascii="Calibri"/>
                <w:sz w:val="20"/>
              </w:rPr>
            </w:pPr>
            <w:r>
              <w:rPr>
                <w:rFonts w:ascii="Calibri"/>
                <w:sz w:val="20"/>
              </w:rPr>
              <w:t>1.2</w:t>
            </w:r>
          </w:p>
        </w:tc>
        <w:tc>
          <w:tcPr>
            <w:tcW w:w="685" w:type="dxa"/>
            <w:tcBorders>
              <w:bottom w:val="single" w:sz="4" w:space="0" w:color="000000"/>
              <w:right w:val="single" w:sz="4" w:space="0" w:color="000000"/>
            </w:tcBorders>
          </w:tcPr>
          <w:p>
            <w:pPr>
              <w:pStyle w:val="TableParagraph"/>
              <w:spacing w:before="9"/>
              <w:ind w:left="130" w:right="154"/>
              <w:rPr>
                <w:rFonts w:ascii="Calibri"/>
                <w:sz w:val="20"/>
              </w:rPr>
            </w:pPr>
            <w:r>
              <w:rPr>
                <w:rFonts w:ascii="Calibri"/>
                <w:sz w:val="20"/>
              </w:rPr>
              <w:t>0.81</w:t>
            </w:r>
          </w:p>
        </w:tc>
        <w:tc>
          <w:tcPr>
            <w:tcW w:w="654" w:type="dxa"/>
            <w:tcBorders>
              <w:left w:val="single" w:sz="4" w:space="0" w:color="000000"/>
              <w:bottom w:val="single" w:sz="4" w:space="0" w:color="000000"/>
            </w:tcBorders>
          </w:tcPr>
          <w:p>
            <w:pPr>
              <w:pStyle w:val="TableParagraph"/>
              <w:spacing w:before="9"/>
              <w:ind w:left="147" w:right="107"/>
              <w:rPr>
                <w:rFonts w:ascii="Calibri"/>
                <w:sz w:val="20"/>
              </w:rPr>
            </w:pPr>
            <w:r>
              <w:rPr>
                <w:rFonts w:ascii="Calibri"/>
                <w:sz w:val="20"/>
              </w:rPr>
              <w:t>2.9</w:t>
            </w:r>
          </w:p>
        </w:tc>
        <w:tc>
          <w:tcPr>
            <w:tcW w:w="985" w:type="dxa"/>
            <w:tcBorders>
              <w:bottom w:val="single" w:sz="4" w:space="0" w:color="000000"/>
            </w:tcBorders>
          </w:tcPr>
          <w:p>
            <w:pPr>
              <w:pStyle w:val="TableParagraph"/>
              <w:spacing w:before="9"/>
              <w:ind w:left="33" w:right="33"/>
              <w:rPr>
                <w:rFonts w:ascii="Calibri"/>
                <w:sz w:val="20"/>
              </w:rPr>
            </w:pPr>
            <w:r>
              <w:rPr>
                <w:rFonts w:ascii="Calibri"/>
                <w:sz w:val="20"/>
              </w:rPr>
              <w:t>11.5</w:t>
            </w:r>
          </w:p>
        </w:tc>
        <w:tc>
          <w:tcPr>
            <w:tcW w:w="633" w:type="dxa"/>
            <w:tcBorders>
              <w:bottom w:val="single" w:sz="4" w:space="0" w:color="000000"/>
            </w:tcBorders>
          </w:tcPr>
          <w:p>
            <w:pPr>
              <w:pStyle w:val="TableParagraph"/>
              <w:spacing w:before="9"/>
              <w:ind w:left="92" w:right="146"/>
              <w:rPr>
                <w:rFonts w:ascii="Calibri"/>
                <w:sz w:val="20"/>
              </w:rPr>
            </w:pPr>
            <w:r>
              <w:rPr>
                <w:rFonts w:ascii="Calibri"/>
                <w:sz w:val="20"/>
              </w:rPr>
              <w:t>0.59</w:t>
            </w:r>
          </w:p>
        </w:tc>
      </w:tr>
    </w:tbl>
    <w:p>
      <w:pPr>
        <w:pStyle w:val="BodyText"/>
        <w:spacing w:before="8"/>
        <w:rPr>
          <w:rFonts w:ascii="Calibri"/>
          <w:i/>
          <w:sz w:val="23"/>
        </w:rPr>
      </w:pPr>
    </w:p>
    <w:p>
      <w:pPr>
        <w:spacing w:before="0"/>
        <w:ind w:left="525" w:right="0" w:firstLine="0"/>
        <w:jc w:val="left"/>
        <w:rPr>
          <w:rFonts w:ascii="Calibri" w:hAnsi="Calibri"/>
          <w:i/>
          <w:sz w:val="18"/>
        </w:rPr>
      </w:pPr>
      <w:r>
        <w:rPr>
          <w:rFonts w:ascii="Calibri" w:hAnsi="Calibri"/>
          <w:i/>
          <w:color w:val="44536A"/>
          <w:sz w:val="18"/>
        </w:rPr>
        <w:t>Tabel 16 Performance statistik for vandføring for Odense Å for </w:t>
      </w:r>
      <w:r>
        <w:rPr>
          <w:rFonts w:ascii="Calibri" w:hAnsi="Calibri"/>
          <w:b/>
          <w:i/>
          <w:color w:val="44536A"/>
          <w:sz w:val="18"/>
        </w:rPr>
        <w:t>500m_Jup+Reg </w:t>
      </w:r>
      <w:r>
        <w:rPr>
          <w:rFonts w:ascii="Calibri" w:hAnsi="Calibri"/>
          <w:i/>
          <w:color w:val="44536A"/>
          <w:sz w:val="18"/>
        </w:rPr>
        <w:t>modellen.</w:t>
      </w:r>
    </w:p>
    <w:p>
      <w:pPr>
        <w:pStyle w:val="BodyText"/>
        <w:spacing w:before="4"/>
        <w:rPr>
          <w:rFonts w:ascii="Calibri"/>
          <w:i/>
          <w:sz w:val="24"/>
        </w:rPr>
      </w:pPr>
    </w:p>
    <w:tbl>
      <w:tblPr>
        <w:tblW w:w="0" w:type="auto"/>
        <w:jc w:val="left"/>
        <w:tblInd w:w="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61"/>
        <w:gridCol w:w="1184"/>
        <w:gridCol w:w="1011"/>
        <w:gridCol w:w="888"/>
        <w:gridCol w:w="695"/>
        <w:gridCol w:w="1031"/>
        <w:gridCol w:w="685"/>
        <w:gridCol w:w="654"/>
        <w:gridCol w:w="985"/>
        <w:gridCol w:w="633"/>
      </w:tblGrid>
      <w:tr>
        <w:trPr>
          <w:trHeight w:val="202" w:hRule="atLeast"/>
        </w:trPr>
        <w:tc>
          <w:tcPr>
            <w:tcW w:w="1945" w:type="dxa"/>
            <w:gridSpan w:val="2"/>
          </w:tcPr>
          <w:p>
            <w:pPr>
              <w:pStyle w:val="TableParagraph"/>
              <w:spacing w:line="182" w:lineRule="exact"/>
              <w:ind w:left="83"/>
              <w:jc w:val="left"/>
              <w:rPr>
                <w:rFonts w:ascii="Calibri"/>
                <w:b/>
                <w:sz w:val="20"/>
              </w:rPr>
            </w:pPr>
            <w:r>
              <w:rPr>
                <w:rFonts w:ascii="Calibri"/>
                <w:b/>
                <w:sz w:val="20"/>
              </w:rPr>
              <w:t>500m_Jup+Reg</w:t>
            </w:r>
          </w:p>
        </w:tc>
        <w:tc>
          <w:tcPr>
            <w:tcW w:w="1011" w:type="dxa"/>
          </w:tcPr>
          <w:p>
            <w:pPr>
              <w:pStyle w:val="TableParagraph"/>
              <w:jc w:val="left"/>
              <w:rPr>
                <w:rFonts w:ascii="Times New Roman"/>
                <w:sz w:val="14"/>
              </w:rPr>
            </w:pPr>
          </w:p>
        </w:tc>
        <w:tc>
          <w:tcPr>
            <w:tcW w:w="888" w:type="dxa"/>
          </w:tcPr>
          <w:p>
            <w:pPr>
              <w:pStyle w:val="TableParagraph"/>
              <w:jc w:val="left"/>
              <w:rPr>
                <w:rFonts w:ascii="Times New Roman"/>
                <w:sz w:val="14"/>
              </w:rPr>
            </w:pPr>
          </w:p>
        </w:tc>
        <w:tc>
          <w:tcPr>
            <w:tcW w:w="695" w:type="dxa"/>
          </w:tcPr>
          <w:p>
            <w:pPr>
              <w:pStyle w:val="TableParagraph"/>
              <w:jc w:val="left"/>
              <w:rPr>
                <w:rFonts w:ascii="Times New Roman"/>
                <w:sz w:val="14"/>
              </w:rPr>
            </w:pPr>
          </w:p>
        </w:tc>
        <w:tc>
          <w:tcPr>
            <w:tcW w:w="1031" w:type="dxa"/>
          </w:tcPr>
          <w:p>
            <w:pPr>
              <w:pStyle w:val="TableParagraph"/>
              <w:spacing w:line="182" w:lineRule="exact"/>
              <w:ind w:left="33" w:right="49"/>
              <w:rPr>
                <w:rFonts w:ascii="Calibri"/>
                <w:b/>
                <w:sz w:val="20"/>
              </w:rPr>
            </w:pPr>
            <w:r>
              <w:rPr>
                <w:rFonts w:ascii="Calibri"/>
                <w:b/>
                <w:sz w:val="20"/>
              </w:rPr>
              <w:t>Kalibrering</w:t>
            </w:r>
          </w:p>
        </w:tc>
        <w:tc>
          <w:tcPr>
            <w:tcW w:w="685" w:type="dxa"/>
          </w:tcPr>
          <w:p>
            <w:pPr>
              <w:pStyle w:val="TableParagraph"/>
              <w:jc w:val="left"/>
              <w:rPr>
                <w:rFonts w:ascii="Times New Roman"/>
                <w:sz w:val="14"/>
              </w:rPr>
            </w:pPr>
          </w:p>
        </w:tc>
        <w:tc>
          <w:tcPr>
            <w:tcW w:w="654" w:type="dxa"/>
          </w:tcPr>
          <w:p>
            <w:pPr>
              <w:pStyle w:val="TableParagraph"/>
              <w:jc w:val="left"/>
              <w:rPr>
                <w:rFonts w:ascii="Times New Roman"/>
                <w:sz w:val="14"/>
              </w:rPr>
            </w:pPr>
          </w:p>
        </w:tc>
        <w:tc>
          <w:tcPr>
            <w:tcW w:w="985" w:type="dxa"/>
          </w:tcPr>
          <w:p>
            <w:pPr>
              <w:pStyle w:val="TableParagraph"/>
              <w:spacing w:line="182" w:lineRule="exact"/>
              <w:ind w:left="33" w:right="65"/>
              <w:rPr>
                <w:rFonts w:ascii="Calibri"/>
                <w:b/>
                <w:sz w:val="20"/>
              </w:rPr>
            </w:pPr>
            <w:r>
              <w:rPr>
                <w:rFonts w:ascii="Calibri"/>
                <w:b/>
                <w:sz w:val="20"/>
              </w:rPr>
              <w:t>Validering</w:t>
            </w:r>
          </w:p>
        </w:tc>
        <w:tc>
          <w:tcPr>
            <w:tcW w:w="633" w:type="dxa"/>
          </w:tcPr>
          <w:p>
            <w:pPr>
              <w:pStyle w:val="TableParagraph"/>
              <w:jc w:val="left"/>
              <w:rPr>
                <w:rFonts w:ascii="Times New Roman"/>
                <w:sz w:val="14"/>
              </w:rPr>
            </w:pPr>
          </w:p>
        </w:tc>
      </w:tr>
      <w:tr>
        <w:trPr>
          <w:trHeight w:val="486" w:hRule="atLeast"/>
        </w:trPr>
        <w:tc>
          <w:tcPr>
            <w:tcW w:w="761" w:type="dxa"/>
            <w:tcBorders>
              <w:bottom w:val="single" w:sz="4" w:space="0" w:color="000000"/>
            </w:tcBorders>
          </w:tcPr>
          <w:p>
            <w:pPr>
              <w:pStyle w:val="TableParagraph"/>
              <w:spacing w:before="12"/>
              <w:jc w:val="left"/>
              <w:rPr>
                <w:rFonts w:ascii="Calibri"/>
                <w:i/>
                <w:sz w:val="19"/>
              </w:rPr>
            </w:pPr>
          </w:p>
          <w:p>
            <w:pPr>
              <w:pStyle w:val="TableParagraph"/>
              <w:spacing w:line="223" w:lineRule="exact"/>
              <w:ind w:left="36" w:right="50"/>
              <w:rPr>
                <w:rFonts w:ascii="Calibri"/>
                <w:sz w:val="20"/>
              </w:rPr>
            </w:pPr>
            <w:r>
              <w:rPr>
                <w:rFonts w:ascii="Calibri"/>
                <w:sz w:val="20"/>
              </w:rPr>
              <w:t>Station</w:t>
            </w:r>
          </w:p>
        </w:tc>
        <w:tc>
          <w:tcPr>
            <w:tcW w:w="1184" w:type="dxa"/>
            <w:tcBorders>
              <w:bottom w:val="single" w:sz="4" w:space="0" w:color="000000"/>
            </w:tcBorders>
          </w:tcPr>
          <w:p>
            <w:pPr>
              <w:pStyle w:val="TableParagraph"/>
              <w:spacing w:before="12"/>
              <w:jc w:val="left"/>
              <w:rPr>
                <w:rFonts w:ascii="Calibri"/>
                <w:i/>
                <w:sz w:val="19"/>
              </w:rPr>
            </w:pPr>
          </w:p>
          <w:p>
            <w:pPr>
              <w:pStyle w:val="TableParagraph"/>
              <w:spacing w:line="223" w:lineRule="exact"/>
              <w:ind w:left="71"/>
              <w:jc w:val="left"/>
              <w:rPr>
                <w:rFonts w:ascii="Calibri"/>
                <w:sz w:val="20"/>
              </w:rPr>
            </w:pPr>
            <w:r>
              <w:rPr>
                <w:rFonts w:ascii="Calibri"/>
                <w:sz w:val="20"/>
              </w:rPr>
              <w:t>Branch</w:t>
            </w:r>
          </w:p>
        </w:tc>
        <w:tc>
          <w:tcPr>
            <w:tcW w:w="1011" w:type="dxa"/>
            <w:tcBorders>
              <w:bottom w:val="single" w:sz="4" w:space="0" w:color="000000"/>
            </w:tcBorders>
          </w:tcPr>
          <w:p>
            <w:pPr>
              <w:pStyle w:val="TableParagraph"/>
              <w:spacing w:before="12"/>
              <w:jc w:val="left"/>
              <w:rPr>
                <w:rFonts w:ascii="Calibri"/>
                <w:i/>
                <w:sz w:val="19"/>
              </w:rPr>
            </w:pPr>
          </w:p>
          <w:p>
            <w:pPr>
              <w:pStyle w:val="TableParagraph"/>
              <w:spacing w:line="223" w:lineRule="exact"/>
              <w:ind w:left="120" w:right="103"/>
              <w:rPr>
                <w:rFonts w:ascii="Calibri"/>
                <w:sz w:val="20"/>
              </w:rPr>
            </w:pPr>
            <w:r>
              <w:rPr>
                <w:rFonts w:ascii="Calibri"/>
                <w:sz w:val="20"/>
              </w:rPr>
              <w:t>Chainage</w:t>
            </w:r>
          </w:p>
        </w:tc>
        <w:tc>
          <w:tcPr>
            <w:tcW w:w="888" w:type="dxa"/>
            <w:tcBorders>
              <w:bottom w:val="single" w:sz="4" w:space="0" w:color="000000"/>
              <w:right w:val="single" w:sz="4" w:space="0" w:color="000000"/>
            </w:tcBorders>
          </w:tcPr>
          <w:p>
            <w:pPr>
              <w:pStyle w:val="TableParagraph"/>
              <w:spacing w:line="243" w:lineRule="exact"/>
              <w:ind w:left="121"/>
              <w:jc w:val="left"/>
              <w:rPr>
                <w:rFonts w:ascii="Calibri"/>
                <w:sz w:val="20"/>
              </w:rPr>
            </w:pPr>
            <w:r>
              <w:rPr>
                <w:rFonts w:ascii="Calibri"/>
                <w:sz w:val="20"/>
              </w:rPr>
              <w:t>Opland</w:t>
            </w:r>
          </w:p>
          <w:p>
            <w:pPr>
              <w:pStyle w:val="TableParagraph"/>
              <w:spacing w:line="223" w:lineRule="exact"/>
              <w:ind w:left="202"/>
              <w:jc w:val="left"/>
              <w:rPr>
                <w:rFonts w:ascii="Calibri"/>
                <w:sz w:val="20"/>
              </w:rPr>
            </w:pPr>
            <w:r>
              <w:rPr>
                <w:rFonts w:ascii="Calibri"/>
                <w:sz w:val="20"/>
              </w:rPr>
              <w:t>[km2]</w:t>
            </w:r>
          </w:p>
        </w:tc>
        <w:tc>
          <w:tcPr>
            <w:tcW w:w="695" w:type="dxa"/>
            <w:tcBorders>
              <w:left w:val="single" w:sz="4" w:space="0" w:color="000000"/>
              <w:bottom w:val="single" w:sz="4" w:space="0" w:color="000000"/>
            </w:tcBorders>
          </w:tcPr>
          <w:p>
            <w:pPr>
              <w:pStyle w:val="TableParagraph"/>
              <w:spacing w:line="243" w:lineRule="exact"/>
              <w:ind w:left="193"/>
              <w:jc w:val="left"/>
              <w:rPr>
                <w:rFonts w:ascii="Calibri"/>
                <w:sz w:val="20"/>
              </w:rPr>
            </w:pPr>
            <w:r>
              <w:rPr>
                <w:rFonts w:ascii="Calibri"/>
                <w:sz w:val="20"/>
              </w:rPr>
              <w:t>fbal</w:t>
            </w:r>
          </w:p>
          <w:p>
            <w:pPr>
              <w:pStyle w:val="TableParagraph"/>
              <w:spacing w:line="223" w:lineRule="exact"/>
              <w:ind w:left="214"/>
              <w:jc w:val="left"/>
              <w:rPr>
                <w:rFonts w:ascii="Calibri"/>
                <w:sz w:val="20"/>
              </w:rPr>
            </w:pPr>
            <w:r>
              <w:rPr>
                <w:rFonts w:ascii="Calibri"/>
                <w:sz w:val="20"/>
              </w:rPr>
              <w:t>[%]</w:t>
            </w:r>
          </w:p>
        </w:tc>
        <w:tc>
          <w:tcPr>
            <w:tcW w:w="1031" w:type="dxa"/>
            <w:tcBorders>
              <w:bottom w:val="single" w:sz="4" w:space="0" w:color="000000"/>
            </w:tcBorders>
          </w:tcPr>
          <w:p>
            <w:pPr>
              <w:pStyle w:val="TableParagraph"/>
              <w:spacing w:line="236" w:lineRule="exact" w:before="10"/>
              <w:ind w:left="374" w:right="133" w:hanging="241"/>
              <w:jc w:val="left"/>
              <w:rPr>
                <w:rFonts w:ascii="Calibri"/>
                <w:sz w:val="20"/>
              </w:rPr>
            </w:pPr>
            <w:r>
              <w:rPr>
                <w:rFonts w:ascii="Calibri"/>
                <w:position w:val="1"/>
                <w:sz w:val="20"/>
              </w:rPr>
              <w:t>fbal</w:t>
            </w:r>
            <w:r>
              <w:rPr>
                <w:rFonts w:ascii="Calibri"/>
                <w:sz w:val="13"/>
              </w:rPr>
              <w:t>sommer </w:t>
            </w:r>
            <w:r>
              <w:rPr>
                <w:rFonts w:ascii="Calibri"/>
                <w:sz w:val="20"/>
              </w:rPr>
              <w:t>[%]</w:t>
            </w:r>
          </w:p>
        </w:tc>
        <w:tc>
          <w:tcPr>
            <w:tcW w:w="685" w:type="dxa"/>
            <w:tcBorders>
              <w:bottom w:val="single" w:sz="4" w:space="0" w:color="000000"/>
              <w:right w:val="single" w:sz="4" w:space="0" w:color="000000"/>
            </w:tcBorders>
          </w:tcPr>
          <w:p>
            <w:pPr>
              <w:pStyle w:val="TableParagraph"/>
              <w:spacing w:line="243" w:lineRule="exact"/>
              <w:ind w:left="130" w:right="151"/>
              <w:rPr>
                <w:rFonts w:ascii="Calibri"/>
                <w:sz w:val="20"/>
              </w:rPr>
            </w:pPr>
            <w:r>
              <w:rPr>
                <w:rFonts w:ascii="Calibri"/>
                <w:sz w:val="20"/>
              </w:rPr>
              <w:t>NSE</w:t>
            </w:r>
          </w:p>
          <w:p>
            <w:pPr>
              <w:pStyle w:val="TableParagraph"/>
              <w:spacing w:line="223" w:lineRule="exact"/>
              <w:ind w:left="130" w:right="151"/>
              <w:rPr>
                <w:rFonts w:ascii="Calibri"/>
                <w:sz w:val="20"/>
              </w:rPr>
            </w:pPr>
            <w:r>
              <w:rPr>
                <w:rFonts w:ascii="Calibri"/>
                <w:sz w:val="20"/>
              </w:rPr>
              <w:t>[-]</w:t>
            </w:r>
          </w:p>
        </w:tc>
        <w:tc>
          <w:tcPr>
            <w:tcW w:w="654" w:type="dxa"/>
            <w:tcBorders>
              <w:left w:val="single" w:sz="4" w:space="0" w:color="000000"/>
              <w:bottom w:val="single" w:sz="4" w:space="0" w:color="000000"/>
            </w:tcBorders>
          </w:tcPr>
          <w:p>
            <w:pPr>
              <w:pStyle w:val="TableParagraph"/>
              <w:spacing w:line="243" w:lineRule="exact"/>
              <w:ind w:left="192"/>
              <w:jc w:val="left"/>
              <w:rPr>
                <w:rFonts w:ascii="Calibri"/>
                <w:sz w:val="20"/>
              </w:rPr>
            </w:pPr>
            <w:r>
              <w:rPr>
                <w:rFonts w:ascii="Calibri"/>
                <w:sz w:val="20"/>
              </w:rPr>
              <w:t>fbal</w:t>
            </w:r>
          </w:p>
          <w:p>
            <w:pPr>
              <w:pStyle w:val="TableParagraph"/>
              <w:spacing w:line="223" w:lineRule="exact"/>
              <w:ind w:left="213"/>
              <w:jc w:val="left"/>
              <w:rPr>
                <w:rFonts w:ascii="Calibri"/>
                <w:sz w:val="20"/>
              </w:rPr>
            </w:pPr>
            <w:r>
              <w:rPr>
                <w:rFonts w:ascii="Calibri"/>
                <w:sz w:val="20"/>
              </w:rPr>
              <w:t>[%]</w:t>
            </w:r>
          </w:p>
        </w:tc>
        <w:tc>
          <w:tcPr>
            <w:tcW w:w="985" w:type="dxa"/>
            <w:tcBorders>
              <w:bottom w:val="single" w:sz="4" w:space="0" w:color="000000"/>
            </w:tcBorders>
          </w:tcPr>
          <w:p>
            <w:pPr>
              <w:pStyle w:val="TableParagraph"/>
              <w:spacing w:line="236" w:lineRule="exact" w:before="10"/>
              <w:ind w:left="359" w:hanging="238"/>
              <w:jc w:val="left"/>
              <w:rPr>
                <w:rFonts w:ascii="Calibri"/>
                <w:sz w:val="20"/>
              </w:rPr>
            </w:pPr>
            <w:r>
              <w:rPr>
                <w:rFonts w:ascii="Calibri"/>
                <w:w w:val="95"/>
                <w:position w:val="1"/>
                <w:sz w:val="20"/>
              </w:rPr>
              <w:t>fbal</w:t>
            </w:r>
            <w:r>
              <w:rPr>
                <w:rFonts w:ascii="Calibri"/>
                <w:w w:val="95"/>
                <w:sz w:val="13"/>
              </w:rPr>
              <w:t>sommer </w:t>
            </w:r>
            <w:r>
              <w:rPr>
                <w:rFonts w:ascii="Calibri"/>
                <w:sz w:val="20"/>
              </w:rPr>
              <w:t>[%]</w:t>
            </w:r>
          </w:p>
        </w:tc>
        <w:tc>
          <w:tcPr>
            <w:tcW w:w="633" w:type="dxa"/>
            <w:tcBorders>
              <w:bottom w:val="single" w:sz="4" w:space="0" w:color="000000"/>
            </w:tcBorders>
          </w:tcPr>
          <w:p>
            <w:pPr>
              <w:pStyle w:val="TableParagraph"/>
              <w:spacing w:line="243" w:lineRule="exact"/>
              <w:ind w:left="128"/>
              <w:jc w:val="left"/>
              <w:rPr>
                <w:rFonts w:ascii="Calibri"/>
                <w:sz w:val="20"/>
              </w:rPr>
            </w:pPr>
            <w:r>
              <w:rPr>
                <w:rFonts w:ascii="Calibri"/>
                <w:sz w:val="20"/>
              </w:rPr>
              <w:t>NSE</w:t>
            </w:r>
          </w:p>
          <w:p>
            <w:pPr>
              <w:pStyle w:val="TableParagraph"/>
              <w:spacing w:line="223" w:lineRule="exact"/>
              <w:ind w:left="195"/>
              <w:jc w:val="left"/>
              <w:rPr>
                <w:rFonts w:ascii="Calibri"/>
                <w:sz w:val="20"/>
              </w:rPr>
            </w:pPr>
            <w:r>
              <w:rPr>
                <w:rFonts w:ascii="Calibri"/>
                <w:sz w:val="20"/>
              </w:rPr>
              <w:t>[-]</w:t>
            </w:r>
          </w:p>
        </w:tc>
      </w:tr>
      <w:tr>
        <w:trPr>
          <w:trHeight w:val="292" w:hRule="atLeast"/>
        </w:trPr>
        <w:tc>
          <w:tcPr>
            <w:tcW w:w="761" w:type="dxa"/>
            <w:tcBorders>
              <w:top w:val="single" w:sz="4" w:space="0" w:color="000000"/>
            </w:tcBorders>
          </w:tcPr>
          <w:p>
            <w:pPr>
              <w:pStyle w:val="TableParagraph"/>
              <w:spacing w:before="1"/>
              <w:ind w:left="61" w:right="50"/>
              <w:rPr>
                <w:rFonts w:ascii="Calibri"/>
                <w:sz w:val="20"/>
              </w:rPr>
            </w:pPr>
            <w:r>
              <w:rPr>
                <w:rFonts w:ascii="Calibri"/>
                <w:sz w:val="20"/>
              </w:rPr>
              <w:t>450001</w:t>
            </w:r>
          </w:p>
        </w:tc>
        <w:tc>
          <w:tcPr>
            <w:tcW w:w="1184" w:type="dxa"/>
            <w:tcBorders>
              <w:top w:val="single" w:sz="4" w:space="0" w:color="000000"/>
            </w:tcBorders>
          </w:tcPr>
          <w:p>
            <w:pPr>
              <w:pStyle w:val="TableParagraph"/>
              <w:spacing w:before="1"/>
              <w:ind w:left="71"/>
              <w:jc w:val="left"/>
              <w:rPr>
                <w:rFonts w:ascii="Calibri"/>
                <w:sz w:val="20"/>
              </w:rPr>
            </w:pPr>
            <w:r>
              <w:rPr>
                <w:rFonts w:ascii="Calibri"/>
                <w:sz w:val="20"/>
              </w:rPr>
              <w:t>Odense_AA</w:t>
            </w:r>
          </w:p>
        </w:tc>
        <w:tc>
          <w:tcPr>
            <w:tcW w:w="1011" w:type="dxa"/>
            <w:tcBorders>
              <w:top w:val="single" w:sz="4" w:space="0" w:color="000000"/>
            </w:tcBorders>
          </w:tcPr>
          <w:p>
            <w:pPr>
              <w:pStyle w:val="TableParagraph"/>
              <w:spacing w:before="1"/>
              <w:ind w:left="118" w:right="103"/>
              <w:rPr>
                <w:rFonts w:ascii="Calibri"/>
                <w:sz w:val="20"/>
              </w:rPr>
            </w:pPr>
            <w:r>
              <w:rPr>
                <w:rFonts w:ascii="Calibri"/>
                <w:sz w:val="20"/>
              </w:rPr>
              <w:t>45365</w:t>
            </w:r>
          </w:p>
        </w:tc>
        <w:tc>
          <w:tcPr>
            <w:tcW w:w="888" w:type="dxa"/>
            <w:tcBorders>
              <w:top w:val="single" w:sz="4" w:space="0" w:color="000000"/>
              <w:right w:val="single" w:sz="4" w:space="0" w:color="000000"/>
            </w:tcBorders>
          </w:tcPr>
          <w:p>
            <w:pPr>
              <w:pStyle w:val="TableParagraph"/>
              <w:spacing w:before="1"/>
              <w:ind w:left="169" w:right="218"/>
              <w:rPr>
                <w:rFonts w:ascii="Calibri"/>
                <w:sz w:val="20"/>
              </w:rPr>
            </w:pPr>
            <w:r>
              <w:rPr>
                <w:rFonts w:ascii="Calibri"/>
                <w:sz w:val="20"/>
              </w:rPr>
              <w:t>535.1</w:t>
            </w:r>
          </w:p>
        </w:tc>
        <w:tc>
          <w:tcPr>
            <w:tcW w:w="695" w:type="dxa"/>
            <w:tcBorders>
              <w:top w:val="single" w:sz="4" w:space="0" w:color="000000"/>
              <w:left w:val="single" w:sz="4" w:space="0" w:color="000000"/>
            </w:tcBorders>
          </w:tcPr>
          <w:p>
            <w:pPr>
              <w:pStyle w:val="TableParagraph"/>
              <w:spacing w:before="1"/>
              <w:ind w:left="116" w:right="115"/>
              <w:rPr>
                <w:rFonts w:ascii="Calibri"/>
                <w:sz w:val="20"/>
              </w:rPr>
            </w:pPr>
            <w:r>
              <w:rPr>
                <w:rFonts w:ascii="Calibri"/>
                <w:sz w:val="20"/>
              </w:rPr>
              <w:t>4.6</w:t>
            </w:r>
          </w:p>
        </w:tc>
        <w:tc>
          <w:tcPr>
            <w:tcW w:w="1031" w:type="dxa"/>
            <w:tcBorders>
              <w:top w:val="single" w:sz="4" w:space="0" w:color="000000"/>
            </w:tcBorders>
          </w:tcPr>
          <w:p>
            <w:pPr>
              <w:pStyle w:val="TableParagraph"/>
              <w:spacing w:before="1"/>
              <w:ind w:left="33" w:right="48"/>
              <w:rPr>
                <w:rFonts w:ascii="Calibri"/>
                <w:sz w:val="20"/>
              </w:rPr>
            </w:pPr>
            <w:r>
              <w:rPr>
                <w:rFonts w:ascii="Calibri"/>
                <w:sz w:val="20"/>
              </w:rPr>
              <w:t>-4.3</w:t>
            </w:r>
          </w:p>
        </w:tc>
        <w:tc>
          <w:tcPr>
            <w:tcW w:w="685" w:type="dxa"/>
            <w:tcBorders>
              <w:top w:val="single" w:sz="4" w:space="0" w:color="000000"/>
              <w:right w:val="single" w:sz="4" w:space="0" w:color="000000"/>
            </w:tcBorders>
          </w:tcPr>
          <w:p>
            <w:pPr>
              <w:pStyle w:val="TableParagraph"/>
              <w:spacing w:before="1"/>
              <w:ind w:left="130" w:right="154"/>
              <w:rPr>
                <w:rFonts w:ascii="Calibri"/>
                <w:sz w:val="20"/>
              </w:rPr>
            </w:pPr>
            <w:r>
              <w:rPr>
                <w:rFonts w:ascii="Calibri"/>
                <w:sz w:val="20"/>
              </w:rPr>
              <w:t>0.90</w:t>
            </w:r>
          </w:p>
        </w:tc>
        <w:tc>
          <w:tcPr>
            <w:tcW w:w="654" w:type="dxa"/>
            <w:tcBorders>
              <w:top w:val="single" w:sz="4" w:space="0" w:color="000000"/>
              <w:left w:val="single" w:sz="4" w:space="0" w:color="000000"/>
            </w:tcBorders>
          </w:tcPr>
          <w:p>
            <w:pPr>
              <w:pStyle w:val="TableParagraph"/>
              <w:spacing w:before="1"/>
              <w:ind w:left="147" w:right="107"/>
              <w:rPr>
                <w:rFonts w:ascii="Calibri"/>
                <w:sz w:val="20"/>
              </w:rPr>
            </w:pPr>
            <w:r>
              <w:rPr>
                <w:rFonts w:ascii="Calibri"/>
                <w:sz w:val="20"/>
              </w:rPr>
              <w:t>21.5</w:t>
            </w:r>
          </w:p>
        </w:tc>
        <w:tc>
          <w:tcPr>
            <w:tcW w:w="985" w:type="dxa"/>
            <w:tcBorders>
              <w:top w:val="single" w:sz="4" w:space="0" w:color="000000"/>
            </w:tcBorders>
          </w:tcPr>
          <w:p>
            <w:pPr>
              <w:pStyle w:val="TableParagraph"/>
              <w:spacing w:before="1"/>
              <w:ind w:left="33" w:right="33"/>
              <w:rPr>
                <w:rFonts w:ascii="Calibri"/>
                <w:sz w:val="20"/>
              </w:rPr>
            </w:pPr>
            <w:r>
              <w:rPr>
                <w:rFonts w:ascii="Calibri"/>
                <w:sz w:val="20"/>
              </w:rPr>
              <w:t>14.1</w:t>
            </w:r>
          </w:p>
        </w:tc>
        <w:tc>
          <w:tcPr>
            <w:tcW w:w="633" w:type="dxa"/>
            <w:tcBorders>
              <w:top w:val="single" w:sz="4" w:space="0" w:color="000000"/>
            </w:tcBorders>
          </w:tcPr>
          <w:p>
            <w:pPr>
              <w:pStyle w:val="TableParagraph"/>
              <w:spacing w:before="1"/>
              <w:ind w:left="92" w:right="146"/>
              <w:rPr>
                <w:rFonts w:ascii="Calibri"/>
                <w:sz w:val="20"/>
              </w:rPr>
            </w:pPr>
            <w:r>
              <w:rPr>
                <w:rFonts w:ascii="Calibri"/>
                <w:sz w:val="20"/>
              </w:rPr>
              <w:t>0.69</w:t>
            </w:r>
          </w:p>
        </w:tc>
      </w:tr>
      <w:tr>
        <w:trPr>
          <w:trHeight w:val="300" w:hRule="atLeast"/>
        </w:trPr>
        <w:tc>
          <w:tcPr>
            <w:tcW w:w="761" w:type="dxa"/>
          </w:tcPr>
          <w:p>
            <w:pPr>
              <w:pStyle w:val="TableParagraph"/>
              <w:spacing w:before="9"/>
              <w:ind w:left="61" w:right="50"/>
              <w:rPr>
                <w:rFonts w:ascii="Calibri"/>
                <w:sz w:val="20"/>
              </w:rPr>
            </w:pPr>
            <w:r>
              <w:rPr>
                <w:rFonts w:ascii="Calibri"/>
                <w:sz w:val="20"/>
              </w:rPr>
              <w:t>450002</w:t>
            </w:r>
          </w:p>
        </w:tc>
        <w:tc>
          <w:tcPr>
            <w:tcW w:w="1184" w:type="dxa"/>
          </w:tcPr>
          <w:p>
            <w:pPr>
              <w:pStyle w:val="TableParagraph"/>
              <w:spacing w:before="9"/>
              <w:ind w:left="71"/>
              <w:jc w:val="left"/>
              <w:rPr>
                <w:rFonts w:ascii="Calibri"/>
                <w:sz w:val="20"/>
              </w:rPr>
            </w:pPr>
            <w:r>
              <w:rPr>
                <w:rFonts w:ascii="Calibri"/>
                <w:sz w:val="20"/>
              </w:rPr>
              <w:t>Odense_AA</w:t>
            </w:r>
          </w:p>
        </w:tc>
        <w:tc>
          <w:tcPr>
            <w:tcW w:w="1011" w:type="dxa"/>
          </w:tcPr>
          <w:p>
            <w:pPr>
              <w:pStyle w:val="TableParagraph"/>
              <w:spacing w:before="9"/>
              <w:ind w:left="118" w:right="103"/>
              <w:rPr>
                <w:rFonts w:ascii="Calibri"/>
                <w:sz w:val="20"/>
              </w:rPr>
            </w:pPr>
            <w:r>
              <w:rPr>
                <w:rFonts w:ascii="Calibri"/>
                <w:sz w:val="20"/>
              </w:rPr>
              <w:t>44162</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535.0</w:t>
            </w:r>
          </w:p>
        </w:tc>
        <w:tc>
          <w:tcPr>
            <w:tcW w:w="695" w:type="dxa"/>
            <w:tcBorders>
              <w:left w:val="single" w:sz="4" w:space="0" w:color="000000"/>
            </w:tcBorders>
          </w:tcPr>
          <w:p>
            <w:pPr>
              <w:pStyle w:val="TableParagraph"/>
              <w:spacing w:before="9"/>
              <w:ind w:left="118" w:right="115"/>
              <w:rPr>
                <w:rFonts w:ascii="Calibri"/>
                <w:sz w:val="20"/>
              </w:rPr>
            </w:pPr>
            <w:r>
              <w:rPr>
                <w:rFonts w:ascii="Calibri"/>
                <w:sz w:val="20"/>
              </w:rPr>
              <w:t>-0.1</w:t>
            </w:r>
          </w:p>
        </w:tc>
        <w:tc>
          <w:tcPr>
            <w:tcW w:w="1031" w:type="dxa"/>
          </w:tcPr>
          <w:p>
            <w:pPr>
              <w:pStyle w:val="TableParagraph"/>
              <w:spacing w:before="9"/>
              <w:ind w:left="33" w:right="48"/>
              <w:rPr>
                <w:rFonts w:ascii="Calibri"/>
                <w:sz w:val="20"/>
              </w:rPr>
            </w:pPr>
            <w:r>
              <w:rPr>
                <w:rFonts w:ascii="Calibri"/>
                <w:sz w:val="20"/>
              </w:rPr>
              <w:t>-14.4</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0.90</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19.1</w:t>
            </w:r>
          </w:p>
        </w:tc>
        <w:tc>
          <w:tcPr>
            <w:tcW w:w="985" w:type="dxa"/>
          </w:tcPr>
          <w:p>
            <w:pPr>
              <w:pStyle w:val="TableParagraph"/>
              <w:spacing w:before="9"/>
              <w:ind w:left="33" w:right="33"/>
              <w:rPr>
                <w:rFonts w:ascii="Calibri"/>
                <w:sz w:val="20"/>
              </w:rPr>
            </w:pPr>
            <w:r>
              <w:rPr>
                <w:rFonts w:ascii="Calibri"/>
                <w:sz w:val="20"/>
              </w:rPr>
              <w:t>10.3</w:t>
            </w:r>
          </w:p>
        </w:tc>
        <w:tc>
          <w:tcPr>
            <w:tcW w:w="633" w:type="dxa"/>
          </w:tcPr>
          <w:p>
            <w:pPr>
              <w:pStyle w:val="TableParagraph"/>
              <w:spacing w:before="9"/>
              <w:ind w:left="92" w:right="146"/>
              <w:rPr>
                <w:rFonts w:ascii="Calibri"/>
                <w:sz w:val="20"/>
              </w:rPr>
            </w:pPr>
            <w:r>
              <w:rPr>
                <w:rFonts w:ascii="Calibri"/>
                <w:sz w:val="20"/>
              </w:rPr>
              <w:t>0.72</w:t>
            </w:r>
          </w:p>
        </w:tc>
      </w:tr>
      <w:tr>
        <w:trPr>
          <w:trHeight w:val="300" w:hRule="atLeast"/>
        </w:trPr>
        <w:tc>
          <w:tcPr>
            <w:tcW w:w="761" w:type="dxa"/>
          </w:tcPr>
          <w:p>
            <w:pPr>
              <w:pStyle w:val="TableParagraph"/>
              <w:spacing w:before="9"/>
              <w:ind w:left="61" w:right="50"/>
              <w:rPr>
                <w:rFonts w:ascii="Calibri"/>
                <w:sz w:val="20"/>
              </w:rPr>
            </w:pPr>
            <w:r>
              <w:rPr>
                <w:rFonts w:ascii="Calibri"/>
                <w:sz w:val="20"/>
              </w:rPr>
              <w:t>450003</w:t>
            </w:r>
          </w:p>
        </w:tc>
        <w:tc>
          <w:tcPr>
            <w:tcW w:w="1184" w:type="dxa"/>
          </w:tcPr>
          <w:p>
            <w:pPr>
              <w:pStyle w:val="TableParagraph"/>
              <w:spacing w:before="9"/>
              <w:ind w:left="71"/>
              <w:jc w:val="left"/>
              <w:rPr>
                <w:rFonts w:ascii="Calibri"/>
                <w:sz w:val="20"/>
              </w:rPr>
            </w:pPr>
            <w:r>
              <w:rPr>
                <w:rFonts w:ascii="Calibri"/>
                <w:sz w:val="20"/>
              </w:rPr>
              <w:t>Odense_AA</w:t>
            </w:r>
          </w:p>
        </w:tc>
        <w:tc>
          <w:tcPr>
            <w:tcW w:w="1011" w:type="dxa"/>
          </w:tcPr>
          <w:p>
            <w:pPr>
              <w:pStyle w:val="TableParagraph"/>
              <w:spacing w:before="9"/>
              <w:ind w:left="118" w:right="103"/>
              <w:rPr>
                <w:rFonts w:ascii="Calibri"/>
                <w:sz w:val="20"/>
              </w:rPr>
            </w:pPr>
            <w:r>
              <w:rPr>
                <w:rFonts w:ascii="Calibri"/>
                <w:sz w:val="20"/>
              </w:rPr>
              <w:t>31583</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485.9</w:t>
            </w:r>
          </w:p>
        </w:tc>
        <w:tc>
          <w:tcPr>
            <w:tcW w:w="695" w:type="dxa"/>
            <w:tcBorders>
              <w:left w:val="single" w:sz="4" w:space="0" w:color="000000"/>
            </w:tcBorders>
          </w:tcPr>
          <w:p>
            <w:pPr>
              <w:pStyle w:val="TableParagraph"/>
              <w:spacing w:before="9"/>
              <w:ind w:left="116" w:right="115"/>
              <w:rPr>
                <w:rFonts w:ascii="Calibri"/>
                <w:sz w:val="20"/>
              </w:rPr>
            </w:pPr>
            <w:r>
              <w:rPr>
                <w:rFonts w:ascii="Calibri"/>
                <w:sz w:val="20"/>
              </w:rPr>
              <w:t>8.1</w:t>
            </w:r>
          </w:p>
        </w:tc>
        <w:tc>
          <w:tcPr>
            <w:tcW w:w="1031" w:type="dxa"/>
          </w:tcPr>
          <w:p>
            <w:pPr>
              <w:pStyle w:val="TableParagraph"/>
              <w:spacing w:before="9"/>
              <w:ind w:left="32" w:right="49"/>
              <w:rPr>
                <w:rFonts w:ascii="Calibri"/>
                <w:sz w:val="20"/>
              </w:rPr>
            </w:pPr>
            <w:r>
              <w:rPr>
                <w:rFonts w:ascii="Calibri"/>
                <w:sz w:val="20"/>
              </w:rPr>
              <w:t>1.7</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0.90</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28.6</w:t>
            </w:r>
          </w:p>
        </w:tc>
        <w:tc>
          <w:tcPr>
            <w:tcW w:w="985" w:type="dxa"/>
          </w:tcPr>
          <w:p>
            <w:pPr>
              <w:pStyle w:val="TableParagraph"/>
              <w:spacing w:before="9"/>
              <w:ind w:left="33" w:right="33"/>
              <w:rPr>
                <w:rFonts w:ascii="Calibri"/>
                <w:sz w:val="20"/>
              </w:rPr>
            </w:pPr>
            <w:r>
              <w:rPr>
                <w:rFonts w:ascii="Calibri"/>
                <w:sz w:val="20"/>
              </w:rPr>
              <w:t>29.7</w:t>
            </w:r>
          </w:p>
        </w:tc>
        <w:tc>
          <w:tcPr>
            <w:tcW w:w="633" w:type="dxa"/>
          </w:tcPr>
          <w:p>
            <w:pPr>
              <w:pStyle w:val="TableParagraph"/>
              <w:spacing w:before="9"/>
              <w:ind w:left="92" w:right="146"/>
              <w:rPr>
                <w:rFonts w:ascii="Calibri"/>
                <w:sz w:val="20"/>
              </w:rPr>
            </w:pPr>
            <w:r>
              <w:rPr>
                <w:rFonts w:ascii="Calibri"/>
                <w:sz w:val="20"/>
              </w:rPr>
              <w:t>0.66</w:t>
            </w:r>
          </w:p>
        </w:tc>
      </w:tr>
      <w:tr>
        <w:trPr>
          <w:trHeight w:val="300" w:hRule="atLeast"/>
        </w:trPr>
        <w:tc>
          <w:tcPr>
            <w:tcW w:w="761" w:type="dxa"/>
          </w:tcPr>
          <w:p>
            <w:pPr>
              <w:pStyle w:val="TableParagraph"/>
              <w:spacing w:before="9"/>
              <w:ind w:left="61" w:right="50"/>
              <w:rPr>
                <w:rFonts w:ascii="Calibri"/>
                <w:sz w:val="20"/>
              </w:rPr>
            </w:pPr>
            <w:r>
              <w:rPr>
                <w:rFonts w:ascii="Calibri"/>
                <w:sz w:val="20"/>
              </w:rPr>
              <w:t>450004</w:t>
            </w:r>
          </w:p>
        </w:tc>
        <w:tc>
          <w:tcPr>
            <w:tcW w:w="1184" w:type="dxa"/>
          </w:tcPr>
          <w:p>
            <w:pPr>
              <w:pStyle w:val="TableParagraph"/>
              <w:spacing w:before="9"/>
              <w:ind w:left="71"/>
              <w:jc w:val="left"/>
              <w:rPr>
                <w:rFonts w:ascii="Calibri"/>
                <w:sz w:val="20"/>
              </w:rPr>
            </w:pPr>
            <w:r>
              <w:rPr>
                <w:rFonts w:ascii="Calibri"/>
                <w:sz w:val="20"/>
              </w:rPr>
              <w:t>Odense_AA</w:t>
            </w:r>
          </w:p>
        </w:tc>
        <w:tc>
          <w:tcPr>
            <w:tcW w:w="1011" w:type="dxa"/>
          </w:tcPr>
          <w:p>
            <w:pPr>
              <w:pStyle w:val="TableParagraph"/>
              <w:spacing w:before="9"/>
              <w:ind w:left="118" w:right="103"/>
              <w:rPr>
                <w:rFonts w:ascii="Calibri"/>
                <w:sz w:val="20"/>
              </w:rPr>
            </w:pPr>
            <w:r>
              <w:rPr>
                <w:rFonts w:ascii="Calibri"/>
                <w:sz w:val="20"/>
              </w:rPr>
              <w:t>17718</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301.6</w:t>
            </w:r>
          </w:p>
        </w:tc>
        <w:tc>
          <w:tcPr>
            <w:tcW w:w="695" w:type="dxa"/>
            <w:tcBorders>
              <w:left w:val="single" w:sz="4" w:space="0" w:color="000000"/>
            </w:tcBorders>
          </w:tcPr>
          <w:p>
            <w:pPr>
              <w:pStyle w:val="TableParagraph"/>
              <w:spacing w:before="9"/>
              <w:ind w:left="116" w:right="115"/>
              <w:rPr>
                <w:rFonts w:ascii="Calibri"/>
                <w:sz w:val="20"/>
              </w:rPr>
            </w:pPr>
            <w:r>
              <w:rPr>
                <w:rFonts w:ascii="Calibri"/>
                <w:sz w:val="20"/>
              </w:rPr>
              <w:t>14.0</w:t>
            </w:r>
          </w:p>
        </w:tc>
        <w:tc>
          <w:tcPr>
            <w:tcW w:w="1031" w:type="dxa"/>
          </w:tcPr>
          <w:p>
            <w:pPr>
              <w:pStyle w:val="TableParagraph"/>
              <w:spacing w:before="9"/>
              <w:ind w:left="32" w:right="49"/>
              <w:rPr>
                <w:rFonts w:ascii="Calibri"/>
                <w:sz w:val="20"/>
              </w:rPr>
            </w:pPr>
            <w:r>
              <w:rPr>
                <w:rFonts w:ascii="Calibri"/>
                <w:sz w:val="20"/>
              </w:rPr>
              <w:t>5.7</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0.84</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29.4</w:t>
            </w:r>
          </w:p>
        </w:tc>
        <w:tc>
          <w:tcPr>
            <w:tcW w:w="985" w:type="dxa"/>
          </w:tcPr>
          <w:p>
            <w:pPr>
              <w:pStyle w:val="TableParagraph"/>
              <w:spacing w:before="9"/>
              <w:ind w:left="33" w:right="33"/>
              <w:rPr>
                <w:rFonts w:ascii="Calibri"/>
                <w:sz w:val="20"/>
              </w:rPr>
            </w:pPr>
            <w:r>
              <w:rPr>
                <w:rFonts w:ascii="Calibri"/>
                <w:sz w:val="20"/>
              </w:rPr>
              <w:t>29.3</w:t>
            </w:r>
          </w:p>
        </w:tc>
        <w:tc>
          <w:tcPr>
            <w:tcW w:w="633" w:type="dxa"/>
          </w:tcPr>
          <w:p>
            <w:pPr>
              <w:pStyle w:val="TableParagraph"/>
              <w:spacing w:before="9"/>
              <w:ind w:left="92" w:right="146"/>
              <w:rPr>
                <w:rFonts w:ascii="Calibri"/>
                <w:sz w:val="20"/>
              </w:rPr>
            </w:pPr>
            <w:r>
              <w:rPr>
                <w:rFonts w:ascii="Calibri"/>
                <w:sz w:val="20"/>
              </w:rPr>
              <w:t>0.62</w:t>
            </w:r>
          </w:p>
        </w:tc>
      </w:tr>
      <w:tr>
        <w:trPr>
          <w:trHeight w:val="300" w:hRule="atLeast"/>
        </w:trPr>
        <w:tc>
          <w:tcPr>
            <w:tcW w:w="761" w:type="dxa"/>
          </w:tcPr>
          <w:p>
            <w:pPr>
              <w:pStyle w:val="TableParagraph"/>
              <w:spacing w:before="9"/>
              <w:ind w:left="61" w:right="50"/>
              <w:rPr>
                <w:rFonts w:ascii="Calibri"/>
                <w:sz w:val="20"/>
              </w:rPr>
            </w:pPr>
            <w:r>
              <w:rPr>
                <w:rFonts w:ascii="Calibri"/>
                <w:sz w:val="20"/>
              </w:rPr>
              <w:t>450005</w:t>
            </w:r>
          </w:p>
        </w:tc>
        <w:tc>
          <w:tcPr>
            <w:tcW w:w="1184" w:type="dxa"/>
          </w:tcPr>
          <w:p>
            <w:pPr>
              <w:pStyle w:val="TableParagraph"/>
              <w:spacing w:before="9"/>
              <w:ind w:left="71"/>
              <w:jc w:val="left"/>
              <w:rPr>
                <w:rFonts w:ascii="Calibri"/>
                <w:sz w:val="20"/>
              </w:rPr>
            </w:pPr>
            <w:r>
              <w:rPr>
                <w:rFonts w:ascii="Calibri"/>
                <w:sz w:val="20"/>
              </w:rPr>
              <w:t>Stavis_AA</w:t>
            </w:r>
          </w:p>
        </w:tc>
        <w:tc>
          <w:tcPr>
            <w:tcW w:w="1011" w:type="dxa"/>
          </w:tcPr>
          <w:p>
            <w:pPr>
              <w:pStyle w:val="TableParagraph"/>
              <w:spacing w:before="9"/>
              <w:ind w:left="118" w:right="103"/>
              <w:rPr>
                <w:rFonts w:ascii="Calibri"/>
                <w:sz w:val="20"/>
              </w:rPr>
            </w:pPr>
            <w:r>
              <w:rPr>
                <w:rFonts w:ascii="Calibri"/>
                <w:sz w:val="20"/>
              </w:rPr>
              <w:t>18267</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78.0</w:t>
            </w:r>
          </w:p>
        </w:tc>
        <w:tc>
          <w:tcPr>
            <w:tcW w:w="695" w:type="dxa"/>
            <w:tcBorders>
              <w:left w:val="single" w:sz="4" w:space="0" w:color="000000"/>
            </w:tcBorders>
          </w:tcPr>
          <w:p>
            <w:pPr>
              <w:pStyle w:val="TableParagraph"/>
              <w:spacing w:before="9"/>
              <w:ind w:left="118" w:right="115"/>
              <w:rPr>
                <w:rFonts w:ascii="Calibri"/>
                <w:sz w:val="20"/>
              </w:rPr>
            </w:pPr>
            <w:r>
              <w:rPr>
                <w:rFonts w:ascii="Calibri"/>
                <w:sz w:val="20"/>
              </w:rPr>
              <w:t>-0.1</w:t>
            </w:r>
          </w:p>
        </w:tc>
        <w:tc>
          <w:tcPr>
            <w:tcW w:w="1031" w:type="dxa"/>
          </w:tcPr>
          <w:p>
            <w:pPr>
              <w:pStyle w:val="TableParagraph"/>
              <w:spacing w:before="9"/>
              <w:ind w:left="33" w:right="48"/>
              <w:rPr>
                <w:rFonts w:ascii="Calibri"/>
                <w:sz w:val="20"/>
              </w:rPr>
            </w:pPr>
            <w:r>
              <w:rPr>
                <w:rFonts w:ascii="Calibri"/>
                <w:sz w:val="20"/>
              </w:rPr>
              <w:t>-59.4</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0.74</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15.0</w:t>
            </w:r>
          </w:p>
        </w:tc>
        <w:tc>
          <w:tcPr>
            <w:tcW w:w="985" w:type="dxa"/>
          </w:tcPr>
          <w:p>
            <w:pPr>
              <w:pStyle w:val="TableParagraph"/>
              <w:spacing w:before="9"/>
              <w:ind w:left="33" w:right="33"/>
              <w:rPr>
                <w:rFonts w:ascii="Calibri"/>
                <w:sz w:val="20"/>
              </w:rPr>
            </w:pPr>
            <w:r>
              <w:rPr>
                <w:rFonts w:ascii="Calibri"/>
                <w:sz w:val="20"/>
              </w:rPr>
              <w:t>-30.8</w:t>
            </w:r>
          </w:p>
        </w:tc>
        <w:tc>
          <w:tcPr>
            <w:tcW w:w="633" w:type="dxa"/>
          </w:tcPr>
          <w:p>
            <w:pPr>
              <w:pStyle w:val="TableParagraph"/>
              <w:spacing w:before="9"/>
              <w:ind w:left="92" w:right="146"/>
              <w:rPr>
                <w:rFonts w:ascii="Calibri"/>
                <w:sz w:val="20"/>
              </w:rPr>
            </w:pPr>
            <w:r>
              <w:rPr>
                <w:rFonts w:ascii="Calibri"/>
                <w:sz w:val="20"/>
              </w:rPr>
              <w:t>0.62</w:t>
            </w:r>
          </w:p>
        </w:tc>
      </w:tr>
      <w:tr>
        <w:trPr>
          <w:trHeight w:val="300" w:hRule="atLeast"/>
        </w:trPr>
        <w:tc>
          <w:tcPr>
            <w:tcW w:w="761" w:type="dxa"/>
          </w:tcPr>
          <w:p>
            <w:pPr>
              <w:pStyle w:val="TableParagraph"/>
              <w:spacing w:before="9"/>
              <w:ind w:left="61" w:right="50"/>
              <w:rPr>
                <w:rFonts w:ascii="Calibri"/>
                <w:sz w:val="20"/>
              </w:rPr>
            </w:pPr>
            <w:r>
              <w:rPr>
                <w:rFonts w:ascii="Calibri"/>
                <w:sz w:val="20"/>
              </w:rPr>
              <w:t>450035</w:t>
            </w:r>
          </w:p>
        </w:tc>
        <w:tc>
          <w:tcPr>
            <w:tcW w:w="1184" w:type="dxa"/>
          </w:tcPr>
          <w:p>
            <w:pPr>
              <w:pStyle w:val="TableParagraph"/>
              <w:spacing w:before="9"/>
              <w:ind w:left="71"/>
              <w:jc w:val="left"/>
              <w:rPr>
                <w:rFonts w:ascii="Calibri"/>
                <w:sz w:val="20"/>
              </w:rPr>
            </w:pPr>
            <w:r>
              <w:rPr>
                <w:rFonts w:ascii="Calibri"/>
                <w:sz w:val="20"/>
              </w:rPr>
              <w:t>Branch_117</w:t>
            </w:r>
          </w:p>
        </w:tc>
        <w:tc>
          <w:tcPr>
            <w:tcW w:w="1011" w:type="dxa"/>
          </w:tcPr>
          <w:p>
            <w:pPr>
              <w:pStyle w:val="TableParagraph"/>
              <w:spacing w:before="9"/>
              <w:ind w:left="118" w:right="103"/>
              <w:rPr>
                <w:rFonts w:ascii="Calibri"/>
                <w:sz w:val="20"/>
              </w:rPr>
            </w:pPr>
            <w:r>
              <w:rPr>
                <w:rFonts w:ascii="Calibri"/>
                <w:sz w:val="20"/>
              </w:rPr>
              <w:t>652</w:t>
            </w:r>
          </w:p>
        </w:tc>
        <w:tc>
          <w:tcPr>
            <w:tcW w:w="888" w:type="dxa"/>
            <w:tcBorders>
              <w:right w:val="single" w:sz="4" w:space="0" w:color="000000"/>
            </w:tcBorders>
          </w:tcPr>
          <w:p>
            <w:pPr>
              <w:pStyle w:val="TableParagraph"/>
              <w:jc w:val="left"/>
              <w:rPr>
                <w:rFonts w:ascii="Times New Roman"/>
                <w:sz w:val="18"/>
              </w:rPr>
            </w:pPr>
          </w:p>
        </w:tc>
        <w:tc>
          <w:tcPr>
            <w:tcW w:w="695" w:type="dxa"/>
            <w:tcBorders>
              <w:left w:val="single" w:sz="4" w:space="0" w:color="000000"/>
            </w:tcBorders>
          </w:tcPr>
          <w:p>
            <w:pPr>
              <w:pStyle w:val="TableParagraph"/>
              <w:spacing w:before="9"/>
              <w:ind w:left="116" w:right="115"/>
              <w:rPr>
                <w:rFonts w:ascii="Calibri"/>
                <w:sz w:val="20"/>
              </w:rPr>
            </w:pPr>
            <w:r>
              <w:rPr>
                <w:rFonts w:ascii="Calibri"/>
                <w:sz w:val="20"/>
              </w:rPr>
              <w:t>6.1</w:t>
            </w:r>
          </w:p>
        </w:tc>
        <w:tc>
          <w:tcPr>
            <w:tcW w:w="1031" w:type="dxa"/>
          </w:tcPr>
          <w:p>
            <w:pPr>
              <w:pStyle w:val="TableParagraph"/>
              <w:spacing w:before="9"/>
              <w:ind w:left="33" w:right="48"/>
              <w:rPr>
                <w:rFonts w:ascii="Calibri"/>
                <w:sz w:val="20"/>
              </w:rPr>
            </w:pPr>
            <w:r>
              <w:rPr>
                <w:rFonts w:ascii="Calibri"/>
                <w:sz w:val="20"/>
              </w:rPr>
              <w:t>-27.2</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0.64</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37.9</w:t>
            </w:r>
          </w:p>
        </w:tc>
        <w:tc>
          <w:tcPr>
            <w:tcW w:w="985" w:type="dxa"/>
          </w:tcPr>
          <w:p>
            <w:pPr>
              <w:pStyle w:val="TableParagraph"/>
              <w:spacing w:before="9"/>
              <w:ind w:left="33" w:right="33"/>
              <w:rPr>
                <w:rFonts w:ascii="Calibri"/>
                <w:sz w:val="20"/>
              </w:rPr>
            </w:pPr>
            <w:r>
              <w:rPr>
                <w:rFonts w:ascii="Calibri"/>
                <w:sz w:val="20"/>
              </w:rPr>
              <w:t>54.1</w:t>
            </w:r>
          </w:p>
        </w:tc>
        <w:tc>
          <w:tcPr>
            <w:tcW w:w="633" w:type="dxa"/>
          </w:tcPr>
          <w:p>
            <w:pPr>
              <w:pStyle w:val="TableParagraph"/>
              <w:spacing w:before="9"/>
              <w:ind w:left="92" w:right="146"/>
              <w:rPr>
                <w:rFonts w:ascii="Calibri"/>
                <w:sz w:val="20"/>
              </w:rPr>
            </w:pPr>
            <w:r>
              <w:rPr>
                <w:rFonts w:ascii="Calibri"/>
                <w:sz w:val="20"/>
              </w:rPr>
              <w:t>0.10</w:t>
            </w:r>
          </w:p>
        </w:tc>
      </w:tr>
      <w:tr>
        <w:trPr>
          <w:trHeight w:val="300" w:hRule="atLeast"/>
        </w:trPr>
        <w:tc>
          <w:tcPr>
            <w:tcW w:w="761" w:type="dxa"/>
          </w:tcPr>
          <w:p>
            <w:pPr>
              <w:pStyle w:val="TableParagraph"/>
              <w:spacing w:before="9"/>
              <w:ind w:left="61" w:right="50"/>
              <w:rPr>
                <w:rFonts w:ascii="Calibri"/>
                <w:sz w:val="20"/>
              </w:rPr>
            </w:pPr>
            <w:r>
              <w:rPr>
                <w:rFonts w:ascii="Calibri"/>
                <w:sz w:val="20"/>
              </w:rPr>
              <w:t>450043</w:t>
            </w:r>
          </w:p>
        </w:tc>
        <w:tc>
          <w:tcPr>
            <w:tcW w:w="1184" w:type="dxa"/>
          </w:tcPr>
          <w:p>
            <w:pPr>
              <w:pStyle w:val="TableParagraph"/>
              <w:spacing w:before="9"/>
              <w:ind w:left="71"/>
              <w:jc w:val="left"/>
              <w:rPr>
                <w:rFonts w:ascii="Calibri"/>
                <w:sz w:val="20"/>
              </w:rPr>
            </w:pPr>
            <w:r>
              <w:rPr>
                <w:rFonts w:ascii="Calibri"/>
                <w:sz w:val="20"/>
              </w:rPr>
              <w:t>Lindved_AA</w:t>
            </w:r>
          </w:p>
        </w:tc>
        <w:tc>
          <w:tcPr>
            <w:tcW w:w="1011" w:type="dxa"/>
          </w:tcPr>
          <w:p>
            <w:pPr>
              <w:pStyle w:val="TableParagraph"/>
              <w:spacing w:before="9"/>
              <w:ind w:left="118" w:right="103"/>
              <w:rPr>
                <w:rFonts w:ascii="Calibri"/>
                <w:sz w:val="20"/>
              </w:rPr>
            </w:pPr>
            <w:r>
              <w:rPr>
                <w:rFonts w:ascii="Calibri"/>
                <w:sz w:val="20"/>
              </w:rPr>
              <w:t>19794</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64.7</w:t>
            </w:r>
          </w:p>
        </w:tc>
        <w:tc>
          <w:tcPr>
            <w:tcW w:w="695" w:type="dxa"/>
            <w:tcBorders>
              <w:left w:val="single" w:sz="4" w:space="0" w:color="000000"/>
            </w:tcBorders>
          </w:tcPr>
          <w:p>
            <w:pPr>
              <w:pStyle w:val="TableParagraph"/>
              <w:spacing w:before="9"/>
              <w:ind w:left="118" w:right="115"/>
              <w:rPr>
                <w:rFonts w:ascii="Calibri"/>
                <w:sz w:val="20"/>
              </w:rPr>
            </w:pPr>
            <w:r>
              <w:rPr>
                <w:rFonts w:ascii="Calibri"/>
                <w:sz w:val="20"/>
              </w:rPr>
              <w:t>-0.5</w:t>
            </w:r>
          </w:p>
        </w:tc>
        <w:tc>
          <w:tcPr>
            <w:tcW w:w="1031" w:type="dxa"/>
          </w:tcPr>
          <w:p>
            <w:pPr>
              <w:pStyle w:val="TableParagraph"/>
              <w:spacing w:before="9"/>
              <w:ind w:left="32" w:right="49"/>
              <w:rPr>
                <w:rFonts w:ascii="Calibri"/>
                <w:sz w:val="20"/>
              </w:rPr>
            </w:pPr>
            <w:r>
              <w:rPr>
                <w:rFonts w:ascii="Calibri"/>
                <w:sz w:val="20"/>
              </w:rPr>
              <w:t>3.3</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0.87</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17.6</w:t>
            </w:r>
          </w:p>
        </w:tc>
        <w:tc>
          <w:tcPr>
            <w:tcW w:w="985" w:type="dxa"/>
          </w:tcPr>
          <w:p>
            <w:pPr>
              <w:pStyle w:val="TableParagraph"/>
              <w:spacing w:before="9"/>
              <w:ind w:left="33" w:right="33"/>
              <w:rPr>
                <w:rFonts w:ascii="Calibri"/>
                <w:sz w:val="20"/>
              </w:rPr>
            </w:pPr>
            <w:r>
              <w:rPr>
                <w:rFonts w:ascii="Calibri"/>
                <w:sz w:val="20"/>
              </w:rPr>
              <w:t>17.4</w:t>
            </w:r>
          </w:p>
        </w:tc>
        <w:tc>
          <w:tcPr>
            <w:tcW w:w="633" w:type="dxa"/>
          </w:tcPr>
          <w:p>
            <w:pPr>
              <w:pStyle w:val="TableParagraph"/>
              <w:spacing w:before="9"/>
              <w:ind w:left="92" w:right="146"/>
              <w:rPr>
                <w:rFonts w:ascii="Calibri"/>
                <w:sz w:val="20"/>
              </w:rPr>
            </w:pPr>
            <w:r>
              <w:rPr>
                <w:rFonts w:ascii="Calibri"/>
                <w:sz w:val="20"/>
              </w:rPr>
              <w:t>0.71</w:t>
            </w:r>
          </w:p>
        </w:tc>
      </w:tr>
      <w:tr>
        <w:trPr>
          <w:trHeight w:val="300" w:hRule="atLeast"/>
        </w:trPr>
        <w:tc>
          <w:tcPr>
            <w:tcW w:w="761" w:type="dxa"/>
          </w:tcPr>
          <w:p>
            <w:pPr>
              <w:pStyle w:val="TableParagraph"/>
              <w:spacing w:before="9"/>
              <w:ind w:left="61" w:right="50"/>
              <w:rPr>
                <w:rFonts w:ascii="Calibri"/>
                <w:sz w:val="20"/>
              </w:rPr>
            </w:pPr>
            <w:r>
              <w:rPr>
                <w:rFonts w:ascii="Calibri"/>
                <w:sz w:val="20"/>
              </w:rPr>
              <w:t>450045</w:t>
            </w:r>
          </w:p>
        </w:tc>
        <w:tc>
          <w:tcPr>
            <w:tcW w:w="1184" w:type="dxa"/>
          </w:tcPr>
          <w:p>
            <w:pPr>
              <w:pStyle w:val="TableParagraph"/>
              <w:spacing w:before="9"/>
              <w:ind w:left="71"/>
              <w:jc w:val="left"/>
              <w:rPr>
                <w:rFonts w:ascii="Calibri"/>
                <w:sz w:val="20"/>
              </w:rPr>
            </w:pPr>
            <w:r>
              <w:rPr>
                <w:rFonts w:ascii="Calibri"/>
                <w:sz w:val="20"/>
              </w:rPr>
              <w:t>Odense_AA</w:t>
            </w:r>
          </w:p>
        </w:tc>
        <w:tc>
          <w:tcPr>
            <w:tcW w:w="1011" w:type="dxa"/>
          </w:tcPr>
          <w:p>
            <w:pPr>
              <w:pStyle w:val="TableParagraph"/>
              <w:spacing w:before="9"/>
              <w:ind w:left="118" w:right="103"/>
              <w:rPr>
                <w:rFonts w:ascii="Calibri"/>
                <w:sz w:val="20"/>
              </w:rPr>
            </w:pPr>
            <w:r>
              <w:rPr>
                <w:rFonts w:ascii="Calibri"/>
                <w:sz w:val="20"/>
              </w:rPr>
              <w:t>276</w:t>
            </w:r>
          </w:p>
        </w:tc>
        <w:tc>
          <w:tcPr>
            <w:tcW w:w="888" w:type="dxa"/>
            <w:tcBorders>
              <w:right w:val="single" w:sz="4" w:space="0" w:color="000000"/>
            </w:tcBorders>
          </w:tcPr>
          <w:p>
            <w:pPr>
              <w:pStyle w:val="TableParagraph"/>
              <w:spacing w:before="9"/>
              <w:ind w:left="169" w:right="218"/>
              <w:rPr>
                <w:rFonts w:ascii="Calibri"/>
                <w:sz w:val="20"/>
              </w:rPr>
            </w:pPr>
            <w:r>
              <w:rPr>
                <w:rFonts w:ascii="Calibri"/>
                <w:sz w:val="20"/>
              </w:rPr>
              <w:t>29.5</w:t>
            </w:r>
          </w:p>
        </w:tc>
        <w:tc>
          <w:tcPr>
            <w:tcW w:w="695" w:type="dxa"/>
            <w:tcBorders>
              <w:left w:val="single" w:sz="4" w:space="0" w:color="000000"/>
            </w:tcBorders>
          </w:tcPr>
          <w:p>
            <w:pPr>
              <w:pStyle w:val="TableParagraph"/>
              <w:spacing w:before="9"/>
              <w:ind w:left="118" w:right="115"/>
              <w:rPr>
                <w:rFonts w:ascii="Calibri"/>
                <w:sz w:val="20"/>
              </w:rPr>
            </w:pPr>
            <w:r>
              <w:rPr>
                <w:rFonts w:ascii="Calibri"/>
                <w:sz w:val="20"/>
              </w:rPr>
              <w:t>-17.9</w:t>
            </w:r>
          </w:p>
        </w:tc>
        <w:tc>
          <w:tcPr>
            <w:tcW w:w="1031" w:type="dxa"/>
          </w:tcPr>
          <w:p>
            <w:pPr>
              <w:pStyle w:val="TableParagraph"/>
              <w:spacing w:before="9"/>
              <w:ind w:left="33" w:right="48"/>
              <w:rPr>
                <w:rFonts w:ascii="Calibri"/>
                <w:sz w:val="20"/>
              </w:rPr>
            </w:pPr>
            <w:r>
              <w:rPr>
                <w:rFonts w:ascii="Calibri"/>
                <w:sz w:val="20"/>
              </w:rPr>
              <w:t>-5.7</w:t>
            </w:r>
          </w:p>
        </w:tc>
        <w:tc>
          <w:tcPr>
            <w:tcW w:w="685" w:type="dxa"/>
            <w:tcBorders>
              <w:right w:val="single" w:sz="4" w:space="0" w:color="000000"/>
            </w:tcBorders>
          </w:tcPr>
          <w:p>
            <w:pPr>
              <w:pStyle w:val="TableParagraph"/>
              <w:spacing w:before="9"/>
              <w:ind w:left="130" w:right="154"/>
              <w:rPr>
                <w:rFonts w:ascii="Calibri"/>
                <w:sz w:val="20"/>
              </w:rPr>
            </w:pPr>
            <w:r>
              <w:rPr>
                <w:rFonts w:ascii="Calibri"/>
                <w:sz w:val="20"/>
              </w:rPr>
              <w:t>0.46</w:t>
            </w:r>
          </w:p>
        </w:tc>
        <w:tc>
          <w:tcPr>
            <w:tcW w:w="654" w:type="dxa"/>
            <w:tcBorders>
              <w:left w:val="single" w:sz="4" w:space="0" w:color="000000"/>
            </w:tcBorders>
          </w:tcPr>
          <w:p>
            <w:pPr>
              <w:pStyle w:val="TableParagraph"/>
              <w:spacing w:before="9"/>
              <w:ind w:left="147" w:right="107"/>
              <w:rPr>
                <w:rFonts w:ascii="Calibri"/>
                <w:sz w:val="20"/>
              </w:rPr>
            </w:pPr>
            <w:r>
              <w:rPr>
                <w:rFonts w:ascii="Calibri"/>
                <w:sz w:val="20"/>
              </w:rPr>
              <w:t>13.9</w:t>
            </w:r>
          </w:p>
        </w:tc>
        <w:tc>
          <w:tcPr>
            <w:tcW w:w="985" w:type="dxa"/>
          </w:tcPr>
          <w:p>
            <w:pPr>
              <w:pStyle w:val="TableParagraph"/>
              <w:spacing w:before="9"/>
              <w:ind w:left="33" w:right="33"/>
              <w:rPr>
                <w:rFonts w:ascii="Calibri"/>
                <w:sz w:val="20"/>
              </w:rPr>
            </w:pPr>
            <w:r>
              <w:rPr>
                <w:rFonts w:ascii="Calibri"/>
                <w:sz w:val="20"/>
              </w:rPr>
              <w:t>19.2</w:t>
            </w:r>
          </w:p>
        </w:tc>
        <w:tc>
          <w:tcPr>
            <w:tcW w:w="633" w:type="dxa"/>
          </w:tcPr>
          <w:p>
            <w:pPr>
              <w:pStyle w:val="TableParagraph"/>
              <w:spacing w:before="9"/>
              <w:ind w:left="92" w:right="146"/>
              <w:rPr>
                <w:rFonts w:ascii="Calibri"/>
                <w:sz w:val="20"/>
              </w:rPr>
            </w:pPr>
            <w:r>
              <w:rPr>
                <w:rFonts w:ascii="Calibri"/>
                <w:sz w:val="20"/>
              </w:rPr>
              <w:t>0.63</w:t>
            </w:r>
          </w:p>
        </w:tc>
      </w:tr>
      <w:tr>
        <w:trPr>
          <w:trHeight w:val="310" w:hRule="atLeast"/>
        </w:trPr>
        <w:tc>
          <w:tcPr>
            <w:tcW w:w="761" w:type="dxa"/>
            <w:tcBorders>
              <w:bottom w:val="single" w:sz="4" w:space="0" w:color="000000"/>
            </w:tcBorders>
          </w:tcPr>
          <w:p>
            <w:pPr>
              <w:pStyle w:val="TableParagraph"/>
              <w:spacing w:before="9"/>
              <w:ind w:left="61" w:right="50"/>
              <w:rPr>
                <w:rFonts w:ascii="Calibri"/>
                <w:sz w:val="20"/>
              </w:rPr>
            </w:pPr>
            <w:r>
              <w:rPr>
                <w:rFonts w:ascii="Calibri"/>
                <w:sz w:val="20"/>
              </w:rPr>
              <w:t>450058</w:t>
            </w:r>
          </w:p>
        </w:tc>
        <w:tc>
          <w:tcPr>
            <w:tcW w:w="1184" w:type="dxa"/>
            <w:tcBorders>
              <w:bottom w:val="single" w:sz="4" w:space="0" w:color="000000"/>
            </w:tcBorders>
          </w:tcPr>
          <w:p>
            <w:pPr>
              <w:pStyle w:val="TableParagraph"/>
              <w:spacing w:before="9"/>
              <w:ind w:left="71"/>
              <w:jc w:val="left"/>
              <w:rPr>
                <w:rFonts w:ascii="Calibri"/>
                <w:sz w:val="20"/>
              </w:rPr>
            </w:pPr>
            <w:r>
              <w:rPr>
                <w:rFonts w:ascii="Calibri"/>
                <w:sz w:val="20"/>
              </w:rPr>
              <w:t>GELS</w:t>
            </w:r>
          </w:p>
        </w:tc>
        <w:tc>
          <w:tcPr>
            <w:tcW w:w="1011" w:type="dxa"/>
            <w:tcBorders>
              <w:bottom w:val="single" w:sz="4" w:space="0" w:color="000000"/>
            </w:tcBorders>
          </w:tcPr>
          <w:p>
            <w:pPr>
              <w:pStyle w:val="TableParagraph"/>
              <w:spacing w:before="9"/>
              <w:ind w:left="118" w:right="103"/>
              <w:rPr>
                <w:rFonts w:ascii="Calibri"/>
                <w:sz w:val="20"/>
              </w:rPr>
            </w:pPr>
            <w:r>
              <w:rPr>
                <w:rFonts w:ascii="Calibri"/>
                <w:sz w:val="20"/>
              </w:rPr>
              <w:t>11015</w:t>
            </w:r>
          </w:p>
        </w:tc>
        <w:tc>
          <w:tcPr>
            <w:tcW w:w="888" w:type="dxa"/>
            <w:tcBorders>
              <w:bottom w:val="single" w:sz="4" w:space="0" w:color="000000"/>
              <w:right w:val="single" w:sz="4" w:space="0" w:color="000000"/>
            </w:tcBorders>
          </w:tcPr>
          <w:p>
            <w:pPr>
              <w:pStyle w:val="TableParagraph"/>
              <w:spacing w:before="9"/>
              <w:ind w:left="169" w:right="218"/>
              <w:rPr>
                <w:rFonts w:ascii="Calibri"/>
                <w:sz w:val="20"/>
              </w:rPr>
            </w:pPr>
            <w:r>
              <w:rPr>
                <w:rFonts w:ascii="Calibri"/>
                <w:sz w:val="20"/>
              </w:rPr>
              <w:t>28.3</w:t>
            </w:r>
          </w:p>
        </w:tc>
        <w:tc>
          <w:tcPr>
            <w:tcW w:w="695" w:type="dxa"/>
            <w:tcBorders>
              <w:left w:val="single" w:sz="4" w:space="0" w:color="000000"/>
              <w:bottom w:val="single" w:sz="4" w:space="0" w:color="000000"/>
            </w:tcBorders>
          </w:tcPr>
          <w:p>
            <w:pPr>
              <w:pStyle w:val="TableParagraph"/>
              <w:spacing w:before="9"/>
              <w:ind w:left="118" w:right="115"/>
              <w:rPr>
                <w:rFonts w:ascii="Calibri"/>
                <w:sz w:val="20"/>
              </w:rPr>
            </w:pPr>
            <w:r>
              <w:rPr>
                <w:rFonts w:ascii="Calibri"/>
                <w:sz w:val="20"/>
              </w:rPr>
              <w:t>-2.5</w:t>
            </w:r>
          </w:p>
        </w:tc>
        <w:tc>
          <w:tcPr>
            <w:tcW w:w="1031" w:type="dxa"/>
            <w:tcBorders>
              <w:bottom w:val="single" w:sz="4" w:space="0" w:color="000000"/>
            </w:tcBorders>
          </w:tcPr>
          <w:p>
            <w:pPr>
              <w:pStyle w:val="TableParagraph"/>
              <w:spacing w:before="9"/>
              <w:ind w:left="33" w:right="48"/>
              <w:rPr>
                <w:rFonts w:ascii="Calibri"/>
                <w:sz w:val="20"/>
              </w:rPr>
            </w:pPr>
            <w:r>
              <w:rPr>
                <w:rFonts w:ascii="Calibri"/>
                <w:sz w:val="20"/>
              </w:rPr>
              <w:t>-11.2</w:t>
            </w:r>
          </w:p>
        </w:tc>
        <w:tc>
          <w:tcPr>
            <w:tcW w:w="685" w:type="dxa"/>
            <w:tcBorders>
              <w:bottom w:val="single" w:sz="4" w:space="0" w:color="000000"/>
              <w:right w:val="single" w:sz="4" w:space="0" w:color="000000"/>
            </w:tcBorders>
          </w:tcPr>
          <w:p>
            <w:pPr>
              <w:pStyle w:val="TableParagraph"/>
              <w:spacing w:before="9"/>
              <w:ind w:left="130" w:right="154"/>
              <w:rPr>
                <w:rFonts w:ascii="Calibri"/>
                <w:sz w:val="20"/>
              </w:rPr>
            </w:pPr>
            <w:r>
              <w:rPr>
                <w:rFonts w:ascii="Calibri"/>
                <w:sz w:val="20"/>
              </w:rPr>
              <w:t>0.75</w:t>
            </w:r>
          </w:p>
        </w:tc>
        <w:tc>
          <w:tcPr>
            <w:tcW w:w="654" w:type="dxa"/>
            <w:tcBorders>
              <w:left w:val="single" w:sz="4" w:space="0" w:color="000000"/>
              <w:bottom w:val="single" w:sz="4" w:space="0" w:color="000000"/>
            </w:tcBorders>
          </w:tcPr>
          <w:p>
            <w:pPr>
              <w:pStyle w:val="TableParagraph"/>
              <w:spacing w:before="9"/>
              <w:ind w:left="147" w:right="105"/>
              <w:rPr>
                <w:rFonts w:ascii="Calibri"/>
                <w:sz w:val="20"/>
              </w:rPr>
            </w:pPr>
            <w:r>
              <w:rPr>
                <w:rFonts w:ascii="Calibri"/>
                <w:sz w:val="20"/>
              </w:rPr>
              <w:t>-0.1</w:t>
            </w:r>
          </w:p>
        </w:tc>
        <w:tc>
          <w:tcPr>
            <w:tcW w:w="985" w:type="dxa"/>
            <w:tcBorders>
              <w:bottom w:val="single" w:sz="4" w:space="0" w:color="000000"/>
            </w:tcBorders>
          </w:tcPr>
          <w:p>
            <w:pPr>
              <w:pStyle w:val="TableParagraph"/>
              <w:spacing w:before="9"/>
              <w:ind w:left="33" w:right="33"/>
              <w:rPr>
                <w:rFonts w:ascii="Calibri"/>
                <w:sz w:val="20"/>
              </w:rPr>
            </w:pPr>
            <w:r>
              <w:rPr>
                <w:rFonts w:ascii="Calibri"/>
                <w:sz w:val="20"/>
              </w:rPr>
              <w:t>1.7</w:t>
            </w:r>
          </w:p>
        </w:tc>
        <w:tc>
          <w:tcPr>
            <w:tcW w:w="633" w:type="dxa"/>
            <w:tcBorders>
              <w:bottom w:val="single" w:sz="4" w:space="0" w:color="000000"/>
            </w:tcBorders>
          </w:tcPr>
          <w:p>
            <w:pPr>
              <w:pStyle w:val="TableParagraph"/>
              <w:spacing w:before="9"/>
              <w:ind w:left="92" w:right="146"/>
              <w:rPr>
                <w:rFonts w:ascii="Calibri"/>
                <w:sz w:val="20"/>
              </w:rPr>
            </w:pPr>
            <w:r>
              <w:rPr>
                <w:rFonts w:ascii="Calibri"/>
                <w:sz w:val="20"/>
              </w:rPr>
              <w:t>0.51</w:t>
            </w:r>
          </w:p>
        </w:tc>
      </w:tr>
    </w:tbl>
    <w:p>
      <w:pPr>
        <w:spacing w:after="0"/>
        <w:rPr>
          <w:rFonts w:ascii="Calibri"/>
          <w:sz w:val="20"/>
        </w:rPr>
        <w:sectPr>
          <w:pgSz w:w="11910" w:h="16850"/>
          <w:pgMar w:header="0" w:footer="857" w:top="1380" w:bottom="1120" w:left="1460" w:right="680"/>
        </w:sectPr>
      </w:pPr>
    </w:p>
    <w:p>
      <w:pPr>
        <w:pStyle w:val="Heading5"/>
        <w:spacing w:before="75"/>
        <w:rPr>
          <w:i/>
        </w:rPr>
      </w:pPr>
      <w:r>
        <w:rPr>
          <w:i/>
        </w:rPr>
        <w:t>Trykniveau</w:t>
      </w:r>
    </w:p>
    <w:p>
      <w:pPr>
        <w:pStyle w:val="BodyText"/>
        <w:spacing w:line="288" w:lineRule="auto" w:before="49"/>
        <w:ind w:left="525" w:right="733"/>
        <w:jc w:val="both"/>
      </w:pPr>
      <w:r>
        <w:rPr/>
        <w:t>Kalibreringsresultater for trykniveau i Odense Å modellerne er angivet i </w:t>
      </w:r>
      <w:hyperlink w:history="true" w:anchor="_bookmark76">
        <w:r>
          <w:rPr/>
          <w:t>tabel 17</w:t>
        </w:r>
      </w:hyperlink>
      <w:r>
        <w:rPr/>
        <w:t>. Af tabellen fremgår det, at middelfejlen for terrænnære pejlinger for alle model grids er relativt stor med MAE på 2.9-3.9 m på tværs af modeller og pejledata. Fejlene for dybe pejlinger er mindre med MAE mellem 2.0-3.2 m. Betragter man de 90% bedste grids ligger fejlen på ca. 1.4-2.0 m for terrænnære pejlinger, og 1.4-2.8 m for dybe pejlinger.</w:t>
      </w:r>
    </w:p>
    <w:p>
      <w:pPr>
        <w:pStyle w:val="BodyText"/>
        <w:spacing w:line="285" w:lineRule="auto"/>
        <w:ind w:left="525" w:right="733"/>
        <w:jc w:val="both"/>
      </w:pPr>
      <w:r>
        <w:rPr>
          <w:position w:val="2"/>
        </w:rPr>
        <w:t>For</w:t>
      </w:r>
      <w:r>
        <w:rPr>
          <w:spacing w:val="-8"/>
          <w:position w:val="2"/>
        </w:rPr>
        <w:t> </w:t>
      </w:r>
      <w:r>
        <w:rPr>
          <w:position w:val="2"/>
        </w:rPr>
        <w:t>valideringsperioden</w:t>
      </w:r>
      <w:r>
        <w:rPr>
          <w:spacing w:val="-6"/>
          <w:position w:val="2"/>
        </w:rPr>
        <w:t> </w:t>
      </w:r>
      <w:r>
        <w:rPr>
          <w:position w:val="2"/>
        </w:rPr>
        <w:t>(</w:t>
      </w:r>
      <w:hyperlink w:history="true" w:anchor="_bookmark77">
        <w:r>
          <w:rPr>
            <w:position w:val="2"/>
          </w:rPr>
          <w:t>tabel</w:t>
        </w:r>
        <w:r>
          <w:rPr>
            <w:spacing w:val="-5"/>
            <w:position w:val="2"/>
          </w:rPr>
          <w:t> </w:t>
        </w:r>
        <w:r>
          <w:rPr>
            <w:position w:val="2"/>
          </w:rPr>
          <w:t>18</w:t>
        </w:r>
      </w:hyperlink>
      <w:r>
        <w:rPr>
          <w:position w:val="2"/>
        </w:rPr>
        <w:t>)</w:t>
      </w:r>
      <w:r>
        <w:rPr>
          <w:spacing w:val="-8"/>
          <w:position w:val="2"/>
        </w:rPr>
        <w:t> </w:t>
      </w:r>
      <w:r>
        <w:rPr>
          <w:position w:val="2"/>
        </w:rPr>
        <w:t>giver</w:t>
      </w:r>
      <w:r>
        <w:rPr>
          <w:spacing w:val="-6"/>
          <w:position w:val="2"/>
        </w:rPr>
        <w:t> </w:t>
      </w:r>
      <w:r>
        <w:rPr>
          <w:position w:val="2"/>
        </w:rPr>
        <w:t>MAE</w:t>
      </w:r>
      <w:r>
        <w:rPr>
          <w:sz w:val="14"/>
        </w:rPr>
        <w:t>90Q</w:t>
      </w:r>
      <w:r>
        <w:rPr>
          <w:spacing w:val="12"/>
          <w:sz w:val="14"/>
        </w:rPr>
        <w:t> </w:t>
      </w:r>
      <w:r>
        <w:rPr>
          <w:position w:val="2"/>
        </w:rPr>
        <w:t>bedre</w:t>
      </w:r>
      <w:r>
        <w:rPr>
          <w:spacing w:val="-6"/>
          <w:position w:val="2"/>
        </w:rPr>
        <w:t> </w:t>
      </w:r>
      <w:r>
        <w:rPr>
          <w:position w:val="2"/>
        </w:rPr>
        <w:t>resultater</w:t>
      </w:r>
      <w:r>
        <w:rPr>
          <w:spacing w:val="-8"/>
          <w:position w:val="2"/>
        </w:rPr>
        <w:t> </w:t>
      </w:r>
      <w:r>
        <w:rPr>
          <w:position w:val="2"/>
        </w:rPr>
        <w:t>med</w:t>
      </w:r>
      <w:r>
        <w:rPr>
          <w:spacing w:val="-7"/>
          <w:position w:val="2"/>
        </w:rPr>
        <w:t> </w:t>
      </w:r>
      <w:r>
        <w:rPr>
          <w:position w:val="2"/>
        </w:rPr>
        <w:t>100</w:t>
      </w:r>
      <w:r>
        <w:rPr>
          <w:spacing w:val="-8"/>
          <w:position w:val="2"/>
        </w:rPr>
        <w:t> </w:t>
      </w:r>
      <w:r>
        <w:rPr>
          <w:position w:val="2"/>
        </w:rPr>
        <w:t>m</w:t>
      </w:r>
      <w:r>
        <w:rPr>
          <w:spacing w:val="-8"/>
          <w:position w:val="2"/>
        </w:rPr>
        <w:t> </w:t>
      </w:r>
      <w:r>
        <w:rPr>
          <w:position w:val="2"/>
        </w:rPr>
        <w:t>model</w:t>
      </w:r>
      <w:r>
        <w:rPr>
          <w:spacing w:val="-5"/>
          <w:position w:val="2"/>
        </w:rPr>
        <w:t> </w:t>
      </w:r>
      <w:r>
        <w:rPr>
          <w:position w:val="2"/>
        </w:rPr>
        <w:t>(MAE</w:t>
      </w:r>
      <w:r>
        <w:rPr>
          <w:spacing w:val="-9"/>
          <w:position w:val="2"/>
        </w:rPr>
        <w:t> </w:t>
      </w:r>
      <w:r>
        <w:rPr>
          <w:position w:val="2"/>
        </w:rPr>
        <w:t>på </w:t>
      </w:r>
      <w:r>
        <w:rPr/>
        <w:t>1.6-1.8 m) end 500 m model (der har MAE på 1.9-2.6 m) for hhv. Jupiter og Region data. Tager man alle observationer med, ses samme tendens, men lidt større samlet fejl på </w:t>
      </w:r>
      <w:r>
        <w:rPr>
          <w:spacing w:val="-2"/>
        </w:rPr>
        <w:t>MAE </w:t>
      </w:r>
      <w:r>
        <w:rPr/>
        <w:t>(2.5-4.2 m) for 100 m modeller og MAE (3.0-5.8 m) for 500 m</w:t>
      </w:r>
      <w:r>
        <w:rPr>
          <w:spacing w:val="-21"/>
        </w:rPr>
        <w:t> </w:t>
      </w:r>
      <w:r>
        <w:rPr/>
        <w:t>model.</w:t>
      </w:r>
    </w:p>
    <w:p>
      <w:pPr>
        <w:pStyle w:val="BodyText"/>
        <w:spacing w:before="6"/>
        <w:rPr>
          <w:sz w:val="25"/>
        </w:rPr>
      </w:pPr>
    </w:p>
    <w:p>
      <w:pPr>
        <w:pStyle w:val="BodyText"/>
        <w:spacing w:line="288" w:lineRule="auto"/>
        <w:ind w:left="525" w:right="733"/>
        <w:jc w:val="both"/>
      </w:pPr>
      <w:r>
        <w:rPr/>
        <w:t>I </w:t>
      </w:r>
      <w:hyperlink w:history="true" w:anchor="_bookmark78">
        <w:r>
          <w:rPr/>
          <w:t>figur 49 </w:t>
        </w:r>
      </w:hyperlink>
      <w:r>
        <w:rPr/>
        <w:t>er afvigelser på middelfejl (ME) illustreret grafisk på hhv. alle pejlinger (øverst) og terrænnære</w:t>
      </w:r>
      <w:r>
        <w:rPr>
          <w:spacing w:val="-11"/>
        </w:rPr>
        <w:t> </w:t>
      </w:r>
      <w:r>
        <w:rPr/>
        <w:t>pejlinger</w:t>
      </w:r>
      <w:r>
        <w:rPr>
          <w:spacing w:val="-10"/>
        </w:rPr>
        <w:t> </w:t>
      </w:r>
      <w:r>
        <w:rPr/>
        <w:t>(nederst).</w:t>
      </w:r>
      <w:r>
        <w:rPr>
          <w:spacing w:val="-11"/>
        </w:rPr>
        <w:t> </w:t>
      </w:r>
      <w:r>
        <w:rPr/>
        <w:t>Der</w:t>
      </w:r>
      <w:r>
        <w:rPr>
          <w:spacing w:val="-11"/>
        </w:rPr>
        <w:t> </w:t>
      </w:r>
      <w:r>
        <w:rPr/>
        <w:t>ses</w:t>
      </w:r>
      <w:r>
        <w:rPr>
          <w:spacing w:val="-10"/>
        </w:rPr>
        <w:t> </w:t>
      </w:r>
      <w:r>
        <w:rPr/>
        <w:t>en</w:t>
      </w:r>
      <w:r>
        <w:rPr>
          <w:spacing w:val="-9"/>
        </w:rPr>
        <w:t> </w:t>
      </w:r>
      <w:r>
        <w:rPr/>
        <w:t>generel</w:t>
      </w:r>
      <w:r>
        <w:rPr>
          <w:spacing w:val="-10"/>
        </w:rPr>
        <w:t> </w:t>
      </w:r>
      <w:r>
        <w:rPr/>
        <w:t>tendens</w:t>
      </w:r>
      <w:r>
        <w:rPr>
          <w:spacing w:val="-10"/>
        </w:rPr>
        <w:t> </w:t>
      </w:r>
      <w:r>
        <w:rPr/>
        <w:t>til,</w:t>
      </w:r>
      <w:r>
        <w:rPr>
          <w:spacing w:val="-11"/>
        </w:rPr>
        <w:t> </w:t>
      </w:r>
      <w:r>
        <w:rPr/>
        <w:t>at</w:t>
      </w:r>
      <w:r>
        <w:rPr>
          <w:spacing w:val="-11"/>
        </w:rPr>
        <w:t> </w:t>
      </w:r>
      <w:r>
        <w:rPr/>
        <w:t>de</w:t>
      </w:r>
      <w:r>
        <w:rPr>
          <w:spacing w:val="-10"/>
        </w:rPr>
        <w:t> </w:t>
      </w:r>
      <w:r>
        <w:rPr/>
        <w:t>blå</w:t>
      </w:r>
      <w:r>
        <w:rPr>
          <w:spacing w:val="-10"/>
        </w:rPr>
        <w:t> </w:t>
      </w:r>
      <w:r>
        <w:rPr/>
        <w:t>og</w:t>
      </w:r>
      <w:r>
        <w:rPr>
          <w:spacing w:val="-9"/>
        </w:rPr>
        <w:t> </w:t>
      </w:r>
      <w:r>
        <w:rPr/>
        <w:t>de</w:t>
      </w:r>
      <w:r>
        <w:rPr>
          <w:spacing w:val="-13"/>
        </w:rPr>
        <w:t> </w:t>
      </w:r>
      <w:r>
        <w:rPr/>
        <w:t>grønne</w:t>
      </w:r>
      <w:r>
        <w:rPr>
          <w:spacing w:val="-10"/>
        </w:rPr>
        <w:t> </w:t>
      </w:r>
      <w:r>
        <w:rPr/>
        <w:t>kurver (der</w:t>
      </w:r>
      <w:r>
        <w:rPr>
          <w:spacing w:val="-4"/>
        </w:rPr>
        <w:t> </w:t>
      </w:r>
      <w:r>
        <w:rPr/>
        <w:t>repræsenterer</w:t>
      </w:r>
      <w:r>
        <w:rPr>
          <w:spacing w:val="-7"/>
        </w:rPr>
        <w:t> </w:t>
      </w:r>
      <w:r>
        <w:rPr/>
        <w:t>de</w:t>
      </w:r>
      <w:r>
        <w:rPr>
          <w:spacing w:val="-3"/>
        </w:rPr>
        <w:t> </w:t>
      </w:r>
      <w:r>
        <w:rPr/>
        <w:t>to</w:t>
      </w:r>
      <w:r>
        <w:rPr>
          <w:spacing w:val="-4"/>
        </w:rPr>
        <w:t> </w:t>
      </w:r>
      <w:r>
        <w:rPr/>
        <w:t>100</w:t>
      </w:r>
      <w:r>
        <w:rPr>
          <w:spacing w:val="-6"/>
        </w:rPr>
        <w:t> </w:t>
      </w:r>
      <w:r>
        <w:rPr/>
        <w:t>m</w:t>
      </w:r>
      <w:r>
        <w:rPr>
          <w:spacing w:val="-5"/>
        </w:rPr>
        <w:t> </w:t>
      </w:r>
      <w:r>
        <w:rPr/>
        <w:t>modeller</w:t>
      </w:r>
      <w:r>
        <w:rPr>
          <w:spacing w:val="-7"/>
        </w:rPr>
        <w:t> </w:t>
      </w:r>
      <w:r>
        <w:rPr/>
        <w:t>med</w:t>
      </w:r>
      <w:r>
        <w:rPr>
          <w:spacing w:val="-6"/>
        </w:rPr>
        <w:t> </w:t>
      </w:r>
      <w:r>
        <w:rPr/>
        <w:t>hhv.</w:t>
      </w:r>
      <w:r>
        <w:rPr>
          <w:spacing w:val="-5"/>
        </w:rPr>
        <w:t> </w:t>
      </w:r>
      <w:r>
        <w:rPr/>
        <w:t>Jupiter</w:t>
      </w:r>
      <w:r>
        <w:rPr>
          <w:spacing w:val="-7"/>
        </w:rPr>
        <w:t> </w:t>
      </w:r>
      <w:r>
        <w:rPr/>
        <w:t>og</w:t>
      </w:r>
      <w:r>
        <w:rPr>
          <w:spacing w:val="-6"/>
        </w:rPr>
        <w:t> </w:t>
      </w:r>
      <w:r>
        <w:rPr/>
        <w:t>Region</w:t>
      </w:r>
      <w:r>
        <w:rPr>
          <w:spacing w:val="-4"/>
        </w:rPr>
        <w:t> </w:t>
      </w:r>
      <w:r>
        <w:rPr/>
        <w:t>data)</w:t>
      </w:r>
      <w:r>
        <w:rPr>
          <w:spacing w:val="-4"/>
        </w:rPr>
        <w:t> </w:t>
      </w:r>
      <w:r>
        <w:rPr/>
        <w:t>har</w:t>
      </w:r>
      <w:r>
        <w:rPr>
          <w:spacing w:val="-6"/>
        </w:rPr>
        <w:t> </w:t>
      </w:r>
      <w:r>
        <w:rPr/>
        <w:t>omtrent</w:t>
      </w:r>
      <w:r>
        <w:rPr>
          <w:spacing w:val="-5"/>
        </w:rPr>
        <w:t> </w:t>
      </w:r>
      <w:r>
        <w:rPr/>
        <w:t>ens- artede forløb, mens 500 m model har et lidt anderledes forløb, med tendens til at negative fejl er større mens positive fejl er</w:t>
      </w:r>
      <w:r>
        <w:rPr>
          <w:spacing w:val="-13"/>
        </w:rPr>
        <w:t> </w:t>
      </w:r>
      <w:r>
        <w:rPr/>
        <w:t>mindre.</w:t>
      </w:r>
    </w:p>
    <w:p>
      <w:pPr>
        <w:pStyle w:val="BodyText"/>
        <w:spacing w:before="6"/>
        <w:rPr>
          <w:sz w:val="25"/>
        </w:rPr>
      </w:pPr>
    </w:p>
    <w:p>
      <w:pPr>
        <w:spacing w:before="0"/>
        <w:ind w:left="525" w:right="852" w:firstLine="0"/>
        <w:jc w:val="left"/>
        <w:rPr>
          <w:rFonts w:ascii="Calibri" w:hAnsi="Calibri"/>
          <w:i/>
          <w:sz w:val="18"/>
        </w:rPr>
      </w:pPr>
      <w:bookmarkStart w:name="_bookmark76" w:id="101"/>
      <w:bookmarkEnd w:id="101"/>
      <w:r>
        <w:rPr/>
      </w:r>
      <w:r>
        <w:rPr>
          <w:rFonts w:ascii="Calibri" w:hAnsi="Calibri"/>
          <w:i/>
          <w:color w:val="44536A"/>
          <w:sz w:val="18"/>
        </w:rPr>
        <w:t>Tabel 17 Performance statistik for simuleret trykniveau på modelgrid niveau for alle tre kalibreringer (2000-2008). </w:t>
      </w:r>
      <w:r>
        <w:rPr>
          <w:rFonts w:ascii="Calibri" w:hAnsi="Calibri"/>
          <w:i/>
          <w:color w:val="44536A"/>
          <w:sz w:val="18"/>
        </w:rPr>
        <w:t>Jupiter og Region indikerer separat statistik for hhv. data fra Jupiter databasen og Regionernes data. Alle størrelser er i [m]. Middelfejl er angivet som obs –</w:t>
      </w:r>
      <w:r>
        <w:rPr>
          <w:rFonts w:ascii="Calibri" w:hAnsi="Calibri"/>
          <w:i/>
          <w:color w:val="44536A"/>
          <w:spacing w:val="-5"/>
          <w:sz w:val="18"/>
        </w:rPr>
        <w:t> </w:t>
      </w:r>
      <w:r>
        <w:rPr>
          <w:rFonts w:ascii="Calibri" w:hAnsi="Calibri"/>
          <w:i/>
          <w:color w:val="44536A"/>
          <w:sz w:val="18"/>
        </w:rPr>
        <w:t>sim.</w:t>
      </w:r>
    </w:p>
    <w:p>
      <w:pPr>
        <w:pStyle w:val="BodyText"/>
        <w:spacing w:before="3"/>
        <w:rPr>
          <w:rFonts w:ascii="Calibri"/>
          <w:i/>
          <w:sz w:val="16"/>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79"/>
        <w:gridCol w:w="859"/>
        <w:gridCol w:w="963"/>
        <w:gridCol w:w="958"/>
        <w:gridCol w:w="963"/>
        <w:gridCol w:w="958"/>
        <w:gridCol w:w="963"/>
      </w:tblGrid>
      <w:tr>
        <w:trPr>
          <w:trHeight w:val="339" w:hRule="atLeast"/>
        </w:trPr>
        <w:tc>
          <w:tcPr>
            <w:tcW w:w="1279" w:type="dxa"/>
          </w:tcPr>
          <w:p>
            <w:pPr>
              <w:pStyle w:val="TableParagraph"/>
              <w:spacing w:line="268" w:lineRule="exact"/>
              <w:ind w:left="69"/>
              <w:jc w:val="left"/>
              <w:rPr>
                <w:rFonts w:ascii="Calibri"/>
                <w:b/>
                <w:sz w:val="22"/>
              </w:rPr>
            </w:pPr>
            <w:r>
              <w:rPr>
                <w:rFonts w:ascii="Calibri"/>
                <w:b/>
                <w:sz w:val="22"/>
              </w:rPr>
              <w:t>Kalibrering</w:t>
            </w:r>
          </w:p>
        </w:tc>
        <w:tc>
          <w:tcPr>
            <w:tcW w:w="1822" w:type="dxa"/>
            <w:gridSpan w:val="2"/>
            <w:tcBorders>
              <w:right w:val="single" w:sz="8" w:space="0" w:color="000000"/>
            </w:tcBorders>
          </w:tcPr>
          <w:p>
            <w:pPr>
              <w:pStyle w:val="TableParagraph"/>
              <w:spacing w:before="25"/>
              <w:ind w:left="170"/>
              <w:jc w:val="left"/>
              <w:rPr>
                <w:rFonts w:ascii="Calibri"/>
                <w:b/>
                <w:sz w:val="22"/>
              </w:rPr>
            </w:pPr>
            <w:r>
              <w:rPr>
                <w:rFonts w:ascii="Calibri"/>
                <w:b/>
                <w:sz w:val="22"/>
              </w:rPr>
              <w:t>100m_Jup+Reg</w:t>
            </w:r>
          </w:p>
        </w:tc>
        <w:tc>
          <w:tcPr>
            <w:tcW w:w="1921" w:type="dxa"/>
            <w:gridSpan w:val="2"/>
            <w:tcBorders>
              <w:left w:val="single" w:sz="8" w:space="0" w:color="000000"/>
              <w:right w:val="single" w:sz="8" w:space="0" w:color="000000"/>
            </w:tcBorders>
          </w:tcPr>
          <w:p>
            <w:pPr>
              <w:pStyle w:val="TableParagraph"/>
              <w:spacing w:before="25"/>
              <w:ind w:left="484"/>
              <w:jc w:val="left"/>
              <w:rPr>
                <w:rFonts w:ascii="Calibri"/>
                <w:b/>
                <w:sz w:val="22"/>
              </w:rPr>
            </w:pPr>
            <w:r>
              <w:rPr>
                <w:rFonts w:ascii="Calibri"/>
                <w:b/>
                <w:sz w:val="22"/>
              </w:rPr>
              <w:t>100m_Jup</w:t>
            </w:r>
          </w:p>
        </w:tc>
        <w:tc>
          <w:tcPr>
            <w:tcW w:w="1921" w:type="dxa"/>
            <w:gridSpan w:val="2"/>
            <w:tcBorders>
              <w:left w:val="single" w:sz="8" w:space="0" w:color="000000"/>
            </w:tcBorders>
          </w:tcPr>
          <w:p>
            <w:pPr>
              <w:pStyle w:val="TableParagraph"/>
              <w:spacing w:before="25"/>
              <w:ind w:left="258"/>
              <w:jc w:val="left"/>
              <w:rPr>
                <w:rFonts w:ascii="Calibri"/>
                <w:b/>
                <w:sz w:val="22"/>
              </w:rPr>
            </w:pPr>
            <w:r>
              <w:rPr>
                <w:rFonts w:ascii="Calibri"/>
                <w:b/>
                <w:sz w:val="22"/>
              </w:rPr>
              <w:t>500m_Jup+Reg</w:t>
            </w:r>
          </w:p>
        </w:tc>
      </w:tr>
      <w:tr>
        <w:trPr>
          <w:trHeight w:val="298" w:hRule="atLeast"/>
        </w:trPr>
        <w:tc>
          <w:tcPr>
            <w:tcW w:w="1279" w:type="dxa"/>
            <w:tcBorders>
              <w:bottom w:val="single" w:sz="8" w:space="0" w:color="000000"/>
            </w:tcBorders>
          </w:tcPr>
          <w:p>
            <w:pPr>
              <w:pStyle w:val="TableParagraph"/>
              <w:jc w:val="left"/>
              <w:rPr>
                <w:rFonts w:ascii="Times New Roman"/>
                <w:sz w:val="20"/>
              </w:rPr>
            </w:pPr>
          </w:p>
        </w:tc>
        <w:tc>
          <w:tcPr>
            <w:tcW w:w="859" w:type="dxa"/>
            <w:tcBorders>
              <w:bottom w:val="single" w:sz="8" w:space="0" w:color="000000"/>
            </w:tcBorders>
          </w:tcPr>
          <w:p>
            <w:pPr>
              <w:pStyle w:val="TableParagraph"/>
              <w:spacing w:before="5"/>
              <w:ind w:left="56" w:right="151"/>
              <w:rPr>
                <w:rFonts w:ascii="Calibri"/>
                <w:sz w:val="22"/>
              </w:rPr>
            </w:pPr>
            <w:r>
              <w:rPr>
                <w:rFonts w:ascii="Calibri"/>
                <w:sz w:val="22"/>
              </w:rPr>
              <w:t>Jupiter</w:t>
            </w:r>
          </w:p>
        </w:tc>
        <w:tc>
          <w:tcPr>
            <w:tcW w:w="963" w:type="dxa"/>
            <w:tcBorders>
              <w:bottom w:val="single" w:sz="8" w:space="0" w:color="000000"/>
              <w:right w:val="single" w:sz="8" w:space="0" w:color="000000"/>
            </w:tcBorders>
          </w:tcPr>
          <w:p>
            <w:pPr>
              <w:pStyle w:val="TableParagraph"/>
              <w:spacing w:before="5"/>
              <w:ind w:left="152" w:right="141"/>
              <w:rPr>
                <w:rFonts w:ascii="Calibri"/>
                <w:sz w:val="22"/>
              </w:rPr>
            </w:pPr>
            <w:r>
              <w:rPr>
                <w:rFonts w:ascii="Calibri"/>
                <w:sz w:val="22"/>
              </w:rPr>
              <w:t>Region</w:t>
            </w:r>
          </w:p>
        </w:tc>
        <w:tc>
          <w:tcPr>
            <w:tcW w:w="958" w:type="dxa"/>
            <w:tcBorders>
              <w:left w:val="single" w:sz="8" w:space="0" w:color="000000"/>
              <w:bottom w:val="single" w:sz="8" w:space="0" w:color="000000"/>
            </w:tcBorders>
          </w:tcPr>
          <w:p>
            <w:pPr>
              <w:pStyle w:val="TableParagraph"/>
              <w:spacing w:before="5"/>
              <w:ind w:left="143" w:right="150"/>
              <w:rPr>
                <w:rFonts w:ascii="Calibri"/>
                <w:sz w:val="22"/>
              </w:rPr>
            </w:pPr>
            <w:r>
              <w:rPr>
                <w:rFonts w:ascii="Calibri"/>
                <w:sz w:val="22"/>
              </w:rPr>
              <w:t>Jupiter</w:t>
            </w:r>
          </w:p>
        </w:tc>
        <w:tc>
          <w:tcPr>
            <w:tcW w:w="963" w:type="dxa"/>
            <w:tcBorders>
              <w:bottom w:val="single" w:sz="8" w:space="0" w:color="000000"/>
              <w:right w:val="single" w:sz="8" w:space="0" w:color="000000"/>
            </w:tcBorders>
          </w:tcPr>
          <w:p>
            <w:pPr>
              <w:pStyle w:val="TableParagraph"/>
              <w:spacing w:before="5"/>
              <w:ind w:left="152" w:right="143"/>
              <w:rPr>
                <w:rFonts w:ascii="Calibri"/>
                <w:sz w:val="22"/>
              </w:rPr>
            </w:pPr>
            <w:r>
              <w:rPr>
                <w:rFonts w:ascii="Calibri"/>
                <w:sz w:val="22"/>
              </w:rPr>
              <w:t>Region</w:t>
            </w:r>
          </w:p>
        </w:tc>
        <w:tc>
          <w:tcPr>
            <w:tcW w:w="958" w:type="dxa"/>
            <w:tcBorders>
              <w:left w:val="single" w:sz="8" w:space="0" w:color="000000"/>
              <w:bottom w:val="single" w:sz="8" w:space="0" w:color="000000"/>
            </w:tcBorders>
          </w:tcPr>
          <w:p>
            <w:pPr>
              <w:pStyle w:val="TableParagraph"/>
              <w:spacing w:before="5"/>
              <w:ind w:left="143" w:right="151"/>
              <w:rPr>
                <w:rFonts w:ascii="Calibri"/>
                <w:sz w:val="22"/>
              </w:rPr>
            </w:pPr>
            <w:r>
              <w:rPr>
                <w:rFonts w:ascii="Calibri"/>
                <w:sz w:val="22"/>
              </w:rPr>
              <w:t>Jupiter</w:t>
            </w:r>
          </w:p>
        </w:tc>
        <w:tc>
          <w:tcPr>
            <w:tcW w:w="963" w:type="dxa"/>
            <w:tcBorders>
              <w:bottom w:val="single" w:sz="8" w:space="0" w:color="000000"/>
            </w:tcBorders>
          </w:tcPr>
          <w:p>
            <w:pPr>
              <w:pStyle w:val="TableParagraph"/>
              <w:spacing w:before="5"/>
              <w:ind w:left="56" w:right="57"/>
              <w:rPr>
                <w:rFonts w:ascii="Calibri"/>
                <w:sz w:val="22"/>
              </w:rPr>
            </w:pPr>
            <w:r>
              <w:rPr>
                <w:rFonts w:ascii="Calibri"/>
                <w:sz w:val="22"/>
              </w:rPr>
              <w:t>Region</w:t>
            </w:r>
          </w:p>
        </w:tc>
      </w:tr>
      <w:tr>
        <w:trPr>
          <w:trHeight w:val="319" w:hRule="atLeast"/>
        </w:trPr>
        <w:tc>
          <w:tcPr>
            <w:tcW w:w="1279" w:type="dxa"/>
            <w:tcBorders>
              <w:top w:val="single" w:sz="8" w:space="0" w:color="000000"/>
            </w:tcBorders>
          </w:tcPr>
          <w:p>
            <w:pPr>
              <w:pStyle w:val="TableParagraph"/>
              <w:spacing w:before="15"/>
              <w:ind w:left="69"/>
              <w:jc w:val="left"/>
              <w:rPr>
                <w:rFonts w:ascii="Calibri"/>
                <w:sz w:val="22"/>
              </w:rPr>
            </w:pPr>
            <w:r>
              <w:rPr>
                <w:rFonts w:ascii="Calibri"/>
                <w:sz w:val="22"/>
              </w:rPr>
              <w:t>ME tn</w:t>
            </w:r>
          </w:p>
        </w:tc>
        <w:tc>
          <w:tcPr>
            <w:tcW w:w="859" w:type="dxa"/>
            <w:tcBorders>
              <w:top w:val="single" w:sz="8" w:space="0" w:color="000000"/>
            </w:tcBorders>
          </w:tcPr>
          <w:p>
            <w:pPr>
              <w:pStyle w:val="TableParagraph"/>
              <w:spacing w:before="15"/>
              <w:ind w:left="55" w:right="151"/>
              <w:rPr>
                <w:rFonts w:ascii="Calibri"/>
                <w:sz w:val="22"/>
              </w:rPr>
            </w:pPr>
            <w:r>
              <w:rPr>
                <w:rFonts w:ascii="Calibri"/>
                <w:sz w:val="22"/>
              </w:rPr>
              <w:t>2.3</w:t>
            </w:r>
          </w:p>
        </w:tc>
        <w:tc>
          <w:tcPr>
            <w:tcW w:w="963" w:type="dxa"/>
            <w:tcBorders>
              <w:top w:val="single" w:sz="8" w:space="0" w:color="000000"/>
              <w:right w:val="single" w:sz="8" w:space="0" w:color="000000"/>
            </w:tcBorders>
          </w:tcPr>
          <w:p>
            <w:pPr>
              <w:pStyle w:val="TableParagraph"/>
              <w:spacing w:before="15"/>
              <w:ind w:left="152" w:right="142"/>
              <w:rPr>
                <w:rFonts w:ascii="Calibri"/>
                <w:sz w:val="22"/>
              </w:rPr>
            </w:pPr>
            <w:r>
              <w:rPr>
                <w:rFonts w:ascii="Calibri"/>
                <w:sz w:val="22"/>
              </w:rPr>
              <w:t>0.8</w:t>
            </w:r>
          </w:p>
        </w:tc>
        <w:tc>
          <w:tcPr>
            <w:tcW w:w="958" w:type="dxa"/>
            <w:tcBorders>
              <w:top w:val="single" w:sz="8" w:space="0" w:color="000000"/>
              <w:left w:val="single" w:sz="8" w:space="0" w:color="000000"/>
            </w:tcBorders>
          </w:tcPr>
          <w:p>
            <w:pPr>
              <w:pStyle w:val="TableParagraph"/>
              <w:spacing w:before="15"/>
              <w:ind w:left="143" w:right="151"/>
              <w:rPr>
                <w:rFonts w:ascii="Calibri"/>
                <w:sz w:val="22"/>
              </w:rPr>
            </w:pPr>
            <w:r>
              <w:rPr>
                <w:rFonts w:ascii="Calibri"/>
                <w:sz w:val="22"/>
              </w:rPr>
              <w:t>1.9</w:t>
            </w:r>
          </w:p>
        </w:tc>
        <w:tc>
          <w:tcPr>
            <w:tcW w:w="963" w:type="dxa"/>
            <w:tcBorders>
              <w:top w:val="single" w:sz="8" w:space="0" w:color="000000"/>
              <w:right w:val="single" w:sz="8" w:space="0" w:color="000000"/>
            </w:tcBorders>
          </w:tcPr>
          <w:p>
            <w:pPr>
              <w:pStyle w:val="TableParagraph"/>
              <w:spacing w:before="15"/>
              <w:ind w:left="151" w:right="143"/>
              <w:rPr>
                <w:rFonts w:ascii="Calibri"/>
                <w:sz w:val="22"/>
              </w:rPr>
            </w:pPr>
            <w:r>
              <w:rPr>
                <w:rFonts w:ascii="Calibri"/>
                <w:sz w:val="22"/>
              </w:rPr>
              <w:t>0.4</w:t>
            </w:r>
          </w:p>
        </w:tc>
        <w:tc>
          <w:tcPr>
            <w:tcW w:w="958" w:type="dxa"/>
            <w:tcBorders>
              <w:top w:val="single" w:sz="8" w:space="0" w:color="000000"/>
              <w:left w:val="single" w:sz="8" w:space="0" w:color="000000"/>
            </w:tcBorders>
          </w:tcPr>
          <w:p>
            <w:pPr>
              <w:pStyle w:val="TableParagraph"/>
              <w:spacing w:before="15"/>
              <w:ind w:left="142" w:right="151"/>
              <w:rPr>
                <w:rFonts w:ascii="Calibri"/>
                <w:sz w:val="22"/>
              </w:rPr>
            </w:pPr>
            <w:r>
              <w:rPr>
                <w:rFonts w:ascii="Calibri"/>
                <w:sz w:val="22"/>
              </w:rPr>
              <w:t>1.3</w:t>
            </w:r>
          </w:p>
        </w:tc>
        <w:tc>
          <w:tcPr>
            <w:tcW w:w="963" w:type="dxa"/>
            <w:tcBorders>
              <w:top w:val="single" w:sz="8" w:space="0" w:color="000000"/>
            </w:tcBorders>
          </w:tcPr>
          <w:p>
            <w:pPr>
              <w:pStyle w:val="TableParagraph"/>
              <w:spacing w:before="15"/>
              <w:ind w:left="57" w:right="57"/>
              <w:rPr>
                <w:rFonts w:ascii="Calibri"/>
                <w:sz w:val="22"/>
              </w:rPr>
            </w:pPr>
            <w:r>
              <w:rPr>
                <w:rFonts w:ascii="Calibri"/>
                <w:sz w:val="22"/>
              </w:rPr>
              <w:t>0.4</w:t>
            </w:r>
          </w:p>
        </w:tc>
      </w:tr>
      <w:tr>
        <w:trPr>
          <w:trHeight w:val="300" w:hRule="atLeast"/>
        </w:trPr>
        <w:tc>
          <w:tcPr>
            <w:tcW w:w="1279" w:type="dxa"/>
          </w:tcPr>
          <w:p>
            <w:pPr>
              <w:pStyle w:val="TableParagraph"/>
              <w:spacing w:line="264" w:lineRule="exact"/>
              <w:ind w:left="69"/>
              <w:jc w:val="left"/>
              <w:rPr>
                <w:rFonts w:ascii="Calibri"/>
                <w:sz w:val="22"/>
              </w:rPr>
            </w:pPr>
            <w:r>
              <w:rPr>
                <w:rFonts w:ascii="Calibri"/>
                <w:sz w:val="22"/>
              </w:rPr>
              <w:t>MAE tn</w:t>
            </w:r>
          </w:p>
        </w:tc>
        <w:tc>
          <w:tcPr>
            <w:tcW w:w="859" w:type="dxa"/>
          </w:tcPr>
          <w:p>
            <w:pPr>
              <w:pStyle w:val="TableParagraph"/>
              <w:spacing w:line="264" w:lineRule="exact"/>
              <w:ind w:left="55" w:right="151"/>
              <w:rPr>
                <w:rFonts w:ascii="Calibri"/>
                <w:sz w:val="22"/>
              </w:rPr>
            </w:pPr>
            <w:r>
              <w:rPr>
                <w:rFonts w:ascii="Calibri"/>
                <w:sz w:val="22"/>
              </w:rPr>
              <w:t>3.7</w:t>
            </w:r>
          </w:p>
        </w:tc>
        <w:tc>
          <w:tcPr>
            <w:tcW w:w="963" w:type="dxa"/>
            <w:tcBorders>
              <w:right w:val="single" w:sz="8" w:space="0" w:color="000000"/>
            </w:tcBorders>
          </w:tcPr>
          <w:p>
            <w:pPr>
              <w:pStyle w:val="TableParagraph"/>
              <w:spacing w:line="264" w:lineRule="exact"/>
              <w:ind w:left="152" w:right="142"/>
              <w:rPr>
                <w:rFonts w:ascii="Calibri"/>
                <w:sz w:val="22"/>
              </w:rPr>
            </w:pPr>
            <w:r>
              <w:rPr>
                <w:rFonts w:ascii="Calibri"/>
                <w:sz w:val="22"/>
              </w:rPr>
              <w:t>3.1</w:t>
            </w:r>
          </w:p>
        </w:tc>
        <w:tc>
          <w:tcPr>
            <w:tcW w:w="958" w:type="dxa"/>
            <w:tcBorders>
              <w:left w:val="single" w:sz="8" w:space="0" w:color="000000"/>
            </w:tcBorders>
          </w:tcPr>
          <w:p>
            <w:pPr>
              <w:pStyle w:val="TableParagraph"/>
              <w:spacing w:line="264" w:lineRule="exact"/>
              <w:ind w:left="143" w:right="151"/>
              <w:rPr>
                <w:rFonts w:ascii="Calibri"/>
                <w:sz w:val="22"/>
              </w:rPr>
            </w:pPr>
            <w:r>
              <w:rPr>
                <w:rFonts w:ascii="Calibri"/>
                <w:sz w:val="22"/>
              </w:rPr>
              <w:t>3.3</w:t>
            </w:r>
          </w:p>
        </w:tc>
        <w:tc>
          <w:tcPr>
            <w:tcW w:w="963" w:type="dxa"/>
            <w:tcBorders>
              <w:right w:val="single" w:sz="8" w:space="0" w:color="000000"/>
            </w:tcBorders>
          </w:tcPr>
          <w:p>
            <w:pPr>
              <w:pStyle w:val="TableParagraph"/>
              <w:spacing w:line="264" w:lineRule="exact"/>
              <w:ind w:left="151" w:right="143"/>
              <w:rPr>
                <w:rFonts w:ascii="Calibri"/>
                <w:sz w:val="22"/>
              </w:rPr>
            </w:pPr>
            <w:r>
              <w:rPr>
                <w:rFonts w:ascii="Calibri"/>
                <w:sz w:val="22"/>
              </w:rPr>
              <w:t>3.0</w:t>
            </w:r>
          </w:p>
        </w:tc>
        <w:tc>
          <w:tcPr>
            <w:tcW w:w="958" w:type="dxa"/>
            <w:tcBorders>
              <w:left w:val="single" w:sz="8" w:space="0" w:color="000000"/>
            </w:tcBorders>
          </w:tcPr>
          <w:p>
            <w:pPr>
              <w:pStyle w:val="TableParagraph"/>
              <w:spacing w:line="264" w:lineRule="exact"/>
              <w:ind w:left="142" w:right="151"/>
              <w:rPr>
                <w:rFonts w:ascii="Calibri"/>
                <w:sz w:val="22"/>
              </w:rPr>
            </w:pPr>
            <w:r>
              <w:rPr>
                <w:rFonts w:ascii="Calibri"/>
                <w:sz w:val="22"/>
              </w:rPr>
              <w:t>2.9</w:t>
            </w:r>
          </w:p>
        </w:tc>
        <w:tc>
          <w:tcPr>
            <w:tcW w:w="963" w:type="dxa"/>
          </w:tcPr>
          <w:p>
            <w:pPr>
              <w:pStyle w:val="TableParagraph"/>
              <w:spacing w:line="264" w:lineRule="exact"/>
              <w:ind w:left="57" w:right="57"/>
              <w:rPr>
                <w:rFonts w:ascii="Calibri"/>
                <w:sz w:val="22"/>
              </w:rPr>
            </w:pPr>
            <w:r>
              <w:rPr>
                <w:rFonts w:ascii="Calibri"/>
                <w:sz w:val="22"/>
              </w:rPr>
              <w:t>3.9</w:t>
            </w:r>
          </w:p>
        </w:tc>
      </w:tr>
      <w:tr>
        <w:trPr>
          <w:trHeight w:val="300" w:hRule="atLeast"/>
        </w:trPr>
        <w:tc>
          <w:tcPr>
            <w:tcW w:w="1279" w:type="dxa"/>
          </w:tcPr>
          <w:p>
            <w:pPr>
              <w:pStyle w:val="TableParagraph"/>
              <w:spacing w:line="264" w:lineRule="exact"/>
              <w:ind w:left="69"/>
              <w:jc w:val="left"/>
              <w:rPr>
                <w:rFonts w:ascii="Calibri"/>
                <w:sz w:val="22"/>
              </w:rPr>
            </w:pPr>
            <w:r>
              <w:rPr>
                <w:rFonts w:ascii="Calibri"/>
                <w:sz w:val="22"/>
              </w:rPr>
              <w:t>ME dyb</w:t>
            </w:r>
          </w:p>
        </w:tc>
        <w:tc>
          <w:tcPr>
            <w:tcW w:w="859" w:type="dxa"/>
          </w:tcPr>
          <w:p>
            <w:pPr>
              <w:pStyle w:val="TableParagraph"/>
              <w:spacing w:line="264" w:lineRule="exact"/>
              <w:ind w:left="55" w:right="151"/>
              <w:rPr>
                <w:rFonts w:ascii="Calibri"/>
                <w:sz w:val="22"/>
              </w:rPr>
            </w:pPr>
            <w:r>
              <w:rPr>
                <w:rFonts w:ascii="Calibri"/>
                <w:sz w:val="22"/>
              </w:rPr>
              <w:t>1.0</w:t>
            </w:r>
          </w:p>
        </w:tc>
        <w:tc>
          <w:tcPr>
            <w:tcW w:w="963" w:type="dxa"/>
            <w:tcBorders>
              <w:right w:val="single" w:sz="8" w:space="0" w:color="000000"/>
            </w:tcBorders>
          </w:tcPr>
          <w:p>
            <w:pPr>
              <w:pStyle w:val="TableParagraph"/>
              <w:spacing w:line="264" w:lineRule="exact"/>
              <w:ind w:left="152" w:right="142"/>
              <w:rPr>
                <w:rFonts w:ascii="Calibri"/>
                <w:sz w:val="22"/>
              </w:rPr>
            </w:pPr>
            <w:r>
              <w:rPr>
                <w:rFonts w:ascii="Calibri"/>
                <w:sz w:val="22"/>
              </w:rPr>
              <w:t>0.1</w:t>
            </w:r>
          </w:p>
        </w:tc>
        <w:tc>
          <w:tcPr>
            <w:tcW w:w="958" w:type="dxa"/>
            <w:tcBorders>
              <w:left w:val="single" w:sz="8" w:space="0" w:color="000000"/>
            </w:tcBorders>
          </w:tcPr>
          <w:p>
            <w:pPr>
              <w:pStyle w:val="TableParagraph"/>
              <w:spacing w:line="264" w:lineRule="exact"/>
              <w:ind w:left="143" w:right="151"/>
              <w:rPr>
                <w:rFonts w:ascii="Calibri"/>
                <w:sz w:val="22"/>
              </w:rPr>
            </w:pPr>
            <w:r>
              <w:rPr>
                <w:rFonts w:ascii="Calibri"/>
                <w:sz w:val="22"/>
              </w:rPr>
              <w:t>0.8</w:t>
            </w:r>
          </w:p>
        </w:tc>
        <w:tc>
          <w:tcPr>
            <w:tcW w:w="963" w:type="dxa"/>
            <w:tcBorders>
              <w:right w:val="single" w:sz="8" w:space="0" w:color="000000"/>
            </w:tcBorders>
          </w:tcPr>
          <w:p>
            <w:pPr>
              <w:pStyle w:val="TableParagraph"/>
              <w:spacing w:line="264" w:lineRule="exact"/>
              <w:ind w:left="151" w:right="143"/>
              <w:rPr>
                <w:rFonts w:ascii="Calibri"/>
                <w:sz w:val="22"/>
              </w:rPr>
            </w:pPr>
            <w:r>
              <w:rPr>
                <w:rFonts w:ascii="Calibri"/>
                <w:sz w:val="22"/>
              </w:rPr>
              <w:t>-0.3</w:t>
            </w:r>
          </w:p>
        </w:tc>
        <w:tc>
          <w:tcPr>
            <w:tcW w:w="958" w:type="dxa"/>
            <w:tcBorders>
              <w:left w:val="single" w:sz="8" w:space="0" w:color="000000"/>
            </w:tcBorders>
          </w:tcPr>
          <w:p>
            <w:pPr>
              <w:pStyle w:val="TableParagraph"/>
              <w:spacing w:line="264" w:lineRule="exact"/>
              <w:ind w:left="142" w:right="151"/>
              <w:rPr>
                <w:rFonts w:ascii="Calibri"/>
                <w:sz w:val="22"/>
              </w:rPr>
            </w:pPr>
            <w:r>
              <w:rPr>
                <w:rFonts w:ascii="Calibri"/>
                <w:sz w:val="22"/>
              </w:rPr>
              <w:t>-0.1</w:t>
            </w:r>
          </w:p>
        </w:tc>
        <w:tc>
          <w:tcPr>
            <w:tcW w:w="963" w:type="dxa"/>
          </w:tcPr>
          <w:p>
            <w:pPr>
              <w:pStyle w:val="TableParagraph"/>
              <w:spacing w:line="264" w:lineRule="exact"/>
              <w:ind w:left="57" w:right="57"/>
              <w:rPr>
                <w:rFonts w:ascii="Calibri"/>
                <w:sz w:val="22"/>
              </w:rPr>
            </w:pPr>
            <w:r>
              <w:rPr>
                <w:rFonts w:ascii="Calibri"/>
                <w:sz w:val="22"/>
              </w:rPr>
              <w:t>-1.6</w:t>
            </w:r>
          </w:p>
        </w:tc>
      </w:tr>
      <w:tr>
        <w:trPr>
          <w:trHeight w:val="279" w:hRule="atLeast"/>
        </w:trPr>
        <w:tc>
          <w:tcPr>
            <w:tcW w:w="1279" w:type="dxa"/>
          </w:tcPr>
          <w:p>
            <w:pPr>
              <w:pStyle w:val="TableParagraph"/>
              <w:spacing w:line="260" w:lineRule="exact"/>
              <w:ind w:left="69"/>
              <w:jc w:val="left"/>
              <w:rPr>
                <w:rFonts w:ascii="Calibri"/>
                <w:sz w:val="22"/>
              </w:rPr>
            </w:pPr>
            <w:r>
              <w:rPr>
                <w:rFonts w:ascii="Calibri"/>
                <w:sz w:val="22"/>
              </w:rPr>
              <w:t>MAE dyb</w:t>
            </w:r>
          </w:p>
        </w:tc>
        <w:tc>
          <w:tcPr>
            <w:tcW w:w="859" w:type="dxa"/>
          </w:tcPr>
          <w:p>
            <w:pPr>
              <w:pStyle w:val="TableParagraph"/>
              <w:spacing w:line="260" w:lineRule="exact"/>
              <w:ind w:left="55" w:right="151"/>
              <w:rPr>
                <w:rFonts w:ascii="Calibri"/>
                <w:sz w:val="22"/>
              </w:rPr>
            </w:pPr>
            <w:r>
              <w:rPr>
                <w:rFonts w:ascii="Calibri"/>
                <w:sz w:val="22"/>
              </w:rPr>
              <w:t>2.9</w:t>
            </w:r>
          </w:p>
        </w:tc>
        <w:tc>
          <w:tcPr>
            <w:tcW w:w="963" w:type="dxa"/>
            <w:tcBorders>
              <w:right w:val="single" w:sz="8" w:space="0" w:color="000000"/>
            </w:tcBorders>
          </w:tcPr>
          <w:p>
            <w:pPr>
              <w:pStyle w:val="TableParagraph"/>
              <w:spacing w:line="260" w:lineRule="exact"/>
              <w:ind w:left="152" w:right="142"/>
              <w:rPr>
                <w:rFonts w:ascii="Calibri"/>
                <w:sz w:val="22"/>
              </w:rPr>
            </w:pPr>
            <w:r>
              <w:rPr>
                <w:rFonts w:ascii="Calibri"/>
                <w:sz w:val="22"/>
              </w:rPr>
              <w:t>2.0</w:t>
            </w:r>
          </w:p>
        </w:tc>
        <w:tc>
          <w:tcPr>
            <w:tcW w:w="958" w:type="dxa"/>
            <w:tcBorders>
              <w:left w:val="single" w:sz="8" w:space="0" w:color="000000"/>
            </w:tcBorders>
          </w:tcPr>
          <w:p>
            <w:pPr>
              <w:pStyle w:val="TableParagraph"/>
              <w:spacing w:line="260" w:lineRule="exact"/>
              <w:ind w:left="143" w:right="151"/>
              <w:rPr>
                <w:rFonts w:ascii="Calibri"/>
                <w:sz w:val="22"/>
              </w:rPr>
            </w:pPr>
            <w:r>
              <w:rPr>
                <w:rFonts w:ascii="Calibri"/>
                <w:sz w:val="22"/>
              </w:rPr>
              <w:t>2.8</w:t>
            </w:r>
          </w:p>
        </w:tc>
        <w:tc>
          <w:tcPr>
            <w:tcW w:w="963" w:type="dxa"/>
            <w:tcBorders>
              <w:right w:val="single" w:sz="8" w:space="0" w:color="000000"/>
            </w:tcBorders>
          </w:tcPr>
          <w:p>
            <w:pPr>
              <w:pStyle w:val="TableParagraph"/>
              <w:spacing w:line="260" w:lineRule="exact"/>
              <w:ind w:left="151" w:right="143"/>
              <w:rPr>
                <w:rFonts w:ascii="Calibri"/>
                <w:sz w:val="22"/>
              </w:rPr>
            </w:pPr>
            <w:r>
              <w:rPr>
                <w:rFonts w:ascii="Calibri"/>
                <w:sz w:val="22"/>
              </w:rPr>
              <w:t>2.2</w:t>
            </w:r>
          </w:p>
        </w:tc>
        <w:tc>
          <w:tcPr>
            <w:tcW w:w="958" w:type="dxa"/>
            <w:tcBorders>
              <w:left w:val="single" w:sz="8" w:space="0" w:color="000000"/>
            </w:tcBorders>
          </w:tcPr>
          <w:p>
            <w:pPr>
              <w:pStyle w:val="TableParagraph"/>
              <w:spacing w:line="260" w:lineRule="exact"/>
              <w:ind w:left="142" w:right="151"/>
              <w:rPr>
                <w:rFonts w:ascii="Calibri"/>
                <w:sz w:val="22"/>
              </w:rPr>
            </w:pPr>
            <w:r>
              <w:rPr>
                <w:rFonts w:ascii="Calibri"/>
                <w:sz w:val="22"/>
              </w:rPr>
              <w:t>2.5</w:t>
            </w:r>
          </w:p>
        </w:tc>
        <w:tc>
          <w:tcPr>
            <w:tcW w:w="963" w:type="dxa"/>
          </w:tcPr>
          <w:p>
            <w:pPr>
              <w:pStyle w:val="TableParagraph"/>
              <w:spacing w:line="260" w:lineRule="exact"/>
              <w:ind w:left="57" w:right="57"/>
              <w:rPr>
                <w:rFonts w:ascii="Calibri"/>
                <w:sz w:val="22"/>
              </w:rPr>
            </w:pPr>
            <w:r>
              <w:rPr>
                <w:rFonts w:ascii="Calibri"/>
                <w:sz w:val="22"/>
              </w:rPr>
              <w:t>3.2</w:t>
            </w:r>
          </w:p>
        </w:tc>
      </w:tr>
      <w:tr>
        <w:trPr>
          <w:trHeight w:val="402" w:hRule="atLeast"/>
        </w:trPr>
        <w:tc>
          <w:tcPr>
            <w:tcW w:w="1279" w:type="dxa"/>
            <w:shd w:val="clear" w:color="auto" w:fill="D9D9D9"/>
          </w:tcPr>
          <w:p>
            <w:pPr>
              <w:pStyle w:val="TableParagraph"/>
              <w:spacing w:before="89"/>
              <w:ind w:left="69"/>
              <w:jc w:val="left"/>
              <w:rPr>
                <w:rFonts w:ascii="Calibri"/>
                <w:sz w:val="22"/>
              </w:rPr>
            </w:pPr>
            <w:r>
              <w:rPr>
                <w:rFonts w:ascii="Calibri"/>
                <w:position w:val="2"/>
                <w:sz w:val="22"/>
              </w:rPr>
              <w:t>ME</w:t>
            </w:r>
            <w:r>
              <w:rPr>
                <w:rFonts w:ascii="Calibri"/>
                <w:sz w:val="14"/>
              </w:rPr>
              <w:t>90Q </w:t>
            </w:r>
            <w:r>
              <w:rPr>
                <w:rFonts w:ascii="Calibri"/>
                <w:position w:val="2"/>
                <w:sz w:val="22"/>
              </w:rPr>
              <w:t>tn</w:t>
            </w:r>
          </w:p>
        </w:tc>
        <w:tc>
          <w:tcPr>
            <w:tcW w:w="859" w:type="dxa"/>
            <w:shd w:val="clear" w:color="auto" w:fill="D9D9D9"/>
          </w:tcPr>
          <w:p>
            <w:pPr>
              <w:pStyle w:val="TableParagraph"/>
              <w:spacing w:before="45"/>
              <w:ind w:left="55" w:right="151"/>
              <w:rPr>
                <w:rFonts w:ascii="Calibri"/>
                <w:sz w:val="22"/>
              </w:rPr>
            </w:pPr>
            <w:r>
              <w:rPr>
                <w:rFonts w:ascii="Calibri"/>
                <w:sz w:val="22"/>
              </w:rPr>
              <w:t>0.5</w:t>
            </w:r>
          </w:p>
        </w:tc>
        <w:tc>
          <w:tcPr>
            <w:tcW w:w="963" w:type="dxa"/>
            <w:tcBorders>
              <w:right w:val="single" w:sz="8" w:space="0" w:color="000000"/>
            </w:tcBorders>
            <w:shd w:val="clear" w:color="auto" w:fill="D9D9D9"/>
          </w:tcPr>
          <w:p>
            <w:pPr>
              <w:pStyle w:val="TableParagraph"/>
              <w:spacing w:before="45"/>
              <w:ind w:left="152" w:right="142"/>
              <w:rPr>
                <w:rFonts w:ascii="Calibri"/>
                <w:sz w:val="22"/>
              </w:rPr>
            </w:pPr>
            <w:r>
              <w:rPr>
                <w:rFonts w:ascii="Calibri"/>
                <w:sz w:val="22"/>
              </w:rPr>
              <w:t>0.0</w:t>
            </w:r>
          </w:p>
        </w:tc>
        <w:tc>
          <w:tcPr>
            <w:tcW w:w="958" w:type="dxa"/>
            <w:tcBorders>
              <w:left w:val="single" w:sz="8" w:space="0" w:color="000000"/>
            </w:tcBorders>
            <w:shd w:val="clear" w:color="auto" w:fill="D9D9D9"/>
          </w:tcPr>
          <w:p>
            <w:pPr>
              <w:pStyle w:val="TableParagraph"/>
              <w:spacing w:before="45"/>
              <w:ind w:left="143" w:right="151"/>
              <w:rPr>
                <w:rFonts w:ascii="Calibri"/>
                <w:sz w:val="22"/>
              </w:rPr>
            </w:pPr>
            <w:r>
              <w:rPr>
                <w:rFonts w:ascii="Calibri"/>
                <w:sz w:val="22"/>
              </w:rPr>
              <w:t>0.3</w:t>
            </w:r>
          </w:p>
        </w:tc>
        <w:tc>
          <w:tcPr>
            <w:tcW w:w="963" w:type="dxa"/>
            <w:tcBorders>
              <w:right w:val="single" w:sz="8" w:space="0" w:color="000000"/>
            </w:tcBorders>
            <w:shd w:val="clear" w:color="auto" w:fill="D9D9D9"/>
          </w:tcPr>
          <w:p>
            <w:pPr>
              <w:pStyle w:val="TableParagraph"/>
              <w:spacing w:before="45"/>
              <w:ind w:left="151" w:right="143"/>
              <w:rPr>
                <w:rFonts w:ascii="Calibri"/>
                <w:sz w:val="22"/>
              </w:rPr>
            </w:pPr>
            <w:r>
              <w:rPr>
                <w:rFonts w:ascii="Calibri"/>
                <w:sz w:val="22"/>
              </w:rPr>
              <w:t>-0.2</w:t>
            </w:r>
          </w:p>
        </w:tc>
        <w:tc>
          <w:tcPr>
            <w:tcW w:w="958" w:type="dxa"/>
            <w:tcBorders>
              <w:left w:val="single" w:sz="8" w:space="0" w:color="000000"/>
            </w:tcBorders>
            <w:shd w:val="clear" w:color="auto" w:fill="D9D9D9"/>
          </w:tcPr>
          <w:p>
            <w:pPr>
              <w:pStyle w:val="TableParagraph"/>
              <w:spacing w:before="45"/>
              <w:ind w:left="142" w:right="151"/>
              <w:rPr>
                <w:rFonts w:ascii="Calibri"/>
                <w:sz w:val="22"/>
              </w:rPr>
            </w:pPr>
            <w:r>
              <w:rPr>
                <w:rFonts w:ascii="Calibri"/>
                <w:sz w:val="22"/>
              </w:rPr>
              <w:t>0.1</w:t>
            </w:r>
          </w:p>
        </w:tc>
        <w:tc>
          <w:tcPr>
            <w:tcW w:w="963" w:type="dxa"/>
            <w:shd w:val="clear" w:color="auto" w:fill="D9D9D9"/>
          </w:tcPr>
          <w:p>
            <w:pPr>
              <w:pStyle w:val="TableParagraph"/>
              <w:spacing w:before="45"/>
              <w:ind w:left="57" w:right="57"/>
              <w:rPr>
                <w:rFonts w:ascii="Calibri"/>
                <w:sz w:val="22"/>
              </w:rPr>
            </w:pPr>
            <w:r>
              <w:rPr>
                <w:rFonts w:ascii="Calibri"/>
                <w:sz w:val="22"/>
              </w:rPr>
              <w:t>0.1</w:t>
            </w:r>
          </w:p>
        </w:tc>
      </w:tr>
      <w:tr>
        <w:trPr>
          <w:trHeight w:val="360" w:hRule="atLeast"/>
        </w:trPr>
        <w:tc>
          <w:tcPr>
            <w:tcW w:w="1279" w:type="dxa"/>
            <w:shd w:val="clear" w:color="auto" w:fill="D9D9D9"/>
          </w:tcPr>
          <w:p>
            <w:pPr>
              <w:pStyle w:val="TableParagraph"/>
              <w:spacing w:before="47"/>
              <w:ind w:left="69"/>
              <w:jc w:val="left"/>
              <w:rPr>
                <w:rFonts w:ascii="Calibri"/>
                <w:sz w:val="22"/>
              </w:rPr>
            </w:pPr>
            <w:r>
              <w:rPr>
                <w:rFonts w:ascii="Calibri"/>
                <w:position w:val="2"/>
                <w:sz w:val="22"/>
              </w:rPr>
              <w:t>MAE</w:t>
            </w:r>
            <w:r>
              <w:rPr>
                <w:rFonts w:ascii="Calibri"/>
                <w:sz w:val="14"/>
              </w:rPr>
              <w:t>90Q </w:t>
            </w:r>
            <w:r>
              <w:rPr>
                <w:rFonts w:ascii="Calibri"/>
                <w:position w:val="2"/>
                <w:sz w:val="22"/>
              </w:rPr>
              <w:t>tn</w:t>
            </w:r>
          </w:p>
        </w:tc>
        <w:tc>
          <w:tcPr>
            <w:tcW w:w="859" w:type="dxa"/>
            <w:shd w:val="clear" w:color="auto" w:fill="D9D9D9"/>
          </w:tcPr>
          <w:p>
            <w:pPr>
              <w:pStyle w:val="TableParagraph"/>
              <w:spacing w:before="3"/>
              <w:ind w:left="55" w:right="151"/>
              <w:rPr>
                <w:rFonts w:ascii="Calibri"/>
                <w:sz w:val="22"/>
              </w:rPr>
            </w:pPr>
            <w:r>
              <w:rPr>
                <w:rFonts w:ascii="Calibri"/>
                <w:sz w:val="22"/>
              </w:rPr>
              <w:t>2.0</w:t>
            </w:r>
          </w:p>
        </w:tc>
        <w:tc>
          <w:tcPr>
            <w:tcW w:w="963" w:type="dxa"/>
            <w:tcBorders>
              <w:right w:val="single" w:sz="8" w:space="0" w:color="000000"/>
            </w:tcBorders>
            <w:shd w:val="clear" w:color="auto" w:fill="D9D9D9"/>
          </w:tcPr>
          <w:p>
            <w:pPr>
              <w:pStyle w:val="TableParagraph"/>
              <w:spacing w:before="3"/>
              <w:ind w:left="152" w:right="142"/>
              <w:rPr>
                <w:rFonts w:ascii="Calibri"/>
                <w:sz w:val="22"/>
              </w:rPr>
            </w:pPr>
            <w:r>
              <w:rPr>
                <w:rFonts w:ascii="Calibri"/>
                <w:sz w:val="22"/>
              </w:rPr>
              <w:t>1.4</w:t>
            </w:r>
          </w:p>
        </w:tc>
        <w:tc>
          <w:tcPr>
            <w:tcW w:w="958" w:type="dxa"/>
            <w:tcBorders>
              <w:left w:val="single" w:sz="8" w:space="0" w:color="000000"/>
            </w:tcBorders>
            <w:shd w:val="clear" w:color="auto" w:fill="D9D9D9"/>
          </w:tcPr>
          <w:p>
            <w:pPr>
              <w:pStyle w:val="TableParagraph"/>
              <w:spacing w:before="3"/>
              <w:ind w:left="143" w:right="151"/>
              <w:rPr>
                <w:rFonts w:ascii="Calibri"/>
                <w:sz w:val="22"/>
              </w:rPr>
            </w:pPr>
            <w:r>
              <w:rPr>
                <w:rFonts w:ascii="Calibri"/>
                <w:sz w:val="22"/>
              </w:rPr>
              <w:t>1.9</w:t>
            </w:r>
          </w:p>
        </w:tc>
        <w:tc>
          <w:tcPr>
            <w:tcW w:w="963" w:type="dxa"/>
            <w:tcBorders>
              <w:right w:val="single" w:sz="8" w:space="0" w:color="000000"/>
            </w:tcBorders>
            <w:shd w:val="clear" w:color="auto" w:fill="D9D9D9"/>
          </w:tcPr>
          <w:p>
            <w:pPr>
              <w:pStyle w:val="TableParagraph"/>
              <w:spacing w:before="3"/>
              <w:ind w:left="151" w:right="143"/>
              <w:rPr>
                <w:rFonts w:ascii="Calibri"/>
                <w:sz w:val="22"/>
              </w:rPr>
            </w:pPr>
            <w:r>
              <w:rPr>
                <w:rFonts w:ascii="Calibri"/>
                <w:sz w:val="22"/>
              </w:rPr>
              <w:t>1.4</w:t>
            </w:r>
          </w:p>
        </w:tc>
        <w:tc>
          <w:tcPr>
            <w:tcW w:w="958" w:type="dxa"/>
            <w:tcBorders>
              <w:left w:val="single" w:sz="8" w:space="0" w:color="000000"/>
            </w:tcBorders>
            <w:shd w:val="clear" w:color="auto" w:fill="D9D9D9"/>
          </w:tcPr>
          <w:p>
            <w:pPr>
              <w:pStyle w:val="TableParagraph"/>
              <w:spacing w:before="3"/>
              <w:ind w:left="142" w:right="151"/>
              <w:rPr>
                <w:rFonts w:ascii="Calibri"/>
                <w:sz w:val="22"/>
              </w:rPr>
            </w:pPr>
            <w:r>
              <w:rPr>
                <w:rFonts w:ascii="Calibri"/>
                <w:sz w:val="22"/>
              </w:rPr>
              <w:t>1.9</w:t>
            </w:r>
          </w:p>
        </w:tc>
        <w:tc>
          <w:tcPr>
            <w:tcW w:w="963" w:type="dxa"/>
            <w:shd w:val="clear" w:color="auto" w:fill="D9D9D9"/>
          </w:tcPr>
          <w:p>
            <w:pPr>
              <w:pStyle w:val="TableParagraph"/>
              <w:spacing w:before="3"/>
              <w:ind w:left="57" w:right="57"/>
              <w:rPr>
                <w:rFonts w:ascii="Calibri"/>
                <w:sz w:val="22"/>
              </w:rPr>
            </w:pPr>
            <w:r>
              <w:rPr>
                <w:rFonts w:ascii="Calibri"/>
                <w:sz w:val="22"/>
              </w:rPr>
              <w:t>1.9</w:t>
            </w:r>
          </w:p>
        </w:tc>
      </w:tr>
      <w:tr>
        <w:trPr>
          <w:trHeight w:val="360" w:hRule="atLeast"/>
        </w:trPr>
        <w:tc>
          <w:tcPr>
            <w:tcW w:w="1279" w:type="dxa"/>
            <w:shd w:val="clear" w:color="auto" w:fill="D9D9D9"/>
          </w:tcPr>
          <w:p>
            <w:pPr>
              <w:pStyle w:val="TableParagraph"/>
              <w:spacing w:before="47"/>
              <w:ind w:left="69"/>
              <w:jc w:val="left"/>
              <w:rPr>
                <w:rFonts w:ascii="Calibri"/>
                <w:sz w:val="22"/>
              </w:rPr>
            </w:pPr>
            <w:r>
              <w:rPr>
                <w:rFonts w:ascii="Calibri"/>
                <w:position w:val="2"/>
                <w:sz w:val="22"/>
              </w:rPr>
              <w:t>ME</w:t>
            </w:r>
            <w:r>
              <w:rPr>
                <w:rFonts w:ascii="Calibri"/>
                <w:sz w:val="14"/>
              </w:rPr>
              <w:t>90Q </w:t>
            </w:r>
            <w:r>
              <w:rPr>
                <w:rFonts w:ascii="Calibri"/>
                <w:position w:val="2"/>
                <w:sz w:val="22"/>
              </w:rPr>
              <w:t>dyb</w:t>
            </w:r>
          </w:p>
        </w:tc>
        <w:tc>
          <w:tcPr>
            <w:tcW w:w="859" w:type="dxa"/>
            <w:shd w:val="clear" w:color="auto" w:fill="D9D9D9"/>
          </w:tcPr>
          <w:p>
            <w:pPr>
              <w:pStyle w:val="TableParagraph"/>
              <w:spacing w:before="3"/>
              <w:ind w:left="55" w:right="151"/>
              <w:rPr>
                <w:rFonts w:ascii="Calibri"/>
                <w:sz w:val="22"/>
              </w:rPr>
            </w:pPr>
            <w:r>
              <w:rPr>
                <w:rFonts w:ascii="Calibri"/>
                <w:sz w:val="22"/>
              </w:rPr>
              <w:t>0.0</w:t>
            </w:r>
          </w:p>
        </w:tc>
        <w:tc>
          <w:tcPr>
            <w:tcW w:w="963" w:type="dxa"/>
            <w:tcBorders>
              <w:right w:val="single" w:sz="8" w:space="0" w:color="000000"/>
            </w:tcBorders>
            <w:shd w:val="clear" w:color="auto" w:fill="D9D9D9"/>
          </w:tcPr>
          <w:p>
            <w:pPr>
              <w:pStyle w:val="TableParagraph"/>
              <w:spacing w:before="3"/>
              <w:ind w:left="152" w:right="142"/>
              <w:rPr>
                <w:rFonts w:ascii="Calibri"/>
                <w:sz w:val="22"/>
              </w:rPr>
            </w:pPr>
            <w:r>
              <w:rPr>
                <w:rFonts w:ascii="Calibri"/>
                <w:sz w:val="22"/>
              </w:rPr>
              <w:t>-0.1</w:t>
            </w:r>
          </w:p>
        </w:tc>
        <w:tc>
          <w:tcPr>
            <w:tcW w:w="958" w:type="dxa"/>
            <w:tcBorders>
              <w:left w:val="single" w:sz="8" w:space="0" w:color="000000"/>
            </w:tcBorders>
            <w:shd w:val="clear" w:color="auto" w:fill="D9D9D9"/>
          </w:tcPr>
          <w:p>
            <w:pPr>
              <w:pStyle w:val="TableParagraph"/>
              <w:spacing w:before="3"/>
              <w:ind w:left="143" w:right="151"/>
              <w:rPr>
                <w:rFonts w:ascii="Calibri"/>
                <w:sz w:val="22"/>
              </w:rPr>
            </w:pPr>
            <w:r>
              <w:rPr>
                <w:rFonts w:ascii="Calibri"/>
                <w:sz w:val="22"/>
              </w:rPr>
              <w:t>-0.1</w:t>
            </w:r>
          </w:p>
        </w:tc>
        <w:tc>
          <w:tcPr>
            <w:tcW w:w="963" w:type="dxa"/>
            <w:tcBorders>
              <w:right w:val="single" w:sz="8" w:space="0" w:color="000000"/>
            </w:tcBorders>
            <w:shd w:val="clear" w:color="auto" w:fill="D9D9D9"/>
          </w:tcPr>
          <w:p>
            <w:pPr>
              <w:pStyle w:val="TableParagraph"/>
              <w:spacing w:before="3"/>
              <w:ind w:left="151" w:right="143"/>
              <w:rPr>
                <w:rFonts w:ascii="Calibri"/>
                <w:sz w:val="22"/>
              </w:rPr>
            </w:pPr>
            <w:r>
              <w:rPr>
                <w:rFonts w:ascii="Calibri"/>
                <w:sz w:val="22"/>
              </w:rPr>
              <w:t>-0.4</w:t>
            </w:r>
          </w:p>
        </w:tc>
        <w:tc>
          <w:tcPr>
            <w:tcW w:w="958" w:type="dxa"/>
            <w:tcBorders>
              <w:left w:val="single" w:sz="8" w:space="0" w:color="000000"/>
            </w:tcBorders>
            <w:shd w:val="clear" w:color="auto" w:fill="D9D9D9"/>
          </w:tcPr>
          <w:p>
            <w:pPr>
              <w:pStyle w:val="TableParagraph"/>
              <w:spacing w:before="3"/>
              <w:ind w:left="142" w:right="151"/>
              <w:rPr>
                <w:rFonts w:ascii="Calibri"/>
                <w:sz w:val="22"/>
              </w:rPr>
            </w:pPr>
            <w:r>
              <w:rPr>
                <w:rFonts w:ascii="Calibri"/>
                <w:sz w:val="22"/>
              </w:rPr>
              <w:t>-0.5</w:t>
            </w:r>
          </w:p>
        </w:tc>
        <w:tc>
          <w:tcPr>
            <w:tcW w:w="963" w:type="dxa"/>
            <w:shd w:val="clear" w:color="auto" w:fill="D9D9D9"/>
          </w:tcPr>
          <w:p>
            <w:pPr>
              <w:pStyle w:val="TableParagraph"/>
              <w:spacing w:before="3"/>
              <w:ind w:left="57" w:right="57"/>
              <w:rPr>
                <w:rFonts w:ascii="Calibri"/>
                <w:sz w:val="22"/>
              </w:rPr>
            </w:pPr>
            <w:r>
              <w:rPr>
                <w:rFonts w:ascii="Calibri"/>
                <w:sz w:val="22"/>
              </w:rPr>
              <w:t>-0.9</w:t>
            </w:r>
          </w:p>
        </w:tc>
      </w:tr>
      <w:tr>
        <w:trPr>
          <w:trHeight w:val="317" w:hRule="atLeast"/>
        </w:trPr>
        <w:tc>
          <w:tcPr>
            <w:tcW w:w="1279" w:type="dxa"/>
            <w:shd w:val="clear" w:color="auto" w:fill="D9D9D9"/>
          </w:tcPr>
          <w:p>
            <w:pPr>
              <w:pStyle w:val="TableParagraph"/>
              <w:spacing w:line="250" w:lineRule="exact" w:before="47"/>
              <w:ind w:left="69"/>
              <w:jc w:val="left"/>
              <w:rPr>
                <w:rFonts w:ascii="Calibri"/>
                <w:sz w:val="22"/>
              </w:rPr>
            </w:pPr>
            <w:r>
              <w:rPr>
                <w:rFonts w:ascii="Calibri"/>
                <w:position w:val="2"/>
                <w:sz w:val="22"/>
              </w:rPr>
              <w:t>MAE</w:t>
            </w:r>
            <w:r>
              <w:rPr>
                <w:rFonts w:ascii="Calibri"/>
                <w:sz w:val="14"/>
              </w:rPr>
              <w:t>90Q </w:t>
            </w:r>
            <w:r>
              <w:rPr>
                <w:rFonts w:ascii="Calibri"/>
                <w:position w:val="2"/>
                <w:sz w:val="22"/>
              </w:rPr>
              <w:t>dyb</w:t>
            </w:r>
          </w:p>
        </w:tc>
        <w:tc>
          <w:tcPr>
            <w:tcW w:w="859" w:type="dxa"/>
            <w:shd w:val="clear" w:color="auto" w:fill="D9D9D9"/>
          </w:tcPr>
          <w:p>
            <w:pPr>
              <w:pStyle w:val="TableParagraph"/>
              <w:spacing w:before="3"/>
              <w:ind w:left="55" w:right="151"/>
              <w:rPr>
                <w:rFonts w:ascii="Calibri"/>
                <w:sz w:val="22"/>
              </w:rPr>
            </w:pPr>
            <w:r>
              <w:rPr>
                <w:rFonts w:ascii="Calibri"/>
                <w:sz w:val="22"/>
              </w:rPr>
              <w:t>1.9</w:t>
            </w:r>
          </w:p>
        </w:tc>
        <w:tc>
          <w:tcPr>
            <w:tcW w:w="963" w:type="dxa"/>
            <w:tcBorders>
              <w:right w:val="single" w:sz="8" w:space="0" w:color="000000"/>
            </w:tcBorders>
            <w:shd w:val="clear" w:color="auto" w:fill="D9D9D9"/>
          </w:tcPr>
          <w:p>
            <w:pPr>
              <w:pStyle w:val="TableParagraph"/>
              <w:spacing w:before="3"/>
              <w:ind w:left="152" w:right="142"/>
              <w:rPr>
                <w:rFonts w:ascii="Calibri"/>
                <w:sz w:val="22"/>
              </w:rPr>
            </w:pPr>
            <w:r>
              <w:rPr>
                <w:rFonts w:ascii="Calibri"/>
                <w:sz w:val="22"/>
              </w:rPr>
              <w:t>1.4</w:t>
            </w:r>
          </w:p>
        </w:tc>
        <w:tc>
          <w:tcPr>
            <w:tcW w:w="958" w:type="dxa"/>
            <w:tcBorders>
              <w:left w:val="single" w:sz="8" w:space="0" w:color="000000"/>
            </w:tcBorders>
            <w:shd w:val="clear" w:color="auto" w:fill="D9D9D9"/>
          </w:tcPr>
          <w:p>
            <w:pPr>
              <w:pStyle w:val="TableParagraph"/>
              <w:spacing w:before="3"/>
              <w:ind w:left="143" w:right="151"/>
              <w:rPr>
                <w:rFonts w:ascii="Calibri"/>
                <w:sz w:val="22"/>
              </w:rPr>
            </w:pPr>
            <w:r>
              <w:rPr>
                <w:rFonts w:ascii="Calibri"/>
                <w:sz w:val="22"/>
              </w:rPr>
              <w:t>1.9</w:t>
            </w:r>
          </w:p>
        </w:tc>
        <w:tc>
          <w:tcPr>
            <w:tcW w:w="963" w:type="dxa"/>
            <w:tcBorders>
              <w:right w:val="single" w:sz="8" w:space="0" w:color="000000"/>
            </w:tcBorders>
            <w:shd w:val="clear" w:color="auto" w:fill="D9D9D9"/>
          </w:tcPr>
          <w:p>
            <w:pPr>
              <w:pStyle w:val="TableParagraph"/>
              <w:spacing w:before="3"/>
              <w:ind w:left="151" w:right="143"/>
              <w:rPr>
                <w:rFonts w:ascii="Calibri"/>
                <w:sz w:val="22"/>
              </w:rPr>
            </w:pPr>
            <w:r>
              <w:rPr>
                <w:rFonts w:ascii="Calibri"/>
                <w:sz w:val="22"/>
              </w:rPr>
              <w:t>1.6</w:t>
            </w:r>
          </w:p>
        </w:tc>
        <w:tc>
          <w:tcPr>
            <w:tcW w:w="958" w:type="dxa"/>
            <w:tcBorders>
              <w:left w:val="single" w:sz="8" w:space="0" w:color="000000"/>
            </w:tcBorders>
            <w:shd w:val="clear" w:color="auto" w:fill="D9D9D9"/>
          </w:tcPr>
          <w:p>
            <w:pPr>
              <w:pStyle w:val="TableParagraph"/>
              <w:spacing w:before="3"/>
              <w:ind w:left="142" w:right="151"/>
              <w:rPr>
                <w:rFonts w:ascii="Calibri"/>
                <w:sz w:val="22"/>
              </w:rPr>
            </w:pPr>
            <w:r>
              <w:rPr>
                <w:rFonts w:ascii="Calibri"/>
                <w:sz w:val="22"/>
              </w:rPr>
              <w:t>1.9</w:t>
            </w:r>
          </w:p>
        </w:tc>
        <w:tc>
          <w:tcPr>
            <w:tcW w:w="963" w:type="dxa"/>
            <w:shd w:val="clear" w:color="auto" w:fill="D9D9D9"/>
          </w:tcPr>
          <w:p>
            <w:pPr>
              <w:pStyle w:val="TableParagraph"/>
              <w:spacing w:before="3"/>
              <w:ind w:left="57" w:right="57"/>
              <w:rPr>
                <w:rFonts w:ascii="Calibri"/>
                <w:sz w:val="22"/>
              </w:rPr>
            </w:pPr>
            <w:r>
              <w:rPr>
                <w:rFonts w:ascii="Calibri"/>
                <w:sz w:val="22"/>
              </w:rPr>
              <w:t>2.8</w:t>
            </w:r>
          </w:p>
        </w:tc>
      </w:tr>
    </w:tbl>
    <w:p>
      <w:pPr>
        <w:pStyle w:val="BodyText"/>
        <w:spacing w:before="11"/>
        <w:rPr>
          <w:rFonts w:ascii="Calibri"/>
          <w:i/>
          <w:sz w:val="23"/>
        </w:rPr>
      </w:pPr>
    </w:p>
    <w:p>
      <w:pPr>
        <w:spacing w:before="0"/>
        <w:ind w:left="525" w:right="852" w:firstLine="0"/>
        <w:jc w:val="left"/>
        <w:rPr>
          <w:rFonts w:ascii="Calibri" w:hAnsi="Calibri"/>
          <w:i/>
          <w:sz w:val="18"/>
        </w:rPr>
      </w:pPr>
      <w:bookmarkStart w:name="_bookmark77" w:id="102"/>
      <w:bookmarkEnd w:id="102"/>
      <w:r>
        <w:rPr/>
      </w:r>
      <w:r>
        <w:rPr>
          <w:rFonts w:ascii="Calibri" w:hAnsi="Calibri"/>
          <w:i/>
          <w:color w:val="44536A"/>
          <w:sz w:val="18"/>
        </w:rPr>
        <w:t>Tabel 18 Performance statistik for simuleret trykniveau på modelgrid niveau for alle tre valideringer (2009-2016). </w:t>
      </w:r>
      <w:r>
        <w:rPr>
          <w:rFonts w:ascii="Calibri" w:hAnsi="Calibri"/>
          <w:i/>
          <w:color w:val="44536A"/>
          <w:sz w:val="18"/>
        </w:rPr>
        <w:t>Jupiter og Region indikerer separat statistik for hhv. data fra Jupiter databasen og Regionernes data. Alle størrelser er i [m]. Middelfejl er angivet som obs –</w:t>
      </w:r>
      <w:r>
        <w:rPr>
          <w:rFonts w:ascii="Calibri" w:hAnsi="Calibri"/>
          <w:i/>
          <w:color w:val="44536A"/>
          <w:spacing w:val="-5"/>
          <w:sz w:val="18"/>
        </w:rPr>
        <w:t> </w:t>
      </w:r>
      <w:r>
        <w:rPr>
          <w:rFonts w:ascii="Calibri" w:hAnsi="Calibri"/>
          <w:i/>
          <w:color w:val="44536A"/>
          <w:sz w:val="18"/>
        </w:rPr>
        <w:t>sim.</w:t>
      </w:r>
    </w:p>
    <w:p>
      <w:pPr>
        <w:pStyle w:val="BodyText"/>
        <w:spacing w:before="3"/>
        <w:rPr>
          <w:rFonts w:ascii="Calibri"/>
          <w:i/>
          <w:sz w:val="16"/>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79"/>
        <w:gridCol w:w="859"/>
        <w:gridCol w:w="963"/>
        <w:gridCol w:w="958"/>
        <w:gridCol w:w="963"/>
        <w:gridCol w:w="958"/>
        <w:gridCol w:w="963"/>
      </w:tblGrid>
      <w:tr>
        <w:trPr>
          <w:trHeight w:val="331" w:hRule="atLeast"/>
        </w:trPr>
        <w:tc>
          <w:tcPr>
            <w:tcW w:w="1279" w:type="dxa"/>
          </w:tcPr>
          <w:p>
            <w:pPr>
              <w:pStyle w:val="TableParagraph"/>
              <w:spacing w:before="30"/>
              <w:ind w:left="69"/>
              <w:jc w:val="left"/>
              <w:rPr>
                <w:rFonts w:ascii="Calibri"/>
                <w:b/>
                <w:sz w:val="22"/>
              </w:rPr>
            </w:pPr>
            <w:r>
              <w:rPr>
                <w:rFonts w:ascii="Calibri"/>
                <w:b/>
                <w:sz w:val="22"/>
              </w:rPr>
              <w:t>Validering</w:t>
            </w:r>
          </w:p>
        </w:tc>
        <w:tc>
          <w:tcPr>
            <w:tcW w:w="1822" w:type="dxa"/>
            <w:gridSpan w:val="2"/>
            <w:tcBorders>
              <w:right w:val="single" w:sz="8" w:space="0" w:color="000000"/>
            </w:tcBorders>
          </w:tcPr>
          <w:p>
            <w:pPr>
              <w:pStyle w:val="TableParagraph"/>
              <w:spacing w:before="13"/>
              <w:ind w:left="170"/>
              <w:jc w:val="left"/>
              <w:rPr>
                <w:rFonts w:ascii="Calibri"/>
                <w:b/>
                <w:sz w:val="22"/>
              </w:rPr>
            </w:pPr>
            <w:r>
              <w:rPr>
                <w:rFonts w:ascii="Calibri"/>
                <w:b/>
                <w:sz w:val="22"/>
              </w:rPr>
              <w:t>100m_Jup+Reg</w:t>
            </w:r>
          </w:p>
        </w:tc>
        <w:tc>
          <w:tcPr>
            <w:tcW w:w="1921" w:type="dxa"/>
            <w:gridSpan w:val="2"/>
            <w:tcBorders>
              <w:left w:val="single" w:sz="8" w:space="0" w:color="000000"/>
              <w:right w:val="single" w:sz="8" w:space="0" w:color="000000"/>
            </w:tcBorders>
          </w:tcPr>
          <w:p>
            <w:pPr>
              <w:pStyle w:val="TableParagraph"/>
              <w:spacing w:before="13"/>
              <w:ind w:left="484"/>
              <w:jc w:val="left"/>
              <w:rPr>
                <w:rFonts w:ascii="Calibri"/>
                <w:b/>
                <w:sz w:val="22"/>
              </w:rPr>
            </w:pPr>
            <w:r>
              <w:rPr>
                <w:rFonts w:ascii="Calibri"/>
                <w:b/>
                <w:sz w:val="22"/>
              </w:rPr>
              <w:t>100m_Jup</w:t>
            </w:r>
          </w:p>
        </w:tc>
        <w:tc>
          <w:tcPr>
            <w:tcW w:w="1921" w:type="dxa"/>
            <w:gridSpan w:val="2"/>
            <w:tcBorders>
              <w:left w:val="single" w:sz="8" w:space="0" w:color="000000"/>
            </w:tcBorders>
          </w:tcPr>
          <w:p>
            <w:pPr>
              <w:pStyle w:val="TableParagraph"/>
              <w:spacing w:before="13"/>
              <w:ind w:left="258"/>
              <w:jc w:val="left"/>
              <w:rPr>
                <w:rFonts w:ascii="Calibri"/>
                <w:b/>
                <w:sz w:val="22"/>
              </w:rPr>
            </w:pPr>
            <w:r>
              <w:rPr>
                <w:rFonts w:ascii="Calibri"/>
                <w:b/>
                <w:sz w:val="22"/>
              </w:rPr>
              <w:t>500m_Jup+Reg</w:t>
            </w:r>
          </w:p>
        </w:tc>
      </w:tr>
      <w:tr>
        <w:trPr>
          <w:trHeight w:val="282" w:hRule="atLeast"/>
        </w:trPr>
        <w:tc>
          <w:tcPr>
            <w:tcW w:w="1279" w:type="dxa"/>
            <w:tcBorders>
              <w:bottom w:val="single" w:sz="8" w:space="0" w:color="000000"/>
            </w:tcBorders>
          </w:tcPr>
          <w:p>
            <w:pPr>
              <w:pStyle w:val="TableParagraph"/>
              <w:jc w:val="left"/>
              <w:rPr>
                <w:rFonts w:ascii="Times New Roman"/>
                <w:sz w:val="20"/>
              </w:rPr>
            </w:pPr>
          </w:p>
        </w:tc>
        <w:tc>
          <w:tcPr>
            <w:tcW w:w="859" w:type="dxa"/>
            <w:tcBorders>
              <w:bottom w:val="single" w:sz="8" w:space="0" w:color="000000"/>
            </w:tcBorders>
          </w:tcPr>
          <w:p>
            <w:pPr>
              <w:pStyle w:val="TableParagraph"/>
              <w:spacing w:line="261" w:lineRule="exact"/>
              <w:ind w:left="56" w:right="151"/>
              <w:rPr>
                <w:rFonts w:ascii="Calibri"/>
                <w:sz w:val="22"/>
              </w:rPr>
            </w:pPr>
            <w:r>
              <w:rPr>
                <w:rFonts w:ascii="Calibri"/>
                <w:sz w:val="22"/>
              </w:rPr>
              <w:t>Jupiter</w:t>
            </w:r>
          </w:p>
        </w:tc>
        <w:tc>
          <w:tcPr>
            <w:tcW w:w="963" w:type="dxa"/>
            <w:tcBorders>
              <w:bottom w:val="single" w:sz="8" w:space="0" w:color="000000"/>
              <w:right w:val="single" w:sz="8" w:space="0" w:color="000000"/>
            </w:tcBorders>
          </w:tcPr>
          <w:p>
            <w:pPr>
              <w:pStyle w:val="TableParagraph"/>
              <w:spacing w:line="261" w:lineRule="exact"/>
              <w:ind w:left="152" w:right="141"/>
              <w:rPr>
                <w:rFonts w:ascii="Calibri"/>
                <w:sz w:val="22"/>
              </w:rPr>
            </w:pPr>
            <w:r>
              <w:rPr>
                <w:rFonts w:ascii="Calibri"/>
                <w:sz w:val="22"/>
              </w:rPr>
              <w:t>Region</w:t>
            </w:r>
          </w:p>
        </w:tc>
        <w:tc>
          <w:tcPr>
            <w:tcW w:w="958" w:type="dxa"/>
            <w:tcBorders>
              <w:left w:val="single" w:sz="8" w:space="0" w:color="000000"/>
              <w:bottom w:val="single" w:sz="8" w:space="0" w:color="000000"/>
            </w:tcBorders>
          </w:tcPr>
          <w:p>
            <w:pPr>
              <w:pStyle w:val="TableParagraph"/>
              <w:spacing w:line="261" w:lineRule="exact"/>
              <w:ind w:left="143" w:right="150"/>
              <w:rPr>
                <w:rFonts w:ascii="Calibri"/>
                <w:sz w:val="22"/>
              </w:rPr>
            </w:pPr>
            <w:r>
              <w:rPr>
                <w:rFonts w:ascii="Calibri"/>
                <w:sz w:val="22"/>
              </w:rPr>
              <w:t>Jupiter</w:t>
            </w:r>
          </w:p>
        </w:tc>
        <w:tc>
          <w:tcPr>
            <w:tcW w:w="963" w:type="dxa"/>
            <w:tcBorders>
              <w:bottom w:val="single" w:sz="8" w:space="0" w:color="000000"/>
              <w:right w:val="single" w:sz="8" w:space="0" w:color="000000"/>
            </w:tcBorders>
          </w:tcPr>
          <w:p>
            <w:pPr>
              <w:pStyle w:val="TableParagraph"/>
              <w:spacing w:line="261" w:lineRule="exact"/>
              <w:ind w:left="152" w:right="143"/>
              <w:rPr>
                <w:rFonts w:ascii="Calibri"/>
                <w:sz w:val="22"/>
              </w:rPr>
            </w:pPr>
            <w:r>
              <w:rPr>
                <w:rFonts w:ascii="Calibri"/>
                <w:sz w:val="22"/>
              </w:rPr>
              <w:t>Region</w:t>
            </w:r>
          </w:p>
        </w:tc>
        <w:tc>
          <w:tcPr>
            <w:tcW w:w="958" w:type="dxa"/>
            <w:tcBorders>
              <w:left w:val="single" w:sz="8" w:space="0" w:color="000000"/>
              <w:bottom w:val="single" w:sz="8" w:space="0" w:color="000000"/>
            </w:tcBorders>
          </w:tcPr>
          <w:p>
            <w:pPr>
              <w:pStyle w:val="TableParagraph"/>
              <w:spacing w:line="261" w:lineRule="exact"/>
              <w:ind w:left="143" w:right="151"/>
              <w:rPr>
                <w:rFonts w:ascii="Calibri"/>
                <w:sz w:val="22"/>
              </w:rPr>
            </w:pPr>
            <w:r>
              <w:rPr>
                <w:rFonts w:ascii="Calibri"/>
                <w:sz w:val="22"/>
              </w:rPr>
              <w:t>Jupiter</w:t>
            </w:r>
          </w:p>
        </w:tc>
        <w:tc>
          <w:tcPr>
            <w:tcW w:w="963" w:type="dxa"/>
            <w:tcBorders>
              <w:bottom w:val="single" w:sz="8" w:space="0" w:color="000000"/>
            </w:tcBorders>
          </w:tcPr>
          <w:p>
            <w:pPr>
              <w:pStyle w:val="TableParagraph"/>
              <w:spacing w:line="261" w:lineRule="exact"/>
              <w:ind w:left="56" w:right="57"/>
              <w:rPr>
                <w:rFonts w:ascii="Calibri"/>
                <w:sz w:val="22"/>
              </w:rPr>
            </w:pPr>
            <w:r>
              <w:rPr>
                <w:rFonts w:ascii="Calibri"/>
                <w:sz w:val="22"/>
              </w:rPr>
              <w:t>Region</w:t>
            </w:r>
          </w:p>
        </w:tc>
      </w:tr>
      <w:tr>
        <w:trPr>
          <w:trHeight w:val="320" w:hRule="atLeast"/>
        </w:trPr>
        <w:tc>
          <w:tcPr>
            <w:tcW w:w="1279" w:type="dxa"/>
            <w:tcBorders>
              <w:top w:val="single" w:sz="8" w:space="0" w:color="000000"/>
            </w:tcBorders>
          </w:tcPr>
          <w:p>
            <w:pPr>
              <w:pStyle w:val="TableParagraph"/>
              <w:spacing w:before="16"/>
              <w:ind w:left="69"/>
              <w:jc w:val="left"/>
              <w:rPr>
                <w:rFonts w:ascii="Calibri"/>
                <w:sz w:val="22"/>
              </w:rPr>
            </w:pPr>
            <w:r>
              <w:rPr>
                <w:rFonts w:ascii="Calibri"/>
                <w:sz w:val="22"/>
              </w:rPr>
              <w:t>ME tn</w:t>
            </w:r>
          </w:p>
        </w:tc>
        <w:tc>
          <w:tcPr>
            <w:tcW w:w="859" w:type="dxa"/>
            <w:tcBorders>
              <w:top w:val="single" w:sz="8" w:space="0" w:color="000000"/>
            </w:tcBorders>
          </w:tcPr>
          <w:p>
            <w:pPr>
              <w:pStyle w:val="TableParagraph"/>
              <w:spacing w:before="16"/>
              <w:ind w:left="55" w:right="151"/>
              <w:rPr>
                <w:rFonts w:ascii="Calibri"/>
                <w:sz w:val="22"/>
              </w:rPr>
            </w:pPr>
            <w:r>
              <w:rPr>
                <w:rFonts w:ascii="Calibri"/>
                <w:sz w:val="22"/>
              </w:rPr>
              <w:t>1.6</w:t>
            </w:r>
          </w:p>
        </w:tc>
        <w:tc>
          <w:tcPr>
            <w:tcW w:w="963" w:type="dxa"/>
            <w:tcBorders>
              <w:top w:val="single" w:sz="8" w:space="0" w:color="000000"/>
              <w:right w:val="single" w:sz="8" w:space="0" w:color="000000"/>
            </w:tcBorders>
          </w:tcPr>
          <w:p>
            <w:pPr>
              <w:pStyle w:val="TableParagraph"/>
              <w:spacing w:before="16"/>
              <w:ind w:left="152" w:right="142"/>
              <w:rPr>
                <w:rFonts w:ascii="Calibri"/>
                <w:sz w:val="22"/>
              </w:rPr>
            </w:pPr>
            <w:r>
              <w:rPr>
                <w:rFonts w:ascii="Calibri"/>
                <w:sz w:val="22"/>
              </w:rPr>
              <w:t>2.6</w:t>
            </w:r>
          </w:p>
        </w:tc>
        <w:tc>
          <w:tcPr>
            <w:tcW w:w="958" w:type="dxa"/>
            <w:tcBorders>
              <w:top w:val="single" w:sz="8" w:space="0" w:color="000000"/>
              <w:left w:val="single" w:sz="8" w:space="0" w:color="000000"/>
            </w:tcBorders>
          </w:tcPr>
          <w:p>
            <w:pPr>
              <w:pStyle w:val="TableParagraph"/>
              <w:spacing w:before="16"/>
              <w:ind w:left="143" w:right="151"/>
              <w:rPr>
                <w:rFonts w:ascii="Calibri"/>
                <w:sz w:val="22"/>
              </w:rPr>
            </w:pPr>
            <w:r>
              <w:rPr>
                <w:rFonts w:ascii="Calibri"/>
                <w:sz w:val="22"/>
              </w:rPr>
              <w:t>1.4</w:t>
            </w:r>
          </w:p>
        </w:tc>
        <w:tc>
          <w:tcPr>
            <w:tcW w:w="963" w:type="dxa"/>
            <w:tcBorders>
              <w:top w:val="single" w:sz="8" w:space="0" w:color="000000"/>
              <w:right w:val="single" w:sz="8" w:space="0" w:color="000000"/>
            </w:tcBorders>
          </w:tcPr>
          <w:p>
            <w:pPr>
              <w:pStyle w:val="TableParagraph"/>
              <w:spacing w:before="16"/>
              <w:ind w:left="151" w:right="143"/>
              <w:rPr>
                <w:rFonts w:ascii="Calibri"/>
                <w:sz w:val="22"/>
              </w:rPr>
            </w:pPr>
            <w:r>
              <w:rPr>
                <w:rFonts w:ascii="Calibri"/>
                <w:sz w:val="22"/>
              </w:rPr>
              <w:t>2.2</w:t>
            </w:r>
          </w:p>
        </w:tc>
        <w:tc>
          <w:tcPr>
            <w:tcW w:w="958" w:type="dxa"/>
            <w:tcBorders>
              <w:top w:val="single" w:sz="8" w:space="0" w:color="000000"/>
              <w:left w:val="single" w:sz="8" w:space="0" w:color="000000"/>
            </w:tcBorders>
          </w:tcPr>
          <w:p>
            <w:pPr>
              <w:pStyle w:val="TableParagraph"/>
              <w:spacing w:before="16"/>
              <w:ind w:left="142" w:right="151"/>
              <w:rPr>
                <w:rFonts w:ascii="Calibri"/>
                <w:sz w:val="22"/>
              </w:rPr>
            </w:pPr>
            <w:r>
              <w:rPr>
                <w:rFonts w:ascii="Calibri"/>
                <w:sz w:val="22"/>
              </w:rPr>
              <w:t>1.7</w:t>
            </w:r>
          </w:p>
        </w:tc>
        <w:tc>
          <w:tcPr>
            <w:tcW w:w="963" w:type="dxa"/>
            <w:tcBorders>
              <w:top w:val="single" w:sz="8" w:space="0" w:color="000000"/>
            </w:tcBorders>
          </w:tcPr>
          <w:p>
            <w:pPr>
              <w:pStyle w:val="TableParagraph"/>
              <w:spacing w:before="16"/>
              <w:ind w:left="57" w:right="57"/>
              <w:rPr>
                <w:rFonts w:ascii="Calibri"/>
                <w:sz w:val="22"/>
              </w:rPr>
            </w:pPr>
            <w:r>
              <w:rPr>
                <w:rFonts w:ascii="Calibri"/>
                <w:sz w:val="22"/>
              </w:rPr>
              <w:t>3.9</w:t>
            </w:r>
          </w:p>
        </w:tc>
      </w:tr>
      <w:tr>
        <w:trPr>
          <w:trHeight w:val="300" w:hRule="atLeast"/>
        </w:trPr>
        <w:tc>
          <w:tcPr>
            <w:tcW w:w="1279" w:type="dxa"/>
          </w:tcPr>
          <w:p>
            <w:pPr>
              <w:pStyle w:val="TableParagraph"/>
              <w:spacing w:line="264" w:lineRule="exact"/>
              <w:ind w:left="69"/>
              <w:jc w:val="left"/>
              <w:rPr>
                <w:rFonts w:ascii="Calibri"/>
                <w:sz w:val="22"/>
              </w:rPr>
            </w:pPr>
            <w:r>
              <w:rPr>
                <w:rFonts w:ascii="Calibri"/>
                <w:sz w:val="22"/>
              </w:rPr>
              <w:t>MAE tn</w:t>
            </w:r>
          </w:p>
        </w:tc>
        <w:tc>
          <w:tcPr>
            <w:tcW w:w="859" w:type="dxa"/>
          </w:tcPr>
          <w:p>
            <w:pPr>
              <w:pStyle w:val="TableParagraph"/>
              <w:spacing w:line="264" w:lineRule="exact"/>
              <w:ind w:left="55" w:right="151"/>
              <w:rPr>
                <w:rFonts w:ascii="Calibri"/>
                <w:sz w:val="22"/>
              </w:rPr>
            </w:pPr>
            <w:r>
              <w:rPr>
                <w:rFonts w:ascii="Calibri"/>
                <w:sz w:val="22"/>
              </w:rPr>
              <w:t>2.6</w:t>
            </w:r>
          </w:p>
        </w:tc>
        <w:tc>
          <w:tcPr>
            <w:tcW w:w="963" w:type="dxa"/>
            <w:tcBorders>
              <w:right w:val="single" w:sz="8" w:space="0" w:color="000000"/>
            </w:tcBorders>
          </w:tcPr>
          <w:p>
            <w:pPr>
              <w:pStyle w:val="TableParagraph"/>
              <w:spacing w:line="264" w:lineRule="exact"/>
              <w:ind w:left="152" w:right="142"/>
              <w:rPr>
                <w:rFonts w:ascii="Calibri"/>
                <w:sz w:val="22"/>
              </w:rPr>
            </w:pPr>
            <w:r>
              <w:rPr>
                <w:rFonts w:ascii="Calibri"/>
                <w:sz w:val="22"/>
              </w:rPr>
              <w:t>4.2</w:t>
            </w:r>
          </w:p>
        </w:tc>
        <w:tc>
          <w:tcPr>
            <w:tcW w:w="958" w:type="dxa"/>
            <w:tcBorders>
              <w:left w:val="single" w:sz="8" w:space="0" w:color="000000"/>
            </w:tcBorders>
          </w:tcPr>
          <w:p>
            <w:pPr>
              <w:pStyle w:val="TableParagraph"/>
              <w:spacing w:line="264" w:lineRule="exact"/>
              <w:ind w:left="143" w:right="151"/>
              <w:rPr>
                <w:rFonts w:ascii="Calibri"/>
                <w:sz w:val="22"/>
              </w:rPr>
            </w:pPr>
            <w:r>
              <w:rPr>
                <w:rFonts w:ascii="Calibri"/>
                <w:sz w:val="22"/>
              </w:rPr>
              <w:t>2.5</w:t>
            </w:r>
          </w:p>
        </w:tc>
        <w:tc>
          <w:tcPr>
            <w:tcW w:w="963" w:type="dxa"/>
            <w:tcBorders>
              <w:right w:val="single" w:sz="8" w:space="0" w:color="000000"/>
            </w:tcBorders>
          </w:tcPr>
          <w:p>
            <w:pPr>
              <w:pStyle w:val="TableParagraph"/>
              <w:spacing w:line="264" w:lineRule="exact"/>
              <w:ind w:left="151" w:right="143"/>
              <w:rPr>
                <w:rFonts w:ascii="Calibri"/>
                <w:sz w:val="22"/>
              </w:rPr>
            </w:pPr>
            <w:r>
              <w:rPr>
                <w:rFonts w:ascii="Calibri"/>
                <w:sz w:val="22"/>
              </w:rPr>
              <w:t>3.9</w:t>
            </w:r>
          </w:p>
        </w:tc>
        <w:tc>
          <w:tcPr>
            <w:tcW w:w="958" w:type="dxa"/>
            <w:tcBorders>
              <w:left w:val="single" w:sz="8" w:space="0" w:color="000000"/>
            </w:tcBorders>
          </w:tcPr>
          <w:p>
            <w:pPr>
              <w:pStyle w:val="TableParagraph"/>
              <w:spacing w:line="264" w:lineRule="exact"/>
              <w:ind w:left="142" w:right="151"/>
              <w:rPr>
                <w:rFonts w:ascii="Calibri"/>
                <w:sz w:val="22"/>
              </w:rPr>
            </w:pPr>
            <w:r>
              <w:rPr>
                <w:rFonts w:ascii="Calibri"/>
                <w:sz w:val="22"/>
              </w:rPr>
              <w:t>3.0</w:t>
            </w:r>
          </w:p>
        </w:tc>
        <w:tc>
          <w:tcPr>
            <w:tcW w:w="963" w:type="dxa"/>
          </w:tcPr>
          <w:p>
            <w:pPr>
              <w:pStyle w:val="TableParagraph"/>
              <w:spacing w:line="264" w:lineRule="exact"/>
              <w:ind w:left="57" w:right="57"/>
              <w:rPr>
                <w:rFonts w:ascii="Calibri"/>
                <w:sz w:val="22"/>
              </w:rPr>
            </w:pPr>
            <w:r>
              <w:rPr>
                <w:rFonts w:ascii="Calibri"/>
                <w:sz w:val="22"/>
              </w:rPr>
              <w:t>5.8</w:t>
            </w:r>
          </w:p>
        </w:tc>
      </w:tr>
      <w:tr>
        <w:trPr>
          <w:trHeight w:val="300" w:hRule="atLeast"/>
        </w:trPr>
        <w:tc>
          <w:tcPr>
            <w:tcW w:w="1279" w:type="dxa"/>
          </w:tcPr>
          <w:p>
            <w:pPr>
              <w:pStyle w:val="TableParagraph"/>
              <w:spacing w:line="264" w:lineRule="exact"/>
              <w:ind w:left="69"/>
              <w:jc w:val="left"/>
              <w:rPr>
                <w:rFonts w:ascii="Calibri"/>
                <w:sz w:val="22"/>
              </w:rPr>
            </w:pPr>
            <w:r>
              <w:rPr>
                <w:rFonts w:ascii="Calibri"/>
                <w:sz w:val="22"/>
              </w:rPr>
              <w:t>ME dyb</w:t>
            </w:r>
          </w:p>
        </w:tc>
        <w:tc>
          <w:tcPr>
            <w:tcW w:w="859" w:type="dxa"/>
          </w:tcPr>
          <w:p>
            <w:pPr>
              <w:pStyle w:val="TableParagraph"/>
              <w:spacing w:line="264" w:lineRule="exact"/>
              <w:ind w:left="55" w:right="151"/>
              <w:rPr>
                <w:rFonts w:ascii="Calibri"/>
                <w:sz w:val="22"/>
              </w:rPr>
            </w:pPr>
            <w:r>
              <w:rPr>
                <w:rFonts w:ascii="Calibri"/>
                <w:sz w:val="22"/>
              </w:rPr>
              <w:t>1.3</w:t>
            </w:r>
          </w:p>
        </w:tc>
        <w:tc>
          <w:tcPr>
            <w:tcW w:w="963" w:type="dxa"/>
            <w:tcBorders>
              <w:right w:val="single" w:sz="8" w:space="0" w:color="000000"/>
            </w:tcBorders>
          </w:tcPr>
          <w:p>
            <w:pPr>
              <w:pStyle w:val="TableParagraph"/>
              <w:spacing w:line="264" w:lineRule="exact"/>
              <w:ind w:left="152" w:right="142"/>
              <w:rPr>
                <w:rFonts w:ascii="Calibri"/>
                <w:sz w:val="22"/>
              </w:rPr>
            </w:pPr>
            <w:r>
              <w:rPr>
                <w:rFonts w:ascii="Calibri"/>
                <w:sz w:val="22"/>
              </w:rPr>
              <w:t>6.8</w:t>
            </w:r>
          </w:p>
        </w:tc>
        <w:tc>
          <w:tcPr>
            <w:tcW w:w="958" w:type="dxa"/>
            <w:tcBorders>
              <w:left w:val="single" w:sz="8" w:space="0" w:color="000000"/>
            </w:tcBorders>
          </w:tcPr>
          <w:p>
            <w:pPr>
              <w:pStyle w:val="TableParagraph"/>
              <w:spacing w:line="264" w:lineRule="exact"/>
              <w:ind w:left="143" w:right="151"/>
              <w:rPr>
                <w:rFonts w:ascii="Calibri"/>
                <w:sz w:val="22"/>
              </w:rPr>
            </w:pPr>
            <w:r>
              <w:rPr>
                <w:rFonts w:ascii="Calibri"/>
                <w:sz w:val="22"/>
              </w:rPr>
              <w:t>1.1</w:t>
            </w:r>
          </w:p>
        </w:tc>
        <w:tc>
          <w:tcPr>
            <w:tcW w:w="963" w:type="dxa"/>
            <w:tcBorders>
              <w:right w:val="single" w:sz="8" w:space="0" w:color="000000"/>
            </w:tcBorders>
          </w:tcPr>
          <w:p>
            <w:pPr>
              <w:pStyle w:val="TableParagraph"/>
              <w:spacing w:line="264" w:lineRule="exact"/>
              <w:ind w:left="151" w:right="143"/>
              <w:rPr>
                <w:rFonts w:ascii="Calibri"/>
                <w:sz w:val="22"/>
              </w:rPr>
            </w:pPr>
            <w:r>
              <w:rPr>
                <w:rFonts w:ascii="Calibri"/>
                <w:sz w:val="22"/>
              </w:rPr>
              <w:t>6.3</w:t>
            </w:r>
          </w:p>
        </w:tc>
        <w:tc>
          <w:tcPr>
            <w:tcW w:w="958" w:type="dxa"/>
            <w:tcBorders>
              <w:left w:val="single" w:sz="8" w:space="0" w:color="000000"/>
            </w:tcBorders>
          </w:tcPr>
          <w:p>
            <w:pPr>
              <w:pStyle w:val="TableParagraph"/>
              <w:spacing w:line="264" w:lineRule="exact"/>
              <w:ind w:left="142" w:right="151"/>
              <w:rPr>
                <w:rFonts w:ascii="Calibri"/>
                <w:sz w:val="22"/>
              </w:rPr>
            </w:pPr>
            <w:r>
              <w:rPr>
                <w:rFonts w:ascii="Calibri"/>
                <w:sz w:val="22"/>
              </w:rPr>
              <w:t>0.2</w:t>
            </w:r>
          </w:p>
        </w:tc>
        <w:tc>
          <w:tcPr>
            <w:tcW w:w="963" w:type="dxa"/>
          </w:tcPr>
          <w:p>
            <w:pPr>
              <w:pStyle w:val="TableParagraph"/>
              <w:spacing w:line="264" w:lineRule="exact"/>
              <w:ind w:left="57" w:right="57"/>
              <w:rPr>
                <w:rFonts w:ascii="Calibri"/>
                <w:sz w:val="22"/>
              </w:rPr>
            </w:pPr>
            <w:r>
              <w:rPr>
                <w:rFonts w:ascii="Calibri"/>
                <w:sz w:val="22"/>
              </w:rPr>
              <w:t>2.3</w:t>
            </w:r>
          </w:p>
        </w:tc>
      </w:tr>
      <w:tr>
        <w:trPr>
          <w:trHeight w:val="281" w:hRule="atLeast"/>
        </w:trPr>
        <w:tc>
          <w:tcPr>
            <w:tcW w:w="1279" w:type="dxa"/>
          </w:tcPr>
          <w:p>
            <w:pPr>
              <w:pStyle w:val="TableParagraph"/>
              <w:spacing w:line="262" w:lineRule="exact"/>
              <w:ind w:left="69"/>
              <w:jc w:val="left"/>
              <w:rPr>
                <w:rFonts w:ascii="Calibri"/>
                <w:sz w:val="22"/>
              </w:rPr>
            </w:pPr>
            <w:r>
              <w:rPr>
                <w:rFonts w:ascii="Calibri"/>
                <w:sz w:val="22"/>
              </w:rPr>
              <w:t>MAE dyb</w:t>
            </w:r>
          </w:p>
        </w:tc>
        <w:tc>
          <w:tcPr>
            <w:tcW w:w="859" w:type="dxa"/>
          </w:tcPr>
          <w:p>
            <w:pPr>
              <w:pStyle w:val="TableParagraph"/>
              <w:spacing w:line="262" w:lineRule="exact"/>
              <w:ind w:left="55" w:right="151"/>
              <w:rPr>
                <w:rFonts w:ascii="Calibri"/>
                <w:sz w:val="22"/>
              </w:rPr>
            </w:pPr>
            <w:r>
              <w:rPr>
                <w:rFonts w:ascii="Calibri"/>
                <w:sz w:val="22"/>
              </w:rPr>
              <w:t>3.1</w:t>
            </w:r>
          </w:p>
        </w:tc>
        <w:tc>
          <w:tcPr>
            <w:tcW w:w="963" w:type="dxa"/>
            <w:tcBorders>
              <w:right w:val="single" w:sz="8" w:space="0" w:color="000000"/>
            </w:tcBorders>
          </w:tcPr>
          <w:p>
            <w:pPr>
              <w:pStyle w:val="TableParagraph"/>
              <w:spacing w:line="262" w:lineRule="exact"/>
              <w:ind w:left="152" w:right="142"/>
              <w:rPr>
                <w:rFonts w:ascii="Calibri"/>
                <w:sz w:val="22"/>
              </w:rPr>
            </w:pPr>
            <w:r>
              <w:rPr>
                <w:rFonts w:ascii="Calibri"/>
                <w:sz w:val="22"/>
              </w:rPr>
              <w:t>8.4</w:t>
            </w:r>
          </w:p>
        </w:tc>
        <w:tc>
          <w:tcPr>
            <w:tcW w:w="958" w:type="dxa"/>
            <w:tcBorders>
              <w:left w:val="single" w:sz="8" w:space="0" w:color="000000"/>
            </w:tcBorders>
          </w:tcPr>
          <w:p>
            <w:pPr>
              <w:pStyle w:val="TableParagraph"/>
              <w:spacing w:line="262" w:lineRule="exact"/>
              <w:ind w:left="143" w:right="151"/>
              <w:rPr>
                <w:rFonts w:ascii="Calibri"/>
                <w:sz w:val="22"/>
              </w:rPr>
            </w:pPr>
            <w:r>
              <w:rPr>
                <w:rFonts w:ascii="Calibri"/>
                <w:sz w:val="22"/>
              </w:rPr>
              <w:t>3.1</w:t>
            </w:r>
          </w:p>
        </w:tc>
        <w:tc>
          <w:tcPr>
            <w:tcW w:w="963" w:type="dxa"/>
            <w:tcBorders>
              <w:right w:val="single" w:sz="8" w:space="0" w:color="000000"/>
            </w:tcBorders>
          </w:tcPr>
          <w:p>
            <w:pPr>
              <w:pStyle w:val="TableParagraph"/>
              <w:spacing w:line="262" w:lineRule="exact"/>
              <w:ind w:left="151" w:right="143"/>
              <w:rPr>
                <w:rFonts w:ascii="Calibri"/>
                <w:sz w:val="22"/>
              </w:rPr>
            </w:pPr>
            <w:r>
              <w:rPr>
                <w:rFonts w:ascii="Calibri"/>
                <w:sz w:val="22"/>
              </w:rPr>
              <w:t>8.2</w:t>
            </w:r>
          </w:p>
        </w:tc>
        <w:tc>
          <w:tcPr>
            <w:tcW w:w="958" w:type="dxa"/>
            <w:tcBorders>
              <w:left w:val="single" w:sz="8" w:space="0" w:color="000000"/>
            </w:tcBorders>
          </w:tcPr>
          <w:p>
            <w:pPr>
              <w:pStyle w:val="TableParagraph"/>
              <w:spacing w:line="262" w:lineRule="exact"/>
              <w:ind w:left="142" w:right="151"/>
              <w:rPr>
                <w:rFonts w:ascii="Calibri"/>
                <w:sz w:val="22"/>
              </w:rPr>
            </w:pPr>
            <w:r>
              <w:rPr>
                <w:rFonts w:ascii="Calibri"/>
                <w:sz w:val="22"/>
              </w:rPr>
              <w:t>2.7</w:t>
            </w:r>
          </w:p>
        </w:tc>
        <w:tc>
          <w:tcPr>
            <w:tcW w:w="963" w:type="dxa"/>
          </w:tcPr>
          <w:p>
            <w:pPr>
              <w:pStyle w:val="TableParagraph"/>
              <w:spacing w:line="262" w:lineRule="exact"/>
              <w:ind w:left="57" w:right="57"/>
              <w:rPr>
                <w:rFonts w:ascii="Calibri"/>
                <w:sz w:val="22"/>
              </w:rPr>
            </w:pPr>
            <w:r>
              <w:rPr>
                <w:rFonts w:ascii="Calibri"/>
                <w:sz w:val="22"/>
              </w:rPr>
              <w:t>4.9</w:t>
            </w:r>
          </w:p>
        </w:tc>
      </w:tr>
      <w:tr>
        <w:trPr>
          <w:trHeight w:val="401" w:hRule="atLeast"/>
        </w:trPr>
        <w:tc>
          <w:tcPr>
            <w:tcW w:w="1279" w:type="dxa"/>
            <w:shd w:val="clear" w:color="auto" w:fill="D9D9D9"/>
          </w:tcPr>
          <w:p>
            <w:pPr>
              <w:pStyle w:val="TableParagraph"/>
              <w:spacing w:before="89"/>
              <w:ind w:left="69"/>
              <w:jc w:val="left"/>
              <w:rPr>
                <w:rFonts w:ascii="Calibri"/>
                <w:sz w:val="22"/>
              </w:rPr>
            </w:pPr>
            <w:r>
              <w:rPr>
                <w:rFonts w:ascii="Calibri"/>
                <w:position w:val="2"/>
                <w:sz w:val="22"/>
              </w:rPr>
              <w:t>ME</w:t>
            </w:r>
            <w:r>
              <w:rPr>
                <w:rFonts w:ascii="Calibri"/>
                <w:sz w:val="14"/>
              </w:rPr>
              <w:t>90Q </w:t>
            </w:r>
            <w:r>
              <w:rPr>
                <w:rFonts w:ascii="Calibri"/>
                <w:position w:val="2"/>
                <w:sz w:val="22"/>
              </w:rPr>
              <w:t>tn</w:t>
            </w:r>
          </w:p>
        </w:tc>
        <w:tc>
          <w:tcPr>
            <w:tcW w:w="859" w:type="dxa"/>
            <w:shd w:val="clear" w:color="auto" w:fill="D9D9D9"/>
          </w:tcPr>
          <w:p>
            <w:pPr>
              <w:pStyle w:val="TableParagraph"/>
              <w:spacing w:before="45"/>
              <w:ind w:left="55" w:right="151"/>
              <w:rPr>
                <w:rFonts w:ascii="Calibri"/>
                <w:sz w:val="22"/>
              </w:rPr>
            </w:pPr>
            <w:r>
              <w:rPr>
                <w:rFonts w:ascii="Calibri"/>
                <w:sz w:val="22"/>
              </w:rPr>
              <w:t>0.7</w:t>
            </w:r>
          </w:p>
        </w:tc>
        <w:tc>
          <w:tcPr>
            <w:tcW w:w="963" w:type="dxa"/>
            <w:tcBorders>
              <w:right w:val="single" w:sz="8" w:space="0" w:color="000000"/>
            </w:tcBorders>
            <w:shd w:val="clear" w:color="auto" w:fill="D9D9D9"/>
          </w:tcPr>
          <w:p>
            <w:pPr>
              <w:pStyle w:val="TableParagraph"/>
              <w:spacing w:before="45"/>
              <w:ind w:left="152" w:right="142"/>
              <w:rPr>
                <w:rFonts w:ascii="Calibri"/>
                <w:sz w:val="22"/>
              </w:rPr>
            </w:pPr>
            <w:r>
              <w:rPr>
                <w:rFonts w:ascii="Calibri"/>
                <w:sz w:val="22"/>
              </w:rPr>
              <w:t>0.8</w:t>
            </w:r>
          </w:p>
        </w:tc>
        <w:tc>
          <w:tcPr>
            <w:tcW w:w="958" w:type="dxa"/>
            <w:tcBorders>
              <w:left w:val="single" w:sz="8" w:space="0" w:color="000000"/>
            </w:tcBorders>
            <w:shd w:val="clear" w:color="auto" w:fill="D9D9D9"/>
          </w:tcPr>
          <w:p>
            <w:pPr>
              <w:pStyle w:val="TableParagraph"/>
              <w:spacing w:before="45"/>
              <w:ind w:left="143" w:right="151"/>
              <w:rPr>
                <w:rFonts w:ascii="Calibri"/>
                <w:sz w:val="22"/>
              </w:rPr>
            </w:pPr>
            <w:r>
              <w:rPr>
                <w:rFonts w:ascii="Calibri"/>
                <w:sz w:val="22"/>
              </w:rPr>
              <w:t>0.5</w:t>
            </w:r>
          </w:p>
        </w:tc>
        <w:tc>
          <w:tcPr>
            <w:tcW w:w="963" w:type="dxa"/>
            <w:tcBorders>
              <w:right w:val="single" w:sz="8" w:space="0" w:color="000000"/>
            </w:tcBorders>
            <w:shd w:val="clear" w:color="auto" w:fill="D9D9D9"/>
          </w:tcPr>
          <w:p>
            <w:pPr>
              <w:pStyle w:val="TableParagraph"/>
              <w:spacing w:before="45"/>
              <w:ind w:left="151" w:right="143"/>
              <w:rPr>
                <w:rFonts w:ascii="Calibri"/>
                <w:sz w:val="22"/>
              </w:rPr>
            </w:pPr>
            <w:r>
              <w:rPr>
                <w:rFonts w:ascii="Calibri"/>
                <w:sz w:val="22"/>
              </w:rPr>
              <w:t>0.4</w:t>
            </w:r>
          </w:p>
        </w:tc>
        <w:tc>
          <w:tcPr>
            <w:tcW w:w="958" w:type="dxa"/>
            <w:tcBorders>
              <w:left w:val="single" w:sz="8" w:space="0" w:color="000000"/>
            </w:tcBorders>
            <w:shd w:val="clear" w:color="auto" w:fill="D9D9D9"/>
          </w:tcPr>
          <w:p>
            <w:pPr>
              <w:pStyle w:val="TableParagraph"/>
              <w:spacing w:before="45"/>
              <w:ind w:left="142" w:right="151"/>
              <w:rPr>
                <w:rFonts w:ascii="Calibri"/>
                <w:sz w:val="22"/>
              </w:rPr>
            </w:pPr>
            <w:r>
              <w:rPr>
                <w:rFonts w:ascii="Calibri"/>
                <w:sz w:val="22"/>
              </w:rPr>
              <w:t>0.7</w:t>
            </w:r>
          </w:p>
        </w:tc>
        <w:tc>
          <w:tcPr>
            <w:tcW w:w="963" w:type="dxa"/>
            <w:shd w:val="clear" w:color="auto" w:fill="D9D9D9"/>
          </w:tcPr>
          <w:p>
            <w:pPr>
              <w:pStyle w:val="TableParagraph"/>
              <w:spacing w:before="45"/>
              <w:ind w:left="57" w:right="57"/>
              <w:rPr>
                <w:rFonts w:ascii="Calibri"/>
                <w:sz w:val="22"/>
              </w:rPr>
            </w:pPr>
            <w:r>
              <w:rPr>
                <w:rFonts w:ascii="Calibri"/>
                <w:sz w:val="22"/>
              </w:rPr>
              <w:t>1.3</w:t>
            </w:r>
          </w:p>
        </w:tc>
      </w:tr>
      <w:tr>
        <w:trPr>
          <w:trHeight w:val="360" w:hRule="atLeast"/>
        </w:trPr>
        <w:tc>
          <w:tcPr>
            <w:tcW w:w="1279" w:type="dxa"/>
            <w:shd w:val="clear" w:color="auto" w:fill="D9D9D9"/>
          </w:tcPr>
          <w:p>
            <w:pPr>
              <w:pStyle w:val="TableParagraph"/>
              <w:spacing w:before="47"/>
              <w:ind w:left="69"/>
              <w:jc w:val="left"/>
              <w:rPr>
                <w:rFonts w:ascii="Calibri"/>
                <w:sz w:val="22"/>
              </w:rPr>
            </w:pPr>
            <w:r>
              <w:rPr>
                <w:rFonts w:ascii="Calibri"/>
                <w:position w:val="2"/>
                <w:sz w:val="22"/>
              </w:rPr>
              <w:t>MAE</w:t>
            </w:r>
            <w:r>
              <w:rPr>
                <w:rFonts w:ascii="Calibri"/>
                <w:sz w:val="14"/>
              </w:rPr>
              <w:t>90Q </w:t>
            </w:r>
            <w:r>
              <w:rPr>
                <w:rFonts w:ascii="Calibri"/>
                <w:position w:val="2"/>
                <w:sz w:val="22"/>
              </w:rPr>
              <w:t>tn</w:t>
            </w:r>
          </w:p>
        </w:tc>
        <w:tc>
          <w:tcPr>
            <w:tcW w:w="859" w:type="dxa"/>
            <w:shd w:val="clear" w:color="auto" w:fill="D9D9D9"/>
          </w:tcPr>
          <w:p>
            <w:pPr>
              <w:pStyle w:val="TableParagraph"/>
              <w:spacing w:before="3"/>
              <w:ind w:left="55" w:right="151"/>
              <w:rPr>
                <w:rFonts w:ascii="Calibri"/>
                <w:sz w:val="22"/>
              </w:rPr>
            </w:pPr>
            <w:r>
              <w:rPr>
                <w:rFonts w:ascii="Calibri"/>
                <w:sz w:val="22"/>
              </w:rPr>
              <w:t>1.6</w:t>
            </w:r>
          </w:p>
        </w:tc>
        <w:tc>
          <w:tcPr>
            <w:tcW w:w="963" w:type="dxa"/>
            <w:tcBorders>
              <w:right w:val="single" w:sz="8" w:space="0" w:color="000000"/>
            </w:tcBorders>
            <w:shd w:val="clear" w:color="auto" w:fill="D9D9D9"/>
          </w:tcPr>
          <w:p>
            <w:pPr>
              <w:pStyle w:val="TableParagraph"/>
              <w:spacing w:before="3"/>
              <w:ind w:left="152" w:right="142"/>
              <w:rPr>
                <w:rFonts w:ascii="Calibri"/>
                <w:sz w:val="22"/>
              </w:rPr>
            </w:pPr>
            <w:r>
              <w:rPr>
                <w:rFonts w:ascii="Calibri"/>
                <w:sz w:val="22"/>
              </w:rPr>
              <w:t>1.8</w:t>
            </w:r>
          </w:p>
        </w:tc>
        <w:tc>
          <w:tcPr>
            <w:tcW w:w="958" w:type="dxa"/>
            <w:tcBorders>
              <w:left w:val="single" w:sz="8" w:space="0" w:color="000000"/>
            </w:tcBorders>
            <w:shd w:val="clear" w:color="auto" w:fill="D9D9D9"/>
          </w:tcPr>
          <w:p>
            <w:pPr>
              <w:pStyle w:val="TableParagraph"/>
              <w:spacing w:before="3"/>
              <w:ind w:left="143" w:right="151"/>
              <w:rPr>
                <w:rFonts w:ascii="Calibri"/>
                <w:sz w:val="22"/>
              </w:rPr>
            </w:pPr>
            <w:r>
              <w:rPr>
                <w:rFonts w:ascii="Calibri"/>
                <w:sz w:val="22"/>
              </w:rPr>
              <w:t>1.6</w:t>
            </w:r>
          </w:p>
        </w:tc>
        <w:tc>
          <w:tcPr>
            <w:tcW w:w="963" w:type="dxa"/>
            <w:tcBorders>
              <w:right w:val="single" w:sz="8" w:space="0" w:color="000000"/>
            </w:tcBorders>
            <w:shd w:val="clear" w:color="auto" w:fill="D9D9D9"/>
          </w:tcPr>
          <w:p>
            <w:pPr>
              <w:pStyle w:val="TableParagraph"/>
              <w:spacing w:before="3"/>
              <w:ind w:left="151" w:right="143"/>
              <w:rPr>
                <w:rFonts w:ascii="Calibri"/>
                <w:sz w:val="22"/>
              </w:rPr>
            </w:pPr>
            <w:r>
              <w:rPr>
                <w:rFonts w:ascii="Calibri"/>
                <w:sz w:val="22"/>
              </w:rPr>
              <w:t>1.6</w:t>
            </w:r>
          </w:p>
        </w:tc>
        <w:tc>
          <w:tcPr>
            <w:tcW w:w="958" w:type="dxa"/>
            <w:tcBorders>
              <w:left w:val="single" w:sz="8" w:space="0" w:color="000000"/>
            </w:tcBorders>
            <w:shd w:val="clear" w:color="auto" w:fill="D9D9D9"/>
          </w:tcPr>
          <w:p>
            <w:pPr>
              <w:pStyle w:val="TableParagraph"/>
              <w:spacing w:before="3"/>
              <w:ind w:left="142" w:right="151"/>
              <w:rPr>
                <w:rFonts w:ascii="Calibri"/>
                <w:sz w:val="22"/>
              </w:rPr>
            </w:pPr>
            <w:r>
              <w:rPr>
                <w:rFonts w:ascii="Calibri"/>
                <w:sz w:val="22"/>
              </w:rPr>
              <w:t>1.9</w:t>
            </w:r>
          </w:p>
        </w:tc>
        <w:tc>
          <w:tcPr>
            <w:tcW w:w="963" w:type="dxa"/>
            <w:shd w:val="clear" w:color="auto" w:fill="D9D9D9"/>
          </w:tcPr>
          <w:p>
            <w:pPr>
              <w:pStyle w:val="TableParagraph"/>
              <w:spacing w:before="3"/>
              <w:ind w:left="57" w:right="57"/>
              <w:rPr>
                <w:rFonts w:ascii="Calibri"/>
                <w:sz w:val="22"/>
              </w:rPr>
            </w:pPr>
            <w:r>
              <w:rPr>
                <w:rFonts w:ascii="Calibri"/>
                <w:sz w:val="22"/>
              </w:rPr>
              <w:t>2.6</w:t>
            </w:r>
          </w:p>
        </w:tc>
      </w:tr>
      <w:tr>
        <w:trPr>
          <w:trHeight w:val="360" w:hRule="atLeast"/>
        </w:trPr>
        <w:tc>
          <w:tcPr>
            <w:tcW w:w="1279" w:type="dxa"/>
            <w:shd w:val="clear" w:color="auto" w:fill="D9D9D9"/>
          </w:tcPr>
          <w:p>
            <w:pPr>
              <w:pStyle w:val="TableParagraph"/>
              <w:spacing w:before="47"/>
              <w:ind w:left="69"/>
              <w:jc w:val="left"/>
              <w:rPr>
                <w:rFonts w:ascii="Calibri"/>
                <w:sz w:val="22"/>
              </w:rPr>
            </w:pPr>
            <w:r>
              <w:rPr>
                <w:rFonts w:ascii="Calibri"/>
                <w:position w:val="2"/>
                <w:sz w:val="22"/>
              </w:rPr>
              <w:t>ME</w:t>
            </w:r>
            <w:r>
              <w:rPr>
                <w:rFonts w:ascii="Calibri"/>
                <w:sz w:val="14"/>
              </w:rPr>
              <w:t>90Q </w:t>
            </w:r>
            <w:r>
              <w:rPr>
                <w:rFonts w:ascii="Calibri"/>
                <w:position w:val="2"/>
                <w:sz w:val="22"/>
              </w:rPr>
              <w:t>dyb</w:t>
            </w:r>
          </w:p>
        </w:tc>
        <w:tc>
          <w:tcPr>
            <w:tcW w:w="859" w:type="dxa"/>
            <w:shd w:val="clear" w:color="auto" w:fill="D9D9D9"/>
          </w:tcPr>
          <w:p>
            <w:pPr>
              <w:pStyle w:val="TableParagraph"/>
              <w:spacing w:before="3"/>
              <w:ind w:left="55" w:right="151"/>
              <w:rPr>
                <w:rFonts w:ascii="Calibri"/>
                <w:sz w:val="22"/>
              </w:rPr>
            </w:pPr>
            <w:r>
              <w:rPr>
                <w:rFonts w:ascii="Calibri"/>
                <w:sz w:val="22"/>
              </w:rPr>
              <w:t>0.5</w:t>
            </w:r>
          </w:p>
        </w:tc>
        <w:tc>
          <w:tcPr>
            <w:tcW w:w="963" w:type="dxa"/>
            <w:tcBorders>
              <w:right w:val="single" w:sz="8" w:space="0" w:color="000000"/>
            </w:tcBorders>
            <w:shd w:val="clear" w:color="auto" w:fill="D9D9D9"/>
          </w:tcPr>
          <w:p>
            <w:pPr>
              <w:pStyle w:val="TableParagraph"/>
              <w:spacing w:before="3"/>
              <w:ind w:left="152" w:right="142"/>
              <w:rPr>
                <w:rFonts w:ascii="Calibri"/>
                <w:sz w:val="22"/>
              </w:rPr>
            </w:pPr>
            <w:r>
              <w:rPr>
                <w:rFonts w:ascii="Calibri"/>
                <w:sz w:val="22"/>
              </w:rPr>
              <w:t>0.1</w:t>
            </w:r>
          </w:p>
        </w:tc>
        <w:tc>
          <w:tcPr>
            <w:tcW w:w="958" w:type="dxa"/>
            <w:tcBorders>
              <w:left w:val="single" w:sz="8" w:space="0" w:color="000000"/>
            </w:tcBorders>
            <w:shd w:val="clear" w:color="auto" w:fill="D9D9D9"/>
          </w:tcPr>
          <w:p>
            <w:pPr>
              <w:pStyle w:val="TableParagraph"/>
              <w:spacing w:before="3"/>
              <w:ind w:left="143" w:right="151"/>
              <w:rPr>
                <w:rFonts w:ascii="Calibri"/>
                <w:sz w:val="22"/>
              </w:rPr>
            </w:pPr>
            <w:r>
              <w:rPr>
                <w:rFonts w:ascii="Calibri"/>
                <w:sz w:val="22"/>
              </w:rPr>
              <w:t>0.4</w:t>
            </w:r>
          </w:p>
        </w:tc>
        <w:tc>
          <w:tcPr>
            <w:tcW w:w="963" w:type="dxa"/>
            <w:tcBorders>
              <w:right w:val="single" w:sz="8" w:space="0" w:color="000000"/>
            </w:tcBorders>
            <w:shd w:val="clear" w:color="auto" w:fill="D9D9D9"/>
          </w:tcPr>
          <w:p>
            <w:pPr>
              <w:pStyle w:val="TableParagraph"/>
              <w:spacing w:before="3"/>
              <w:ind w:left="151" w:right="143"/>
              <w:rPr>
                <w:rFonts w:ascii="Calibri"/>
                <w:sz w:val="22"/>
              </w:rPr>
            </w:pPr>
            <w:r>
              <w:rPr>
                <w:rFonts w:ascii="Calibri"/>
                <w:sz w:val="22"/>
              </w:rPr>
              <w:t>-0.2</w:t>
            </w:r>
          </w:p>
        </w:tc>
        <w:tc>
          <w:tcPr>
            <w:tcW w:w="958" w:type="dxa"/>
            <w:tcBorders>
              <w:left w:val="single" w:sz="8" w:space="0" w:color="000000"/>
            </w:tcBorders>
            <w:shd w:val="clear" w:color="auto" w:fill="D9D9D9"/>
          </w:tcPr>
          <w:p>
            <w:pPr>
              <w:pStyle w:val="TableParagraph"/>
              <w:spacing w:before="3"/>
              <w:ind w:left="142" w:right="151"/>
              <w:rPr>
                <w:rFonts w:ascii="Calibri"/>
                <w:sz w:val="22"/>
              </w:rPr>
            </w:pPr>
            <w:r>
              <w:rPr>
                <w:rFonts w:ascii="Calibri"/>
                <w:sz w:val="22"/>
              </w:rPr>
              <w:t>-0.1</w:t>
            </w:r>
          </w:p>
        </w:tc>
        <w:tc>
          <w:tcPr>
            <w:tcW w:w="963" w:type="dxa"/>
            <w:shd w:val="clear" w:color="auto" w:fill="D9D9D9"/>
          </w:tcPr>
          <w:p>
            <w:pPr>
              <w:pStyle w:val="TableParagraph"/>
              <w:spacing w:before="3"/>
              <w:ind w:left="57" w:right="57"/>
              <w:rPr>
                <w:rFonts w:ascii="Calibri"/>
                <w:sz w:val="22"/>
              </w:rPr>
            </w:pPr>
            <w:r>
              <w:rPr>
                <w:rFonts w:ascii="Calibri"/>
                <w:sz w:val="22"/>
              </w:rPr>
              <w:t>-0.2</w:t>
            </w:r>
          </w:p>
        </w:tc>
      </w:tr>
      <w:tr>
        <w:trPr>
          <w:trHeight w:val="317" w:hRule="atLeast"/>
        </w:trPr>
        <w:tc>
          <w:tcPr>
            <w:tcW w:w="1279" w:type="dxa"/>
            <w:shd w:val="clear" w:color="auto" w:fill="D9D9D9"/>
          </w:tcPr>
          <w:p>
            <w:pPr>
              <w:pStyle w:val="TableParagraph"/>
              <w:spacing w:line="250" w:lineRule="exact" w:before="47"/>
              <w:ind w:left="69"/>
              <w:jc w:val="left"/>
              <w:rPr>
                <w:rFonts w:ascii="Calibri"/>
                <w:sz w:val="22"/>
              </w:rPr>
            </w:pPr>
            <w:r>
              <w:rPr>
                <w:rFonts w:ascii="Calibri"/>
                <w:position w:val="2"/>
                <w:sz w:val="22"/>
              </w:rPr>
              <w:t>MAE</w:t>
            </w:r>
            <w:r>
              <w:rPr>
                <w:rFonts w:ascii="Calibri"/>
                <w:sz w:val="14"/>
              </w:rPr>
              <w:t>90Q </w:t>
            </w:r>
            <w:r>
              <w:rPr>
                <w:rFonts w:ascii="Calibri"/>
                <w:position w:val="2"/>
                <w:sz w:val="22"/>
              </w:rPr>
              <w:t>dyb</w:t>
            </w:r>
          </w:p>
        </w:tc>
        <w:tc>
          <w:tcPr>
            <w:tcW w:w="859" w:type="dxa"/>
            <w:shd w:val="clear" w:color="auto" w:fill="D9D9D9"/>
          </w:tcPr>
          <w:p>
            <w:pPr>
              <w:pStyle w:val="TableParagraph"/>
              <w:spacing w:before="3"/>
              <w:ind w:left="55" w:right="151"/>
              <w:rPr>
                <w:rFonts w:ascii="Calibri"/>
                <w:sz w:val="22"/>
              </w:rPr>
            </w:pPr>
            <w:r>
              <w:rPr>
                <w:rFonts w:ascii="Calibri"/>
                <w:sz w:val="22"/>
              </w:rPr>
              <w:t>2.0</w:t>
            </w:r>
          </w:p>
        </w:tc>
        <w:tc>
          <w:tcPr>
            <w:tcW w:w="963" w:type="dxa"/>
            <w:tcBorders>
              <w:right w:val="single" w:sz="8" w:space="0" w:color="000000"/>
            </w:tcBorders>
            <w:shd w:val="clear" w:color="auto" w:fill="D9D9D9"/>
          </w:tcPr>
          <w:p>
            <w:pPr>
              <w:pStyle w:val="TableParagraph"/>
              <w:spacing w:before="3"/>
              <w:ind w:left="152" w:right="142"/>
              <w:rPr>
                <w:rFonts w:ascii="Calibri"/>
                <w:sz w:val="22"/>
              </w:rPr>
            </w:pPr>
            <w:r>
              <w:rPr>
                <w:rFonts w:ascii="Calibri"/>
                <w:sz w:val="22"/>
              </w:rPr>
              <w:t>1.9</w:t>
            </w:r>
          </w:p>
        </w:tc>
        <w:tc>
          <w:tcPr>
            <w:tcW w:w="958" w:type="dxa"/>
            <w:tcBorders>
              <w:left w:val="single" w:sz="8" w:space="0" w:color="000000"/>
            </w:tcBorders>
            <w:shd w:val="clear" w:color="auto" w:fill="D9D9D9"/>
          </w:tcPr>
          <w:p>
            <w:pPr>
              <w:pStyle w:val="TableParagraph"/>
              <w:spacing w:before="3"/>
              <w:ind w:left="143" w:right="151"/>
              <w:rPr>
                <w:rFonts w:ascii="Calibri"/>
                <w:sz w:val="22"/>
              </w:rPr>
            </w:pPr>
            <w:r>
              <w:rPr>
                <w:rFonts w:ascii="Calibri"/>
                <w:sz w:val="22"/>
              </w:rPr>
              <w:t>2.0</w:t>
            </w:r>
          </w:p>
        </w:tc>
        <w:tc>
          <w:tcPr>
            <w:tcW w:w="963" w:type="dxa"/>
            <w:tcBorders>
              <w:right w:val="single" w:sz="8" w:space="0" w:color="000000"/>
            </w:tcBorders>
            <w:shd w:val="clear" w:color="auto" w:fill="D9D9D9"/>
          </w:tcPr>
          <w:p>
            <w:pPr>
              <w:pStyle w:val="TableParagraph"/>
              <w:spacing w:before="3"/>
              <w:ind w:left="151" w:right="143"/>
              <w:rPr>
                <w:rFonts w:ascii="Calibri"/>
                <w:sz w:val="22"/>
              </w:rPr>
            </w:pPr>
            <w:r>
              <w:rPr>
                <w:rFonts w:ascii="Calibri"/>
                <w:sz w:val="22"/>
              </w:rPr>
              <w:t>2.0</w:t>
            </w:r>
          </w:p>
        </w:tc>
        <w:tc>
          <w:tcPr>
            <w:tcW w:w="958" w:type="dxa"/>
            <w:tcBorders>
              <w:left w:val="single" w:sz="8" w:space="0" w:color="000000"/>
            </w:tcBorders>
            <w:shd w:val="clear" w:color="auto" w:fill="D9D9D9"/>
          </w:tcPr>
          <w:p>
            <w:pPr>
              <w:pStyle w:val="TableParagraph"/>
              <w:spacing w:before="3"/>
              <w:ind w:left="142" w:right="151"/>
              <w:rPr>
                <w:rFonts w:ascii="Calibri"/>
                <w:sz w:val="22"/>
              </w:rPr>
            </w:pPr>
            <w:r>
              <w:rPr>
                <w:rFonts w:ascii="Calibri"/>
                <w:sz w:val="22"/>
              </w:rPr>
              <w:t>2.0</w:t>
            </w:r>
          </w:p>
        </w:tc>
        <w:tc>
          <w:tcPr>
            <w:tcW w:w="963" w:type="dxa"/>
            <w:shd w:val="clear" w:color="auto" w:fill="D9D9D9"/>
          </w:tcPr>
          <w:p>
            <w:pPr>
              <w:pStyle w:val="TableParagraph"/>
              <w:spacing w:before="3"/>
              <w:ind w:left="57" w:right="57"/>
              <w:rPr>
                <w:rFonts w:ascii="Calibri"/>
                <w:sz w:val="22"/>
              </w:rPr>
            </w:pPr>
            <w:r>
              <w:rPr>
                <w:rFonts w:ascii="Calibri"/>
                <w:sz w:val="22"/>
              </w:rPr>
              <w:t>1.8</w:t>
            </w:r>
          </w:p>
        </w:tc>
      </w:tr>
    </w:tbl>
    <w:p>
      <w:pPr>
        <w:spacing w:after="0"/>
        <w:rPr>
          <w:rFonts w:ascii="Calibri"/>
          <w:sz w:val="22"/>
        </w:rPr>
        <w:sectPr>
          <w:pgSz w:w="11910" w:h="16850"/>
          <w:pgMar w:header="0" w:footer="857" w:top="1340" w:bottom="1120" w:left="1460" w:right="680"/>
        </w:sectPr>
      </w:pPr>
    </w:p>
    <w:p>
      <w:pPr>
        <w:pStyle w:val="BodyText"/>
        <w:spacing w:before="1"/>
        <w:rPr>
          <w:rFonts w:ascii="Calibri"/>
          <w:i/>
          <w:sz w:val="8"/>
        </w:rPr>
      </w:pPr>
    </w:p>
    <w:p>
      <w:pPr>
        <w:pStyle w:val="BodyText"/>
        <w:ind w:left="1192"/>
        <w:rPr>
          <w:rFonts w:ascii="Calibri"/>
          <w:sz w:val="20"/>
        </w:rPr>
      </w:pPr>
      <w:r>
        <w:rPr>
          <w:rFonts w:ascii="Calibri"/>
          <w:sz w:val="20"/>
        </w:rPr>
        <w:drawing>
          <wp:inline distT="0" distB="0" distL="0" distR="0">
            <wp:extent cx="4521801" cy="2279904"/>
            <wp:effectExtent l="0" t="0" r="0" b="0"/>
            <wp:docPr id="101" name="image69.png" descr="Q:\_Odenseaa_calibration_comparison\figures\Odenseaa_All_11_12_13.png"/>
            <wp:cNvGraphicFramePr>
              <a:graphicFrameLocks noChangeAspect="1"/>
            </wp:cNvGraphicFramePr>
            <a:graphic>
              <a:graphicData uri="http://schemas.openxmlformats.org/drawingml/2006/picture">
                <pic:pic>
                  <pic:nvPicPr>
                    <pic:cNvPr id="102" name="image69.png"/>
                    <pic:cNvPicPr/>
                  </pic:nvPicPr>
                  <pic:blipFill>
                    <a:blip r:embed="rId75" cstate="print"/>
                    <a:stretch>
                      <a:fillRect/>
                    </a:stretch>
                  </pic:blipFill>
                  <pic:spPr>
                    <a:xfrm>
                      <a:off x="0" y="0"/>
                      <a:ext cx="4521801" cy="2279904"/>
                    </a:xfrm>
                    <a:prstGeom prst="rect">
                      <a:avLst/>
                    </a:prstGeom>
                  </pic:spPr>
                </pic:pic>
              </a:graphicData>
            </a:graphic>
          </wp:inline>
        </w:drawing>
      </w:r>
      <w:r>
        <w:rPr>
          <w:rFonts w:ascii="Calibri"/>
          <w:sz w:val="20"/>
        </w:rPr>
      </w:r>
    </w:p>
    <w:p>
      <w:pPr>
        <w:pStyle w:val="BodyText"/>
        <w:rPr>
          <w:rFonts w:ascii="Calibri"/>
          <w:i/>
          <w:sz w:val="20"/>
        </w:rPr>
      </w:pPr>
    </w:p>
    <w:p>
      <w:pPr>
        <w:pStyle w:val="BodyText"/>
        <w:rPr>
          <w:rFonts w:ascii="Calibri"/>
          <w:i/>
          <w:sz w:val="20"/>
        </w:rPr>
      </w:pPr>
    </w:p>
    <w:p>
      <w:pPr>
        <w:pStyle w:val="BodyText"/>
        <w:spacing w:before="6"/>
        <w:rPr>
          <w:rFonts w:ascii="Calibri"/>
          <w:i/>
          <w:sz w:val="15"/>
        </w:rPr>
      </w:pPr>
      <w:r>
        <w:rPr/>
        <w:drawing>
          <wp:anchor distT="0" distB="0" distL="0" distR="0" allowOverlap="1" layoutInCell="1" locked="0" behindDoc="0" simplePos="0" relativeHeight="43">
            <wp:simplePos x="0" y="0"/>
            <wp:positionH relativeFrom="page">
              <wp:posOffset>1684496</wp:posOffset>
            </wp:positionH>
            <wp:positionV relativeFrom="paragraph">
              <wp:posOffset>145373</wp:posOffset>
            </wp:positionV>
            <wp:extent cx="4521588" cy="2279904"/>
            <wp:effectExtent l="0" t="0" r="0" b="0"/>
            <wp:wrapTopAndBottom/>
            <wp:docPr id="103" name="image70.png" descr="Q:\_Odenseaa_calibration_comparison\figures\Odenseaa_Tn_11_12_13.png"/>
            <wp:cNvGraphicFramePr>
              <a:graphicFrameLocks noChangeAspect="1"/>
            </wp:cNvGraphicFramePr>
            <a:graphic>
              <a:graphicData uri="http://schemas.openxmlformats.org/drawingml/2006/picture">
                <pic:pic>
                  <pic:nvPicPr>
                    <pic:cNvPr id="104" name="image70.png"/>
                    <pic:cNvPicPr/>
                  </pic:nvPicPr>
                  <pic:blipFill>
                    <a:blip r:embed="rId76" cstate="print"/>
                    <a:stretch>
                      <a:fillRect/>
                    </a:stretch>
                  </pic:blipFill>
                  <pic:spPr>
                    <a:xfrm>
                      <a:off x="0" y="0"/>
                      <a:ext cx="4521588" cy="2279904"/>
                    </a:xfrm>
                    <a:prstGeom prst="rect">
                      <a:avLst/>
                    </a:prstGeom>
                  </pic:spPr>
                </pic:pic>
              </a:graphicData>
            </a:graphic>
          </wp:anchor>
        </w:drawing>
      </w:r>
    </w:p>
    <w:p>
      <w:pPr>
        <w:pStyle w:val="BodyText"/>
        <w:spacing w:before="4"/>
        <w:rPr>
          <w:rFonts w:ascii="Calibri"/>
          <w:i/>
          <w:sz w:val="28"/>
        </w:rPr>
      </w:pPr>
    </w:p>
    <w:p>
      <w:pPr>
        <w:spacing w:before="64"/>
        <w:ind w:left="525" w:right="0" w:firstLine="0"/>
        <w:jc w:val="left"/>
        <w:rPr>
          <w:rFonts w:ascii="Calibri" w:hAnsi="Calibri"/>
          <w:sz w:val="18"/>
        </w:rPr>
      </w:pPr>
      <w:bookmarkStart w:name="_bookmark78" w:id="103"/>
      <w:bookmarkEnd w:id="103"/>
      <w:r>
        <w:rPr/>
      </w:r>
      <w:r>
        <w:rPr>
          <w:rFonts w:ascii="Calibri" w:hAnsi="Calibri"/>
          <w:i/>
          <w:color w:val="44536A"/>
          <w:sz w:val="18"/>
        </w:rPr>
        <w:t>Figur 49 </w:t>
      </w:r>
      <w:r>
        <w:rPr>
          <w:rFonts w:ascii="Calibri" w:hAnsi="Calibri"/>
          <w:color w:val="44536A"/>
          <w:sz w:val="18"/>
        </w:rPr>
        <w:t>Sorteret Middelfejl pr. modelgrid for Odense Å-modellerne. Øverst alle pejlinger, nederst kun terrænnære.</w:t>
      </w:r>
    </w:p>
    <w:p>
      <w:pPr>
        <w:pStyle w:val="BodyText"/>
        <w:rPr>
          <w:rFonts w:ascii="Calibri"/>
          <w:sz w:val="18"/>
        </w:rPr>
      </w:pPr>
    </w:p>
    <w:p>
      <w:pPr>
        <w:pStyle w:val="BodyText"/>
        <w:spacing w:before="10"/>
        <w:rPr>
          <w:rFonts w:ascii="Calibri"/>
        </w:rPr>
      </w:pPr>
    </w:p>
    <w:p>
      <w:pPr>
        <w:pStyle w:val="BodyText"/>
        <w:spacing w:line="288" w:lineRule="auto" w:before="1"/>
        <w:ind w:left="525" w:right="730"/>
        <w:jc w:val="both"/>
      </w:pPr>
      <w:r>
        <w:rPr/>
        <w:t>På </w:t>
      </w:r>
      <w:hyperlink w:history="true" w:anchor="_bookmark79">
        <w:r>
          <w:rPr/>
          <w:t>figur 50 </w:t>
        </w:r>
      </w:hyperlink>
      <w:r>
        <w:rPr/>
        <w:t>er middelfejlens geografiske fordeling vist for kalibreringsperioden. Overordnet set ligger det store flertal af fejlene inden for intervallet ±5m, særligt i den centrale del af modelområdet. Det ses desuden af figuren, at modellen simulerer for lavt vandspejl (både for alle pejlinger og for de terrænnære pejlinger) tæt på modelranden i den sydøstlige ende. Samme</w:t>
      </w:r>
      <w:r>
        <w:rPr>
          <w:spacing w:val="-7"/>
        </w:rPr>
        <w:t> </w:t>
      </w:r>
      <w:r>
        <w:rPr/>
        <w:t>systematisk</w:t>
      </w:r>
      <w:r>
        <w:rPr>
          <w:spacing w:val="-4"/>
        </w:rPr>
        <w:t> </w:t>
      </w:r>
      <w:r>
        <w:rPr/>
        <w:t>ses</w:t>
      </w:r>
      <w:r>
        <w:rPr>
          <w:spacing w:val="-6"/>
        </w:rPr>
        <w:t> </w:t>
      </w:r>
      <w:r>
        <w:rPr/>
        <w:t>langs</w:t>
      </w:r>
      <w:r>
        <w:rPr>
          <w:spacing w:val="-6"/>
        </w:rPr>
        <w:t> </w:t>
      </w:r>
      <w:r>
        <w:rPr/>
        <w:t>den</w:t>
      </w:r>
      <w:r>
        <w:rPr>
          <w:spacing w:val="-7"/>
        </w:rPr>
        <w:t> </w:t>
      </w:r>
      <w:r>
        <w:rPr/>
        <w:t>nordlige</w:t>
      </w:r>
      <w:r>
        <w:rPr>
          <w:spacing w:val="-5"/>
        </w:rPr>
        <w:t> </w:t>
      </w:r>
      <w:r>
        <w:rPr/>
        <w:t>del</w:t>
      </w:r>
      <w:r>
        <w:rPr>
          <w:spacing w:val="-5"/>
        </w:rPr>
        <w:t> </w:t>
      </w:r>
      <w:r>
        <w:rPr/>
        <w:t>af</w:t>
      </w:r>
      <w:r>
        <w:rPr>
          <w:spacing w:val="-5"/>
        </w:rPr>
        <w:t> </w:t>
      </w:r>
      <w:r>
        <w:rPr/>
        <w:t>den</w:t>
      </w:r>
      <w:r>
        <w:rPr>
          <w:spacing w:val="-6"/>
        </w:rPr>
        <w:t> </w:t>
      </w:r>
      <w:r>
        <w:rPr/>
        <w:t>vestlige</w:t>
      </w:r>
      <w:r>
        <w:rPr>
          <w:spacing w:val="-9"/>
        </w:rPr>
        <w:t> </w:t>
      </w:r>
      <w:r>
        <w:rPr/>
        <w:t>modelrand.</w:t>
      </w:r>
      <w:r>
        <w:rPr>
          <w:spacing w:val="-7"/>
        </w:rPr>
        <w:t> </w:t>
      </w:r>
      <w:r>
        <w:rPr/>
        <w:t>Dette</w:t>
      </w:r>
      <w:r>
        <w:rPr>
          <w:spacing w:val="-6"/>
        </w:rPr>
        <w:t> </w:t>
      </w:r>
      <w:r>
        <w:rPr/>
        <w:t>indikerer</w:t>
      </w:r>
      <w:r>
        <w:rPr>
          <w:spacing w:val="-3"/>
        </w:rPr>
        <w:t> </w:t>
      </w:r>
      <w:r>
        <w:rPr/>
        <w:t>at der er problemer med enten randbetingelsen eller måske mere sandsynligt med den lokale geologi i disse områder. For disse problemområder (grønne grids i </w:t>
      </w:r>
      <w:hyperlink w:history="true" w:anchor="_bookmark79">
        <w:r>
          <w:rPr/>
          <w:t>figur 50</w:t>
        </w:r>
      </w:hyperlink>
      <w:r>
        <w:rPr/>
        <w:t>) underestimerer modellen generelt trykniveauet med adskillige meter, hvilket ligeledes afspejles i </w:t>
      </w:r>
      <w:hyperlink w:history="true" w:anchor="_bookmark76">
        <w:r>
          <w:rPr/>
          <w:t>tabel 17</w:t>
        </w:r>
      </w:hyperlink>
      <w:r>
        <w:rPr/>
        <w:t>, hvor vi ser en stor positiv ME og stor MAE for</w:t>
      </w:r>
      <w:r>
        <w:rPr>
          <w:spacing w:val="-18"/>
        </w:rPr>
        <w:t> </w:t>
      </w:r>
      <w:r>
        <w:rPr/>
        <w:t>kalibreringsperioden.</w:t>
      </w:r>
    </w:p>
    <w:p>
      <w:pPr>
        <w:spacing w:after="0" w:line="288" w:lineRule="auto"/>
        <w:jc w:val="both"/>
        <w:sectPr>
          <w:pgSz w:w="11910" w:h="16850"/>
          <w:pgMar w:header="0" w:footer="857" w:top="1600" w:bottom="1120" w:left="1460" w:right="680"/>
        </w:sectPr>
      </w:pPr>
    </w:p>
    <w:p>
      <w:pPr>
        <w:pStyle w:val="BodyText"/>
        <w:spacing w:before="10"/>
        <w:rPr>
          <w:sz w:val="2"/>
        </w:rPr>
      </w:pPr>
    </w:p>
    <w:p>
      <w:pPr>
        <w:pStyle w:val="BodyText"/>
        <w:ind w:left="695"/>
        <w:rPr>
          <w:sz w:val="20"/>
        </w:rPr>
      </w:pPr>
      <w:r>
        <w:rPr>
          <w:sz w:val="20"/>
        </w:rPr>
        <w:drawing>
          <wp:inline distT="0" distB="0" distL="0" distR="0">
            <wp:extent cx="5199060" cy="2812160"/>
            <wp:effectExtent l="0" t="0" r="0" b="0"/>
            <wp:docPr id="105" name="image71.jpeg" descr="Q:\_Odenseaa_calibration_comparison\figures\H_grids.png"/>
            <wp:cNvGraphicFramePr>
              <a:graphicFrameLocks noChangeAspect="1"/>
            </wp:cNvGraphicFramePr>
            <a:graphic>
              <a:graphicData uri="http://schemas.openxmlformats.org/drawingml/2006/picture">
                <pic:pic>
                  <pic:nvPicPr>
                    <pic:cNvPr id="106" name="image71.jpeg"/>
                    <pic:cNvPicPr/>
                  </pic:nvPicPr>
                  <pic:blipFill>
                    <a:blip r:embed="rId77" cstate="print"/>
                    <a:stretch>
                      <a:fillRect/>
                    </a:stretch>
                  </pic:blipFill>
                  <pic:spPr>
                    <a:xfrm>
                      <a:off x="0" y="0"/>
                      <a:ext cx="5199060" cy="2812160"/>
                    </a:xfrm>
                    <a:prstGeom prst="rect">
                      <a:avLst/>
                    </a:prstGeom>
                  </pic:spPr>
                </pic:pic>
              </a:graphicData>
            </a:graphic>
          </wp:inline>
        </w:drawing>
      </w:r>
      <w:r>
        <w:rPr>
          <w:sz w:val="20"/>
        </w:rPr>
      </w:r>
    </w:p>
    <w:p>
      <w:pPr>
        <w:pStyle w:val="BodyText"/>
        <w:spacing w:before="10"/>
        <w:rPr>
          <w:sz w:val="14"/>
        </w:rPr>
      </w:pPr>
    </w:p>
    <w:p>
      <w:pPr>
        <w:spacing w:before="64"/>
        <w:ind w:left="525" w:right="785" w:firstLine="0"/>
        <w:jc w:val="left"/>
        <w:rPr>
          <w:rFonts w:ascii="Calibri" w:hAnsi="Calibri"/>
          <w:sz w:val="18"/>
        </w:rPr>
      </w:pPr>
      <w:bookmarkStart w:name="_bookmark79" w:id="104"/>
      <w:bookmarkEnd w:id="104"/>
      <w:r>
        <w:rPr/>
      </w:r>
      <w:r>
        <w:rPr>
          <w:rFonts w:ascii="Calibri" w:hAnsi="Calibri"/>
          <w:i/>
          <w:color w:val="44536A"/>
          <w:sz w:val="18"/>
        </w:rPr>
        <w:t>Figur 50 </w:t>
      </w:r>
      <w:r>
        <w:rPr>
          <w:rFonts w:ascii="Calibri" w:hAnsi="Calibri"/>
          <w:color w:val="44536A"/>
          <w:sz w:val="18"/>
        </w:rPr>
        <w:t>Middelfejl for modelgrid for Odense Å-modellen (100m_Jup+Reg) for perioden 2000 – 2008 baseret på både Jupiter data og data fra Regionerne. Til venstre ses alle pejleboringer, til højre kun terrænnære boringer (filter dybde &lt; 10 m)</w:t>
      </w:r>
      <w:r>
        <w:rPr>
          <w:rFonts w:ascii="Calibri" w:hAnsi="Calibri"/>
          <w:b/>
          <w:color w:val="44536A"/>
          <w:sz w:val="18"/>
        </w:rPr>
        <w:t>. </w:t>
      </w:r>
      <w:r>
        <w:rPr>
          <w:rFonts w:ascii="Calibri" w:hAnsi="Calibri"/>
          <w:color w:val="44536A"/>
          <w:sz w:val="18"/>
        </w:rPr>
        <w:t>Middelfejlen er angives som obs-sim.</w:t>
      </w:r>
    </w:p>
    <w:p>
      <w:pPr>
        <w:pStyle w:val="BodyText"/>
        <w:rPr>
          <w:rFonts w:ascii="Calibri"/>
          <w:sz w:val="18"/>
        </w:rPr>
      </w:pPr>
    </w:p>
    <w:p>
      <w:pPr>
        <w:pStyle w:val="BodyText"/>
        <w:rPr>
          <w:rFonts w:ascii="Calibri"/>
          <w:sz w:val="18"/>
        </w:rPr>
      </w:pPr>
    </w:p>
    <w:p>
      <w:pPr>
        <w:pStyle w:val="BodyText"/>
        <w:rPr>
          <w:rFonts w:ascii="Calibri"/>
          <w:sz w:val="18"/>
        </w:rPr>
      </w:pPr>
    </w:p>
    <w:p>
      <w:pPr>
        <w:pStyle w:val="Heading2"/>
        <w:numPr>
          <w:ilvl w:val="1"/>
          <w:numId w:val="14"/>
        </w:numPr>
        <w:tabs>
          <w:tab w:pos="1141" w:val="left" w:leader="none"/>
          <w:tab w:pos="1142" w:val="left" w:leader="none"/>
        </w:tabs>
        <w:spacing w:line="240" w:lineRule="auto" w:before="136" w:after="0"/>
        <w:ind w:left="1142" w:right="0" w:hanging="617"/>
        <w:jc w:val="left"/>
      </w:pPr>
      <w:bookmarkStart w:name="_bookmark80" w:id="105"/>
      <w:bookmarkEnd w:id="105"/>
      <w:r>
        <w:rPr>
          <w:b w:val="0"/>
        </w:rPr>
      </w:r>
      <w:bookmarkStart w:name="_bookmark80" w:id="106"/>
      <w:bookmarkEnd w:id="106"/>
      <w:r>
        <w:rPr/>
        <w:t>K</w:t>
      </w:r>
      <w:r>
        <w:rPr/>
        <w:t>alibrering af vandstand i</w:t>
      </w:r>
      <w:r>
        <w:rPr>
          <w:spacing w:val="-1"/>
        </w:rPr>
        <w:t> </w:t>
      </w:r>
      <w:r>
        <w:rPr/>
        <w:t>vandløb</w:t>
      </w:r>
    </w:p>
    <w:p>
      <w:pPr>
        <w:pStyle w:val="BodyText"/>
        <w:spacing w:line="288" w:lineRule="auto" w:before="211"/>
        <w:ind w:left="525" w:right="730"/>
        <w:jc w:val="both"/>
      </w:pPr>
      <w:r>
        <w:rPr/>
        <w:t>For kalibrering af vandstand i vandløb er foretaget én kalibrering for hvert opland, </w:t>
      </w:r>
      <w:hyperlink w:history="true" w:anchor="_bookmark81">
        <w:r>
          <w:rPr/>
          <w:t>tabel 19</w:t>
        </w:r>
      </w:hyperlink>
      <w:r>
        <w:rPr/>
        <w:t>. Kalibreringerne af Manningtallet med vandstand i vandløb som eneste objektivfunktion er baseret</w:t>
      </w:r>
      <w:r>
        <w:rPr>
          <w:spacing w:val="-12"/>
        </w:rPr>
        <w:t> </w:t>
      </w:r>
      <w:r>
        <w:rPr/>
        <w:t>på</w:t>
      </w:r>
      <w:r>
        <w:rPr>
          <w:spacing w:val="-9"/>
        </w:rPr>
        <w:t> </w:t>
      </w:r>
      <w:r>
        <w:rPr/>
        <w:t>100</w:t>
      </w:r>
      <w:r>
        <w:rPr>
          <w:spacing w:val="-12"/>
        </w:rPr>
        <w:t> </w:t>
      </w:r>
      <w:r>
        <w:rPr/>
        <w:t>m</w:t>
      </w:r>
      <w:r>
        <w:rPr>
          <w:spacing w:val="-9"/>
        </w:rPr>
        <w:t> </w:t>
      </w:r>
      <w:r>
        <w:rPr/>
        <w:t>modellen</w:t>
      </w:r>
      <w:r>
        <w:rPr>
          <w:spacing w:val="-10"/>
        </w:rPr>
        <w:t> </w:t>
      </w:r>
      <w:r>
        <w:rPr/>
        <w:t>kalibreret</w:t>
      </w:r>
      <w:r>
        <w:rPr>
          <w:spacing w:val="-11"/>
        </w:rPr>
        <w:t> </w:t>
      </w:r>
      <w:r>
        <w:rPr/>
        <w:t>mod</w:t>
      </w:r>
      <w:r>
        <w:rPr>
          <w:spacing w:val="-10"/>
        </w:rPr>
        <w:t> </w:t>
      </w:r>
      <w:r>
        <w:rPr/>
        <w:t>Jupiter</w:t>
      </w:r>
      <w:r>
        <w:rPr>
          <w:spacing w:val="-10"/>
        </w:rPr>
        <w:t> </w:t>
      </w:r>
      <w:r>
        <w:rPr/>
        <w:t>og</w:t>
      </w:r>
      <w:r>
        <w:rPr>
          <w:spacing w:val="-12"/>
        </w:rPr>
        <w:t> </w:t>
      </w:r>
      <w:r>
        <w:rPr/>
        <w:t>Regions</w:t>
      </w:r>
      <w:r>
        <w:rPr>
          <w:spacing w:val="-10"/>
        </w:rPr>
        <w:t> </w:t>
      </w:r>
      <w:r>
        <w:rPr/>
        <w:t>data</w:t>
      </w:r>
      <w:r>
        <w:rPr>
          <w:spacing w:val="-10"/>
        </w:rPr>
        <w:t> </w:t>
      </w:r>
      <w:r>
        <w:rPr/>
        <w:t>for</w:t>
      </w:r>
      <w:r>
        <w:rPr>
          <w:spacing w:val="-10"/>
        </w:rPr>
        <w:t> </w:t>
      </w:r>
      <w:r>
        <w:rPr/>
        <w:t>trykniveau</w:t>
      </w:r>
      <w:r>
        <w:rPr>
          <w:spacing w:val="-9"/>
        </w:rPr>
        <w:t> </w:t>
      </w:r>
      <w:r>
        <w:rPr/>
        <w:t>samt</w:t>
      </w:r>
      <w:r>
        <w:rPr>
          <w:spacing w:val="-12"/>
        </w:rPr>
        <w:t> </w:t>
      </w:r>
      <w:r>
        <w:rPr/>
        <w:t>vand- føring. For Storå har kun fire af de seks tilgængelige stationer data indenfor kalibreringspe- rioden.</w:t>
      </w:r>
    </w:p>
    <w:p>
      <w:pPr>
        <w:pStyle w:val="BodyText"/>
        <w:rPr>
          <w:sz w:val="24"/>
        </w:rPr>
      </w:pPr>
    </w:p>
    <w:p>
      <w:pPr>
        <w:spacing w:before="149"/>
        <w:ind w:left="525" w:right="0" w:firstLine="0"/>
        <w:jc w:val="left"/>
        <w:rPr>
          <w:rFonts w:ascii="Calibri" w:hAnsi="Calibri"/>
          <w:i/>
          <w:sz w:val="18"/>
        </w:rPr>
      </w:pPr>
      <w:bookmarkStart w:name="_bookmark81" w:id="107"/>
      <w:bookmarkEnd w:id="107"/>
      <w:r>
        <w:rPr/>
      </w:r>
      <w:r>
        <w:rPr>
          <w:rFonts w:ascii="Calibri" w:hAnsi="Calibri"/>
          <w:i/>
          <w:color w:val="44536A"/>
          <w:sz w:val="18"/>
        </w:rPr>
        <w:t>Tabel 19 Oversigt over modelkalibreringer af de hydrodynamiske modeller for hhv. Storå og Odense Å.</w:t>
      </w:r>
    </w:p>
    <w:p>
      <w:pPr>
        <w:pStyle w:val="BodyText"/>
        <w:spacing w:before="4"/>
        <w:rPr>
          <w:rFonts w:ascii="Calibri"/>
          <w:i/>
          <w:sz w:val="16"/>
        </w:r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37"/>
        <w:gridCol w:w="1126"/>
        <w:gridCol w:w="1145"/>
        <w:gridCol w:w="1124"/>
        <w:gridCol w:w="1181"/>
        <w:gridCol w:w="1152"/>
        <w:gridCol w:w="1131"/>
      </w:tblGrid>
      <w:tr>
        <w:trPr>
          <w:trHeight w:val="292" w:hRule="atLeast"/>
        </w:trPr>
        <w:tc>
          <w:tcPr>
            <w:tcW w:w="1637" w:type="dxa"/>
          </w:tcPr>
          <w:p>
            <w:pPr>
              <w:pStyle w:val="TableParagraph"/>
              <w:spacing w:before="1"/>
              <w:ind w:left="107"/>
              <w:jc w:val="left"/>
              <w:rPr>
                <w:rFonts w:ascii="Calibri"/>
                <w:b/>
                <w:sz w:val="20"/>
              </w:rPr>
            </w:pPr>
            <w:r>
              <w:rPr>
                <w:rFonts w:ascii="Calibri"/>
                <w:b/>
                <w:sz w:val="20"/>
              </w:rPr>
              <w:t>Kalibrering</w:t>
            </w:r>
          </w:p>
        </w:tc>
        <w:tc>
          <w:tcPr>
            <w:tcW w:w="1126" w:type="dxa"/>
          </w:tcPr>
          <w:p>
            <w:pPr>
              <w:pStyle w:val="TableParagraph"/>
              <w:jc w:val="left"/>
              <w:rPr>
                <w:rFonts w:ascii="Times New Roman"/>
                <w:sz w:val="18"/>
              </w:rPr>
            </w:pPr>
          </w:p>
        </w:tc>
        <w:tc>
          <w:tcPr>
            <w:tcW w:w="1145" w:type="dxa"/>
          </w:tcPr>
          <w:p>
            <w:pPr>
              <w:pStyle w:val="TableParagraph"/>
              <w:jc w:val="left"/>
              <w:rPr>
                <w:rFonts w:ascii="Times New Roman"/>
                <w:sz w:val="18"/>
              </w:rPr>
            </w:pPr>
          </w:p>
        </w:tc>
        <w:tc>
          <w:tcPr>
            <w:tcW w:w="1124" w:type="dxa"/>
          </w:tcPr>
          <w:p>
            <w:pPr>
              <w:pStyle w:val="TableParagraph"/>
              <w:jc w:val="left"/>
              <w:rPr>
                <w:rFonts w:ascii="Times New Roman"/>
                <w:sz w:val="18"/>
              </w:rPr>
            </w:pPr>
          </w:p>
        </w:tc>
        <w:tc>
          <w:tcPr>
            <w:tcW w:w="1181" w:type="dxa"/>
          </w:tcPr>
          <w:p>
            <w:pPr>
              <w:pStyle w:val="TableParagraph"/>
              <w:jc w:val="left"/>
              <w:rPr>
                <w:rFonts w:ascii="Times New Roman"/>
                <w:sz w:val="18"/>
              </w:rPr>
            </w:pPr>
          </w:p>
        </w:tc>
        <w:tc>
          <w:tcPr>
            <w:tcW w:w="1152" w:type="dxa"/>
            <w:tcBorders>
              <w:right w:val="single" w:sz="6" w:space="0" w:color="000000"/>
            </w:tcBorders>
          </w:tcPr>
          <w:p>
            <w:pPr>
              <w:pStyle w:val="TableParagraph"/>
              <w:jc w:val="left"/>
              <w:rPr>
                <w:rFonts w:ascii="Times New Roman"/>
                <w:sz w:val="18"/>
              </w:rPr>
            </w:pPr>
          </w:p>
        </w:tc>
        <w:tc>
          <w:tcPr>
            <w:tcW w:w="1131" w:type="dxa"/>
            <w:tcBorders>
              <w:left w:val="single" w:sz="6" w:space="0" w:color="000000"/>
            </w:tcBorders>
          </w:tcPr>
          <w:p>
            <w:pPr>
              <w:pStyle w:val="TableParagraph"/>
              <w:jc w:val="left"/>
              <w:rPr>
                <w:rFonts w:ascii="Times New Roman"/>
                <w:sz w:val="18"/>
              </w:rPr>
            </w:pPr>
          </w:p>
        </w:tc>
      </w:tr>
      <w:tr>
        <w:trPr>
          <w:trHeight w:val="585" w:hRule="atLeast"/>
        </w:trPr>
        <w:tc>
          <w:tcPr>
            <w:tcW w:w="1637" w:type="dxa"/>
          </w:tcPr>
          <w:p>
            <w:pPr>
              <w:pStyle w:val="TableParagraph"/>
              <w:spacing w:before="1"/>
              <w:ind w:left="107"/>
              <w:jc w:val="left"/>
              <w:rPr>
                <w:rFonts w:ascii="Calibri"/>
                <w:b/>
                <w:sz w:val="20"/>
              </w:rPr>
            </w:pPr>
            <w:r>
              <w:rPr>
                <w:rFonts w:ascii="Calibri"/>
                <w:b/>
                <w:sz w:val="20"/>
              </w:rPr>
              <w:t>Model koncept</w:t>
            </w:r>
          </w:p>
        </w:tc>
        <w:tc>
          <w:tcPr>
            <w:tcW w:w="1126" w:type="dxa"/>
          </w:tcPr>
          <w:p>
            <w:pPr>
              <w:pStyle w:val="TableParagraph"/>
              <w:spacing w:before="1"/>
              <w:ind w:left="107"/>
              <w:jc w:val="left"/>
              <w:rPr>
                <w:rFonts w:ascii="Calibri"/>
                <w:b/>
                <w:sz w:val="20"/>
              </w:rPr>
            </w:pPr>
            <w:r>
              <w:rPr>
                <w:rFonts w:ascii="Calibri"/>
                <w:b/>
                <w:sz w:val="20"/>
              </w:rPr>
              <w:t>Fokus</w:t>
            </w:r>
          </w:p>
        </w:tc>
        <w:tc>
          <w:tcPr>
            <w:tcW w:w="1145" w:type="dxa"/>
          </w:tcPr>
          <w:p>
            <w:pPr>
              <w:pStyle w:val="TableParagraph"/>
              <w:spacing w:before="1"/>
              <w:ind w:left="107"/>
              <w:jc w:val="left"/>
              <w:rPr>
                <w:rFonts w:ascii="Calibri"/>
                <w:b/>
                <w:sz w:val="20"/>
              </w:rPr>
            </w:pPr>
            <w:r>
              <w:rPr>
                <w:rFonts w:ascii="Calibri"/>
                <w:b/>
                <w:sz w:val="20"/>
              </w:rPr>
              <w:t>Pejledata</w:t>
            </w:r>
          </w:p>
        </w:tc>
        <w:tc>
          <w:tcPr>
            <w:tcW w:w="1124" w:type="dxa"/>
          </w:tcPr>
          <w:p>
            <w:pPr>
              <w:pStyle w:val="TableParagraph"/>
              <w:spacing w:before="1"/>
              <w:ind w:left="107"/>
              <w:jc w:val="left"/>
              <w:rPr>
                <w:rFonts w:ascii="Calibri"/>
                <w:b/>
                <w:sz w:val="20"/>
              </w:rPr>
            </w:pPr>
            <w:r>
              <w:rPr>
                <w:rFonts w:ascii="Calibri"/>
                <w:b/>
                <w:sz w:val="20"/>
              </w:rPr>
              <w:t>h-statio-</w:t>
            </w:r>
          </w:p>
          <w:p>
            <w:pPr>
              <w:pStyle w:val="TableParagraph"/>
              <w:spacing w:before="49"/>
              <w:ind w:left="107"/>
              <w:jc w:val="left"/>
              <w:rPr>
                <w:rFonts w:ascii="Calibri"/>
                <w:b/>
                <w:sz w:val="20"/>
              </w:rPr>
            </w:pPr>
            <w:r>
              <w:rPr>
                <w:rFonts w:ascii="Calibri"/>
                <w:b/>
                <w:sz w:val="20"/>
              </w:rPr>
              <w:t>ner</w:t>
            </w:r>
          </w:p>
        </w:tc>
        <w:tc>
          <w:tcPr>
            <w:tcW w:w="1181" w:type="dxa"/>
          </w:tcPr>
          <w:p>
            <w:pPr>
              <w:pStyle w:val="TableParagraph"/>
              <w:spacing w:before="1"/>
              <w:ind w:left="107"/>
              <w:jc w:val="left"/>
              <w:rPr>
                <w:rFonts w:ascii="Calibri"/>
                <w:b/>
                <w:sz w:val="20"/>
              </w:rPr>
            </w:pPr>
            <w:r>
              <w:rPr>
                <w:rFonts w:ascii="Calibri"/>
                <w:b/>
                <w:sz w:val="20"/>
              </w:rPr>
              <w:t>Objektiv</w:t>
            </w:r>
          </w:p>
          <w:p>
            <w:pPr>
              <w:pStyle w:val="TableParagraph"/>
              <w:spacing w:before="49"/>
              <w:ind w:left="107"/>
              <w:jc w:val="left"/>
              <w:rPr>
                <w:rFonts w:ascii="Calibri"/>
                <w:b/>
                <w:sz w:val="20"/>
              </w:rPr>
            </w:pPr>
            <w:r>
              <w:rPr>
                <w:rFonts w:ascii="Calibri"/>
                <w:b/>
                <w:sz w:val="20"/>
              </w:rPr>
              <w:t>funktioner</w:t>
            </w:r>
          </w:p>
        </w:tc>
        <w:tc>
          <w:tcPr>
            <w:tcW w:w="1152" w:type="dxa"/>
            <w:tcBorders>
              <w:right w:val="single" w:sz="6" w:space="0" w:color="000000"/>
            </w:tcBorders>
          </w:tcPr>
          <w:p>
            <w:pPr>
              <w:pStyle w:val="TableParagraph"/>
              <w:spacing w:before="1"/>
              <w:ind w:left="109"/>
              <w:jc w:val="left"/>
              <w:rPr>
                <w:rFonts w:ascii="Calibri"/>
                <w:b/>
                <w:sz w:val="20"/>
              </w:rPr>
            </w:pPr>
            <w:r>
              <w:rPr>
                <w:rFonts w:ascii="Calibri"/>
                <w:b/>
                <w:sz w:val="20"/>
              </w:rPr>
              <w:t>Run time</w:t>
            </w:r>
          </w:p>
          <w:p>
            <w:pPr>
              <w:pStyle w:val="TableParagraph"/>
              <w:spacing w:before="49"/>
              <w:ind w:left="109"/>
              <w:jc w:val="left"/>
              <w:rPr>
                <w:rFonts w:ascii="Calibri"/>
                <w:b/>
                <w:sz w:val="18"/>
              </w:rPr>
            </w:pPr>
            <w:r>
              <w:rPr>
                <w:rFonts w:ascii="Calibri"/>
                <w:b/>
                <w:sz w:val="18"/>
              </w:rPr>
              <w:t>[1990-2008]</w:t>
            </w:r>
          </w:p>
        </w:tc>
        <w:tc>
          <w:tcPr>
            <w:tcW w:w="1131" w:type="dxa"/>
            <w:tcBorders>
              <w:left w:val="single" w:sz="6" w:space="0" w:color="000000"/>
            </w:tcBorders>
          </w:tcPr>
          <w:p>
            <w:pPr>
              <w:pStyle w:val="TableParagraph"/>
              <w:spacing w:before="1"/>
              <w:ind w:left="105"/>
              <w:jc w:val="left"/>
              <w:rPr>
                <w:rFonts w:ascii="Calibri"/>
                <w:b/>
                <w:sz w:val="20"/>
              </w:rPr>
            </w:pPr>
            <w:r>
              <w:rPr>
                <w:rFonts w:ascii="Calibri"/>
                <w:b/>
                <w:sz w:val="20"/>
              </w:rPr>
              <w:t>Frie</w:t>
            </w:r>
          </w:p>
          <w:p>
            <w:pPr>
              <w:pStyle w:val="TableParagraph"/>
              <w:spacing w:before="49"/>
              <w:ind w:left="105"/>
              <w:jc w:val="left"/>
              <w:rPr>
                <w:rFonts w:ascii="Calibri"/>
                <w:b/>
                <w:sz w:val="20"/>
              </w:rPr>
            </w:pPr>
            <w:r>
              <w:rPr>
                <w:rFonts w:ascii="Calibri"/>
                <w:b/>
                <w:sz w:val="20"/>
              </w:rPr>
              <w:t>param.</w:t>
            </w:r>
          </w:p>
        </w:tc>
      </w:tr>
      <w:tr>
        <w:trPr>
          <w:trHeight w:val="292" w:hRule="atLeast"/>
        </w:trPr>
        <w:tc>
          <w:tcPr>
            <w:tcW w:w="1637" w:type="dxa"/>
          </w:tcPr>
          <w:p>
            <w:pPr>
              <w:pStyle w:val="TableParagraph"/>
              <w:spacing w:before="1"/>
              <w:ind w:left="107"/>
              <w:jc w:val="left"/>
              <w:rPr>
                <w:rFonts w:ascii="Calibri" w:hAnsi="Calibri"/>
                <w:b/>
                <w:sz w:val="20"/>
              </w:rPr>
            </w:pPr>
            <w:r>
              <w:rPr>
                <w:rFonts w:ascii="Calibri" w:hAnsi="Calibri"/>
                <w:b/>
                <w:sz w:val="20"/>
              </w:rPr>
              <w:t>Storå</w:t>
            </w:r>
          </w:p>
        </w:tc>
        <w:tc>
          <w:tcPr>
            <w:tcW w:w="1126" w:type="dxa"/>
          </w:tcPr>
          <w:p>
            <w:pPr>
              <w:pStyle w:val="TableParagraph"/>
              <w:jc w:val="left"/>
              <w:rPr>
                <w:rFonts w:ascii="Times New Roman"/>
                <w:sz w:val="18"/>
              </w:rPr>
            </w:pPr>
          </w:p>
        </w:tc>
        <w:tc>
          <w:tcPr>
            <w:tcW w:w="1145" w:type="dxa"/>
          </w:tcPr>
          <w:p>
            <w:pPr>
              <w:pStyle w:val="TableParagraph"/>
              <w:jc w:val="left"/>
              <w:rPr>
                <w:rFonts w:ascii="Times New Roman"/>
                <w:sz w:val="18"/>
              </w:rPr>
            </w:pPr>
          </w:p>
        </w:tc>
        <w:tc>
          <w:tcPr>
            <w:tcW w:w="1124" w:type="dxa"/>
          </w:tcPr>
          <w:p>
            <w:pPr>
              <w:pStyle w:val="TableParagraph"/>
              <w:jc w:val="left"/>
              <w:rPr>
                <w:rFonts w:ascii="Times New Roman"/>
                <w:sz w:val="18"/>
              </w:rPr>
            </w:pPr>
          </w:p>
        </w:tc>
        <w:tc>
          <w:tcPr>
            <w:tcW w:w="1181" w:type="dxa"/>
          </w:tcPr>
          <w:p>
            <w:pPr>
              <w:pStyle w:val="TableParagraph"/>
              <w:jc w:val="left"/>
              <w:rPr>
                <w:rFonts w:ascii="Times New Roman"/>
                <w:sz w:val="18"/>
              </w:rPr>
            </w:pPr>
          </w:p>
        </w:tc>
        <w:tc>
          <w:tcPr>
            <w:tcW w:w="1152" w:type="dxa"/>
            <w:tcBorders>
              <w:right w:val="single" w:sz="6" w:space="0" w:color="000000"/>
            </w:tcBorders>
          </w:tcPr>
          <w:p>
            <w:pPr>
              <w:pStyle w:val="TableParagraph"/>
              <w:jc w:val="left"/>
              <w:rPr>
                <w:rFonts w:ascii="Times New Roman"/>
                <w:sz w:val="18"/>
              </w:rPr>
            </w:pPr>
          </w:p>
        </w:tc>
        <w:tc>
          <w:tcPr>
            <w:tcW w:w="1131" w:type="dxa"/>
            <w:tcBorders>
              <w:left w:val="single" w:sz="6" w:space="0" w:color="000000"/>
            </w:tcBorders>
          </w:tcPr>
          <w:p>
            <w:pPr>
              <w:pStyle w:val="TableParagraph"/>
              <w:jc w:val="left"/>
              <w:rPr>
                <w:rFonts w:ascii="Times New Roman"/>
                <w:sz w:val="18"/>
              </w:rPr>
            </w:pPr>
          </w:p>
        </w:tc>
      </w:tr>
      <w:tr>
        <w:trPr>
          <w:trHeight w:val="881" w:hRule="atLeast"/>
        </w:trPr>
        <w:tc>
          <w:tcPr>
            <w:tcW w:w="1637" w:type="dxa"/>
          </w:tcPr>
          <w:p>
            <w:pPr>
              <w:pStyle w:val="TableParagraph"/>
              <w:spacing w:before="3"/>
              <w:ind w:left="107"/>
              <w:jc w:val="left"/>
              <w:rPr>
                <w:rFonts w:ascii="Calibri"/>
                <w:b/>
                <w:sz w:val="20"/>
              </w:rPr>
            </w:pPr>
            <w:r>
              <w:rPr>
                <w:rFonts w:ascii="Calibri"/>
                <w:b/>
                <w:sz w:val="20"/>
              </w:rPr>
              <w:t>100m_HD</w:t>
            </w:r>
          </w:p>
          <w:p>
            <w:pPr>
              <w:pStyle w:val="TableParagraph"/>
              <w:spacing w:line="294" w:lineRule="exact" w:before="4"/>
              <w:ind w:left="107"/>
              <w:jc w:val="left"/>
              <w:rPr>
                <w:rFonts w:ascii="Calibri" w:hAnsi="Calibri"/>
                <w:sz w:val="20"/>
              </w:rPr>
            </w:pPr>
            <w:r>
              <w:rPr>
                <w:rFonts w:ascii="Calibri" w:hAnsi="Calibri"/>
                <w:w w:val="95"/>
                <w:sz w:val="20"/>
              </w:rPr>
              <w:t>Hydro-dynamisk </w:t>
            </w:r>
            <w:r>
              <w:rPr>
                <w:rFonts w:ascii="Calibri" w:hAnsi="Calibri"/>
                <w:sz w:val="20"/>
              </w:rPr>
              <w:t>løsning</w:t>
            </w:r>
          </w:p>
        </w:tc>
        <w:tc>
          <w:tcPr>
            <w:tcW w:w="1126" w:type="dxa"/>
          </w:tcPr>
          <w:p>
            <w:pPr>
              <w:pStyle w:val="TableParagraph"/>
              <w:spacing w:line="288" w:lineRule="auto" w:before="3"/>
              <w:ind w:left="189" w:right="117" w:hanging="63"/>
              <w:jc w:val="left"/>
              <w:rPr>
                <w:rFonts w:ascii="Calibri" w:hAnsi="Calibri"/>
                <w:sz w:val="20"/>
              </w:rPr>
            </w:pPr>
            <w:r>
              <w:rPr>
                <w:rFonts w:ascii="Calibri" w:hAnsi="Calibri"/>
                <w:w w:val="95"/>
                <w:sz w:val="20"/>
              </w:rPr>
              <w:t>Vandstand </w:t>
            </w:r>
            <w:r>
              <w:rPr>
                <w:rFonts w:ascii="Calibri" w:hAnsi="Calibri"/>
                <w:sz w:val="20"/>
              </w:rPr>
              <w:t>i</w:t>
            </w:r>
            <w:r>
              <w:rPr>
                <w:rFonts w:ascii="Calibri" w:hAnsi="Calibri"/>
                <w:spacing w:val="-2"/>
                <w:sz w:val="20"/>
              </w:rPr>
              <w:t> </w:t>
            </w:r>
            <w:r>
              <w:rPr>
                <w:rFonts w:ascii="Calibri" w:hAnsi="Calibri"/>
                <w:sz w:val="20"/>
              </w:rPr>
              <w:t>vandløb</w:t>
            </w:r>
          </w:p>
        </w:tc>
        <w:tc>
          <w:tcPr>
            <w:tcW w:w="1145" w:type="dxa"/>
          </w:tcPr>
          <w:p>
            <w:pPr>
              <w:pStyle w:val="TableParagraph"/>
              <w:spacing w:before="1"/>
              <w:ind w:left="208" w:firstLine="45"/>
              <w:jc w:val="left"/>
              <w:rPr>
                <w:rFonts w:ascii="Calibri"/>
                <w:sz w:val="20"/>
              </w:rPr>
            </w:pPr>
            <w:r>
              <w:rPr>
                <w:rFonts w:ascii="Calibri"/>
                <w:sz w:val="20"/>
              </w:rPr>
              <w:t>Jupiter/ </w:t>
            </w:r>
            <w:r>
              <w:rPr>
                <w:rFonts w:ascii="Calibri"/>
                <w:w w:val="95"/>
                <w:sz w:val="20"/>
              </w:rPr>
              <w:t>Regioner</w:t>
            </w:r>
          </w:p>
        </w:tc>
        <w:tc>
          <w:tcPr>
            <w:tcW w:w="1124" w:type="dxa"/>
          </w:tcPr>
          <w:p>
            <w:pPr>
              <w:pStyle w:val="TableParagraph"/>
              <w:spacing w:before="3"/>
              <w:ind w:left="510"/>
              <w:jc w:val="left"/>
              <w:rPr>
                <w:rFonts w:ascii="Calibri"/>
                <w:sz w:val="20"/>
              </w:rPr>
            </w:pPr>
            <w:r>
              <w:rPr>
                <w:rFonts w:ascii="Calibri"/>
                <w:w w:val="99"/>
                <w:sz w:val="20"/>
              </w:rPr>
              <w:t>4</w:t>
            </w:r>
          </w:p>
        </w:tc>
        <w:tc>
          <w:tcPr>
            <w:tcW w:w="1181" w:type="dxa"/>
          </w:tcPr>
          <w:p>
            <w:pPr>
              <w:pStyle w:val="TableParagraph"/>
              <w:spacing w:before="3"/>
              <w:ind w:left="131" w:right="128"/>
              <w:rPr>
                <w:rFonts w:ascii="Calibri"/>
                <w:sz w:val="20"/>
              </w:rPr>
            </w:pPr>
            <w:r>
              <w:rPr>
                <w:rFonts w:ascii="Calibri"/>
                <w:sz w:val="20"/>
              </w:rPr>
              <w:t>Vandstand</w:t>
            </w:r>
          </w:p>
        </w:tc>
        <w:tc>
          <w:tcPr>
            <w:tcW w:w="1152" w:type="dxa"/>
            <w:tcBorders>
              <w:right w:val="single" w:sz="6" w:space="0" w:color="000000"/>
            </w:tcBorders>
          </w:tcPr>
          <w:p>
            <w:pPr>
              <w:pStyle w:val="TableParagraph"/>
              <w:spacing w:before="3"/>
              <w:ind w:left="231"/>
              <w:jc w:val="left"/>
              <w:rPr>
                <w:rFonts w:ascii="Calibri"/>
                <w:sz w:val="20"/>
              </w:rPr>
            </w:pPr>
            <w:r>
              <w:rPr>
                <w:rFonts w:ascii="Calibri"/>
                <w:sz w:val="20"/>
              </w:rPr>
              <w:t>60 timer</w:t>
            </w:r>
          </w:p>
        </w:tc>
        <w:tc>
          <w:tcPr>
            <w:tcW w:w="1131" w:type="dxa"/>
            <w:tcBorders>
              <w:left w:val="single" w:sz="6" w:space="0" w:color="000000"/>
            </w:tcBorders>
          </w:tcPr>
          <w:p>
            <w:pPr>
              <w:pStyle w:val="TableParagraph"/>
              <w:spacing w:before="3"/>
              <w:ind w:left="8"/>
              <w:rPr>
                <w:rFonts w:ascii="Calibri"/>
                <w:sz w:val="20"/>
              </w:rPr>
            </w:pPr>
            <w:r>
              <w:rPr>
                <w:rFonts w:ascii="Calibri"/>
                <w:w w:val="99"/>
                <w:sz w:val="20"/>
              </w:rPr>
              <w:t>2</w:t>
            </w:r>
          </w:p>
        </w:tc>
      </w:tr>
      <w:tr>
        <w:trPr>
          <w:trHeight w:val="292" w:hRule="atLeast"/>
        </w:trPr>
        <w:tc>
          <w:tcPr>
            <w:tcW w:w="1637" w:type="dxa"/>
          </w:tcPr>
          <w:p>
            <w:pPr>
              <w:pStyle w:val="TableParagraph"/>
              <w:spacing w:before="1"/>
              <w:ind w:left="107"/>
              <w:jc w:val="left"/>
              <w:rPr>
                <w:rFonts w:ascii="Calibri" w:hAnsi="Calibri"/>
                <w:b/>
                <w:sz w:val="20"/>
              </w:rPr>
            </w:pPr>
            <w:r>
              <w:rPr>
                <w:rFonts w:ascii="Calibri" w:hAnsi="Calibri"/>
                <w:b/>
                <w:sz w:val="20"/>
              </w:rPr>
              <w:t>Odense Å</w:t>
            </w:r>
          </w:p>
        </w:tc>
        <w:tc>
          <w:tcPr>
            <w:tcW w:w="1126" w:type="dxa"/>
          </w:tcPr>
          <w:p>
            <w:pPr>
              <w:pStyle w:val="TableParagraph"/>
              <w:jc w:val="left"/>
              <w:rPr>
                <w:rFonts w:ascii="Times New Roman"/>
                <w:sz w:val="18"/>
              </w:rPr>
            </w:pPr>
          </w:p>
        </w:tc>
        <w:tc>
          <w:tcPr>
            <w:tcW w:w="1145" w:type="dxa"/>
          </w:tcPr>
          <w:p>
            <w:pPr>
              <w:pStyle w:val="TableParagraph"/>
              <w:jc w:val="left"/>
              <w:rPr>
                <w:rFonts w:ascii="Times New Roman"/>
                <w:sz w:val="18"/>
              </w:rPr>
            </w:pPr>
          </w:p>
        </w:tc>
        <w:tc>
          <w:tcPr>
            <w:tcW w:w="1124" w:type="dxa"/>
          </w:tcPr>
          <w:p>
            <w:pPr>
              <w:pStyle w:val="TableParagraph"/>
              <w:jc w:val="left"/>
              <w:rPr>
                <w:rFonts w:ascii="Times New Roman"/>
                <w:sz w:val="18"/>
              </w:rPr>
            </w:pPr>
          </w:p>
        </w:tc>
        <w:tc>
          <w:tcPr>
            <w:tcW w:w="1181" w:type="dxa"/>
          </w:tcPr>
          <w:p>
            <w:pPr>
              <w:pStyle w:val="TableParagraph"/>
              <w:jc w:val="left"/>
              <w:rPr>
                <w:rFonts w:ascii="Times New Roman"/>
                <w:sz w:val="18"/>
              </w:rPr>
            </w:pPr>
          </w:p>
        </w:tc>
        <w:tc>
          <w:tcPr>
            <w:tcW w:w="1152" w:type="dxa"/>
            <w:tcBorders>
              <w:right w:val="single" w:sz="6" w:space="0" w:color="000000"/>
            </w:tcBorders>
          </w:tcPr>
          <w:p>
            <w:pPr>
              <w:pStyle w:val="TableParagraph"/>
              <w:jc w:val="left"/>
              <w:rPr>
                <w:rFonts w:ascii="Times New Roman"/>
                <w:sz w:val="18"/>
              </w:rPr>
            </w:pPr>
          </w:p>
        </w:tc>
        <w:tc>
          <w:tcPr>
            <w:tcW w:w="1131" w:type="dxa"/>
            <w:tcBorders>
              <w:left w:val="single" w:sz="6" w:space="0" w:color="000000"/>
            </w:tcBorders>
          </w:tcPr>
          <w:p>
            <w:pPr>
              <w:pStyle w:val="TableParagraph"/>
              <w:jc w:val="left"/>
              <w:rPr>
                <w:rFonts w:ascii="Times New Roman"/>
                <w:sz w:val="18"/>
              </w:rPr>
            </w:pPr>
          </w:p>
        </w:tc>
      </w:tr>
      <w:tr>
        <w:trPr>
          <w:trHeight w:val="880" w:hRule="atLeast"/>
        </w:trPr>
        <w:tc>
          <w:tcPr>
            <w:tcW w:w="1637" w:type="dxa"/>
          </w:tcPr>
          <w:p>
            <w:pPr>
              <w:pStyle w:val="TableParagraph"/>
              <w:spacing w:before="1"/>
              <w:ind w:left="107"/>
              <w:jc w:val="left"/>
              <w:rPr>
                <w:rFonts w:ascii="Calibri"/>
                <w:b/>
                <w:sz w:val="20"/>
              </w:rPr>
            </w:pPr>
            <w:r>
              <w:rPr>
                <w:rFonts w:ascii="Calibri"/>
                <w:b/>
                <w:sz w:val="20"/>
              </w:rPr>
              <w:t>100m_HD</w:t>
            </w:r>
          </w:p>
          <w:p>
            <w:pPr>
              <w:pStyle w:val="TableParagraph"/>
              <w:spacing w:line="290" w:lineRule="atLeast" w:before="3"/>
              <w:ind w:left="107"/>
              <w:jc w:val="left"/>
              <w:rPr>
                <w:rFonts w:ascii="Calibri" w:hAnsi="Calibri"/>
                <w:sz w:val="20"/>
              </w:rPr>
            </w:pPr>
            <w:r>
              <w:rPr>
                <w:rFonts w:ascii="Calibri" w:hAnsi="Calibri"/>
                <w:w w:val="95"/>
                <w:sz w:val="20"/>
              </w:rPr>
              <w:t>Hydro-dynamisk </w:t>
            </w:r>
            <w:r>
              <w:rPr>
                <w:rFonts w:ascii="Calibri" w:hAnsi="Calibri"/>
                <w:sz w:val="20"/>
              </w:rPr>
              <w:t>løsning</w:t>
            </w:r>
          </w:p>
        </w:tc>
        <w:tc>
          <w:tcPr>
            <w:tcW w:w="1126" w:type="dxa"/>
          </w:tcPr>
          <w:p>
            <w:pPr>
              <w:pStyle w:val="TableParagraph"/>
              <w:spacing w:line="288" w:lineRule="auto" w:before="1"/>
              <w:ind w:left="189" w:right="117" w:hanging="63"/>
              <w:jc w:val="left"/>
              <w:rPr>
                <w:rFonts w:ascii="Calibri" w:hAnsi="Calibri"/>
                <w:sz w:val="20"/>
              </w:rPr>
            </w:pPr>
            <w:r>
              <w:rPr>
                <w:rFonts w:ascii="Calibri" w:hAnsi="Calibri"/>
                <w:w w:val="95"/>
                <w:sz w:val="20"/>
              </w:rPr>
              <w:t>Vandstand </w:t>
            </w:r>
            <w:r>
              <w:rPr>
                <w:rFonts w:ascii="Calibri" w:hAnsi="Calibri"/>
                <w:sz w:val="20"/>
              </w:rPr>
              <w:t>i</w:t>
            </w:r>
            <w:r>
              <w:rPr>
                <w:rFonts w:ascii="Calibri" w:hAnsi="Calibri"/>
                <w:spacing w:val="-2"/>
                <w:sz w:val="20"/>
              </w:rPr>
              <w:t> </w:t>
            </w:r>
            <w:r>
              <w:rPr>
                <w:rFonts w:ascii="Calibri" w:hAnsi="Calibri"/>
                <w:sz w:val="20"/>
              </w:rPr>
              <w:t>vandløb</w:t>
            </w:r>
          </w:p>
        </w:tc>
        <w:tc>
          <w:tcPr>
            <w:tcW w:w="1145" w:type="dxa"/>
          </w:tcPr>
          <w:p>
            <w:pPr>
              <w:pStyle w:val="TableParagraph"/>
              <w:spacing w:before="1"/>
              <w:ind w:left="208" w:firstLine="45"/>
              <w:jc w:val="left"/>
              <w:rPr>
                <w:rFonts w:ascii="Calibri"/>
                <w:sz w:val="20"/>
              </w:rPr>
            </w:pPr>
            <w:r>
              <w:rPr>
                <w:rFonts w:ascii="Calibri"/>
                <w:sz w:val="20"/>
              </w:rPr>
              <w:t>Jupiter/ </w:t>
            </w:r>
            <w:r>
              <w:rPr>
                <w:rFonts w:ascii="Calibri"/>
                <w:w w:val="95"/>
                <w:sz w:val="20"/>
              </w:rPr>
              <w:t>Regioner</w:t>
            </w:r>
          </w:p>
        </w:tc>
        <w:tc>
          <w:tcPr>
            <w:tcW w:w="1124" w:type="dxa"/>
          </w:tcPr>
          <w:p>
            <w:pPr>
              <w:pStyle w:val="TableParagraph"/>
              <w:spacing w:before="1"/>
              <w:ind w:left="510"/>
              <w:jc w:val="left"/>
              <w:rPr>
                <w:rFonts w:ascii="Calibri"/>
                <w:sz w:val="20"/>
              </w:rPr>
            </w:pPr>
            <w:r>
              <w:rPr>
                <w:rFonts w:ascii="Calibri"/>
                <w:w w:val="99"/>
                <w:sz w:val="20"/>
              </w:rPr>
              <w:t>6</w:t>
            </w:r>
          </w:p>
        </w:tc>
        <w:tc>
          <w:tcPr>
            <w:tcW w:w="1181" w:type="dxa"/>
          </w:tcPr>
          <w:p>
            <w:pPr>
              <w:pStyle w:val="TableParagraph"/>
              <w:spacing w:before="1"/>
              <w:ind w:left="131" w:right="128"/>
              <w:rPr>
                <w:rFonts w:ascii="Calibri"/>
                <w:sz w:val="20"/>
              </w:rPr>
            </w:pPr>
            <w:r>
              <w:rPr>
                <w:rFonts w:ascii="Calibri"/>
                <w:sz w:val="20"/>
              </w:rPr>
              <w:t>Vandstand</w:t>
            </w:r>
          </w:p>
        </w:tc>
        <w:tc>
          <w:tcPr>
            <w:tcW w:w="1152" w:type="dxa"/>
            <w:tcBorders>
              <w:right w:val="single" w:sz="6" w:space="0" w:color="000000"/>
            </w:tcBorders>
          </w:tcPr>
          <w:p>
            <w:pPr>
              <w:pStyle w:val="TableParagraph"/>
              <w:spacing w:before="1"/>
              <w:ind w:left="178"/>
              <w:jc w:val="left"/>
              <w:rPr>
                <w:rFonts w:ascii="Calibri"/>
                <w:sz w:val="20"/>
              </w:rPr>
            </w:pPr>
            <w:r>
              <w:rPr>
                <w:rFonts w:ascii="Calibri"/>
                <w:sz w:val="20"/>
              </w:rPr>
              <w:t>100 timer</w:t>
            </w:r>
          </w:p>
        </w:tc>
        <w:tc>
          <w:tcPr>
            <w:tcW w:w="1131" w:type="dxa"/>
            <w:tcBorders>
              <w:left w:val="single" w:sz="6" w:space="0" w:color="000000"/>
            </w:tcBorders>
          </w:tcPr>
          <w:p>
            <w:pPr>
              <w:pStyle w:val="TableParagraph"/>
              <w:spacing w:before="1"/>
              <w:ind w:left="8"/>
              <w:rPr>
                <w:rFonts w:ascii="Calibri"/>
                <w:sz w:val="20"/>
              </w:rPr>
            </w:pPr>
            <w:r>
              <w:rPr>
                <w:rFonts w:ascii="Calibri"/>
                <w:w w:val="99"/>
                <w:sz w:val="20"/>
              </w:rPr>
              <w:t>2</w:t>
            </w:r>
          </w:p>
        </w:tc>
      </w:tr>
    </w:tbl>
    <w:p>
      <w:pPr>
        <w:spacing w:after="0"/>
        <w:rPr>
          <w:rFonts w:ascii="Calibri"/>
          <w:sz w:val="20"/>
        </w:rPr>
        <w:sectPr>
          <w:pgSz w:w="11910" w:h="16850"/>
          <w:pgMar w:header="0" w:footer="857" w:top="1600" w:bottom="1120" w:left="1460" w:right="680"/>
        </w:sectPr>
      </w:pPr>
    </w:p>
    <w:p>
      <w:pPr>
        <w:pStyle w:val="Heading2"/>
        <w:numPr>
          <w:ilvl w:val="1"/>
          <w:numId w:val="14"/>
        </w:numPr>
        <w:tabs>
          <w:tab w:pos="1141" w:val="left" w:leader="none"/>
          <w:tab w:pos="1142" w:val="left" w:leader="none"/>
        </w:tabs>
        <w:spacing w:line="240" w:lineRule="auto" w:before="74" w:after="0"/>
        <w:ind w:left="1142" w:right="0" w:hanging="617"/>
        <w:jc w:val="left"/>
      </w:pPr>
      <w:bookmarkStart w:name="_bookmark82" w:id="108"/>
      <w:bookmarkEnd w:id="108"/>
      <w:r>
        <w:rPr>
          <w:b w:val="0"/>
        </w:rPr>
      </w:r>
      <w:bookmarkStart w:name="_bookmark82" w:id="109"/>
      <w:bookmarkEnd w:id="109"/>
      <w:r>
        <w:rPr/>
        <w:t>R</w:t>
      </w:r>
      <w:r>
        <w:rPr/>
        <w:t>esultater af MIKE HYDRO River kalibrering og</w:t>
      </w:r>
      <w:r>
        <w:rPr>
          <w:spacing w:val="-13"/>
        </w:rPr>
        <w:t> </w:t>
      </w:r>
      <w:r>
        <w:rPr/>
        <w:t>validering</w:t>
      </w:r>
    </w:p>
    <w:p>
      <w:pPr>
        <w:pStyle w:val="BodyText"/>
        <w:spacing w:line="288" w:lineRule="auto" w:before="241"/>
        <w:ind w:left="525" w:right="733"/>
        <w:jc w:val="both"/>
      </w:pPr>
      <w:r>
        <w:rPr/>
        <w:t>I følgende afsnit beskrives resultaterne fra kalibrering og validering for optimerede parame- terværdier og vandstand, efterfulgt af en sammenligning mellem hydrodynamisk løsning og simpel routing. Afsnittet er delt op så at resultaterne for Storå præsenteres først og Odense Å derefter.</w:t>
      </w:r>
    </w:p>
    <w:p>
      <w:pPr>
        <w:pStyle w:val="BodyText"/>
        <w:spacing w:before="3"/>
        <w:rPr>
          <w:sz w:val="25"/>
        </w:rPr>
      </w:pPr>
    </w:p>
    <w:p>
      <w:pPr>
        <w:pStyle w:val="Heading5"/>
        <w:rPr>
          <w:i/>
        </w:rPr>
      </w:pPr>
      <w:r>
        <w:rPr>
          <w:i/>
        </w:rPr>
        <w:t>Storå – Optimerede parameterværdier</w:t>
      </w:r>
    </w:p>
    <w:p>
      <w:pPr>
        <w:pStyle w:val="BodyText"/>
        <w:spacing w:line="283" w:lineRule="auto" w:before="42"/>
        <w:ind w:left="525" w:right="733"/>
        <w:jc w:val="both"/>
      </w:pPr>
      <w:r>
        <w:rPr/>
        <w:t>De</w:t>
      </w:r>
      <w:r>
        <w:rPr>
          <w:spacing w:val="-5"/>
        </w:rPr>
        <w:t> </w:t>
      </w:r>
      <w:r>
        <w:rPr/>
        <w:t>optimerede</w:t>
      </w:r>
      <w:r>
        <w:rPr>
          <w:spacing w:val="-6"/>
        </w:rPr>
        <w:t> </w:t>
      </w:r>
      <w:r>
        <w:rPr/>
        <w:t>parametre</w:t>
      </w:r>
      <w:r>
        <w:rPr>
          <w:spacing w:val="-6"/>
        </w:rPr>
        <w:t> </w:t>
      </w:r>
      <w:r>
        <w:rPr/>
        <w:t>for</w:t>
      </w:r>
      <w:r>
        <w:rPr>
          <w:spacing w:val="-5"/>
        </w:rPr>
        <w:t> </w:t>
      </w:r>
      <w:r>
        <w:rPr/>
        <w:t>Manningtal</w:t>
      </w:r>
      <w:r>
        <w:rPr>
          <w:spacing w:val="-5"/>
        </w:rPr>
        <w:t> </w:t>
      </w:r>
      <w:r>
        <w:rPr/>
        <w:t>for</w:t>
      </w:r>
      <w:r>
        <w:rPr>
          <w:spacing w:val="-3"/>
        </w:rPr>
        <w:t> </w:t>
      </w:r>
      <w:r>
        <w:rPr/>
        <w:t>Storå</w:t>
      </w:r>
      <w:r>
        <w:rPr>
          <w:spacing w:val="-3"/>
        </w:rPr>
        <w:t> </w:t>
      </w:r>
      <w:r>
        <w:rPr/>
        <w:t>er</w:t>
      </w:r>
      <w:r>
        <w:rPr>
          <w:spacing w:val="-8"/>
        </w:rPr>
        <w:t> </w:t>
      </w:r>
      <w:r>
        <w:rPr/>
        <w:t>hhv.</w:t>
      </w:r>
      <w:r>
        <w:rPr>
          <w:spacing w:val="-5"/>
        </w:rPr>
        <w:t> </w:t>
      </w:r>
      <w:r>
        <w:rPr/>
        <w:t>19.6</w:t>
      </w:r>
      <w:r>
        <w:rPr>
          <w:spacing w:val="-4"/>
        </w:rPr>
        <w:t> </w:t>
      </w:r>
      <w:r>
        <w:rPr/>
        <w:t>og</w:t>
      </w:r>
      <w:r>
        <w:rPr>
          <w:spacing w:val="-4"/>
        </w:rPr>
        <w:t> </w:t>
      </w:r>
      <w:r>
        <w:rPr/>
        <w:t>8.5</w:t>
      </w:r>
      <w:r>
        <w:rPr>
          <w:spacing w:val="-5"/>
        </w:rPr>
        <w:t> </w:t>
      </w:r>
      <w:r>
        <w:rPr/>
        <w:t>m</w:t>
      </w:r>
      <w:r>
        <w:rPr>
          <w:position w:val="7"/>
          <w:sz w:val="14"/>
        </w:rPr>
        <w:t>1/3</w:t>
      </w:r>
      <w:r>
        <w:rPr/>
        <w:t>/s</w:t>
      </w:r>
      <w:r>
        <w:rPr>
          <w:spacing w:val="-4"/>
        </w:rPr>
        <w:t> </w:t>
      </w:r>
      <w:r>
        <w:rPr/>
        <w:t>for</w:t>
      </w:r>
      <w:r>
        <w:rPr>
          <w:spacing w:val="-7"/>
        </w:rPr>
        <w:t> </w:t>
      </w:r>
      <w:r>
        <w:rPr/>
        <w:t>minimum</w:t>
      </w:r>
      <w:r>
        <w:rPr>
          <w:spacing w:val="-3"/>
        </w:rPr>
        <w:t> </w:t>
      </w:r>
      <w:r>
        <w:rPr/>
        <w:t>og amplitude hvilket resulterer i en sæsonvariation på Manningtallet fra 19.6-28.1</w:t>
      </w:r>
      <w:r>
        <w:rPr>
          <w:spacing w:val="-18"/>
        </w:rPr>
        <w:t> </w:t>
      </w:r>
      <w:r>
        <w:rPr/>
        <w:t>m</w:t>
      </w:r>
      <w:r>
        <w:rPr>
          <w:position w:val="7"/>
          <w:sz w:val="14"/>
        </w:rPr>
        <w:t>1/3</w:t>
      </w:r>
      <w:r>
        <w:rPr/>
        <w:t>/s.</w:t>
      </w:r>
    </w:p>
    <w:p>
      <w:pPr>
        <w:pStyle w:val="BodyText"/>
        <w:spacing w:before="9"/>
        <w:rPr>
          <w:sz w:val="25"/>
        </w:rPr>
      </w:pPr>
    </w:p>
    <w:p>
      <w:pPr>
        <w:pStyle w:val="Heading5"/>
        <w:rPr>
          <w:i/>
        </w:rPr>
      </w:pPr>
      <w:r>
        <w:rPr>
          <w:i/>
        </w:rPr>
        <w:t>Storå – Vandstand</w:t>
      </w:r>
    </w:p>
    <w:p>
      <w:pPr>
        <w:pStyle w:val="BodyText"/>
        <w:spacing w:line="288" w:lineRule="auto" w:before="47"/>
        <w:ind w:left="525" w:right="731"/>
        <w:jc w:val="both"/>
      </w:pPr>
      <w:r>
        <w:rPr/>
        <w:t>Performance for de fire stationer for Storå, som indgår i kalibreringen samt de to som desu- den</w:t>
      </w:r>
      <w:r>
        <w:rPr>
          <w:spacing w:val="-6"/>
        </w:rPr>
        <w:t> </w:t>
      </w:r>
      <w:r>
        <w:rPr/>
        <w:t>indgår</w:t>
      </w:r>
      <w:r>
        <w:rPr>
          <w:spacing w:val="-6"/>
        </w:rPr>
        <w:t> </w:t>
      </w:r>
      <w:r>
        <w:rPr/>
        <w:t>i</w:t>
      </w:r>
      <w:r>
        <w:rPr>
          <w:spacing w:val="-5"/>
        </w:rPr>
        <w:t> </w:t>
      </w:r>
      <w:r>
        <w:rPr/>
        <w:t>valideringen</w:t>
      </w:r>
      <w:r>
        <w:rPr>
          <w:spacing w:val="-3"/>
        </w:rPr>
        <w:t> </w:t>
      </w:r>
      <w:r>
        <w:rPr/>
        <w:t>af</w:t>
      </w:r>
      <w:r>
        <w:rPr>
          <w:spacing w:val="-5"/>
        </w:rPr>
        <w:t> </w:t>
      </w:r>
      <w:r>
        <w:rPr/>
        <w:t>vandstand</w:t>
      </w:r>
      <w:r>
        <w:rPr>
          <w:spacing w:val="-6"/>
        </w:rPr>
        <w:t> </w:t>
      </w:r>
      <w:r>
        <w:rPr/>
        <w:t>er</w:t>
      </w:r>
      <w:r>
        <w:rPr>
          <w:spacing w:val="-6"/>
        </w:rPr>
        <w:t> </w:t>
      </w:r>
      <w:r>
        <w:rPr/>
        <w:t>angivet</w:t>
      </w:r>
      <w:r>
        <w:rPr>
          <w:spacing w:val="-7"/>
        </w:rPr>
        <w:t> </w:t>
      </w:r>
      <w:r>
        <w:rPr/>
        <w:t>i</w:t>
      </w:r>
      <w:r>
        <w:rPr>
          <w:spacing w:val="-5"/>
        </w:rPr>
        <w:t> </w:t>
      </w:r>
      <w:hyperlink w:history="true" w:anchor="_bookmark83">
        <w:r>
          <w:rPr/>
          <w:t>tabel</w:t>
        </w:r>
        <w:r>
          <w:rPr>
            <w:spacing w:val="-3"/>
          </w:rPr>
          <w:t> </w:t>
        </w:r>
        <w:r>
          <w:rPr/>
          <w:t>20</w:t>
        </w:r>
      </w:hyperlink>
      <w:r>
        <w:rPr/>
        <w:t>.</w:t>
      </w:r>
      <w:r>
        <w:rPr>
          <w:spacing w:val="-7"/>
        </w:rPr>
        <w:t> </w:t>
      </w:r>
      <w:r>
        <w:rPr/>
        <w:t>Her</w:t>
      </w:r>
      <w:r>
        <w:rPr>
          <w:spacing w:val="-7"/>
        </w:rPr>
        <w:t> </w:t>
      </w:r>
      <w:r>
        <w:rPr/>
        <w:t>ses</w:t>
      </w:r>
      <w:r>
        <w:rPr>
          <w:spacing w:val="-6"/>
        </w:rPr>
        <w:t> </w:t>
      </w:r>
      <w:r>
        <w:rPr/>
        <w:t>en</w:t>
      </w:r>
      <w:r>
        <w:rPr>
          <w:spacing w:val="-5"/>
        </w:rPr>
        <w:t> </w:t>
      </w:r>
      <w:r>
        <w:rPr/>
        <w:t>RMSE</w:t>
      </w:r>
      <w:r>
        <w:rPr>
          <w:spacing w:val="-5"/>
        </w:rPr>
        <w:t> </w:t>
      </w:r>
      <w:r>
        <w:rPr/>
        <w:t>for</w:t>
      </w:r>
      <w:r>
        <w:rPr>
          <w:spacing w:val="-7"/>
        </w:rPr>
        <w:t> </w:t>
      </w:r>
      <w:r>
        <w:rPr/>
        <w:t>kalibrering på mellem 9 og 24 cm i simuleret vandstand på tværs af de fire stationer, mens NSE ligger på mellem 0.75 og 0.87. Med en koblet model, hvor vandføringen er simuleret, vurderes det at være en tilfredsstillende performance. Simuleret vandstand er ligeledes illustreret i </w:t>
      </w:r>
      <w:hyperlink w:history="true" w:anchor="_bookmark84">
        <w:r>
          <w:rPr/>
          <w:t>figur</w:t>
        </w:r>
      </w:hyperlink>
      <w:r>
        <w:rPr/>
        <w:t> </w:t>
      </w:r>
      <w:hyperlink w:history="true" w:anchor="_bookmark84">
        <w:r>
          <w:rPr/>
          <w:t>51</w:t>
        </w:r>
      </w:hyperlink>
      <w:r>
        <w:rPr/>
        <w:t>, som viser vandstandstidsserier for de fire kalibreringsstationer. Det fremgår at station 220059 har tendens til at underestimere de højeste vandstande, hvilket vil være en stor be- grænsning ved estimering af</w:t>
      </w:r>
      <w:r>
        <w:rPr>
          <w:spacing w:val="-6"/>
        </w:rPr>
        <w:t> </w:t>
      </w:r>
      <w:r>
        <w:rPr/>
        <w:t>oversvømmelser.</w:t>
      </w:r>
    </w:p>
    <w:p>
      <w:pPr>
        <w:pStyle w:val="BodyText"/>
        <w:spacing w:before="3"/>
        <w:rPr>
          <w:sz w:val="25"/>
        </w:rPr>
      </w:pPr>
    </w:p>
    <w:p>
      <w:pPr>
        <w:pStyle w:val="BodyText"/>
        <w:spacing w:line="288" w:lineRule="auto" w:before="1"/>
        <w:ind w:left="525" w:right="732"/>
        <w:jc w:val="both"/>
      </w:pPr>
      <w:r>
        <w:rPr/>
        <w:t>Da</w:t>
      </w:r>
      <w:r>
        <w:rPr>
          <w:spacing w:val="-8"/>
        </w:rPr>
        <w:t> </w:t>
      </w:r>
      <w:r>
        <w:rPr/>
        <w:t>alle</w:t>
      </w:r>
      <w:r>
        <w:rPr>
          <w:spacing w:val="-5"/>
        </w:rPr>
        <w:t> </w:t>
      </w:r>
      <w:r>
        <w:rPr/>
        <w:t>stationer</w:t>
      </w:r>
      <w:r>
        <w:rPr>
          <w:spacing w:val="-5"/>
        </w:rPr>
        <w:t> </w:t>
      </w:r>
      <w:r>
        <w:rPr/>
        <w:t>performer</w:t>
      </w:r>
      <w:r>
        <w:rPr>
          <w:spacing w:val="-5"/>
        </w:rPr>
        <w:t> </w:t>
      </w:r>
      <w:r>
        <w:rPr/>
        <w:t>fornuftigt</w:t>
      </w:r>
      <w:r>
        <w:rPr>
          <w:spacing w:val="-7"/>
        </w:rPr>
        <w:t> </w:t>
      </w:r>
      <w:r>
        <w:rPr/>
        <w:t>har</w:t>
      </w:r>
      <w:r>
        <w:rPr>
          <w:spacing w:val="-5"/>
        </w:rPr>
        <w:t> </w:t>
      </w:r>
      <w:r>
        <w:rPr/>
        <w:t>det</w:t>
      </w:r>
      <w:r>
        <w:rPr>
          <w:spacing w:val="-6"/>
        </w:rPr>
        <w:t> </w:t>
      </w:r>
      <w:r>
        <w:rPr/>
        <w:t>været</w:t>
      </w:r>
      <w:r>
        <w:rPr>
          <w:spacing w:val="-6"/>
        </w:rPr>
        <w:t> </w:t>
      </w:r>
      <w:r>
        <w:rPr/>
        <w:t>muligt</w:t>
      </w:r>
      <w:r>
        <w:rPr>
          <w:spacing w:val="-6"/>
        </w:rPr>
        <w:t> </w:t>
      </w:r>
      <w:r>
        <w:rPr/>
        <w:t>at</w:t>
      </w:r>
      <w:r>
        <w:rPr>
          <w:spacing w:val="-9"/>
        </w:rPr>
        <w:t> </w:t>
      </w:r>
      <w:r>
        <w:rPr/>
        <w:t>kalibrere</w:t>
      </w:r>
      <w:r>
        <w:rPr>
          <w:spacing w:val="-7"/>
        </w:rPr>
        <w:t> </w:t>
      </w:r>
      <w:r>
        <w:rPr/>
        <w:t>modellen</w:t>
      </w:r>
      <w:r>
        <w:rPr>
          <w:spacing w:val="-5"/>
        </w:rPr>
        <w:t> </w:t>
      </w:r>
      <w:r>
        <w:rPr/>
        <w:t>udelukkende med anvendelse af et globalt sæsonvarierende Manningtal uden differentiering mellem sta- tioner</w:t>
      </w:r>
      <w:r>
        <w:rPr>
          <w:spacing w:val="-12"/>
        </w:rPr>
        <w:t> </w:t>
      </w:r>
      <w:r>
        <w:rPr/>
        <w:t>eller</w:t>
      </w:r>
      <w:r>
        <w:rPr>
          <w:spacing w:val="-12"/>
        </w:rPr>
        <w:t> </w:t>
      </w:r>
      <w:r>
        <w:rPr/>
        <w:t>vandløb.</w:t>
      </w:r>
      <w:r>
        <w:rPr>
          <w:spacing w:val="-11"/>
        </w:rPr>
        <w:t> </w:t>
      </w:r>
      <w:r>
        <w:rPr/>
        <w:t>Valideringsresultaterne</w:t>
      </w:r>
      <w:r>
        <w:rPr>
          <w:spacing w:val="-12"/>
        </w:rPr>
        <w:t> </w:t>
      </w:r>
      <w:r>
        <w:rPr/>
        <w:t>for</w:t>
      </w:r>
      <w:r>
        <w:rPr>
          <w:spacing w:val="-11"/>
        </w:rPr>
        <w:t> </w:t>
      </w:r>
      <w:r>
        <w:rPr/>
        <w:t>de</w:t>
      </w:r>
      <w:r>
        <w:rPr>
          <w:spacing w:val="-11"/>
        </w:rPr>
        <w:t> </w:t>
      </w:r>
      <w:r>
        <w:rPr/>
        <w:t>seks</w:t>
      </w:r>
      <w:r>
        <w:rPr>
          <w:spacing w:val="-11"/>
        </w:rPr>
        <w:t> </w:t>
      </w:r>
      <w:r>
        <w:rPr/>
        <w:t>stationer</w:t>
      </w:r>
      <w:r>
        <w:rPr>
          <w:spacing w:val="-12"/>
        </w:rPr>
        <w:t> </w:t>
      </w:r>
      <w:r>
        <w:rPr/>
        <w:t>viser</w:t>
      </w:r>
      <w:r>
        <w:rPr>
          <w:spacing w:val="-11"/>
        </w:rPr>
        <w:t> </w:t>
      </w:r>
      <w:r>
        <w:rPr/>
        <w:t>lignende</w:t>
      </w:r>
      <w:r>
        <w:rPr>
          <w:spacing w:val="-12"/>
        </w:rPr>
        <w:t> </w:t>
      </w:r>
      <w:r>
        <w:rPr/>
        <w:t>performance med RMSE omkring 20 cm, dog med lidt lavere</w:t>
      </w:r>
      <w:r>
        <w:rPr>
          <w:spacing w:val="-16"/>
        </w:rPr>
        <w:t> </w:t>
      </w:r>
      <w:r>
        <w:rPr/>
        <w:t>NSE.</w:t>
      </w:r>
    </w:p>
    <w:p>
      <w:pPr>
        <w:pStyle w:val="BodyText"/>
        <w:spacing w:before="5"/>
        <w:rPr>
          <w:sz w:val="25"/>
        </w:rPr>
      </w:pPr>
    </w:p>
    <w:p>
      <w:pPr>
        <w:spacing w:before="0"/>
        <w:ind w:left="525" w:right="1014" w:firstLine="0"/>
        <w:jc w:val="left"/>
        <w:rPr>
          <w:rFonts w:ascii="Calibri" w:hAnsi="Calibri"/>
          <w:i/>
          <w:sz w:val="18"/>
        </w:rPr>
      </w:pPr>
      <w:bookmarkStart w:name="_bookmark83" w:id="110"/>
      <w:bookmarkEnd w:id="110"/>
      <w:r>
        <w:rPr/>
      </w:r>
      <w:r>
        <w:rPr>
          <w:rFonts w:ascii="Calibri" w:hAnsi="Calibri"/>
          <w:i/>
          <w:color w:val="44536A"/>
          <w:sz w:val="18"/>
        </w:rPr>
        <w:t>Tabel 20 Performance statistik for vandstand for Storå for 1</w:t>
      </w:r>
      <w:r>
        <w:rPr>
          <w:rFonts w:ascii="Calibri" w:hAnsi="Calibri"/>
          <w:b/>
          <w:i/>
          <w:color w:val="44536A"/>
          <w:sz w:val="18"/>
        </w:rPr>
        <w:t>00m_HD </w:t>
      </w:r>
      <w:r>
        <w:rPr>
          <w:rFonts w:ascii="Calibri" w:hAnsi="Calibri"/>
          <w:i/>
          <w:color w:val="44536A"/>
          <w:sz w:val="18"/>
        </w:rPr>
        <w:t>modellen (Kalibrering 2007-2008, validering </w:t>
      </w:r>
      <w:r>
        <w:rPr>
          <w:rFonts w:ascii="Calibri" w:hAnsi="Calibri"/>
          <w:i/>
          <w:color w:val="44536A"/>
          <w:sz w:val="18"/>
        </w:rPr>
        <w:t>2009-2015).</w:t>
      </w:r>
    </w:p>
    <w:p>
      <w:pPr>
        <w:pStyle w:val="BodyText"/>
        <w:spacing w:before="4"/>
        <w:rPr>
          <w:rFonts w:ascii="Calibri"/>
          <w:i/>
          <w:sz w:val="24"/>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57"/>
        <w:gridCol w:w="1349"/>
        <w:gridCol w:w="1145"/>
        <w:gridCol w:w="909"/>
        <w:gridCol w:w="632"/>
        <w:gridCol w:w="797"/>
        <w:gridCol w:w="532"/>
        <w:gridCol w:w="793"/>
        <w:gridCol w:w="799"/>
        <w:gridCol w:w="605"/>
      </w:tblGrid>
      <w:tr>
        <w:trPr>
          <w:trHeight w:val="202" w:hRule="atLeast"/>
        </w:trPr>
        <w:tc>
          <w:tcPr>
            <w:tcW w:w="1157" w:type="dxa"/>
          </w:tcPr>
          <w:p>
            <w:pPr>
              <w:pStyle w:val="TableParagraph"/>
              <w:spacing w:line="182" w:lineRule="exact"/>
              <w:ind w:left="69"/>
              <w:jc w:val="left"/>
              <w:rPr>
                <w:rFonts w:ascii="Calibri"/>
                <w:b/>
                <w:sz w:val="20"/>
              </w:rPr>
            </w:pPr>
            <w:r>
              <w:rPr>
                <w:rFonts w:ascii="Calibri"/>
                <w:b/>
                <w:sz w:val="20"/>
              </w:rPr>
              <w:t>100m_HD</w:t>
            </w:r>
          </w:p>
        </w:tc>
        <w:tc>
          <w:tcPr>
            <w:tcW w:w="1349" w:type="dxa"/>
          </w:tcPr>
          <w:p>
            <w:pPr>
              <w:pStyle w:val="TableParagraph"/>
              <w:jc w:val="left"/>
              <w:rPr>
                <w:rFonts w:ascii="Times New Roman"/>
                <w:sz w:val="14"/>
              </w:rPr>
            </w:pPr>
          </w:p>
        </w:tc>
        <w:tc>
          <w:tcPr>
            <w:tcW w:w="1145" w:type="dxa"/>
          </w:tcPr>
          <w:p>
            <w:pPr>
              <w:pStyle w:val="TableParagraph"/>
              <w:jc w:val="left"/>
              <w:rPr>
                <w:rFonts w:ascii="Times New Roman"/>
                <w:sz w:val="14"/>
              </w:rPr>
            </w:pPr>
          </w:p>
        </w:tc>
        <w:tc>
          <w:tcPr>
            <w:tcW w:w="909" w:type="dxa"/>
          </w:tcPr>
          <w:p>
            <w:pPr>
              <w:pStyle w:val="TableParagraph"/>
              <w:jc w:val="left"/>
              <w:rPr>
                <w:rFonts w:ascii="Times New Roman"/>
                <w:sz w:val="14"/>
              </w:rPr>
            </w:pPr>
          </w:p>
        </w:tc>
        <w:tc>
          <w:tcPr>
            <w:tcW w:w="1429" w:type="dxa"/>
            <w:gridSpan w:val="2"/>
          </w:tcPr>
          <w:p>
            <w:pPr>
              <w:pStyle w:val="TableParagraph"/>
              <w:spacing w:line="182" w:lineRule="exact"/>
              <w:ind w:left="526" w:right="-15"/>
              <w:jc w:val="left"/>
              <w:rPr>
                <w:rFonts w:ascii="Calibri"/>
                <w:b/>
                <w:sz w:val="20"/>
              </w:rPr>
            </w:pPr>
            <w:r>
              <w:rPr>
                <w:rFonts w:ascii="Calibri"/>
                <w:b/>
                <w:sz w:val="20"/>
              </w:rPr>
              <w:t>Kalibrering</w:t>
            </w:r>
          </w:p>
        </w:tc>
        <w:tc>
          <w:tcPr>
            <w:tcW w:w="532" w:type="dxa"/>
          </w:tcPr>
          <w:p>
            <w:pPr>
              <w:pStyle w:val="TableParagraph"/>
              <w:jc w:val="left"/>
              <w:rPr>
                <w:rFonts w:ascii="Times New Roman"/>
                <w:sz w:val="14"/>
              </w:rPr>
            </w:pPr>
          </w:p>
        </w:tc>
        <w:tc>
          <w:tcPr>
            <w:tcW w:w="1592" w:type="dxa"/>
            <w:gridSpan w:val="2"/>
          </w:tcPr>
          <w:p>
            <w:pPr>
              <w:pStyle w:val="TableParagraph"/>
              <w:spacing w:line="182" w:lineRule="exact"/>
              <w:ind w:left="675"/>
              <w:jc w:val="left"/>
              <w:rPr>
                <w:rFonts w:ascii="Calibri"/>
                <w:b/>
                <w:sz w:val="20"/>
              </w:rPr>
            </w:pPr>
            <w:r>
              <w:rPr>
                <w:rFonts w:ascii="Calibri"/>
                <w:b/>
                <w:sz w:val="20"/>
              </w:rPr>
              <w:t>Validering</w:t>
            </w:r>
          </w:p>
        </w:tc>
        <w:tc>
          <w:tcPr>
            <w:tcW w:w="605" w:type="dxa"/>
          </w:tcPr>
          <w:p>
            <w:pPr>
              <w:pStyle w:val="TableParagraph"/>
              <w:jc w:val="left"/>
              <w:rPr>
                <w:rFonts w:ascii="Times New Roman"/>
                <w:sz w:val="14"/>
              </w:rPr>
            </w:pPr>
          </w:p>
        </w:tc>
      </w:tr>
      <w:tr>
        <w:trPr>
          <w:trHeight w:val="489" w:hRule="atLeast"/>
        </w:trPr>
        <w:tc>
          <w:tcPr>
            <w:tcW w:w="1157" w:type="dxa"/>
            <w:tcBorders>
              <w:bottom w:val="single" w:sz="4" w:space="0" w:color="000000"/>
            </w:tcBorders>
          </w:tcPr>
          <w:p>
            <w:pPr>
              <w:pStyle w:val="TableParagraph"/>
              <w:spacing w:before="2"/>
              <w:jc w:val="left"/>
              <w:rPr>
                <w:rFonts w:ascii="Calibri"/>
                <w:i/>
                <w:sz w:val="20"/>
              </w:rPr>
            </w:pPr>
          </w:p>
          <w:p>
            <w:pPr>
              <w:pStyle w:val="TableParagraph"/>
              <w:spacing w:line="223" w:lineRule="exact"/>
              <w:ind w:left="69"/>
              <w:jc w:val="left"/>
              <w:rPr>
                <w:rFonts w:ascii="Calibri"/>
                <w:sz w:val="20"/>
              </w:rPr>
            </w:pPr>
            <w:r>
              <w:rPr>
                <w:rFonts w:ascii="Calibri"/>
                <w:sz w:val="20"/>
              </w:rPr>
              <w:t>Station</w:t>
            </w:r>
          </w:p>
        </w:tc>
        <w:tc>
          <w:tcPr>
            <w:tcW w:w="1349" w:type="dxa"/>
            <w:tcBorders>
              <w:bottom w:val="single" w:sz="4" w:space="0" w:color="000000"/>
            </w:tcBorders>
          </w:tcPr>
          <w:p>
            <w:pPr>
              <w:pStyle w:val="TableParagraph"/>
              <w:spacing w:before="2"/>
              <w:jc w:val="left"/>
              <w:rPr>
                <w:rFonts w:ascii="Calibri"/>
                <w:i/>
                <w:sz w:val="20"/>
              </w:rPr>
            </w:pPr>
          </w:p>
          <w:p>
            <w:pPr>
              <w:pStyle w:val="TableParagraph"/>
              <w:spacing w:line="223" w:lineRule="exact"/>
              <w:ind w:left="270"/>
              <w:jc w:val="left"/>
              <w:rPr>
                <w:rFonts w:ascii="Calibri"/>
                <w:sz w:val="20"/>
              </w:rPr>
            </w:pPr>
            <w:r>
              <w:rPr>
                <w:rFonts w:ascii="Calibri"/>
                <w:sz w:val="20"/>
              </w:rPr>
              <w:t>Branch</w:t>
            </w:r>
          </w:p>
        </w:tc>
        <w:tc>
          <w:tcPr>
            <w:tcW w:w="1145" w:type="dxa"/>
            <w:tcBorders>
              <w:bottom w:val="single" w:sz="4" w:space="0" w:color="000000"/>
            </w:tcBorders>
          </w:tcPr>
          <w:p>
            <w:pPr>
              <w:pStyle w:val="TableParagraph"/>
              <w:spacing w:before="2"/>
              <w:jc w:val="left"/>
              <w:rPr>
                <w:rFonts w:ascii="Calibri"/>
                <w:i/>
                <w:sz w:val="20"/>
              </w:rPr>
            </w:pPr>
          </w:p>
          <w:p>
            <w:pPr>
              <w:pStyle w:val="TableParagraph"/>
              <w:spacing w:line="223" w:lineRule="exact"/>
              <w:ind w:right="223"/>
              <w:jc w:val="right"/>
              <w:rPr>
                <w:rFonts w:ascii="Calibri"/>
                <w:sz w:val="20"/>
              </w:rPr>
            </w:pPr>
            <w:r>
              <w:rPr>
                <w:rFonts w:ascii="Calibri"/>
                <w:sz w:val="20"/>
              </w:rPr>
              <w:t>Chainage</w:t>
            </w:r>
          </w:p>
        </w:tc>
        <w:tc>
          <w:tcPr>
            <w:tcW w:w="909" w:type="dxa"/>
            <w:tcBorders>
              <w:bottom w:val="single" w:sz="4" w:space="0" w:color="000000"/>
              <w:right w:val="single" w:sz="4" w:space="0" w:color="000000"/>
            </w:tcBorders>
          </w:tcPr>
          <w:p>
            <w:pPr>
              <w:pStyle w:val="TableParagraph"/>
              <w:spacing w:line="240" w:lineRule="atLeast" w:before="1"/>
              <w:ind w:left="295" w:right="79" w:hanging="80"/>
              <w:jc w:val="left"/>
              <w:rPr>
                <w:rFonts w:ascii="Calibri"/>
                <w:sz w:val="20"/>
              </w:rPr>
            </w:pPr>
            <w:r>
              <w:rPr>
                <w:rFonts w:ascii="Calibri"/>
                <w:sz w:val="20"/>
              </w:rPr>
              <w:t>Opland [km2]</w:t>
            </w:r>
          </w:p>
        </w:tc>
        <w:tc>
          <w:tcPr>
            <w:tcW w:w="632" w:type="dxa"/>
            <w:tcBorders>
              <w:left w:val="single" w:sz="4" w:space="0" w:color="000000"/>
              <w:bottom w:val="single" w:sz="4" w:space="0" w:color="000000"/>
            </w:tcBorders>
          </w:tcPr>
          <w:p>
            <w:pPr>
              <w:pStyle w:val="TableParagraph"/>
              <w:spacing w:before="1"/>
              <w:ind w:left="103"/>
              <w:jc w:val="left"/>
              <w:rPr>
                <w:rFonts w:ascii="Calibri"/>
                <w:sz w:val="20"/>
              </w:rPr>
            </w:pPr>
            <w:r>
              <w:rPr>
                <w:rFonts w:ascii="Calibri"/>
                <w:sz w:val="20"/>
              </w:rPr>
              <w:t>RMSE</w:t>
            </w:r>
          </w:p>
          <w:p>
            <w:pPr>
              <w:pStyle w:val="TableParagraph"/>
              <w:spacing w:line="223" w:lineRule="exact" w:before="1"/>
              <w:ind w:left="195"/>
              <w:jc w:val="left"/>
              <w:rPr>
                <w:rFonts w:ascii="Calibri"/>
                <w:sz w:val="20"/>
              </w:rPr>
            </w:pPr>
            <w:r>
              <w:rPr>
                <w:rFonts w:ascii="Calibri"/>
                <w:sz w:val="20"/>
              </w:rPr>
              <w:t>[m]</w:t>
            </w:r>
          </w:p>
        </w:tc>
        <w:tc>
          <w:tcPr>
            <w:tcW w:w="797" w:type="dxa"/>
            <w:tcBorders>
              <w:bottom w:val="single" w:sz="4" w:space="0" w:color="000000"/>
            </w:tcBorders>
          </w:tcPr>
          <w:p>
            <w:pPr>
              <w:pStyle w:val="TableParagraph"/>
              <w:spacing w:before="1"/>
              <w:ind w:left="204"/>
              <w:jc w:val="left"/>
              <w:rPr>
                <w:rFonts w:ascii="Calibri"/>
                <w:sz w:val="20"/>
              </w:rPr>
            </w:pPr>
            <w:r>
              <w:rPr>
                <w:rFonts w:ascii="Calibri"/>
                <w:sz w:val="20"/>
              </w:rPr>
              <w:t>ME</w:t>
            </w:r>
          </w:p>
          <w:p>
            <w:pPr>
              <w:pStyle w:val="TableParagraph"/>
              <w:spacing w:line="223" w:lineRule="exact" w:before="1"/>
              <w:ind w:left="196"/>
              <w:jc w:val="left"/>
              <w:rPr>
                <w:rFonts w:ascii="Calibri"/>
                <w:sz w:val="20"/>
              </w:rPr>
            </w:pPr>
            <w:r>
              <w:rPr>
                <w:rFonts w:ascii="Calibri"/>
                <w:sz w:val="20"/>
              </w:rPr>
              <w:t>[m]</w:t>
            </w:r>
          </w:p>
        </w:tc>
        <w:tc>
          <w:tcPr>
            <w:tcW w:w="532" w:type="dxa"/>
            <w:tcBorders>
              <w:bottom w:val="single" w:sz="4" w:space="0" w:color="000000"/>
              <w:right w:val="single" w:sz="4" w:space="0" w:color="000000"/>
            </w:tcBorders>
          </w:tcPr>
          <w:p>
            <w:pPr>
              <w:pStyle w:val="TableParagraph"/>
              <w:spacing w:line="240" w:lineRule="atLeast" w:before="1"/>
              <w:ind w:left="86" w:right="187" w:hanging="68"/>
              <w:jc w:val="left"/>
              <w:rPr>
                <w:rFonts w:ascii="Calibri"/>
                <w:sz w:val="20"/>
              </w:rPr>
            </w:pPr>
            <w:r>
              <w:rPr>
                <w:rFonts w:ascii="Calibri"/>
                <w:sz w:val="20"/>
              </w:rPr>
              <w:t>NSE [-]</w:t>
            </w:r>
          </w:p>
        </w:tc>
        <w:tc>
          <w:tcPr>
            <w:tcW w:w="793" w:type="dxa"/>
            <w:tcBorders>
              <w:left w:val="single" w:sz="4" w:space="0" w:color="000000"/>
              <w:bottom w:val="single" w:sz="4" w:space="0" w:color="000000"/>
            </w:tcBorders>
          </w:tcPr>
          <w:p>
            <w:pPr>
              <w:pStyle w:val="TableParagraph"/>
              <w:spacing w:before="1"/>
              <w:ind w:left="115"/>
              <w:jc w:val="left"/>
              <w:rPr>
                <w:rFonts w:ascii="Calibri"/>
                <w:sz w:val="20"/>
              </w:rPr>
            </w:pPr>
            <w:r>
              <w:rPr>
                <w:rFonts w:ascii="Calibri"/>
                <w:sz w:val="20"/>
              </w:rPr>
              <w:t>RMSE</w:t>
            </w:r>
          </w:p>
          <w:p>
            <w:pPr>
              <w:pStyle w:val="TableParagraph"/>
              <w:spacing w:line="223" w:lineRule="exact" w:before="1"/>
              <w:ind w:left="206"/>
              <w:jc w:val="left"/>
              <w:rPr>
                <w:rFonts w:ascii="Calibri"/>
                <w:sz w:val="20"/>
              </w:rPr>
            </w:pPr>
            <w:r>
              <w:rPr>
                <w:rFonts w:ascii="Calibri"/>
                <w:sz w:val="20"/>
              </w:rPr>
              <w:t>[m]</w:t>
            </w:r>
          </w:p>
        </w:tc>
        <w:tc>
          <w:tcPr>
            <w:tcW w:w="799" w:type="dxa"/>
            <w:tcBorders>
              <w:bottom w:val="single" w:sz="4" w:space="0" w:color="000000"/>
            </w:tcBorders>
          </w:tcPr>
          <w:p>
            <w:pPr>
              <w:pStyle w:val="TableParagraph"/>
              <w:spacing w:before="1"/>
              <w:ind w:left="278"/>
              <w:jc w:val="left"/>
              <w:rPr>
                <w:rFonts w:ascii="Calibri"/>
                <w:sz w:val="20"/>
              </w:rPr>
            </w:pPr>
            <w:r>
              <w:rPr>
                <w:rFonts w:ascii="Calibri"/>
                <w:sz w:val="20"/>
              </w:rPr>
              <w:t>ME</w:t>
            </w:r>
          </w:p>
          <w:p>
            <w:pPr>
              <w:pStyle w:val="TableParagraph"/>
              <w:spacing w:line="223" w:lineRule="exact" w:before="1"/>
              <w:ind w:left="271"/>
              <w:jc w:val="left"/>
              <w:rPr>
                <w:rFonts w:ascii="Calibri"/>
                <w:sz w:val="20"/>
              </w:rPr>
            </w:pPr>
            <w:r>
              <w:rPr>
                <w:rFonts w:ascii="Calibri"/>
                <w:sz w:val="20"/>
              </w:rPr>
              <w:t>[m]</w:t>
            </w:r>
          </w:p>
        </w:tc>
        <w:tc>
          <w:tcPr>
            <w:tcW w:w="605" w:type="dxa"/>
            <w:tcBorders>
              <w:bottom w:val="single" w:sz="4" w:space="0" w:color="000000"/>
            </w:tcBorders>
          </w:tcPr>
          <w:p>
            <w:pPr>
              <w:pStyle w:val="TableParagraph"/>
              <w:spacing w:line="240" w:lineRule="atLeast" w:before="1"/>
              <w:ind w:left="264" w:right="87" w:hanging="68"/>
              <w:jc w:val="left"/>
              <w:rPr>
                <w:rFonts w:ascii="Calibri"/>
                <w:sz w:val="20"/>
              </w:rPr>
            </w:pPr>
            <w:r>
              <w:rPr>
                <w:rFonts w:ascii="Calibri"/>
                <w:sz w:val="20"/>
              </w:rPr>
              <w:t>NSE [-]</w:t>
            </w:r>
          </w:p>
        </w:tc>
      </w:tr>
      <w:tr>
        <w:trPr>
          <w:trHeight w:val="291" w:hRule="atLeast"/>
        </w:trPr>
        <w:tc>
          <w:tcPr>
            <w:tcW w:w="1157" w:type="dxa"/>
            <w:tcBorders>
              <w:top w:val="single" w:sz="4" w:space="0" w:color="000000"/>
            </w:tcBorders>
          </w:tcPr>
          <w:p>
            <w:pPr>
              <w:pStyle w:val="TableParagraph"/>
              <w:spacing w:before="1"/>
              <w:ind w:left="69"/>
              <w:jc w:val="left"/>
              <w:rPr>
                <w:rFonts w:ascii="Calibri"/>
                <w:sz w:val="20"/>
              </w:rPr>
            </w:pPr>
            <w:r>
              <w:rPr>
                <w:rFonts w:ascii="Calibri"/>
                <w:sz w:val="20"/>
              </w:rPr>
              <w:t>22.23</w:t>
            </w:r>
          </w:p>
        </w:tc>
        <w:tc>
          <w:tcPr>
            <w:tcW w:w="1349" w:type="dxa"/>
            <w:tcBorders>
              <w:top w:val="single" w:sz="4" w:space="0" w:color="000000"/>
            </w:tcBorders>
          </w:tcPr>
          <w:p>
            <w:pPr>
              <w:pStyle w:val="TableParagraph"/>
              <w:jc w:val="left"/>
              <w:rPr>
                <w:rFonts w:ascii="Times New Roman"/>
                <w:sz w:val="20"/>
              </w:rPr>
            </w:pPr>
          </w:p>
        </w:tc>
        <w:tc>
          <w:tcPr>
            <w:tcW w:w="1145" w:type="dxa"/>
            <w:tcBorders>
              <w:top w:val="single" w:sz="4" w:space="0" w:color="000000"/>
            </w:tcBorders>
          </w:tcPr>
          <w:p>
            <w:pPr>
              <w:pStyle w:val="TableParagraph"/>
              <w:jc w:val="left"/>
              <w:rPr>
                <w:rFonts w:ascii="Times New Roman"/>
                <w:sz w:val="20"/>
              </w:rPr>
            </w:pPr>
          </w:p>
        </w:tc>
        <w:tc>
          <w:tcPr>
            <w:tcW w:w="909" w:type="dxa"/>
            <w:tcBorders>
              <w:top w:val="single" w:sz="4" w:space="0" w:color="000000"/>
              <w:right w:val="single" w:sz="4" w:space="0" w:color="000000"/>
            </w:tcBorders>
          </w:tcPr>
          <w:p>
            <w:pPr>
              <w:pStyle w:val="TableParagraph"/>
              <w:jc w:val="left"/>
              <w:rPr>
                <w:rFonts w:ascii="Times New Roman"/>
                <w:sz w:val="20"/>
              </w:rPr>
            </w:pPr>
          </w:p>
        </w:tc>
        <w:tc>
          <w:tcPr>
            <w:tcW w:w="632" w:type="dxa"/>
            <w:tcBorders>
              <w:top w:val="single" w:sz="4" w:space="0" w:color="000000"/>
              <w:left w:val="single" w:sz="4" w:space="0" w:color="000000"/>
            </w:tcBorders>
          </w:tcPr>
          <w:p>
            <w:pPr>
              <w:pStyle w:val="TableParagraph"/>
              <w:spacing w:before="1"/>
              <w:ind w:right="92"/>
              <w:rPr>
                <w:rFonts w:ascii="Calibri"/>
                <w:sz w:val="20"/>
              </w:rPr>
            </w:pPr>
            <w:r>
              <w:rPr>
                <w:rFonts w:ascii="Calibri"/>
                <w:w w:val="99"/>
                <w:sz w:val="20"/>
              </w:rPr>
              <w:t>-</w:t>
            </w:r>
          </w:p>
        </w:tc>
        <w:tc>
          <w:tcPr>
            <w:tcW w:w="797" w:type="dxa"/>
            <w:tcBorders>
              <w:top w:val="single" w:sz="4" w:space="0" w:color="000000"/>
            </w:tcBorders>
          </w:tcPr>
          <w:p>
            <w:pPr>
              <w:pStyle w:val="TableParagraph"/>
              <w:spacing w:before="1"/>
              <w:ind w:right="268"/>
              <w:rPr>
                <w:rFonts w:ascii="Calibri"/>
                <w:sz w:val="20"/>
              </w:rPr>
            </w:pPr>
            <w:r>
              <w:rPr>
                <w:rFonts w:ascii="Calibri"/>
                <w:w w:val="99"/>
                <w:sz w:val="20"/>
              </w:rPr>
              <w:t>-</w:t>
            </w:r>
          </w:p>
        </w:tc>
        <w:tc>
          <w:tcPr>
            <w:tcW w:w="532" w:type="dxa"/>
            <w:tcBorders>
              <w:top w:val="single" w:sz="4" w:space="0" w:color="000000"/>
              <w:right w:val="single" w:sz="4" w:space="0" w:color="000000"/>
            </w:tcBorders>
          </w:tcPr>
          <w:p>
            <w:pPr>
              <w:pStyle w:val="TableParagraph"/>
              <w:spacing w:before="1"/>
              <w:ind w:right="171"/>
              <w:rPr>
                <w:rFonts w:ascii="Calibri"/>
                <w:sz w:val="20"/>
              </w:rPr>
            </w:pPr>
            <w:r>
              <w:rPr>
                <w:rFonts w:ascii="Calibri"/>
                <w:w w:val="99"/>
                <w:sz w:val="20"/>
              </w:rPr>
              <w:t>-</w:t>
            </w:r>
          </w:p>
        </w:tc>
        <w:tc>
          <w:tcPr>
            <w:tcW w:w="793" w:type="dxa"/>
            <w:tcBorders>
              <w:top w:val="single" w:sz="4" w:space="0" w:color="000000"/>
              <w:left w:val="single" w:sz="4" w:space="0" w:color="000000"/>
            </w:tcBorders>
          </w:tcPr>
          <w:p>
            <w:pPr>
              <w:pStyle w:val="TableParagraph"/>
              <w:spacing w:before="1"/>
              <w:ind w:left="151" w:right="241"/>
              <w:rPr>
                <w:rFonts w:ascii="Calibri"/>
                <w:sz w:val="20"/>
              </w:rPr>
            </w:pPr>
            <w:r>
              <w:rPr>
                <w:rFonts w:ascii="Calibri"/>
                <w:sz w:val="20"/>
              </w:rPr>
              <w:t>0.15</w:t>
            </w:r>
          </w:p>
        </w:tc>
        <w:tc>
          <w:tcPr>
            <w:tcW w:w="799" w:type="dxa"/>
            <w:tcBorders>
              <w:top w:val="single" w:sz="4" w:space="0" w:color="000000"/>
            </w:tcBorders>
          </w:tcPr>
          <w:p>
            <w:pPr>
              <w:pStyle w:val="TableParagraph"/>
              <w:spacing w:before="1"/>
              <w:ind w:right="208"/>
              <w:jc w:val="right"/>
              <w:rPr>
                <w:rFonts w:ascii="Calibri"/>
                <w:sz w:val="20"/>
              </w:rPr>
            </w:pPr>
            <w:r>
              <w:rPr>
                <w:rFonts w:ascii="Calibri"/>
                <w:w w:val="95"/>
                <w:sz w:val="20"/>
              </w:rPr>
              <w:t>0.08</w:t>
            </w:r>
          </w:p>
        </w:tc>
        <w:tc>
          <w:tcPr>
            <w:tcW w:w="605" w:type="dxa"/>
            <w:tcBorders>
              <w:top w:val="single" w:sz="4" w:space="0" w:color="000000"/>
            </w:tcBorders>
          </w:tcPr>
          <w:p>
            <w:pPr>
              <w:pStyle w:val="TableParagraph"/>
              <w:spacing w:before="1"/>
              <w:ind w:right="69"/>
              <w:jc w:val="right"/>
              <w:rPr>
                <w:rFonts w:ascii="Calibri"/>
                <w:sz w:val="20"/>
              </w:rPr>
            </w:pPr>
            <w:r>
              <w:rPr>
                <w:rFonts w:ascii="Calibri"/>
                <w:w w:val="95"/>
                <w:sz w:val="20"/>
              </w:rPr>
              <w:t>0.35</w:t>
            </w:r>
          </w:p>
        </w:tc>
      </w:tr>
      <w:tr>
        <w:trPr>
          <w:trHeight w:val="514" w:hRule="atLeast"/>
        </w:trPr>
        <w:tc>
          <w:tcPr>
            <w:tcW w:w="1157" w:type="dxa"/>
          </w:tcPr>
          <w:p>
            <w:pPr>
              <w:pStyle w:val="TableParagraph"/>
              <w:spacing w:before="9"/>
              <w:ind w:left="69"/>
              <w:jc w:val="left"/>
              <w:rPr>
                <w:rFonts w:ascii="Calibri"/>
                <w:sz w:val="20"/>
              </w:rPr>
            </w:pPr>
            <w:r>
              <w:rPr>
                <w:rFonts w:ascii="Calibri"/>
                <w:sz w:val="20"/>
              </w:rPr>
              <w:t>220053</w:t>
            </w:r>
          </w:p>
        </w:tc>
        <w:tc>
          <w:tcPr>
            <w:tcW w:w="1349" w:type="dxa"/>
          </w:tcPr>
          <w:p>
            <w:pPr>
              <w:pStyle w:val="TableParagraph"/>
              <w:spacing w:line="237" w:lineRule="auto" w:before="11"/>
              <w:ind w:left="270" w:right="153"/>
              <w:jc w:val="left"/>
              <w:rPr>
                <w:rFonts w:ascii="Calibri"/>
                <w:sz w:val="20"/>
              </w:rPr>
            </w:pPr>
            <w:r>
              <w:rPr>
                <w:rFonts w:ascii="Calibri"/>
                <w:sz w:val="20"/>
              </w:rPr>
              <w:t>SUNDS NOERREAA</w:t>
            </w:r>
          </w:p>
        </w:tc>
        <w:tc>
          <w:tcPr>
            <w:tcW w:w="1145" w:type="dxa"/>
          </w:tcPr>
          <w:p>
            <w:pPr>
              <w:pStyle w:val="TableParagraph"/>
              <w:spacing w:before="9"/>
              <w:ind w:right="214"/>
              <w:jc w:val="right"/>
              <w:rPr>
                <w:rFonts w:ascii="Calibri"/>
                <w:sz w:val="20"/>
              </w:rPr>
            </w:pPr>
            <w:r>
              <w:rPr>
                <w:rFonts w:ascii="Calibri"/>
                <w:w w:val="95"/>
                <w:sz w:val="20"/>
              </w:rPr>
              <w:t>14620</w:t>
            </w:r>
          </w:p>
        </w:tc>
        <w:tc>
          <w:tcPr>
            <w:tcW w:w="909" w:type="dxa"/>
            <w:tcBorders>
              <w:right w:val="single" w:sz="4" w:space="0" w:color="000000"/>
            </w:tcBorders>
          </w:tcPr>
          <w:p>
            <w:pPr>
              <w:pStyle w:val="TableParagraph"/>
              <w:spacing w:before="9"/>
              <w:ind w:left="285" w:right="167"/>
              <w:rPr>
                <w:rFonts w:ascii="Calibri"/>
                <w:sz w:val="20"/>
              </w:rPr>
            </w:pPr>
            <w:r>
              <w:rPr>
                <w:rFonts w:ascii="Calibri"/>
                <w:sz w:val="20"/>
              </w:rPr>
              <w:t>48</w:t>
            </w:r>
          </w:p>
        </w:tc>
        <w:tc>
          <w:tcPr>
            <w:tcW w:w="632" w:type="dxa"/>
            <w:tcBorders>
              <w:left w:val="single" w:sz="4" w:space="0" w:color="000000"/>
            </w:tcBorders>
          </w:tcPr>
          <w:p>
            <w:pPr>
              <w:pStyle w:val="TableParagraph"/>
              <w:spacing w:before="9"/>
              <w:ind w:left="69" w:right="162"/>
              <w:rPr>
                <w:rFonts w:ascii="Calibri"/>
                <w:sz w:val="20"/>
              </w:rPr>
            </w:pPr>
            <w:r>
              <w:rPr>
                <w:rFonts w:ascii="Calibri"/>
                <w:sz w:val="20"/>
              </w:rPr>
              <w:t>0.08</w:t>
            </w:r>
          </w:p>
        </w:tc>
        <w:tc>
          <w:tcPr>
            <w:tcW w:w="797" w:type="dxa"/>
          </w:tcPr>
          <w:p>
            <w:pPr>
              <w:pStyle w:val="TableParagraph"/>
              <w:spacing w:before="9"/>
              <w:ind w:left="35" w:right="303"/>
              <w:rPr>
                <w:rFonts w:ascii="Calibri"/>
                <w:sz w:val="20"/>
              </w:rPr>
            </w:pPr>
            <w:r>
              <w:rPr>
                <w:rFonts w:ascii="Calibri"/>
                <w:sz w:val="20"/>
              </w:rPr>
              <w:t>0.03</w:t>
            </w:r>
          </w:p>
        </w:tc>
        <w:tc>
          <w:tcPr>
            <w:tcW w:w="532" w:type="dxa"/>
            <w:tcBorders>
              <w:right w:val="single" w:sz="4" w:space="0" w:color="000000"/>
            </w:tcBorders>
          </w:tcPr>
          <w:p>
            <w:pPr>
              <w:pStyle w:val="TableParagraph"/>
              <w:spacing w:before="9"/>
              <w:ind w:left="-1" w:right="171"/>
              <w:rPr>
                <w:rFonts w:ascii="Calibri"/>
                <w:sz w:val="20"/>
              </w:rPr>
            </w:pPr>
            <w:r>
              <w:rPr>
                <w:rFonts w:ascii="Calibri"/>
                <w:w w:val="95"/>
                <w:sz w:val="20"/>
              </w:rPr>
              <w:t>0.86</w:t>
            </w:r>
          </w:p>
        </w:tc>
        <w:tc>
          <w:tcPr>
            <w:tcW w:w="793" w:type="dxa"/>
            <w:tcBorders>
              <w:left w:val="single" w:sz="4" w:space="0" w:color="000000"/>
            </w:tcBorders>
          </w:tcPr>
          <w:p>
            <w:pPr>
              <w:pStyle w:val="TableParagraph"/>
              <w:spacing w:before="9"/>
              <w:ind w:left="151" w:right="241"/>
              <w:rPr>
                <w:rFonts w:ascii="Calibri"/>
                <w:sz w:val="20"/>
              </w:rPr>
            </w:pPr>
            <w:r>
              <w:rPr>
                <w:rFonts w:ascii="Calibri"/>
                <w:sz w:val="20"/>
              </w:rPr>
              <w:t>0.12</w:t>
            </w:r>
          </w:p>
        </w:tc>
        <w:tc>
          <w:tcPr>
            <w:tcW w:w="799" w:type="dxa"/>
          </w:tcPr>
          <w:p>
            <w:pPr>
              <w:pStyle w:val="TableParagraph"/>
              <w:spacing w:before="9"/>
              <w:ind w:right="208"/>
              <w:jc w:val="right"/>
              <w:rPr>
                <w:rFonts w:ascii="Calibri"/>
                <w:sz w:val="20"/>
              </w:rPr>
            </w:pPr>
            <w:r>
              <w:rPr>
                <w:rFonts w:ascii="Calibri"/>
                <w:w w:val="95"/>
                <w:sz w:val="20"/>
              </w:rPr>
              <w:t>0.08</w:t>
            </w:r>
          </w:p>
        </w:tc>
        <w:tc>
          <w:tcPr>
            <w:tcW w:w="605" w:type="dxa"/>
          </w:tcPr>
          <w:p>
            <w:pPr>
              <w:pStyle w:val="TableParagraph"/>
              <w:spacing w:before="9"/>
              <w:ind w:right="69"/>
              <w:jc w:val="right"/>
              <w:rPr>
                <w:rFonts w:ascii="Calibri"/>
                <w:sz w:val="20"/>
              </w:rPr>
            </w:pPr>
            <w:r>
              <w:rPr>
                <w:rFonts w:ascii="Calibri"/>
                <w:w w:val="95"/>
                <w:sz w:val="20"/>
              </w:rPr>
              <w:t>0.55</w:t>
            </w:r>
          </w:p>
        </w:tc>
      </w:tr>
      <w:tr>
        <w:trPr>
          <w:trHeight w:val="272" w:hRule="atLeast"/>
        </w:trPr>
        <w:tc>
          <w:tcPr>
            <w:tcW w:w="1157" w:type="dxa"/>
          </w:tcPr>
          <w:p>
            <w:pPr>
              <w:pStyle w:val="TableParagraph"/>
              <w:spacing w:line="226" w:lineRule="exact"/>
              <w:ind w:left="69"/>
              <w:jc w:val="left"/>
              <w:rPr>
                <w:rFonts w:ascii="Calibri"/>
                <w:sz w:val="20"/>
              </w:rPr>
            </w:pPr>
            <w:r>
              <w:rPr>
                <w:rFonts w:ascii="Calibri"/>
                <w:sz w:val="20"/>
              </w:rPr>
              <w:t>220059</w:t>
            </w:r>
          </w:p>
        </w:tc>
        <w:tc>
          <w:tcPr>
            <w:tcW w:w="1349" w:type="dxa"/>
          </w:tcPr>
          <w:p>
            <w:pPr>
              <w:pStyle w:val="TableParagraph"/>
              <w:spacing w:line="226" w:lineRule="exact"/>
              <w:ind w:left="270"/>
              <w:jc w:val="left"/>
              <w:rPr>
                <w:rFonts w:ascii="Calibri"/>
                <w:sz w:val="20"/>
              </w:rPr>
            </w:pPr>
            <w:r>
              <w:rPr>
                <w:rFonts w:ascii="Calibri"/>
                <w:sz w:val="20"/>
              </w:rPr>
              <w:t>STORAA</w:t>
            </w:r>
          </w:p>
        </w:tc>
        <w:tc>
          <w:tcPr>
            <w:tcW w:w="1145" w:type="dxa"/>
          </w:tcPr>
          <w:p>
            <w:pPr>
              <w:pStyle w:val="TableParagraph"/>
              <w:spacing w:line="226" w:lineRule="exact"/>
              <w:ind w:right="214"/>
              <w:jc w:val="right"/>
              <w:rPr>
                <w:rFonts w:ascii="Calibri"/>
                <w:sz w:val="20"/>
              </w:rPr>
            </w:pPr>
            <w:r>
              <w:rPr>
                <w:rFonts w:ascii="Calibri"/>
                <w:w w:val="95"/>
                <w:sz w:val="20"/>
              </w:rPr>
              <w:t>37971</w:t>
            </w:r>
          </w:p>
        </w:tc>
        <w:tc>
          <w:tcPr>
            <w:tcW w:w="909" w:type="dxa"/>
            <w:tcBorders>
              <w:right w:val="single" w:sz="4" w:space="0" w:color="000000"/>
            </w:tcBorders>
          </w:tcPr>
          <w:p>
            <w:pPr>
              <w:pStyle w:val="TableParagraph"/>
              <w:spacing w:line="226" w:lineRule="exact"/>
              <w:ind w:left="285" w:right="172"/>
              <w:rPr>
                <w:rFonts w:ascii="Calibri"/>
                <w:sz w:val="20"/>
              </w:rPr>
            </w:pPr>
            <w:r>
              <w:rPr>
                <w:rFonts w:ascii="Calibri"/>
                <w:sz w:val="20"/>
              </w:rPr>
              <w:t>825</w:t>
            </w:r>
          </w:p>
        </w:tc>
        <w:tc>
          <w:tcPr>
            <w:tcW w:w="632" w:type="dxa"/>
            <w:tcBorders>
              <w:left w:val="single" w:sz="4" w:space="0" w:color="000000"/>
            </w:tcBorders>
          </w:tcPr>
          <w:p>
            <w:pPr>
              <w:pStyle w:val="TableParagraph"/>
              <w:spacing w:line="226" w:lineRule="exact"/>
              <w:ind w:left="69" w:right="162"/>
              <w:rPr>
                <w:rFonts w:ascii="Calibri"/>
                <w:sz w:val="20"/>
              </w:rPr>
            </w:pPr>
            <w:r>
              <w:rPr>
                <w:rFonts w:ascii="Calibri"/>
                <w:sz w:val="20"/>
              </w:rPr>
              <w:t>0.17</w:t>
            </w:r>
          </w:p>
        </w:tc>
        <w:tc>
          <w:tcPr>
            <w:tcW w:w="797" w:type="dxa"/>
          </w:tcPr>
          <w:p>
            <w:pPr>
              <w:pStyle w:val="TableParagraph"/>
              <w:spacing w:line="226" w:lineRule="exact"/>
              <w:ind w:left="35" w:right="303"/>
              <w:rPr>
                <w:rFonts w:ascii="Calibri"/>
                <w:sz w:val="20"/>
              </w:rPr>
            </w:pPr>
            <w:r>
              <w:rPr>
                <w:rFonts w:ascii="Calibri"/>
                <w:sz w:val="20"/>
              </w:rPr>
              <w:t>0.02</w:t>
            </w:r>
          </w:p>
        </w:tc>
        <w:tc>
          <w:tcPr>
            <w:tcW w:w="532" w:type="dxa"/>
            <w:tcBorders>
              <w:right w:val="single" w:sz="4" w:space="0" w:color="000000"/>
            </w:tcBorders>
          </w:tcPr>
          <w:p>
            <w:pPr>
              <w:pStyle w:val="TableParagraph"/>
              <w:spacing w:line="226" w:lineRule="exact"/>
              <w:ind w:left="-1" w:right="171"/>
              <w:rPr>
                <w:rFonts w:ascii="Calibri"/>
                <w:sz w:val="20"/>
              </w:rPr>
            </w:pPr>
            <w:r>
              <w:rPr>
                <w:rFonts w:ascii="Calibri"/>
                <w:w w:val="95"/>
                <w:sz w:val="20"/>
              </w:rPr>
              <w:t>0.89</w:t>
            </w:r>
          </w:p>
        </w:tc>
        <w:tc>
          <w:tcPr>
            <w:tcW w:w="793" w:type="dxa"/>
            <w:tcBorders>
              <w:left w:val="single" w:sz="4" w:space="0" w:color="000000"/>
            </w:tcBorders>
          </w:tcPr>
          <w:p>
            <w:pPr>
              <w:pStyle w:val="TableParagraph"/>
              <w:spacing w:line="226" w:lineRule="exact"/>
              <w:ind w:left="151" w:right="241"/>
              <w:rPr>
                <w:rFonts w:ascii="Calibri"/>
                <w:sz w:val="20"/>
              </w:rPr>
            </w:pPr>
            <w:r>
              <w:rPr>
                <w:rFonts w:ascii="Calibri"/>
                <w:sz w:val="20"/>
              </w:rPr>
              <w:t>0.20</w:t>
            </w:r>
          </w:p>
        </w:tc>
        <w:tc>
          <w:tcPr>
            <w:tcW w:w="799" w:type="dxa"/>
          </w:tcPr>
          <w:p>
            <w:pPr>
              <w:pStyle w:val="TableParagraph"/>
              <w:spacing w:line="226" w:lineRule="exact"/>
              <w:ind w:right="208"/>
              <w:jc w:val="right"/>
              <w:rPr>
                <w:rFonts w:ascii="Calibri"/>
                <w:sz w:val="20"/>
              </w:rPr>
            </w:pPr>
            <w:r>
              <w:rPr>
                <w:rFonts w:ascii="Calibri"/>
                <w:w w:val="95"/>
                <w:sz w:val="20"/>
              </w:rPr>
              <w:t>0.05</w:t>
            </w:r>
          </w:p>
        </w:tc>
        <w:tc>
          <w:tcPr>
            <w:tcW w:w="605" w:type="dxa"/>
          </w:tcPr>
          <w:p>
            <w:pPr>
              <w:pStyle w:val="TableParagraph"/>
              <w:spacing w:line="226" w:lineRule="exact"/>
              <w:ind w:right="69"/>
              <w:jc w:val="right"/>
              <w:rPr>
                <w:rFonts w:ascii="Calibri"/>
                <w:sz w:val="20"/>
              </w:rPr>
            </w:pPr>
            <w:r>
              <w:rPr>
                <w:rFonts w:ascii="Calibri"/>
                <w:w w:val="95"/>
                <w:sz w:val="20"/>
              </w:rPr>
              <w:t>0.79</w:t>
            </w:r>
          </w:p>
        </w:tc>
      </w:tr>
      <w:tr>
        <w:trPr>
          <w:trHeight w:val="300" w:hRule="atLeast"/>
        </w:trPr>
        <w:tc>
          <w:tcPr>
            <w:tcW w:w="1157" w:type="dxa"/>
          </w:tcPr>
          <w:p>
            <w:pPr>
              <w:pStyle w:val="TableParagraph"/>
              <w:spacing w:before="9"/>
              <w:ind w:left="69"/>
              <w:jc w:val="left"/>
              <w:rPr>
                <w:rFonts w:ascii="Calibri"/>
                <w:sz w:val="20"/>
              </w:rPr>
            </w:pPr>
            <w:r>
              <w:rPr>
                <w:rFonts w:ascii="Calibri"/>
                <w:sz w:val="20"/>
              </w:rPr>
              <w:t>220062</w:t>
            </w:r>
          </w:p>
        </w:tc>
        <w:tc>
          <w:tcPr>
            <w:tcW w:w="1349" w:type="dxa"/>
          </w:tcPr>
          <w:p>
            <w:pPr>
              <w:pStyle w:val="TableParagraph"/>
              <w:spacing w:before="9"/>
              <w:ind w:left="270"/>
              <w:jc w:val="left"/>
              <w:rPr>
                <w:rFonts w:ascii="Calibri"/>
                <w:sz w:val="20"/>
              </w:rPr>
            </w:pPr>
            <w:r>
              <w:rPr>
                <w:rFonts w:ascii="Calibri"/>
                <w:sz w:val="20"/>
              </w:rPr>
              <w:t>STORAA</w:t>
            </w:r>
          </w:p>
        </w:tc>
        <w:tc>
          <w:tcPr>
            <w:tcW w:w="1145" w:type="dxa"/>
          </w:tcPr>
          <w:p>
            <w:pPr>
              <w:pStyle w:val="TableParagraph"/>
              <w:spacing w:before="9"/>
              <w:ind w:right="214"/>
              <w:jc w:val="right"/>
              <w:rPr>
                <w:rFonts w:ascii="Calibri"/>
                <w:sz w:val="20"/>
              </w:rPr>
            </w:pPr>
            <w:r>
              <w:rPr>
                <w:rFonts w:ascii="Calibri"/>
                <w:w w:val="95"/>
                <w:sz w:val="20"/>
              </w:rPr>
              <w:t>61685</w:t>
            </w:r>
          </w:p>
        </w:tc>
        <w:tc>
          <w:tcPr>
            <w:tcW w:w="909" w:type="dxa"/>
            <w:tcBorders>
              <w:right w:val="single" w:sz="4" w:space="0" w:color="000000"/>
            </w:tcBorders>
          </w:tcPr>
          <w:p>
            <w:pPr>
              <w:pStyle w:val="TableParagraph"/>
              <w:spacing w:before="9"/>
              <w:ind w:left="285" w:right="172"/>
              <w:rPr>
                <w:rFonts w:ascii="Calibri"/>
                <w:sz w:val="20"/>
              </w:rPr>
            </w:pPr>
            <w:r>
              <w:rPr>
                <w:rFonts w:ascii="Calibri"/>
                <w:sz w:val="20"/>
              </w:rPr>
              <w:t>1097</w:t>
            </w:r>
          </w:p>
        </w:tc>
        <w:tc>
          <w:tcPr>
            <w:tcW w:w="632" w:type="dxa"/>
            <w:tcBorders>
              <w:left w:val="single" w:sz="4" w:space="0" w:color="000000"/>
            </w:tcBorders>
          </w:tcPr>
          <w:p>
            <w:pPr>
              <w:pStyle w:val="TableParagraph"/>
              <w:spacing w:before="9"/>
              <w:ind w:left="69" w:right="162"/>
              <w:rPr>
                <w:rFonts w:ascii="Calibri"/>
                <w:sz w:val="20"/>
              </w:rPr>
            </w:pPr>
            <w:r>
              <w:rPr>
                <w:rFonts w:ascii="Calibri"/>
                <w:sz w:val="20"/>
              </w:rPr>
              <w:t>0.19</w:t>
            </w:r>
          </w:p>
        </w:tc>
        <w:tc>
          <w:tcPr>
            <w:tcW w:w="797" w:type="dxa"/>
          </w:tcPr>
          <w:p>
            <w:pPr>
              <w:pStyle w:val="TableParagraph"/>
              <w:spacing w:before="9"/>
              <w:ind w:left="37" w:right="303"/>
              <w:rPr>
                <w:rFonts w:ascii="Calibri"/>
                <w:sz w:val="20"/>
              </w:rPr>
            </w:pPr>
            <w:r>
              <w:rPr>
                <w:rFonts w:ascii="Calibri"/>
                <w:sz w:val="20"/>
              </w:rPr>
              <w:t>-0.16</w:t>
            </w:r>
          </w:p>
        </w:tc>
        <w:tc>
          <w:tcPr>
            <w:tcW w:w="532" w:type="dxa"/>
            <w:tcBorders>
              <w:right w:val="single" w:sz="4" w:space="0" w:color="000000"/>
            </w:tcBorders>
          </w:tcPr>
          <w:p>
            <w:pPr>
              <w:pStyle w:val="TableParagraph"/>
              <w:spacing w:before="9"/>
              <w:ind w:left="-1" w:right="171"/>
              <w:rPr>
                <w:rFonts w:ascii="Calibri"/>
                <w:sz w:val="20"/>
              </w:rPr>
            </w:pPr>
            <w:r>
              <w:rPr>
                <w:rFonts w:ascii="Calibri"/>
                <w:w w:val="95"/>
                <w:sz w:val="20"/>
              </w:rPr>
              <w:t>0.80</w:t>
            </w:r>
          </w:p>
        </w:tc>
        <w:tc>
          <w:tcPr>
            <w:tcW w:w="793" w:type="dxa"/>
            <w:tcBorders>
              <w:left w:val="single" w:sz="4" w:space="0" w:color="000000"/>
            </w:tcBorders>
          </w:tcPr>
          <w:p>
            <w:pPr>
              <w:pStyle w:val="TableParagraph"/>
              <w:spacing w:before="9"/>
              <w:ind w:left="151" w:right="241"/>
              <w:rPr>
                <w:rFonts w:ascii="Calibri"/>
                <w:sz w:val="20"/>
              </w:rPr>
            </w:pPr>
            <w:r>
              <w:rPr>
                <w:rFonts w:ascii="Calibri"/>
                <w:sz w:val="20"/>
              </w:rPr>
              <w:t>0.17</w:t>
            </w:r>
          </w:p>
        </w:tc>
        <w:tc>
          <w:tcPr>
            <w:tcW w:w="799" w:type="dxa"/>
          </w:tcPr>
          <w:p>
            <w:pPr>
              <w:pStyle w:val="TableParagraph"/>
              <w:spacing w:before="9"/>
              <w:ind w:right="176"/>
              <w:jc w:val="right"/>
              <w:rPr>
                <w:rFonts w:ascii="Calibri"/>
                <w:sz w:val="20"/>
              </w:rPr>
            </w:pPr>
            <w:r>
              <w:rPr>
                <w:rFonts w:ascii="Calibri"/>
                <w:sz w:val="20"/>
              </w:rPr>
              <w:t>-0.11</w:t>
            </w:r>
          </w:p>
        </w:tc>
        <w:tc>
          <w:tcPr>
            <w:tcW w:w="605" w:type="dxa"/>
          </w:tcPr>
          <w:p>
            <w:pPr>
              <w:pStyle w:val="TableParagraph"/>
              <w:spacing w:before="9"/>
              <w:ind w:right="69"/>
              <w:jc w:val="right"/>
              <w:rPr>
                <w:rFonts w:ascii="Calibri"/>
                <w:sz w:val="20"/>
              </w:rPr>
            </w:pPr>
            <w:r>
              <w:rPr>
                <w:rFonts w:ascii="Calibri"/>
                <w:w w:val="95"/>
                <w:sz w:val="20"/>
              </w:rPr>
              <w:t>0.77</w:t>
            </w:r>
          </w:p>
        </w:tc>
      </w:tr>
      <w:tr>
        <w:trPr>
          <w:trHeight w:val="300" w:hRule="atLeast"/>
        </w:trPr>
        <w:tc>
          <w:tcPr>
            <w:tcW w:w="1157" w:type="dxa"/>
          </w:tcPr>
          <w:p>
            <w:pPr>
              <w:pStyle w:val="TableParagraph"/>
              <w:spacing w:before="9"/>
              <w:ind w:left="69"/>
              <w:jc w:val="left"/>
              <w:rPr>
                <w:rFonts w:ascii="Calibri"/>
                <w:sz w:val="20"/>
              </w:rPr>
            </w:pPr>
            <w:r>
              <w:rPr>
                <w:rFonts w:ascii="Calibri"/>
                <w:sz w:val="20"/>
              </w:rPr>
              <w:t>220205</w:t>
            </w:r>
          </w:p>
        </w:tc>
        <w:tc>
          <w:tcPr>
            <w:tcW w:w="1349" w:type="dxa"/>
          </w:tcPr>
          <w:p>
            <w:pPr>
              <w:pStyle w:val="TableParagraph"/>
              <w:spacing w:before="9"/>
              <w:ind w:left="270"/>
              <w:jc w:val="left"/>
              <w:rPr>
                <w:rFonts w:ascii="Calibri"/>
                <w:sz w:val="20"/>
              </w:rPr>
            </w:pPr>
            <w:r>
              <w:rPr>
                <w:rFonts w:ascii="Calibri"/>
                <w:sz w:val="20"/>
              </w:rPr>
              <w:t>STORAA</w:t>
            </w:r>
          </w:p>
        </w:tc>
        <w:tc>
          <w:tcPr>
            <w:tcW w:w="1145" w:type="dxa"/>
          </w:tcPr>
          <w:p>
            <w:pPr>
              <w:pStyle w:val="TableParagraph"/>
              <w:jc w:val="left"/>
              <w:rPr>
                <w:rFonts w:ascii="Times New Roman"/>
                <w:sz w:val="20"/>
              </w:rPr>
            </w:pPr>
          </w:p>
        </w:tc>
        <w:tc>
          <w:tcPr>
            <w:tcW w:w="909" w:type="dxa"/>
            <w:tcBorders>
              <w:right w:val="single" w:sz="4" w:space="0" w:color="000000"/>
            </w:tcBorders>
          </w:tcPr>
          <w:p>
            <w:pPr>
              <w:pStyle w:val="TableParagraph"/>
              <w:spacing w:before="9"/>
              <w:ind w:left="285" w:right="172"/>
              <w:rPr>
                <w:rFonts w:ascii="Calibri"/>
                <w:sz w:val="20"/>
              </w:rPr>
            </w:pPr>
            <w:r>
              <w:rPr>
                <w:rFonts w:ascii="Calibri"/>
                <w:sz w:val="20"/>
              </w:rPr>
              <w:t>547</w:t>
            </w:r>
          </w:p>
        </w:tc>
        <w:tc>
          <w:tcPr>
            <w:tcW w:w="632" w:type="dxa"/>
            <w:tcBorders>
              <w:left w:val="single" w:sz="4" w:space="0" w:color="000000"/>
            </w:tcBorders>
          </w:tcPr>
          <w:p>
            <w:pPr>
              <w:pStyle w:val="TableParagraph"/>
              <w:spacing w:before="9"/>
              <w:ind w:right="92"/>
              <w:rPr>
                <w:rFonts w:ascii="Calibri"/>
                <w:sz w:val="20"/>
              </w:rPr>
            </w:pPr>
            <w:r>
              <w:rPr>
                <w:rFonts w:ascii="Calibri"/>
                <w:w w:val="99"/>
                <w:sz w:val="20"/>
              </w:rPr>
              <w:t>-</w:t>
            </w:r>
          </w:p>
        </w:tc>
        <w:tc>
          <w:tcPr>
            <w:tcW w:w="797" w:type="dxa"/>
          </w:tcPr>
          <w:p>
            <w:pPr>
              <w:pStyle w:val="TableParagraph"/>
              <w:spacing w:before="9"/>
              <w:ind w:right="268"/>
              <w:rPr>
                <w:rFonts w:ascii="Calibri"/>
                <w:sz w:val="20"/>
              </w:rPr>
            </w:pPr>
            <w:r>
              <w:rPr>
                <w:rFonts w:ascii="Calibri"/>
                <w:w w:val="99"/>
                <w:sz w:val="20"/>
              </w:rPr>
              <w:t>-</w:t>
            </w:r>
          </w:p>
        </w:tc>
        <w:tc>
          <w:tcPr>
            <w:tcW w:w="532" w:type="dxa"/>
            <w:tcBorders>
              <w:right w:val="single" w:sz="4" w:space="0" w:color="000000"/>
            </w:tcBorders>
          </w:tcPr>
          <w:p>
            <w:pPr>
              <w:pStyle w:val="TableParagraph"/>
              <w:spacing w:before="9"/>
              <w:ind w:right="171"/>
              <w:rPr>
                <w:rFonts w:ascii="Calibri"/>
                <w:sz w:val="20"/>
              </w:rPr>
            </w:pPr>
            <w:r>
              <w:rPr>
                <w:rFonts w:ascii="Calibri"/>
                <w:w w:val="99"/>
                <w:sz w:val="20"/>
              </w:rPr>
              <w:t>-</w:t>
            </w:r>
          </w:p>
        </w:tc>
        <w:tc>
          <w:tcPr>
            <w:tcW w:w="793" w:type="dxa"/>
            <w:tcBorders>
              <w:left w:val="single" w:sz="4" w:space="0" w:color="000000"/>
            </w:tcBorders>
          </w:tcPr>
          <w:p>
            <w:pPr>
              <w:pStyle w:val="TableParagraph"/>
              <w:spacing w:before="9"/>
              <w:ind w:left="151" w:right="241"/>
              <w:rPr>
                <w:rFonts w:ascii="Calibri"/>
                <w:sz w:val="20"/>
              </w:rPr>
            </w:pPr>
            <w:r>
              <w:rPr>
                <w:rFonts w:ascii="Calibri"/>
                <w:sz w:val="20"/>
              </w:rPr>
              <w:t>0.27</w:t>
            </w:r>
          </w:p>
        </w:tc>
        <w:tc>
          <w:tcPr>
            <w:tcW w:w="799" w:type="dxa"/>
          </w:tcPr>
          <w:p>
            <w:pPr>
              <w:pStyle w:val="TableParagraph"/>
              <w:spacing w:before="9"/>
              <w:ind w:right="208"/>
              <w:jc w:val="right"/>
              <w:rPr>
                <w:rFonts w:ascii="Calibri"/>
                <w:sz w:val="20"/>
              </w:rPr>
            </w:pPr>
            <w:r>
              <w:rPr>
                <w:rFonts w:ascii="Calibri"/>
                <w:w w:val="95"/>
                <w:sz w:val="20"/>
              </w:rPr>
              <w:t>0.15</w:t>
            </w:r>
          </w:p>
        </w:tc>
        <w:tc>
          <w:tcPr>
            <w:tcW w:w="605" w:type="dxa"/>
          </w:tcPr>
          <w:p>
            <w:pPr>
              <w:pStyle w:val="TableParagraph"/>
              <w:spacing w:before="9"/>
              <w:ind w:right="69"/>
              <w:jc w:val="right"/>
              <w:rPr>
                <w:rFonts w:ascii="Calibri"/>
                <w:sz w:val="20"/>
              </w:rPr>
            </w:pPr>
            <w:r>
              <w:rPr>
                <w:rFonts w:ascii="Calibri"/>
                <w:w w:val="95"/>
                <w:sz w:val="20"/>
              </w:rPr>
              <w:t>0.69</w:t>
            </w:r>
          </w:p>
        </w:tc>
      </w:tr>
      <w:tr>
        <w:trPr>
          <w:trHeight w:val="307" w:hRule="atLeast"/>
        </w:trPr>
        <w:tc>
          <w:tcPr>
            <w:tcW w:w="1157" w:type="dxa"/>
          </w:tcPr>
          <w:p>
            <w:pPr>
              <w:pStyle w:val="TableParagraph"/>
              <w:spacing w:before="9"/>
              <w:ind w:left="69"/>
              <w:jc w:val="left"/>
              <w:rPr>
                <w:rFonts w:ascii="Calibri"/>
                <w:sz w:val="20"/>
              </w:rPr>
            </w:pPr>
            <w:r>
              <w:rPr>
                <w:rFonts w:ascii="Calibri"/>
                <w:sz w:val="20"/>
              </w:rPr>
              <w:t>220225</w:t>
            </w:r>
          </w:p>
        </w:tc>
        <w:tc>
          <w:tcPr>
            <w:tcW w:w="1349" w:type="dxa"/>
          </w:tcPr>
          <w:p>
            <w:pPr>
              <w:pStyle w:val="TableParagraph"/>
              <w:spacing w:before="9"/>
              <w:ind w:left="270"/>
              <w:jc w:val="left"/>
              <w:rPr>
                <w:rFonts w:ascii="Calibri"/>
                <w:sz w:val="20"/>
              </w:rPr>
            </w:pPr>
            <w:r>
              <w:rPr>
                <w:rFonts w:ascii="Calibri"/>
                <w:sz w:val="20"/>
              </w:rPr>
              <w:t>STORAA</w:t>
            </w:r>
          </w:p>
        </w:tc>
        <w:tc>
          <w:tcPr>
            <w:tcW w:w="1145" w:type="dxa"/>
          </w:tcPr>
          <w:p>
            <w:pPr>
              <w:pStyle w:val="TableParagraph"/>
              <w:spacing w:before="9"/>
              <w:ind w:right="214"/>
              <w:jc w:val="right"/>
              <w:rPr>
                <w:rFonts w:ascii="Calibri"/>
                <w:sz w:val="20"/>
              </w:rPr>
            </w:pPr>
            <w:r>
              <w:rPr>
                <w:rFonts w:ascii="Calibri"/>
                <w:w w:val="95"/>
                <w:sz w:val="20"/>
              </w:rPr>
              <w:t>25132</w:t>
            </w:r>
          </w:p>
        </w:tc>
        <w:tc>
          <w:tcPr>
            <w:tcW w:w="909" w:type="dxa"/>
            <w:tcBorders>
              <w:right w:val="single" w:sz="4" w:space="0" w:color="000000"/>
            </w:tcBorders>
          </w:tcPr>
          <w:p>
            <w:pPr>
              <w:pStyle w:val="TableParagraph"/>
              <w:spacing w:before="9"/>
              <w:ind w:left="285" w:right="172"/>
              <w:rPr>
                <w:rFonts w:ascii="Calibri"/>
                <w:sz w:val="20"/>
              </w:rPr>
            </w:pPr>
            <w:r>
              <w:rPr>
                <w:rFonts w:ascii="Calibri"/>
                <w:sz w:val="20"/>
              </w:rPr>
              <w:t>547</w:t>
            </w:r>
          </w:p>
        </w:tc>
        <w:tc>
          <w:tcPr>
            <w:tcW w:w="632" w:type="dxa"/>
            <w:tcBorders>
              <w:left w:val="single" w:sz="4" w:space="0" w:color="000000"/>
            </w:tcBorders>
          </w:tcPr>
          <w:p>
            <w:pPr>
              <w:pStyle w:val="TableParagraph"/>
              <w:spacing w:before="9"/>
              <w:ind w:left="69" w:right="162"/>
              <w:rPr>
                <w:rFonts w:ascii="Calibri"/>
                <w:sz w:val="20"/>
              </w:rPr>
            </w:pPr>
            <w:r>
              <w:rPr>
                <w:rFonts w:ascii="Calibri"/>
                <w:sz w:val="20"/>
              </w:rPr>
              <w:t>0.24</w:t>
            </w:r>
          </w:p>
        </w:tc>
        <w:tc>
          <w:tcPr>
            <w:tcW w:w="797" w:type="dxa"/>
          </w:tcPr>
          <w:p>
            <w:pPr>
              <w:pStyle w:val="TableParagraph"/>
              <w:spacing w:before="9"/>
              <w:ind w:left="35" w:right="303"/>
              <w:rPr>
                <w:rFonts w:ascii="Calibri"/>
                <w:sz w:val="20"/>
              </w:rPr>
            </w:pPr>
            <w:r>
              <w:rPr>
                <w:rFonts w:ascii="Calibri"/>
                <w:sz w:val="20"/>
              </w:rPr>
              <w:t>0.12</w:t>
            </w:r>
          </w:p>
        </w:tc>
        <w:tc>
          <w:tcPr>
            <w:tcW w:w="532" w:type="dxa"/>
            <w:tcBorders>
              <w:right w:val="single" w:sz="4" w:space="0" w:color="000000"/>
            </w:tcBorders>
          </w:tcPr>
          <w:p>
            <w:pPr>
              <w:pStyle w:val="TableParagraph"/>
              <w:spacing w:before="9"/>
              <w:ind w:left="-1" w:right="171"/>
              <w:rPr>
                <w:rFonts w:ascii="Calibri"/>
                <w:sz w:val="20"/>
              </w:rPr>
            </w:pPr>
            <w:r>
              <w:rPr>
                <w:rFonts w:ascii="Calibri"/>
                <w:w w:val="95"/>
                <w:sz w:val="20"/>
              </w:rPr>
              <w:t>0.75</w:t>
            </w:r>
          </w:p>
        </w:tc>
        <w:tc>
          <w:tcPr>
            <w:tcW w:w="793" w:type="dxa"/>
            <w:tcBorders>
              <w:left w:val="single" w:sz="4" w:space="0" w:color="000000"/>
            </w:tcBorders>
          </w:tcPr>
          <w:p>
            <w:pPr>
              <w:pStyle w:val="TableParagraph"/>
              <w:spacing w:before="9"/>
              <w:ind w:left="151" w:right="241"/>
              <w:rPr>
                <w:rFonts w:ascii="Calibri"/>
                <w:sz w:val="20"/>
              </w:rPr>
            </w:pPr>
            <w:r>
              <w:rPr>
                <w:rFonts w:ascii="Calibri"/>
                <w:sz w:val="20"/>
              </w:rPr>
              <w:t>0.28</w:t>
            </w:r>
          </w:p>
        </w:tc>
        <w:tc>
          <w:tcPr>
            <w:tcW w:w="799" w:type="dxa"/>
          </w:tcPr>
          <w:p>
            <w:pPr>
              <w:pStyle w:val="TableParagraph"/>
              <w:spacing w:before="9"/>
              <w:ind w:right="208"/>
              <w:jc w:val="right"/>
              <w:rPr>
                <w:rFonts w:ascii="Calibri"/>
                <w:sz w:val="20"/>
              </w:rPr>
            </w:pPr>
            <w:r>
              <w:rPr>
                <w:rFonts w:ascii="Calibri"/>
                <w:w w:val="95"/>
                <w:sz w:val="20"/>
              </w:rPr>
              <w:t>0.22</w:t>
            </w:r>
          </w:p>
        </w:tc>
        <w:tc>
          <w:tcPr>
            <w:tcW w:w="605" w:type="dxa"/>
          </w:tcPr>
          <w:p>
            <w:pPr>
              <w:pStyle w:val="TableParagraph"/>
              <w:spacing w:before="9"/>
              <w:ind w:right="69"/>
              <w:jc w:val="right"/>
              <w:rPr>
                <w:rFonts w:ascii="Calibri"/>
                <w:sz w:val="20"/>
              </w:rPr>
            </w:pPr>
            <w:r>
              <w:rPr>
                <w:rFonts w:ascii="Calibri"/>
                <w:w w:val="95"/>
                <w:sz w:val="20"/>
              </w:rPr>
              <w:t>0.59</w:t>
            </w:r>
          </w:p>
        </w:tc>
      </w:tr>
    </w:tbl>
    <w:p>
      <w:pPr>
        <w:spacing w:after="0"/>
        <w:jc w:val="right"/>
        <w:rPr>
          <w:rFonts w:ascii="Calibri"/>
          <w:sz w:val="20"/>
        </w:rPr>
        <w:sectPr>
          <w:pgSz w:w="11910" w:h="16850"/>
          <w:pgMar w:header="0" w:footer="857" w:top="1340" w:bottom="1120" w:left="1460" w:right="680"/>
        </w:sectPr>
      </w:pPr>
    </w:p>
    <w:p>
      <w:pPr>
        <w:pStyle w:val="BodyText"/>
        <w:spacing w:before="5"/>
        <w:rPr>
          <w:rFonts w:ascii="Calibri"/>
          <w:i/>
          <w:sz w:val="18"/>
        </w:rPr>
      </w:pPr>
    </w:p>
    <w:p>
      <w:pPr>
        <w:pStyle w:val="BodyText"/>
        <w:ind w:left="1247"/>
        <w:rPr>
          <w:rFonts w:ascii="Calibri"/>
          <w:sz w:val="20"/>
        </w:rPr>
      </w:pPr>
      <w:r>
        <w:rPr>
          <w:rFonts w:ascii="Calibri"/>
          <w:sz w:val="20"/>
        </w:rPr>
        <w:drawing>
          <wp:inline distT="0" distB="0" distL="0" distR="0">
            <wp:extent cx="4542310" cy="2584323"/>
            <wp:effectExtent l="0" t="0" r="0" b="0"/>
            <wp:docPr id="107" name="image72.jpeg" descr="\\netapp1p\hydro-model\projekter\SDFE-fasttrack\Doc\Rapport\vandstand_vandloeb\Storaa_cal.png"/>
            <wp:cNvGraphicFramePr>
              <a:graphicFrameLocks noChangeAspect="1"/>
            </wp:cNvGraphicFramePr>
            <a:graphic>
              <a:graphicData uri="http://schemas.openxmlformats.org/drawingml/2006/picture">
                <pic:pic>
                  <pic:nvPicPr>
                    <pic:cNvPr id="108" name="image72.jpeg"/>
                    <pic:cNvPicPr/>
                  </pic:nvPicPr>
                  <pic:blipFill>
                    <a:blip r:embed="rId78" cstate="print"/>
                    <a:stretch>
                      <a:fillRect/>
                    </a:stretch>
                  </pic:blipFill>
                  <pic:spPr>
                    <a:xfrm>
                      <a:off x="0" y="0"/>
                      <a:ext cx="4542310" cy="2584323"/>
                    </a:xfrm>
                    <a:prstGeom prst="rect">
                      <a:avLst/>
                    </a:prstGeom>
                  </pic:spPr>
                </pic:pic>
              </a:graphicData>
            </a:graphic>
          </wp:inline>
        </w:drawing>
      </w:r>
      <w:r>
        <w:rPr>
          <w:rFonts w:ascii="Calibri"/>
          <w:sz w:val="20"/>
        </w:rPr>
      </w:r>
    </w:p>
    <w:p>
      <w:pPr>
        <w:pStyle w:val="BodyText"/>
        <w:spacing w:before="1"/>
        <w:rPr>
          <w:rFonts w:ascii="Calibri"/>
          <w:i/>
          <w:sz w:val="26"/>
        </w:rPr>
      </w:pPr>
    </w:p>
    <w:p>
      <w:pPr>
        <w:spacing w:before="63"/>
        <w:ind w:left="525" w:right="846" w:firstLine="0"/>
        <w:jc w:val="left"/>
        <w:rPr>
          <w:rFonts w:ascii="Calibri" w:hAnsi="Calibri"/>
          <w:sz w:val="18"/>
        </w:rPr>
      </w:pPr>
      <w:bookmarkStart w:name="_bookmark84" w:id="111"/>
      <w:bookmarkEnd w:id="111"/>
      <w:r>
        <w:rPr/>
      </w:r>
      <w:r>
        <w:rPr>
          <w:rFonts w:ascii="Calibri" w:hAnsi="Calibri"/>
          <w:i/>
          <w:color w:val="44536A"/>
          <w:sz w:val="18"/>
        </w:rPr>
        <w:t>Figur 51 </w:t>
      </w:r>
      <w:r>
        <w:rPr>
          <w:rFonts w:ascii="Calibri" w:hAnsi="Calibri"/>
          <w:color w:val="44536A"/>
          <w:sz w:val="18"/>
        </w:rPr>
        <w:t>Simuleret og observeret vandstand (m) for de fire kalibreringsstationer i Storå oplandet for 100m_HD mo- dellen.</w:t>
      </w:r>
    </w:p>
    <w:p>
      <w:pPr>
        <w:pStyle w:val="BodyText"/>
        <w:rPr>
          <w:rFonts w:ascii="Calibri"/>
          <w:sz w:val="18"/>
        </w:rPr>
      </w:pPr>
    </w:p>
    <w:p>
      <w:pPr>
        <w:pStyle w:val="BodyText"/>
        <w:spacing w:before="10"/>
        <w:rPr>
          <w:rFonts w:ascii="Calibri"/>
          <w:sz w:val="17"/>
        </w:rPr>
      </w:pPr>
    </w:p>
    <w:p>
      <w:pPr>
        <w:pStyle w:val="Heading5"/>
        <w:spacing w:before="1"/>
        <w:rPr>
          <w:i/>
        </w:rPr>
      </w:pPr>
      <w:r>
        <w:rPr>
          <w:i/>
        </w:rPr>
        <w:t>Storå – sammenligning mellem hydrodynamisk løsning og simpel routing</w:t>
      </w:r>
    </w:p>
    <w:p>
      <w:pPr>
        <w:pStyle w:val="BodyText"/>
        <w:spacing w:line="288" w:lineRule="auto" w:before="48"/>
        <w:ind w:left="525" w:right="733"/>
        <w:jc w:val="both"/>
      </w:pPr>
      <w:r>
        <w:rPr/>
        <w:t>For Storå er der lavet en sammenligning af modelperformance på simuleret vandstand for de fire kalibreringsstationer med hhv. den fulde hydrodynamiske løsning og den simple rou- ting løsning baseret på det oprindelige DK-model MIKE HYDRO River opsætning. Resulta- terne fremgår af </w:t>
      </w:r>
      <w:hyperlink w:history="true" w:anchor="_bookmark85">
        <w:r>
          <w:rPr/>
          <w:t>tabel 21 </w:t>
        </w:r>
      </w:hyperlink>
      <w:r>
        <w:rPr/>
        <w:t>og viser, at tre af stationerne opnår sammenlignelig statistik med den simple routing løsning, mens den fjerde har en stor bias på ca. 2.7 m.</w:t>
      </w:r>
    </w:p>
    <w:p>
      <w:pPr>
        <w:pStyle w:val="BodyText"/>
        <w:spacing w:before="6"/>
        <w:rPr>
          <w:sz w:val="25"/>
        </w:rPr>
      </w:pPr>
    </w:p>
    <w:p>
      <w:pPr>
        <w:spacing w:before="0"/>
        <w:ind w:left="525" w:right="0" w:firstLine="0"/>
        <w:jc w:val="left"/>
        <w:rPr>
          <w:rFonts w:ascii="Calibri" w:hAnsi="Calibri"/>
          <w:i/>
          <w:sz w:val="18"/>
        </w:rPr>
      </w:pPr>
      <w:bookmarkStart w:name="_bookmark85" w:id="112"/>
      <w:bookmarkEnd w:id="112"/>
      <w:r>
        <w:rPr/>
      </w:r>
      <w:r>
        <w:rPr>
          <w:rFonts w:ascii="Calibri" w:hAnsi="Calibri"/>
          <w:i/>
          <w:color w:val="44536A"/>
          <w:sz w:val="18"/>
        </w:rPr>
        <w:t>Tabel 21 Sammenligning af hydrodynamisk løsning og simple routing</w:t>
      </w:r>
    </w:p>
    <w:p>
      <w:pPr>
        <w:pStyle w:val="BodyText"/>
        <w:spacing w:before="8"/>
        <w:rPr>
          <w:rFonts w:ascii="Calibri"/>
          <w:i/>
          <w:sz w:val="27"/>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48"/>
        <w:gridCol w:w="1143"/>
        <w:gridCol w:w="1033"/>
        <w:gridCol w:w="710"/>
        <w:gridCol w:w="755"/>
        <w:gridCol w:w="766"/>
        <w:gridCol w:w="737"/>
        <w:gridCol w:w="754"/>
        <w:gridCol w:w="768"/>
        <w:gridCol w:w="738"/>
      </w:tblGrid>
      <w:tr>
        <w:trPr>
          <w:trHeight w:val="295" w:hRule="atLeast"/>
        </w:trPr>
        <w:tc>
          <w:tcPr>
            <w:tcW w:w="5892" w:type="dxa"/>
            <w:gridSpan w:val="7"/>
          </w:tcPr>
          <w:p>
            <w:pPr>
              <w:pStyle w:val="TableParagraph"/>
              <w:spacing w:line="203" w:lineRule="exact"/>
              <w:ind w:right="481"/>
              <w:jc w:val="right"/>
              <w:rPr>
                <w:rFonts w:ascii="Calibri"/>
                <w:b/>
                <w:sz w:val="20"/>
              </w:rPr>
            </w:pPr>
            <w:r>
              <w:rPr>
                <w:rFonts w:ascii="Calibri"/>
                <w:b/>
                <w:sz w:val="20"/>
              </w:rPr>
              <w:t>Hydrodynamisk</w:t>
            </w:r>
          </w:p>
        </w:tc>
        <w:tc>
          <w:tcPr>
            <w:tcW w:w="754" w:type="dxa"/>
          </w:tcPr>
          <w:p>
            <w:pPr>
              <w:pStyle w:val="TableParagraph"/>
              <w:jc w:val="left"/>
              <w:rPr>
                <w:rFonts w:ascii="Times New Roman"/>
                <w:sz w:val="20"/>
              </w:rPr>
            </w:pPr>
          </w:p>
        </w:tc>
        <w:tc>
          <w:tcPr>
            <w:tcW w:w="768" w:type="dxa"/>
          </w:tcPr>
          <w:p>
            <w:pPr>
              <w:pStyle w:val="TableParagraph"/>
              <w:spacing w:line="203" w:lineRule="exact"/>
              <w:ind w:left="24" w:right="54"/>
              <w:rPr>
                <w:rFonts w:ascii="Calibri"/>
                <w:b/>
                <w:sz w:val="20"/>
              </w:rPr>
            </w:pPr>
            <w:r>
              <w:rPr>
                <w:rFonts w:ascii="Calibri"/>
                <w:b/>
                <w:sz w:val="20"/>
              </w:rPr>
              <w:t>Routing</w:t>
            </w:r>
          </w:p>
        </w:tc>
        <w:tc>
          <w:tcPr>
            <w:tcW w:w="738" w:type="dxa"/>
          </w:tcPr>
          <w:p>
            <w:pPr>
              <w:pStyle w:val="TableParagraph"/>
              <w:jc w:val="left"/>
              <w:rPr>
                <w:rFonts w:ascii="Times New Roman"/>
                <w:sz w:val="20"/>
              </w:rPr>
            </w:pPr>
          </w:p>
        </w:tc>
      </w:tr>
      <w:tr>
        <w:trPr>
          <w:trHeight w:val="238" w:hRule="atLeast"/>
        </w:trPr>
        <w:tc>
          <w:tcPr>
            <w:tcW w:w="748" w:type="dxa"/>
          </w:tcPr>
          <w:p>
            <w:pPr>
              <w:pStyle w:val="TableParagraph"/>
              <w:jc w:val="left"/>
              <w:rPr>
                <w:rFonts w:ascii="Times New Roman"/>
                <w:sz w:val="16"/>
              </w:rPr>
            </w:pPr>
          </w:p>
        </w:tc>
        <w:tc>
          <w:tcPr>
            <w:tcW w:w="1143" w:type="dxa"/>
          </w:tcPr>
          <w:p>
            <w:pPr>
              <w:pStyle w:val="TableParagraph"/>
              <w:jc w:val="left"/>
              <w:rPr>
                <w:rFonts w:ascii="Times New Roman"/>
                <w:sz w:val="16"/>
              </w:rPr>
            </w:pPr>
          </w:p>
        </w:tc>
        <w:tc>
          <w:tcPr>
            <w:tcW w:w="1033" w:type="dxa"/>
          </w:tcPr>
          <w:p>
            <w:pPr>
              <w:pStyle w:val="TableParagraph"/>
              <w:jc w:val="left"/>
              <w:rPr>
                <w:rFonts w:ascii="Times New Roman"/>
                <w:sz w:val="16"/>
              </w:rPr>
            </w:pPr>
          </w:p>
        </w:tc>
        <w:tc>
          <w:tcPr>
            <w:tcW w:w="710" w:type="dxa"/>
            <w:tcBorders>
              <w:right w:val="single" w:sz="8" w:space="0" w:color="000000"/>
            </w:tcBorders>
          </w:tcPr>
          <w:p>
            <w:pPr>
              <w:pStyle w:val="TableParagraph"/>
              <w:spacing w:line="200" w:lineRule="exact" w:before="18"/>
              <w:ind w:left="19" w:right="51"/>
              <w:rPr>
                <w:rFonts w:ascii="Calibri"/>
                <w:sz w:val="20"/>
              </w:rPr>
            </w:pPr>
            <w:r>
              <w:rPr>
                <w:rFonts w:ascii="Calibri"/>
                <w:sz w:val="20"/>
              </w:rPr>
              <w:t>Opland</w:t>
            </w:r>
          </w:p>
        </w:tc>
        <w:tc>
          <w:tcPr>
            <w:tcW w:w="755" w:type="dxa"/>
            <w:tcBorders>
              <w:left w:val="single" w:sz="8" w:space="0" w:color="000000"/>
            </w:tcBorders>
          </w:tcPr>
          <w:p>
            <w:pPr>
              <w:pStyle w:val="TableParagraph"/>
              <w:spacing w:line="200" w:lineRule="exact" w:before="18"/>
              <w:ind w:right="145"/>
              <w:jc w:val="right"/>
              <w:rPr>
                <w:rFonts w:ascii="Calibri"/>
                <w:sz w:val="20"/>
              </w:rPr>
            </w:pPr>
            <w:r>
              <w:rPr>
                <w:rFonts w:ascii="Calibri"/>
                <w:w w:val="95"/>
                <w:sz w:val="20"/>
              </w:rPr>
              <w:t>RMSE</w:t>
            </w:r>
          </w:p>
        </w:tc>
        <w:tc>
          <w:tcPr>
            <w:tcW w:w="766" w:type="dxa"/>
          </w:tcPr>
          <w:p>
            <w:pPr>
              <w:pStyle w:val="TableParagraph"/>
              <w:spacing w:line="200" w:lineRule="exact" w:before="18"/>
              <w:ind w:left="118" w:right="146"/>
              <w:rPr>
                <w:rFonts w:ascii="Calibri"/>
                <w:sz w:val="20"/>
              </w:rPr>
            </w:pPr>
            <w:r>
              <w:rPr>
                <w:rFonts w:ascii="Calibri"/>
                <w:sz w:val="20"/>
              </w:rPr>
              <w:t>ME</w:t>
            </w:r>
          </w:p>
        </w:tc>
        <w:tc>
          <w:tcPr>
            <w:tcW w:w="737" w:type="dxa"/>
            <w:tcBorders>
              <w:right w:val="single" w:sz="8" w:space="0" w:color="000000"/>
            </w:tcBorders>
          </w:tcPr>
          <w:p>
            <w:pPr>
              <w:pStyle w:val="TableParagraph"/>
              <w:spacing w:line="200" w:lineRule="exact" w:before="18"/>
              <w:ind w:left="140" w:right="155"/>
              <w:rPr>
                <w:rFonts w:ascii="Calibri"/>
                <w:sz w:val="20"/>
              </w:rPr>
            </w:pPr>
            <w:r>
              <w:rPr>
                <w:rFonts w:ascii="Calibri"/>
                <w:sz w:val="20"/>
              </w:rPr>
              <w:t>NSE</w:t>
            </w:r>
          </w:p>
        </w:tc>
        <w:tc>
          <w:tcPr>
            <w:tcW w:w="754" w:type="dxa"/>
            <w:tcBorders>
              <w:left w:val="single" w:sz="8" w:space="0" w:color="000000"/>
            </w:tcBorders>
          </w:tcPr>
          <w:p>
            <w:pPr>
              <w:pStyle w:val="TableParagraph"/>
              <w:spacing w:line="200" w:lineRule="exact" w:before="18"/>
              <w:ind w:left="107" w:right="126"/>
              <w:rPr>
                <w:rFonts w:ascii="Calibri"/>
                <w:sz w:val="20"/>
              </w:rPr>
            </w:pPr>
            <w:r>
              <w:rPr>
                <w:rFonts w:ascii="Calibri"/>
                <w:sz w:val="20"/>
              </w:rPr>
              <w:t>RMSE</w:t>
            </w:r>
          </w:p>
        </w:tc>
        <w:tc>
          <w:tcPr>
            <w:tcW w:w="768" w:type="dxa"/>
          </w:tcPr>
          <w:p>
            <w:pPr>
              <w:pStyle w:val="TableParagraph"/>
              <w:spacing w:line="200" w:lineRule="exact" w:before="18"/>
              <w:ind w:left="23" w:right="54"/>
              <w:rPr>
                <w:rFonts w:ascii="Calibri"/>
                <w:sz w:val="20"/>
              </w:rPr>
            </w:pPr>
            <w:r>
              <w:rPr>
                <w:rFonts w:ascii="Calibri"/>
                <w:sz w:val="20"/>
              </w:rPr>
              <w:t>ME</w:t>
            </w:r>
          </w:p>
        </w:tc>
        <w:tc>
          <w:tcPr>
            <w:tcW w:w="738" w:type="dxa"/>
          </w:tcPr>
          <w:p>
            <w:pPr>
              <w:pStyle w:val="TableParagraph"/>
              <w:spacing w:line="200" w:lineRule="exact" w:before="18"/>
              <w:ind w:left="80" w:right="111"/>
              <w:rPr>
                <w:rFonts w:ascii="Calibri"/>
                <w:sz w:val="20"/>
              </w:rPr>
            </w:pPr>
            <w:r>
              <w:rPr>
                <w:rFonts w:ascii="Calibri"/>
                <w:sz w:val="20"/>
              </w:rPr>
              <w:t>NSE</w:t>
            </w:r>
          </w:p>
        </w:tc>
      </w:tr>
      <w:tr>
        <w:trPr>
          <w:trHeight w:val="356" w:hRule="atLeast"/>
        </w:trPr>
        <w:tc>
          <w:tcPr>
            <w:tcW w:w="748" w:type="dxa"/>
            <w:tcBorders>
              <w:bottom w:val="single" w:sz="8" w:space="0" w:color="000000"/>
            </w:tcBorders>
          </w:tcPr>
          <w:p>
            <w:pPr>
              <w:pStyle w:val="TableParagraph"/>
              <w:spacing w:line="183" w:lineRule="exact"/>
              <w:ind w:left="20" w:right="50"/>
              <w:rPr>
                <w:rFonts w:ascii="Calibri"/>
                <w:sz w:val="20"/>
              </w:rPr>
            </w:pPr>
            <w:r>
              <w:rPr>
                <w:rFonts w:ascii="Calibri"/>
                <w:sz w:val="20"/>
              </w:rPr>
              <w:t>Station</w:t>
            </w:r>
          </w:p>
        </w:tc>
        <w:tc>
          <w:tcPr>
            <w:tcW w:w="1143" w:type="dxa"/>
            <w:tcBorders>
              <w:bottom w:val="single" w:sz="8" w:space="0" w:color="000000"/>
            </w:tcBorders>
          </w:tcPr>
          <w:p>
            <w:pPr>
              <w:pStyle w:val="TableParagraph"/>
              <w:spacing w:line="183" w:lineRule="exact"/>
              <w:ind w:left="72"/>
              <w:jc w:val="left"/>
              <w:rPr>
                <w:rFonts w:ascii="Calibri"/>
                <w:sz w:val="20"/>
              </w:rPr>
            </w:pPr>
            <w:r>
              <w:rPr>
                <w:rFonts w:ascii="Calibri"/>
                <w:sz w:val="20"/>
              </w:rPr>
              <w:t>Branch</w:t>
            </w:r>
          </w:p>
        </w:tc>
        <w:tc>
          <w:tcPr>
            <w:tcW w:w="1033" w:type="dxa"/>
            <w:tcBorders>
              <w:bottom w:val="single" w:sz="8" w:space="0" w:color="000000"/>
            </w:tcBorders>
          </w:tcPr>
          <w:p>
            <w:pPr>
              <w:pStyle w:val="TableParagraph"/>
              <w:spacing w:line="183" w:lineRule="exact"/>
              <w:ind w:left="163"/>
              <w:jc w:val="left"/>
              <w:rPr>
                <w:rFonts w:ascii="Calibri"/>
                <w:sz w:val="20"/>
              </w:rPr>
            </w:pPr>
            <w:r>
              <w:rPr>
                <w:rFonts w:ascii="Calibri"/>
                <w:sz w:val="20"/>
              </w:rPr>
              <w:t>Chainage</w:t>
            </w:r>
          </w:p>
        </w:tc>
        <w:tc>
          <w:tcPr>
            <w:tcW w:w="710" w:type="dxa"/>
            <w:tcBorders>
              <w:bottom w:val="single" w:sz="8" w:space="0" w:color="000000"/>
              <w:right w:val="single" w:sz="8" w:space="0" w:color="000000"/>
            </w:tcBorders>
          </w:tcPr>
          <w:p>
            <w:pPr>
              <w:pStyle w:val="TableParagraph"/>
              <w:spacing w:before="87"/>
              <w:ind w:left="19" w:right="6"/>
              <w:rPr>
                <w:rFonts w:ascii="Calibri"/>
                <w:sz w:val="20"/>
              </w:rPr>
            </w:pPr>
            <w:r>
              <w:rPr>
                <w:rFonts w:ascii="Calibri"/>
                <w:sz w:val="20"/>
              </w:rPr>
              <w:t>[km2]</w:t>
            </w:r>
          </w:p>
        </w:tc>
        <w:tc>
          <w:tcPr>
            <w:tcW w:w="755" w:type="dxa"/>
            <w:tcBorders>
              <w:left w:val="single" w:sz="8" w:space="0" w:color="000000"/>
              <w:bottom w:val="single" w:sz="8" w:space="0" w:color="000000"/>
            </w:tcBorders>
          </w:tcPr>
          <w:p>
            <w:pPr>
              <w:pStyle w:val="TableParagraph"/>
              <w:spacing w:before="87"/>
              <w:ind w:right="238"/>
              <w:jc w:val="right"/>
              <w:rPr>
                <w:rFonts w:ascii="Calibri"/>
                <w:sz w:val="20"/>
              </w:rPr>
            </w:pPr>
            <w:r>
              <w:rPr>
                <w:rFonts w:ascii="Calibri"/>
                <w:sz w:val="20"/>
              </w:rPr>
              <w:t>[m]</w:t>
            </w:r>
          </w:p>
        </w:tc>
        <w:tc>
          <w:tcPr>
            <w:tcW w:w="766" w:type="dxa"/>
            <w:tcBorders>
              <w:bottom w:val="single" w:sz="8" w:space="0" w:color="000000"/>
            </w:tcBorders>
          </w:tcPr>
          <w:p>
            <w:pPr>
              <w:pStyle w:val="TableParagraph"/>
              <w:spacing w:before="87"/>
              <w:ind w:left="118" w:right="146"/>
              <w:rPr>
                <w:rFonts w:ascii="Calibri"/>
                <w:sz w:val="20"/>
              </w:rPr>
            </w:pPr>
            <w:r>
              <w:rPr>
                <w:rFonts w:ascii="Calibri"/>
                <w:sz w:val="20"/>
              </w:rPr>
              <w:t>[m]</w:t>
            </w:r>
          </w:p>
        </w:tc>
        <w:tc>
          <w:tcPr>
            <w:tcW w:w="737" w:type="dxa"/>
            <w:tcBorders>
              <w:bottom w:val="single" w:sz="8" w:space="0" w:color="000000"/>
              <w:right w:val="single" w:sz="8" w:space="0" w:color="000000"/>
            </w:tcBorders>
          </w:tcPr>
          <w:p>
            <w:pPr>
              <w:pStyle w:val="TableParagraph"/>
              <w:spacing w:before="87"/>
              <w:ind w:left="139" w:right="155"/>
              <w:rPr>
                <w:rFonts w:ascii="Calibri"/>
                <w:sz w:val="20"/>
              </w:rPr>
            </w:pPr>
            <w:r>
              <w:rPr>
                <w:rFonts w:ascii="Calibri"/>
                <w:sz w:val="20"/>
              </w:rPr>
              <w:t>[-]</w:t>
            </w:r>
          </w:p>
        </w:tc>
        <w:tc>
          <w:tcPr>
            <w:tcW w:w="754" w:type="dxa"/>
            <w:tcBorders>
              <w:left w:val="single" w:sz="8" w:space="0" w:color="000000"/>
              <w:bottom w:val="single" w:sz="8" w:space="0" w:color="000000"/>
            </w:tcBorders>
          </w:tcPr>
          <w:p>
            <w:pPr>
              <w:pStyle w:val="TableParagraph"/>
              <w:spacing w:before="87"/>
              <w:ind w:left="104" w:right="126"/>
              <w:rPr>
                <w:rFonts w:ascii="Calibri"/>
                <w:sz w:val="20"/>
              </w:rPr>
            </w:pPr>
            <w:r>
              <w:rPr>
                <w:rFonts w:ascii="Calibri"/>
                <w:sz w:val="20"/>
              </w:rPr>
              <w:t>[m]</w:t>
            </w:r>
          </w:p>
        </w:tc>
        <w:tc>
          <w:tcPr>
            <w:tcW w:w="768" w:type="dxa"/>
            <w:tcBorders>
              <w:bottom w:val="single" w:sz="8" w:space="0" w:color="000000"/>
            </w:tcBorders>
          </w:tcPr>
          <w:p>
            <w:pPr>
              <w:pStyle w:val="TableParagraph"/>
              <w:spacing w:before="87"/>
              <w:ind w:left="22" w:right="54"/>
              <w:rPr>
                <w:rFonts w:ascii="Calibri"/>
                <w:sz w:val="20"/>
              </w:rPr>
            </w:pPr>
            <w:r>
              <w:rPr>
                <w:rFonts w:ascii="Calibri"/>
                <w:sz w:val="20"/>
              </w:rPr>
              <w:t>[m]</w:t>
            </w:r>
          </w:p>
        </w:tc>
        <w:tc>
          <w:tcPr>
            <w:tcW w:w="738" w:type="dxa"/>
            <w:tcBorders>
              <w:bottom w:val="single" w:sz="8" w:space="0" w:color="000000"/>
            </w:tcBorders>
          </w:tcPr>
          <w:p>
            <w:pPr>
              <w:pStyle w:val="TableParagraph"/>
              <w:spacing w:before="87"/>
              <w:ind w:left="80" w:right="111"/>
              <w:rPr>
                <w:rFonts w:ascii="Calibri"/>
                <w:sz w:val="20"/>
              </w:rPr>
            </w:pPr>
            <w:r>
              <w:rPr>
                <w:rFonts w:ascii="Calibri"/>
                <w:sz w:val="20"/>
              </w:rPr>
              <w:t>[-]</w:t>
            </w:r>
          </w:p>
        </w:tc>
      </w:tr>
      <w:tr>
        <w:trPr>
          <w:trHeight w:val="510" w:hRule="atLeast"/>
        </w:trPr>
        <w:tc>
          <w:tcPr>
            <w:tcW w:w="748" w:type="dxa"/>
            <w:tcBorders>
              <w:top w:val="single" w:sz="8" w:space="0" w:color="000000"/>
            </w:tcBorders>
          </w:tcPr>
          <w:p>
            <w:pPr>
              <w:pStyle w:val="TableParagraph"/>
              <w:spacing w:before="121"/>
              <w:ind w:left="48" w:right="50"/>
              <w:rPr>
                <w:rFonts w:ascii="Calibri"/>
                <w:sz w:val="20"/>
              </w:rPr>
            </w:pPr>
            <w:r>
              <w:rPr>
                <w:rFonts w:ascii="Calibri"/>
                <w:sz w:val="20"/>
              </w:rPr>
              <w:t>220053</w:t>
            </w:r>
          </w:p>
        </w:tc>
        <w:tc>
          <w:tcPr>
            <w:tcW w:w="1143" w:type="dxa"/>
            <w:tcBorders>
              <w:top w:val="single" w:sz="8" w:space="0" w:color="000000"/>
            </w:tcBorders>
          </w:tcPr>
          <w:p>
            <w:pPr>
              <w:pStyle w:val="TableParagraph"/>
              <w:spacing w:before="1"/>
              <w:ind w:left="72" w:right="145"/>
              <w:jc w:val="left"/>
              <w:rPr>
                <w:rFonts w:ascii="Calibri"/>
                <w:sz w:val="20"/>
              </w:rPr>
            </w:pPr>
            <w:r>
              <w:rPr>
                <w:rFonts w:ascii="Calibri"/>
                <w:sz w:val="20"/>
              </w:rPr>
              <w:t>SUNDS NOERREAA</w:t>
            </w:r>
          </w:p>
        </w:tc>
        <w:tc>
          <w:tcPr>
            <w:tcW w:w="1033" w:type="dxa"/>
            <w:tcBorders>
              <w:top w:val="single" w:sz="8" w:space="0" w:color="000000"/>
            </w:tcBorders>
          </w:tcPr>
          <w:p>
            <w:pPr>
              <w:pStyle w:val="TableParagraph"/>
              <w:spacing w:before="121"/>
              <w:ind w:left="163"/>
              <w:jc w:val="left"/>
              <w:rPr>
                <w:rFonts w:ascii="Calibri"/>
                <w:sz w:val="20"/>
              </w:rPr>
            </w:pPr>
            <w:r>
              <w:rPr>
                <w:rFonts w:ascii="Calibri"/>
                <w:sz w:val="20"/>
              </w:rPr>
              <w:t>14620</w:t>
            </w:r>
          </w:p>
        </w:tc>
        <w:tc>
          <w:tcPr>
            <w:tcW w:w="710" w:type="dxa"/>
            <w:tcBorders>
              <w:top w:val="single" w:sz="8" w:space="0" w:color="000000"/>
              <w:right w:val="single" w:sz="8" w:space="0" w:color="000000"/>
            </w:tcBorders>
          </w:tcPr>
          <w:p>
            <w:pPr>
              <w:pStyle w:val="TableParagraph"/>
              <w:spacing w:before="121"/>
              <w:ind w:left="19" w:right="50"/>
              <w:rPr>
                <w:rFonts w:ascii="Calibri"/>
                <w:sz w:val="20"/>
              </w:rPr>
            </w:pPr>
            <w:r>
              <w:rPr>
                <w:rFonts w:ascii="Calibri"/>
                <w:sz w:val="20"/>
              </w:rPr>
              <w:t>48</w:t>
            </w:r>
          </w:p>
        </w:tc>
        <w:tc>
          <w:tcPr>
            <w:tcW w:w="755" w:type="dxa"/>
            <w:tcBorders>
              <w:top w:val="single" w:sz="8" w:space="0" w:color="000000"/>
              <w:left w:val="single" w:sz="8" w:space="0" w:color="000000"/>
            </w:tcBorders>
          </w:tcPr>
          <w:p>
            <w:pPr>
              <w:pStyle w:val="TableParagraph"/>
              <w:spacing w:before="109"/>
              <w:ind w:right="181"/>
              <w:jc w:val="right"/>
              <w:rPr>
                <w:rFonts w:ascii="Calibri"/>
                <w:sz w:val="22"/>
              </w:rPr>
            </w:pPr>
            <w:r>
              <w:rPr>
                <w:rFonts w:ascii="Calibri"/>
                <w:sz w:val="22"/>
              </w:rPr>
              <w:t>0.08</w:t>
            </w:r>
          </w:p>
        </w:tc>
        <w:tc>
          <w:tcPr>
            <w:tcW w:w="766" w:type="dxa"/>
            <w:tcBorders>
              <w:top w:val="single" w:sz="8" w:space="0" w:color="000000"/>
            </w:tcBorders>
          </w:tcPr>
          <w:p>
            <w:pPr>
              <w:pStyle w:val="TableParagraph"/>
              <w:spacing w:before="109"/>
              <w:ind w:left="122" w:right="146"/>
              <w:rPr>
                <w:rFonts w:ascii="Calibri"/>
                <w:sz w:val="22"/>
              </w:rPr>
            </w:pPr>
            <w:r>
              <w:rPr>
                <w:rFonts w:ascii="Calibri"/>
                <w:sz w:val="22"/>
              </w:rPr>
              <w:t>0.03</w:t>
            </w:r>
          </w:p>
        </w:tc>
        <w:tc>
          <w:tcPr>
            <w:tcW w:w="737" w:type="dxa"/>
            <w:tcBorders>
              <w:top w:val="single" w:sz="8" w:space="0" w:color="000000"/>
              <w:right w:val="single" w:sz="8" w:space="0" w:color="000000"/>
            </w:tcBorders>
          </w:tcPr>
          <w:p>
            <w:pPr>
              <w:pStyle w:val="TableParagraph"/>
              <w:spacing w:before="109"/>
              <w:ind w:left="141" w:right="155"/>
              <w:rPr>
                <w:rFonts w:ascii="Calibri"/>
                <w:sz w:val="22"/>
              </w:rPr>
            </w:pPr>
            <w:r>
              <w:rPr>
                <w:rFonts w:ascii="Calibri"/>
                <w:sz w:val="22"/>
              </w:rPr>
              <w:t>0.86</w:t>
            </w:r>
          </w:p>
        </w:tc>
        <w:tc>
          <w:tcPr>
            <w:tcW w:w="754" w:type="dxa"/>
            <w:tcBorders>
              <w:top w:val="single" w:sz="8" w:space="0" w:color="000000"/>
              <w:left w:val="single" w:sz="8" w:space="0" w:color="000000"/>
            </w:tcBorders>
          </w:tcPr>
          <w:p>
            <w:pPr>
              <w:pStyle w:val="TableParagraph"/>
              <w:spacing w:before="109"/>
              <w:ind w:left="61" w:right="126"/>
              <w:rPr>
                <w:rFonts w:ascii="Calibri"/>
                <w:sz w:val="22"/>
              </w:rPr>
            </w:pPr>
            <w:r>
              <w:rPr>
                <w:rFonts w:ascii="Calibri"/>
                <w:sz w:val="22"/>
              </w:rPr>
              <w:t>0.09</w:t>
            </w:r>
          </w:p>
        </w:tc>
        <w:tc>
          <w:tcPr>
            <w:tcW w:w="768" w:type="dxa"/>
            <w:tcBorders>
              <w:top w:val="single" w:sz="8" w:space="0" w:color="000000"/>
            </w:tcBorders>
          </w:tcPr>
          <w:p>
            <w:pPr>
              <w:pStyle w:val="TableParagraph"/>
              <w:spacing w:before="109"/>
              <w:ind w:left="24" w:right="3"/>
              <w:rPr>
                <w:rFonts w:ascii="Calibri"/>
                <w:sz w:val="22"/>
              </w:rPr>
            </w:pPr>
            <w:r>
              <w:rPr>
                <w:rFonts w:ascii="Calibri"/>
                <w:sz w:val="22"/>
              </w:rPr>
              <w:t>0.01</w:t>
            </w:r>
          </w:p>
        </w:tc>
        <w:tc>
          <w:tcPr>
            <w:tcW w:w="738" w:type="dxa"/>
            <w:tcBorders>
              <w:top w:val="single" w:sz="8" w:space="0" w:color="000000"/>
            </w:tcBorders>
          </w:tcPr>
          <w:p>
            <w:pPr>
              <w:pStyle w:val="TableParagraph"/>
              <w:spacing w:before="109"/>
              <w:ind w:left="34" w:right="111"/>
              <w:rPr>
                <w:rFonts w:ascii="Calibri"/>
                <w:sz w:val="22"/>
              </w:rPr>
            </w:pPr>
            <w:r>
              <w:rPr>
                <w:rFonts w:ascii="Calibri"/>
                <w:sz w:val="22"/>
              </w:rPr>
              <w:t>0.80</w:t>
            </w:r>
          </w:p>
        </w:tc>
      </w:tr>
      <w:tr>
        <w:trPr>
          <w:trHeight w:val="276" w:hRule="atLeast"/>
        </w:trPr>
        <w:tc>
          <w:tcPr>
            <w:tcW w:w="748" w:type="dxa"/>
          </w:tcPr>
          <w:p>
            <w:pPr>
              <w:pStyle w:val="TableParagraph"/>
              <w:spacing w:line="241" w:lineRule="exact"/>
              <w:ind w:left="48" w:right="50"/>
              <w:rPr>
                <w:rFonts w:ascii="Calibri"/>
                <w:sz w:val="20"/>
              </w:rPr>
            </w:pPr>
            <w:r>
              <w:rPr>
                <w:rFonts w:ascii="Calibri"/>
                <w:sz w:val="20"/>
              </w:rPr>
              <w:t>220062</w:t>
            </w:r>
          </w:p>
        </w:tc>
        <w:tc>
          <w:tcPr>
            <w:tcW w:w="1143" w:type="dxa"/>
          </w:tcPr>
          <w:p>
            <w:pPr>
              <w:pStyle w:val="TableParagraph"/>
              <w:spacing w:line="241" w:lineRule="exact"/>
              <w:ind w:left="72"/>
              <w:jc w:val="left"/>
              <w:rPr>
                <w:rFonts w:ascii="Calibri"/>
                <w:sz w:val="20"/>
              </w:rPr>
            </w:pPr>
            <w:r>
              <w:rPr>
                <w:rFonts w:ascii="Calibri"/>
                <w:sz w:val="20"/>
              </w:rPr>
              <w:t>STORAA</w:t>
            </w:r>
          </w:p>
        </w:tc>
        <w:tc>
          <w:tcPr>
            <w:tcW w:w="1033" w:type="dxa"/>
          </w:tcPr>
          <w:p>
            <w:pPr>
              <w:pStyle w:val="TableParagraph"/>
              <w:spacing w:line="241" w:lineRule="exact"/>
              <w:ind w:left="163"/>
              <w:jc w:val="left"/>
              <w:rPr>
                <w:rFonts w:ascii="Calibri"/>
                <w:sz w:val="20"/>
              </w:rPr>
            </w:pPr>
            <w:r>
              <w:rPr>
                <w:rFonts w:ascii="Calibri"/>
                <w:sz w:val="20"/>
              </w:rPr>
              <w:t>61685</w:t>
            </w:r>
          </w:p>
        </w:tc>
        <w:tc>
          <w:tcPr>
            <w:tcW w:w="710" w:type="dxa"/>
            <w:tcBorders>
              <w:right w:val="single" w:sz="8" w:space="0" w:color="000000"/>
            </w:tcBorders>
          </w:tcPr>
          <w:p>
            <w:pPr>
              <w:pStyle w:val="TableParagraph"/>
              <w:spacing w:line="241" w:lineRule="exact"/>
              <w:ind w:left="19" w:right="50"/>
              <w:rPr>
                <w:rFonts w:ascii="Calibri"/>
                <w:sz w:val="20"/>
              </w:rPr>
            </w:pPr>
            <w:r>
              <w:rPr>
                <w:rFonts w:ascii="Calibri"/>
                <w:sz w:val="20"/>
              </w:rPr>
              <w:t>1097</w:t>
            </w:r>
          </w:p>
        </w:tc>
        <w:tc>
          <w:tcPr>
            <w:tcW w:w="755" w:type="dxa"/>
            <w:tcBorders>
              <w:left w:val="single" w:sz="8" w:space="0" w:color="000000"/>
            </w:tcBorders>
          </w:tcPr>
          <w:p>
            <w:pPr>
              <w:pStyle w:val="TableParagraph"/>
              <w:spacing w:line="251" w:lineRule="exact"/>
              <w:ind w:right="181"/>
              <w:jc w:val="right"/>
              <w:rPr>
                <w:rFonts w:ascii="Calibri"/>
                <w:sz w:val="22"/>
              </w:rPr>
            </w:pPr>
            <w:r>
              <w:rPr>
                <w:rFonts w:ascii="Calibri"/>
                <w:sz w:val="22"/>
              </w:rPr>
              <w:t>0.19</w:t>
            </w:r>
          </w:p>
        </w:tc>
        <w:tc>
          <w:tcPr>
            <w:tcW w:w="766" w:type="dxa"/>
          </w:tcPr>
          <w:p>
            <w:pPr>
              <w:pStyle w:val="TableParagraph"/>
              <w:spacing w:line="251" w:lineRule="exact"/>
              <w:ind w:left="122" w:right="146"/>
              <w:rPr>
                <w:rFonts w:ascii="Calibri"/>
                <w:sz w:val="22"/>
              </w:rPr>
            </w:pPr>
            <w:r>
              <w:rPr>
                <w:rFonts w:ascii="Calibri"/>
                <w:sz w:val="22"/>
              </w:rPr>
              <w:t>-0.15</w:t>
            </w:r>
          </w:p>
        </w:tc>
        <w:tc>
          <w:tcPr>
            <w:tcW w:w="737" w:type="dxa"/>
            <w:tcBorders>
              <w:right w:val="single" w:sz="8" w:space="0" w:color="000000"/>
            </w:tcBorders>
          </w:tcPr>
          <w:p>
            <w:pPr>
              <w:pStyle w:val="TableParagraph"/>
              <w:spacing w:line="251" w:lineRule="exact"/>
              <w:ind w:left="141" w:right="155"/>
              <w:rPr>
                <w:rFonts w:ascii="Calibri"/>
                <w:sz w:val="22"/>
              </w:rPr>
            </w:pPr>
            <w:r>
              <w:rPr>
                <w:rFonts w:ascii="Calibri"/>
                <w:sz w:val="22"/>
              </w:rPr>
              <w:t>0.80</w:t>
            </w:r>
          </w:p>
        </w:tc>
        <w:tc>
          <w:tcPr>
            <w:tcW w:w="754" w:type="dxa"/>
            <w:tcBorders>
              <w:left w:val="single" w:sz="8" w:space="0" w:color="000000"/>
            </w:tcBorders>
          </w:tcPr>
          <w:p>
            <w:pPr>
              <w:pStyle w:val="TableParagraph"/>
              <w:spacing w:line="251" w:lineRule="exact"/>
              <w:ind w:left="107" w:right="76"/>
              <w:rPr>
                <w:rFonts w:ascii="Calibri"/>
                <w:sz w:val="22"/>
              </w:rPr>
            </w:pPr>
            <w:r>
              <w:rPr>
                <w:rFonts w:ascii="Calibri"/>
                <w:sz w:val="22"/>
              </w:rPr>
              <w:t>0.25</w:t>
            </w:r>
          </w:p>
        </w:tc>
        <w:tc>
          <w:tcPr>
            <w:tcW w:w="768" w:type="dxa"/>
          </w:tcPr>
          <w:p>
            <w:pPr>
              <w:pStyle w:val="TableParagraph"/>
              <w:spacing w:line="251" w:lineRule="exact"/>
              <w:ind w:left="24" w:right="51"/>
              <w:rPr>
                <w:rFonts w:ascii="Calibri"/>
                <w:sz w:val="22"/>
              </w:rPr>
            </w:pPr>
            <w:r>
              <w:rPr>
                <w:rFonts w:ascii="Calibri"/>
                <w:sz w:val="22"/>
              </w:rPr>
              <w:t>-0.08</w:t>
            </w:r>
          </w:p>
        </w:tc>
        <w:tc>
          <w:tcPr>
            <w:tcW w:w="738" w:type="dxa"/>
          </w:tcPr>
          <w:p>
            <w:pPr>
              <w:pStyle w:val="TableParagraph"/>
              <w:spacing w:line="251" w:lineRule="exact"/>
              <w:ind w:left="34" w:right="111"/>
              <w:rPr>
                <w:rFonts w:ascii="Calibri"/>
                <w:sz w:val="22"/>
              </w:rPr>
            </w:pPr>
            <w:r>
              <w:rPr>
                <w:rFonts w:ascii="Calibri"/>
                <w:sz w:val="22"/>
              </w:rPr>
              <w:t>0.65</w:t>
            </w:r>
          </w:p>
        </w:tc>
      </w:tr>
      <w:tr>
        <w:trPr>
          <w:trHeight w:val="279" w:hRule="atLeast"/>
        </w:trPr>
        <w:tc>
          <w:tcPr>
            <w:tcW w:w="748" w:type="dxa"/>
          </w:tcPr>
          <w:p>
            <w:pPr>
              <w:pStyle w:val="TableParagraph"/>
              <w:spacing w:line="243" w:lineRule="exact"/>
              <w:ind w:left="48" w:right="50"/>
              <w:rPr>
                <w:rFonts w:ascii="Calibri"/>
                <w:sz w:val="20"/>
              </w:rPr>
            </w:pPr>
            <w:r>
              <w:rPr>
                <w:rFonts w:ascii="Calibri"/>
                <w:sz w:val="20"/>
              </w:rPr>
              <w:t>220225</w:t>
            </w:r>
          </w:p>
        </w:tc>
        <w:tc>
          <w:tcPr>
            <w:tcW w:w="1143" w:type="dxa"/>
          </w:tcPr>
          <w:p>
            <w:pPr>
              <w:pStyle w:val="TableParagraph"/>
              <w:spacing w:line="243" w:lineRule="exact"/>
              <w:ind w:left="72"/>
              <w:jc w:val="left"/>
              <w:rPr>
                <w:rFonts w:ascii="Calibri"/>
                <w:sz w:val="20"/>
              </w:rPr>
            </w:pPr>
            <w:r>
              <w:rPr>
                <w:rFonts w:ascii="Calibri"/>
                <w:sz w:val="20"/>
              </w:rPr>
              <w:t>STORAA</w:t>
            </w:r>
          </w:p>
        </w:tc>
        <w:tc>
          <w:tcPr>
            <w:tcW w:w="1033" w:type="dxa"/>
          </w:tcPr>
          <w:p>
            <w:pPr>
              <w:pStyle w:val="TableParagraph"/>
              <w:spacing w:line="243" w:lineRule="exact"/>
              <w:ind w:left="163"/>
              <w:jc w:val="left"/>
              <w:rPr>
                <w:rFonts w:ascii="Calibri"/>
                <w:sz w:val="20"/>
              </w:rPr>
            </w:pPr>
            <w:r>
              <w:rPr>
                <w:rFonts w:ascii="Calibri"/>
                <w:sz w:val="20"/>
              </w:rPr>
              <w:t>25132</w:t>
            </w:r>
          </w:p>
        </w:tc>
        <w:tc>
          <w:tcPr>
            <w:tcW w:w="710" w:type="dxa"/>
            <w:tcBorders>
              <w:right w:val="single" w:sz="8" w:space="0" w:color="000000"/>
            </w:tcBorders>
          </w:tcPr>
          <w:p>
            <w:pPr>
              <w:pStyle w:val="TableParagraph"/>
              <w:spacing w:line="243" w:lineRule="exact"/>
              <w:ind w:left="19" w:right="50"/>
              <w:rPr>
                <w:rFonts w:ascii="Calibri"/>
                <w:sz w:val="20"/>
              </w:rPr>
            </w:pPr>
            <w:r>
              <w:rPr>
                <w:rFonts w:ascii="Calibri"/>
                <w:sz w:val="20"/>
              </w:rPr>
              <w:t>547</w:t>
            </w:r>
          </w:p>
        </w:tc>
        <w:tc>
          <w:tcPr>
            <w:tcW w:w="755" w:type="dxa"/>
            <w:tcBorders>
              <w:left w:val="single" w:sz="8" w:space="0" w:color="000000"/>
            </w:tcBorders>
          </w:tcPr>
          <w:p>
            <w:pPr>
              <w:pStyle w:val="TableParagraph"/>
              <w:spacing w:line="253" w:lineRule="exact"/>
              <w:ind w:right="181"/>
              <w:jc w:val="right"/>
              <w:rPr>
                <w:rFonts w:ascii="Calibri"/>
                <w:sz w:val="22"/>
              </w:rPr>
            </w:pPr>
            <w:r>
              <w:rPr>
                <w:rFonts w:ascii="Calibri"/>
                <w:sz w:val="22"/>
              </w:rPr>
              <w:t>0.24</w:t>
            </w:r>
          </w:p>
        </w:tc>
        <w:tc>
          <w:tcPr>
            <w:tcW w:w="766" w:type="dxa"/>
          </w:tcPr>
          <w:p>
            <w:pPr>
              <w:pStyle w:val="TableParagraph"/>
              <w:spacing w:line="253" w:lineRule="exact"/>
              <w:ind w:left="122" w:right="146"/>
              <w:rPr>
                <w:rFonts w:ascii="Calibri"/>
                <w:sz w:val="22"/>
              </w:rPr>
            </w:pPr>
            <w:r>
              <w:rPr>
                <w:rFonts w:ascii="Calibri"/>
                <w:sz w:val="22"/>
              </w:rPr>
              <w:t>0.12</w:t>
            </w:r>
          </w:p>
        </w:tc>
        <w:tc>
          <w:tcPr>
            <w:tcW w:w="737" w:type="dxa"/>
            <w:tcBorders>
              <w:right w:val="single" w:sz="8" w:space="0" w:color="000000"/>
            </w:tcBorders>
          </w:tcPr>
          <w:p>
            <w:pPr>
              <w:pStyle w:val="TableParagraph"/>
              <w:spacing w:line="253" w:lineRule="exact"/>
              <w:ind w:left="141" w:right="155"/>
              <w:rPr>
                <w:rFonts w:ascii="Calibri"/>
                <w:sz w:val="22"/>
              </w:rPr>
            </w:pPr>
            <w:r>
              <w:rPr>
                <w:rFonts w:ascii="Calibri"/>
                <w:sz w:val="22"/>
              </w:rPr>
              <w:t>0.74</w:t>
            </w:r>
          </w:p>
        </w:tc>
        <w:tc>
          <w:tcPr>
            <w:tcW w:w="754" w:type="dxa"/>
            <w:tcBorders>
              <w:left w:val="single" w:sz="8" w:space="0" w:color="000000"/>
            </w:tcBorders>
          </w:tcPr>
          <w:p>
            <w:pPr>
              <w:pStyle w:val="TableParagraph"/>
              <w:spacing w:line="253" w:lineRule="exact"/>
              <w:ind w:left="107" w:right="76"/>
              <w:rPr>
                <w:rFonts w:ascii="Calibri"/>
                <w:sz w:val="22"/>
              </w:rPr>
            </w:pPr>
            <w:r>
              <w:rPr>
                <w:rFonts w:ascii="Calibri"/>
                <w:sz w:val="22"/>
              </w:rPr>
              <w:t>0.28</w:t>
            </w:r>
          </w:p>
        </w:tc>
        <w:tc>
          <w:tcPr>
            <w:tcW w:w="768" w:type="dxa"/>
          </w:tcPr>
          <w:p>
            <w:pPr>
              <w:pStyle w:val="TableParagraph"/>
              <w:spacing w:line="253" w:lineRule="exact"/>
              <w:ind w:left="24" w:right="3"/>
              <w:rPr>
                <w:rFonts w:ascii="Calibri"/>
                <w:sz w:val="22"/>
              </w:rPr>
            </w:pPr>
            <w:r>
              <w:rPr>
                <w:rFonts w:ascii="Calibri"/>
                <w:sz w:val="22"/>
              </w:rPr>
              <w:t>0.18</w:t>
            </w:r>
          </w:p>
        </w:tc>
        <w:tc>
          <w:tcPr>
            <w:tcW w:w="738" w:type="dxa"/>
          </w:tcPr>
          <w:p>
            <w:pPr>
              <w:pStyle w:val="TableParagraph"/>
              <w:spacing w:line="253" w:lineRule="exact"/>
              <w:ind w:left="34" w:right="111"/>
              <w:rPr>
                <w:rFonts w:ascii="Calibri"/>
                <w:sz w:val="22"/>
              </w:rPr>
            </w:pPr>
            <w:r>
              <w:rPr>
                <w:rFonts w:ascii="Calibri"/>
                <w:sz w:val="22"/>
              </w:rPr>
              <w:t>0.64</w:t>
            </w:r>
          </w:p>
        </w:tc>
      </w:tr>
      <w:tr>
        <w:trPr>
          <w:trHeight w:val="260" w:hRule="atLeast"/>
        </w:trPr>
        <w:tc>
          <w:tcPr>
            <w:tcW w:w="748" w:type="dxa"/>
          </w:tcPr>
          <w:p>
            <w:pPr>
              <w:pStyle w:val="TableParagraph"/>
              <w:spacing w:line="240" w:lineRule="exact"/>
              <w:ind w:left="48" w:right="50"/>
              <w:rPr>
                <w:rFonts w:ascii="Calibri"/>
                <w:sz w:val="20"/>
              </w:rPr>
            </w:pPr>
            <w:r>
              <w:rPr>
                <w:rFonts w:ascii="Calibri"/>
                <w:sz w:val="20"/>
              </w:rPr>
              <w:t>220059</w:t>
            </w:r>
          </w:p>
        </w:tc>
        <w:tc>
          <w:tcPr>
            <w:tcW w:w="1143" w:type="dxa"/>
          </w:tcPr>
          <w:p>
            <w:pPr>
              <w:pStyle w:val="TableParagraph"/>
              <w:spacing w:line="240" w:lineRule="exact"/>
              <w:ind w:left="72"/>
              <w:jc w:val="left"/>
              <w:rPr>
                <w:rFonts w:ascii="Calibri"/>
                <w:sz w:val="20"/>
              </w:rPr>
            </w:pPr>
            <w:r>
              <w:rPr>
                <w:rFonts w:ascii="Calibri"/>
                <w:sz w:val="20"/>
              </w:rPr>
              <w:t>STORAA</w:t>
            </w:r>
          </w:p>
        </w:tc>
        <w:tc>
          <w:tcPr>
            <w:tcW w:w="1033" w:type="dxa"/>
          </w:tcPr>
          <w:p>
            <w:pPr>
              <w:pStyle w:val="TableParagraph"/>
              <w:spacing w:line="240" w:lineRule="exact"/>
              <w:ind w:left="163"/>
              <w:jc w:val="left"/>
              <w:rPr>
                <w:rFonts w:ascii="Calibri"/>
                <w:sz w:val="20"/>
              </w:rPr>
            </w:pPr>
            <w:r>
              <w:rPr>
                <w:rFonts w:ascii="Calibri"/>
                <w:sz w:val="20"/>
              </w:rPr>
              <w:t>37971</w:t>
            </w:r>
          </w:p>
        </w:tc>
        <w:tc>
          <w:tcPr>
            <w:tcW w:w="710" w:type="dxa"/>
            <w:tcBorders>
              <w:right w:val="single" w:sz="8" w:space="0" w:color="000000"/>
            </w:tcBorders>
          </w:tcPr>
          <w:p>
            <w:pPr>
              <w:pStyle w:val="TableParagraph"/>
              <w:spacing w:line="240" w:lineRule="exact"/>
              <w:ind w:left="19" w:right="50"/>
              <w:rPr>
                <w:rFonts w:ascii="Calibri"/>
                <w:sz w:val="20"/>
              </w:rPr>
            </w:pPr>
            <w:r>
              <w:rPr>
                <w:rFonts w:ascii="Calibri"/>
                <w:sz w:val="20"/>
              </w:rPr>
              <w:t>825</w:t>
            </w:r>
          </w:p>
        </w:tc>
        <w:tc>
          <w:tcPr>
            <w:tcW w:w="755" w:type="dxa"/>
            <w:tcBorders>
              <w:left w:val="single" w:sz="8" w:space="0" w:color="000000"/>
            </w:tcBorders>
          </w:tcPr>
          <w:p>
            <w:pPr>
              <w:pStyle w:val="TableParagraph"/>
              <w:spacing w:line="240" w:lineRule="exact"/>
              <w:ind w:right="181"/>
              <w:jc w:val="right"/>
              <w:rPr>
                <w:rFonts w:ascii="Calibri"/>
                <w:sz w:val="22"/>
              </w:rPr>
            </w:pPr>
            <w:r>
              <w:rPr>
                <w:rFonts w:ascii="Calibri"/>
                <w:sz w:val="22"/>
              </w:rPr>
              <w:t>0.17</w:t>
            </w:r>
          </w:p>
        </w:tc>
        <w:tc>
          <w:tcPr>
            <w:tcW w:w="766" w:type="dxa"/>
          </w:tcPr>
          <w:p>
            <w:pPr>
              <w:pStyle w:val="TableParagraph"/>
              <w:spacing w:line="240" w:lineRule="exact"/>
              <w:ind w:left="122" w:right="146"/>
              <w:rPr>
                <w:rFonts w:ascii="Calibri"/>
                <w:sz w:val="22"/>
              </w:rPr>
            </w:pPr>
            <w:r>
              <w:rPr>
                <w:rFonts w:ascii="Calibri"/>
                <w:sz w:val="22"/>
              </w:rPr>
              <w:t>0.02</w:t>
            </w:r>
          </w:p>
        </w:tc>
        <w:tc>
          <w:tcPr>
            <w:tcW w:w="737" w:type="dxa"/>
            <w:tcBorders>
              <w:right w:val="single" w:sz="8" w:space="0" w:color="000000"/>
            </w:tcBorders>
          </w:tcPr>
          <w:p>
            <w:pPr>
              <w:pStyle w:val="TableParagraph"/>
              <w:spacing w:line="240" w:lineRule="exact"/>
              <w:ind w:left="141" w:right="155"/>
              <w:rPr>
                <w:rFonts w:ascii="Calibri"/>
                <w:sz w:val="22"/>
              </w:rPr>
            </w:pPr>
            <w:r>
              <w:rPr>
                <w:rFonts w:ascii="Calibri"/>
                <w:sz w:val="22"/>
              </w:rPr>
              <w:t>0.89</w:t>
            </w:r>
          </w:p>
        </w:tc>
        <w:tc>
          <w:tcPr>
            <w:tcW w:w="754" w:type="dxa"/>
            <w:tcBorders>
              <w:left w:val="single" w:sz="8" w:space="0" w:color="000000"/>
            </w:tcBorders>
          </w:tcPr>
          <w:p>
            <w:pPr>
              <w:pStyle w:val="TableParagraph"/>
              <w:spacing w:line="240" w:lineRule="exact"/>
              <w:ind w:left="107" w:right="76"/>
              <w:rPr>
                <w:rFonts w:ascii="Calibri"/>
                <w:sz w:val="22"/>
              </w:rPr>
            </w:pPr>
            <w:r>
              <w:rPr>
                <w:rFonts w:ascii="Calibri"/>
                <w:sz w:val="22"/>
              </w:rPr>
              <w:t>2.70</w:t>
            </w:r>
          </w:p>
        </w:tc>
        <w:tc>
          <w:tcPr>
            <w:tcW w:w="768" w:type="dxa"/>
          </w:tcPr>
          <w:p>
            <w:pPr>
              <w:pStyle w:val="TableParagraph"/>
              <w:spacing w:line="240" w:lineRule="exact"/>
              <w:ind w:left="24" w:right="3"/>
              <w:rPr>
                <w:rFonts w:ascii="Calibri"/>
                <w:sz w:val="22"/>
              </w:rPr>
            </w:pPr>
            <w:r>
              <w:rPr>
                <w:rFonts w:ascii="Calibri"/>
                <w:sz w:val="22"/>
              </w:rPr>
              <w:t>-2.69</w:t>
            </w:r>
          </w:p>
        </w:tc>
        <w:tc>
          <w:tcPr>
            <w:tcW w:w="738" w:type="dxa"/>
          </w:tcPr>
          <w:p>
            <w:pPr>
              <w:pStyle w:val="TableParagraph"/>
              <w:spacing w:line="240" w:lineRule="exact"/>
              <w:ind w:left="115" w:right="97"/>
              <w:rPr>
                <w:rFonts w:ascii="Calibri"/>
                <w:sz w:val="22"/>
              </w:rPr>
            </w:pPr>
            <w:r>
              <w:rPr>
                <w:rFonts w:ascii="Calibri"/>
                <w:sz w:val="22"/>
              </w:rPr>
              <w:t>-25.8</w:t>
            </w:r>
          </w:p>
        </w:tc>
      </w:tr>
    </w:tbl>
    <w:p>
      <w:pPr>
        <w:pStyle w:val="BodyText"/>
        <w:rPr>
          <w:rFonts w:ascii="Calibri"/>
          <w:i/>
          <w:sz w:val="18"/>
        </w:rPr>
      </w:pPr>
    </w:p>
    <w:p>
      <w:pPr>
        <w:pStyle w:val="BodyText"/>
        <w:spacing w:before="5"/>
        <w:rPr>
          <w:rFonts w:ascii="Calibri"/>
          <w:i/>
          <w:sz w:val="25"/>
        </w:rPr>
      </w:pPr>
    </w:p>
    <w:p>
      <w:pPr>
        <w:pStyle w:val="Heading5"/>
        <w:spacing w:before="1"/>
        <w:rPr>
          <w:i/>
        </w:rPr>
      </w:pPr>
      <w:r>
        <w:rPr>
          <w:i/>
        </w:rPr>
        <w:t>Odense Å – Optimerede parameterværdier</w:t>
      </w:r>
    </w:p>
    <w:p>
      <w:pPr>
        <w:pStyle w:val="BodyText"/>
        <w:spacing w:line="285" w:lineRule="auto" w:before="42"/>
        <w:ind w:left="525" w:right="732"/>
        <w:jc w:val="both"/>
      </w:pPr>
      <w:r>
        <w:rPr/>
        <w:t>De optimerede parametre for Manningtal for Odense Å er hhv. 16.0 og 10.2 m</w:t>
      </w:r>
      <w:r>
        <w:rPr>
          <w:position w:val="7"/>
          <w:sz w:val="14"/>
        </w:rPr>
        <w:t>1/3</w:t>
      </w:r>
      <w:r>
        <w:rPr/>
        <w:t>/s for mini- mum og amplitude hvilket resulterer i en sæsonvariation på Manningtallet fra 16.0-26.2 m</w:t>
      </w:r>
      <w:r>
        <w:rPr>
          <w:position w:val="7"/>
          <w:sz w:val="14"/>
        </w:rPr>
        <w:t>1/3</w:t>
      </w:r>
      <w:r>
        <w:rPr/>
        <w:t>/s.</w:t>
      </w:r>
    </w:p>
    <w:p>
      <w:pPr>
        <w:pStyle w:val="BodyText"/>
        <w:spacing w:before="3"/>
      </w:pPr>
    </w:p>
    <w:p>
      <w:pPr>
        <w:pStyle w:val="Heading5"/>
        <w:rPr>
          <w:i/>
        </w:rPr>
      </w:pPr>
      <w:r>
        <w:rPr>
          <w:i/>
        </w:rPr>
        <w:t>Odense Å - Vandstand</w:t>
      </w:r>
    </w:p>
    <w:p>
      <w:pPr>
        <w:pStyle w:val="BodyText"/>
        <w:spacing w:line="288" w:lineRule="auto" w:before="49"/>
        <w:ind w:left="525" w:right="731"/>
        <w:jc w:val="both"/>
      </w:pPr>
      <w:r>
        <w:rPr/>
        <w:t>For Odense Å er der ligeledes foretaget en performanceevaluering for simuleret vandstand for fem stationer, </w:t>
      </w:r>
      <w:hyperlink w:history="true" w:anchor="_bookmark86">
        <w:r>
          <w:rPr/>
          <w:t>tabel 22</w:t>
        </w:r>
      </w:hyperlink>
      <w:r>
        <w:rPr/>
        <w:t>, som alle indgik i kalibreringen af den hydrodynamiske model. Modellen opnår generelt en RMSE for kalibreringen på 10-15 cm bortset fra Stavis Å, hvor</w:t>
      </w:r>
    </w:p>
    <w:p>
      <w:pPr>
        <w:spacing w:after="0" w:line="288" w:lineRule="auto"/>
        <w:jc w:val="both"/>
        <w:sectPr>
          <w:pgSz w:w="11910" w:h="16850"/>
          <w:pgMar w:header="0" w:footer="857" w:top="1600" w:bottom="1120" w:left="1460" w:right="680"/>
        </w:sectPr>
      </w:pPr>
    </w:p>
    <w:p>
      <w:pPr>
        <w:pStyle w:val="BodyText"/>
        <w:spacing w:line="288" w:lineRule="auto" w:before="75"/>
        <w:ind w:left="525" w:right="731"/>
        <w:jc w:val="both"/>
      </w:pPr>
      <w:r>
        <w:rPr/>
        <w:t>RMSE er på 40 cm. Simuleret vandstand for de seks stationer er desuden illustreret i </w:t>
      </w:r>
      <w:hyperlink w:history="true" w:anchor="_bookmark87">
        <w:r>
          <w:rPr/>
          <w:t>figur</w:t>
        </w:r>
      </w:hyperlink>
      <w:r>
        <w:rPr/>
        <w:t> </w:t>
      </w:r>
      <w:hyperlink w:history="true" w:anchor="_bookmark87">
        <w:r>
          <w:rPr/>
          <w:t>52</w:t>
        </w:r>
        <w:r>
          <w:rPr>
            <w:spacing w:val="-4"/>
          </w:rPr>
          <w:t> </w:t>
        </w:r>
      </w:hyperlink>
      <w:r>
        <w:rPr/>
        <w:t>for</w:t>
      </w:r>
      <w:r>
        <w:rPr>
          <w:spacing w:val="-7"/>
        </w:rPr>
        <w:t> </w:t>
      </w:r>
      <w:r>
        <w:rPr/>
        <w:t>kalibreringsperioden,</w:t>
      </w:r>
      <w:r>
        <w:rPr>
          <w:spacing w:val="-4"/>
        </w:rPr>
        <w:t> </w:t>
      </w:r>
      <w:r>
        <w:rPr/>
        <w:t>og</w:t>
      </w:r>
      <w:r>
        <w:rPr>
          <w:spacing w:val="-3"/>
        </w:rPr>
        <w:t> </w:t>
      </w:r>
      <w:r>
        <w:rPr/>
        <w:t>viser</w:t>
      </w:r>
      <w:r>
        <w:rPr>
          <w:spacing w:val="-4"/>
        </w:rPr>
        <w:t> </w:t>
      </w:r>
      <w:r>
        <w:rPr/>
        <w:t>at</w:t>
      </w:r>
      <w:r>
        <w:rPr>
          <w:spacing w:val="-4"/>
        </w:rPr>
        <w:t> </w:t>
      </w:r>
      <w:r>
        <w:rPr/>
        <w:t>bias</w:t>
      </w:r>
      <w:r>
        <w:rPr>
          <w:spacing w:val="-4"/>
        </w:rPr>
        <w:t> </w:t>
      </w:r>
      <w:r>
        <w:rPr/>
        <w:t>for</w:t>
      </w:r>
      <w:r>
        <w:rPr>
          <w:spacing w:val="-3"/>
        </w:rPr>
        <w:t> </w:t>
      </w:r>
      <w:r>
        <w:rPr/>
        <w:t>Stavis</w:t>
      </w:r>
      <w:r>
        <w:rPr>
          <w:spacing w:val="-4"/>
        </w:rPr>
        <w:t> </w:t>
      </w:r>
      <w:r>
        <w:rPr/>
        <w:t>Å</w:t>
      </w:r>
      <w:r>
        <w:rPr>
          <w:spacing w:val="-2"/>
        </w:rPr>
        <w:t> </w:t>
      </w:r>
      <w:r>
        <w:rPr/>
        <w:t>primært</w:t>
      </w:r>
      <w:r>
        <w:rPr>
          <w:spacing w:val="-5"/>
        </w:rPr>
        <w:t> </w:t>
      </w:r>
      <w:r>
        <w:rPr/>
        <w:t>forekommer</w:t>
      </w:r>
      <w:r>
        <w:rPr>
          <w:spacing w:val="-4"/>
        </w:rPr>
        <w:t> </w:t>
      </w:r>
      <w:r>
        <w:rPr/>
        <w:t>ved</w:t>
      </w:r>
      <w:r>
        <w:rPr>
          <w:spacing w:val="-2"/>
        </w:rPr>
        <w:t> </w:t>
      </w:r>
      <w:r>
        <w:rPr/>
        <w:t>lave</w:t>
      </w:r>
      <w:r>
        <w:rPr>
          <w:spacing w:val="-4"/>
        </w:rPr>
        <w:t> </w:t>
      </w:r>
      <w:r>
        <w:rPr/>
        <w:t>vand- stande.</w:t>
      </w:r>
      <w:r>
        <w:rPr>
          <w:spacing w:val="-13"/>
        </w:rPr>
        <w:t> </w:t>
      </w:r>
      <w:r>
        <w:rPr/>
        <w:t>De</w:t>
      </w:r>
      <w:r>
        <w:rPr>
          <w:spacing w:val="-11"/>
        </w:rPr>
        <w:t> </w:t>
      </w:r>
      <w:r>
        <w:rPr/>
        <w:t>øvrige</w:t>
      </w:r>
      <w:r>
        <w:rPr>
          <w:spacing w:val="-9"/>
        </w:rPr>
        <w:t> </w:t>
      </w:r>
      <w:r>
        <w:rPr/>
        <w:t>stationer</w:t>
      </w:r>
      <w:r>
        <w:rPr>
          <w:spacing w:val="-9"/>
        </w:rPr>
        <w:t> </w:t>
      </w:r>
      <w:r>
        <w:rPr/>
        <w:t>har</w:t>
      </w:r>
      <w:r>
        <w:rPr>
          <w:spacing w:val="-10"/>
        </w:rPr>
        <w:t> </w:t>
      </w:r>
      <w:r>
        <w:rPr/>
        <w:t>en</w:t>
      </w:r>
      <w:r>
        <w:rPr>
          <w:spacing w:val="-10"/>
        </w:rPr>
        <w:t> </w:t>
      </w:r>
      <w:r>
        <w:rPr/>
        <w:t>fornuftig</w:t>
      </w:r>
      <w:r>
        <w:rPr>
          <w:spacing w:val="-8"/>
        </w:rPr>
        <w:t> </w:t>
      </w:r>
      <w:r>
        <w:rPr/>
        <w:t>dynamik</w:t>
      </w:r>
      <w:r>
        <w:rPr>
          <w:spacing w:val="-10"/>
        </w:rPr>
        <w:t> </w:t>
      </w:r>
      <w:r>
        <w:rPr/>
        <w:t>på</w:t>
      </w:r>
      <w:r>
        <w:rPr>
          <w:spacing w:val="-8"/>
        </w:rPr>
        <w:t> </w:t>
      </w:r>
      <w:r>
        <w:rPr/>
        <w:t>trods</w:t>
      </w:r>
      <w:r>
        <w:rPr>
          <w:spacing w:val="-9"/>
        </w:rPr>
        <w:t> </w:t>
      </w:r>
      <w:r>
        <w:rPr/>
        <w:t>af</w:t>
      </w:r>
      <w:r>
        <w:rPr>
          <w:spacing w:val="-7"/>
        </w:rPr>
        <w:t> </w:t>
      </w:r>
      <w:r>
        <w:rPr/>
        <w:t>at</w:t>
      </w:r>
      <w:r>
        <w:rPr>
          <w:spacing w:val="-10"/>
        </w:rPr>
        <w:t> </w:t>
      </w:r>
      <w:r>
        <w:rPr/>
        <w:t>Lindved</w:t>
      </w:r>
      <w:r>
        <w:rPr>
          <w:spacing w:val="-8"/>
        </w:rPr>
        <w:t> </w:t>
      </w:r>
      <w:r>
        <w:rPr/>
        <w:t>Å</w:t>
      </w:r>
      <w:r>
        <w:rPr>
          <w:spacing w:val="-8"/>
        </w:rPr>
        <w:t> </w:t>
      </w:r>
      <w:r>
        <w:rPr/>
        <w:t>har</w:t>
      </w:r>
      <w:r>
        <w:rPr>
          <w:spacing w:val="-10"/>
        </w:rPr>
        <w:t> </w:t>
      </w:r>
      <w:r>
        <w:rPr/>
        <w:t>en</w:t>
      </w:r>
      <w:r>
        <w:rPr>
          <w:spacing w:val="-8"/>
        </w:rPr>
        <w:t> </w:t>
      </w:r>
      <w:r>
        <w:rPr/>
        <w:t>lav</w:t>
      </w:r>
      <w:r>
        <w:rPr>
          <w:spacing w:val="-12"/>
        </w:rPr>
        <w:t> </w:t>
      </w:r>
      <w:r>
        <w:rPr/>
        <w:t>NSE. For validerings perioden ligger RMSE omkring 15-20 cm og igen højere for Stavis Å på 32 cm. I Stavis å er der foretaget vandløbsrestaurering, hvilket evt. kan være en forklaring </w:t>
      </w:r>
      <w:r>
        <w:rPr>
          <w:spacing w:val="-3"/>
        </w:rPr>
        <w:t>på </w:t>
      </w:r>
      <w:r>
        <w:rPr/>
        <w:t>den manglende</w:t>
      </w:r>
      <w:r>
        <w:rPr>
          <w:spacing w:val="-4"/>
        </w:rPr>
        <w:t> </w:t>
      </w:r>
      <w:r>
        <w:rPr/>
        <w:t>overensstemmelse.</w:t>
      </w:r>
    </w:p>
    <w:p>
      <w:pPr>
        <w:pStyle w:val="BodyText"/>
        <w:spacing w:before="4"/>
      </w:pPr>
    </w:p>
    <w:p>
      <w:pPr>
        <w:spacing w:before="0"/>
        <w:ind w:left="525" w:right="0" w:firstLine="0"/>
        <w:jc w:val="left"/>
        <w:rPr>
          <w:rFonts w:ascii="Calibri" w:hAnsi="Calibri"/>
          <w:i/>
          <w:sz w:val="18"/>
        </w:rPr>
      </w:pPr>
      <w:bookmarkStart w:name="_bookmark86" w:id="113"/>
      <w:bookmarkEnd w:id="113"/>
      <w:r>
        <w:rPr/>
      </w:r>
      <w:r>
        <w:rPr>
          <w:rFonts w:ascii="Calibri" w:hAnsi="Calibri"/>
          <w:i/>
          <w:color w:val="44536A"/>
          <w:sz w:val="18"/>
        </w:rPr>
        <w:t>Tabel 22 Performance statistik for vandstand for Odense Å for 1</w:t>
      </w:r>
      <w:r>
        <w:rPr>
          <w:rFonts w:ascii="Calibri" w:hAnsi="Calibri"/>
          <w:b/>
          <w:i/>
          <w:color w:val="44536A"/>
          <w:sz w:val="18"/>
        </w:rPr>
        <w:t>00m_HD </w:t>
      </w:r>
      <w:r>
        <w:rPr>
          <w:rFonts w:ascii="Calibri" w:hAnsi="Calibri"/>
          <w:i/>
          <w:color w:val="44536A"/>
          <w:sz w:val="18"/>
        </w:rPr>
        <w:t>modellen.</w:t>
      </w:r>
    </w:p>
    <w:p>
      <w:pPr>
        <w:pStyle w:val="BodyText"/>
        <w:spacing w:before="2"/>
        <w:rPr>
          <w:rFonts w:ascii="Calibri"/>
          <w:i/>
          <w:sz w:val="20"/>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91"/>
        <w:gridCol w:w="1132"/>
        <w:gridCol w:w="812"/>
        <w:gridCol w:w="721"/>
        <w:gridCol w:w="739"/>
        <w:gridCol w:w="826"/>
        <w:gridCol w:w="597"/>
        <w:gridCol w:w="744"/>
        <w:gridCol w:w="763"/>
        <w:gridCol w:w="869"/>
      </w:tblGrid>
      <w:tr>
        <w:trPr>
          <w:trHeight w:val="255" w:hRule="atLeast"/>
        </w:trPr>
        <w:tc>
          <w:tcPr>
            <w:tcW w:w="891" w:type="dxa"/>
          </w:tcPr>
          <w:p>
            <w:pPr>
              <w:pStyle w:val="TableParagraph"/>
              <w:spacing w:line="203" w:lineRule="exact"/>
              <w:ind w:left="69"/>
              <w:jc w:val="left"/>
              <w:rPr>
                <w:rFonts w:ascii="Calibri"/>
                <w:b/>
                <w:sz w:val="20"/>
              </w:rPr>
            </w:pPr>
            <w:r>
              <w:rPr>
                <w:rFonts w:ascii="Calibri"/>
                <w:b/>
                <w:sz w:val="20"/>
              </w:rPr>
              <w:t>100m_HD</w:t>
            </w:r>
          </w:p>
        </w:tc>
        <w:tc>
          <w:tcPr>
            <w:tcW w:w="1132" w:type="dxa"/>
          </w:tcPr>
          <w:p>
            <w:pPr>
              <w:pStyle w:val="TableParagraph"/>
              <w:jc w:val="left"/>
              <w:rPr>
                <w:rFonts w:ascii="Times New Roman"/>
                <w:sz w:val="18"/>
              </w:rPr>
            </w:pPr>
          </w:p>
        </w:tc>
        <w:tc>
          <w:tcPr>
            <w:tcW w:w="812" w:type="dxa"/>
          </w:tcPr>
          <w:p>
            <w:pPr>
              <w:pStyle w:val="TableParagraph"/>
              <w:jc w:val="left"/>
              <w:rPr>
                <w:rFonts w:ascii="Times New Roman"/>
                <w:sz w:val="18"/>
              </w:rPr>
            </w:pPr>
          </w:p>
        </w:tc>
        <w:tc>
          <w:tcPr>
            <w:tcW w:w="721" w:type="dxa"/>
          </w:tcPr>
          <w:p>
            <w:pPr>
              <w:pStyle w:val="TableParagraph"/>
              <w:jc w:val="left"/>
              <w:rPr>
                <w:rFonts w:ascii="Times New Roman"/>
                <w:sz w:val="18"/>
              </w:rPr>
            </w:pPr>
          </w:p>
        </w:tc>
        <w:tc>
          <w:tcPr>
            <w:tcW w:w="1565" w:type="dxa"/>
            <w:gridSpan w:val="2"/>
          </w:tcPr>
          <w:p>
            <w:pPr>
              <w:pStyle w:val="TableParagraph"/>
              <w:spacing w:line="227" w:lineRule="exact"/>
              <w:ind w:left="620"/>
              <w:jc w:val="left"/>
              <w:rPr>
                <w:rFonts w:ascii="Calibri"/>
                <w:b/>
                <w:sz w:val="20"/>
              </w:rPr>
            </w:pPr>
            <w:r>
              <w:rPr>
                <w:rFonts w:ascii="Calibri"/>
                <w:b/>
                <w:sz w:val="20"/>
              </w:rPr>
              <w:t>Kalibrering</w:t>
            </w:r>
          </w:p>
        </w:tc>
        <w:tc>
          <w:tcPr>
            <w:tcW w:w="597" w:type="dxa"/>
          </w:tcPr>
          <w:p>
            <w:pPr>
              <w:pStyle w:val="TableParagraph"/>
              <w:jc w:val="left"/>
              <w:rPr>
                <w:rFonts w:ascii="Times New Roman"/>
                <w:sz w:val="18"/>
              </w:rPr>
            </w:pPr>
          </w:p>
        </w:tc>
        <w:tc>
          <w:tcPr>
            <w:tcW w:w="744" w:type="dxa"/>
          </w:tcPr>
          <w:p>
            <w:pPr>
              <w:pStyle w:val="TableParagraph"/>
              <w:jc w:val="left"/>
              <w:rPr>
                <w:rFonts w:ascii="Times New Roman"/>
                <w:sz w:val="18"/>
              </w:rPr>
            </w:pPr>
          </w:p>
        </w:tc>
        <w:tc>
          <w:tcPr>
            <w:tcW w:w="1632" w:type="dxa"/>
            <w:gridSpan w:val="2"/>
          </w:tcPr>
          <w:p>
            <w:pPr>
              <w:pStyle w:val="TableParagraph"/>
              <w:spacing w:line="227" w:lineRule="exact"/>
              <w:ind w:left="11"/>
              <w:jc w:val="left"/>
              <w:rPr>
                <w:rFonts w:ascii="Calibri"/>
                <w:b/>
                <w:sz w:val="20"/>
              </w:rPr>
            </w:pPr>
            <w:r>
              <w:rPr>
                <w:rFonts w:ascii="Calibri"/>
                <w:b/>
                <w:sz w:val="20"/>
              </w:rPr>
              <w:t>Validering</w:t>
            </w:r>
          </w:p>
        </w:tc>
      </w:tr>
      <w:tr>
        <w:trPr>
          <w:trHeight w:val="338" w:hRule="atLeast"/>
        </w:trPr>
        <w:tc>
          <w:tcPr>
            <w:tcW w:w="891" w:type="dxa"/>
          </w:tcPr>
          <w:p>
            <w:pPr>
              <w:pStyle w:val="TableParagraph"/>
              <w:jc w:val="left"/>
              <w:rPr>
                <w:rFonts w:ascii="Times New Roman"/>
                <w:sz w:val="20"/>
              </w:rPr>
            </w:pPr>
          </w:p>
        </w:tc>
        <w:tc>
          <w:tcPr>
            <w:tcW w:w="1132" w:type="dxa"/>
          </w:tcPr>
          <w:p>
            <w:pPr>
              <w:pStyle w:val="TableParagraph"/>
              <w:jc w:val="left"/>
              <w:rPr>
                <w:rFonts w:ascii="Times New Roman"/>
                <w:sz w:val="20"/>
              </w:rPr>
            </w:pPr>
          </w:p>
        </w:tc>
        <w:tc>
          <w:tcPr>
            <w:tcW w:w="812" w:type="dxa"/>
            <w:vMerge w:val="restart"/>
            <w:tcBorders>
              <w:bottom w:val="single" w:sz="8" w:space="0" w:color="000000"/>
            </w:tcBorders>
          </w:tcPr>
          <w:p>
            <w:pPr>
              <w:pStyle w:val="TableParagraph"/>
              <w:spacing w:before="169"/>
              <w:ind w:left="161" w:right="216"/>
              <w:jc w:val="left"/>
              <w:rPr>
                <w:rFonts w:ascii="Calibri"/>
                <w:sz w:val="20"/>
              </w:rPr>
            </w:pPr>
            <w:r>
              <w:rPr>
                <w:rFonts w:ascii="Calibri"/>
                <w:sz w:val="20"/>
              </w:rPr>
              <w:t>Chai- nage</w:t>
            </w:r>
          </w:p>
        </w:tc>
        <w:tc>
          <w:tcPr>
            <w:tcW w:w="721" w:type="dxa"/>
            <w:vMerge w:val="restart"/>
            <w:tcBorders>
              <w:right w:val="single" w:sz="8" w:space="0" w:color="000000"/>
            </w:tcBorders>
          </w:tcPr>
          <w:p>
            <w:pPr>
              <w:pStyle w:val="TableParagraph"/>
              <w:spacing w:before="1"/>
              <w:ind w:left="179" w:right="160" w:firstLine="26"/>
              <w:jc w:val="left"/>
              <w:rPr>
                <w:rFonts w:ascii="Calibri"/>
                <w:sz w:val="20"/>
              </w:rPr>
            </w:pPr>
            <w:r>
              <w:rPr>
                <w:rFonts w:ascii="Calibri"/>
                <w:sz w:val="20"/>
              </w:rPr>
              <w:t>Op- land</w:t>
            </w:r>
          </w:p>
        </w:tc>
        <w:tc>
          <w:tcPr>
            <w:tcW w:w="739" w:type="dxa"/>
            <w:tcBorders>
              <w:left w:val="single" w:sz="8" w:space="0" w:color="000000"/>
            </w:tcBorders>
          </w:tcPr>
          <w:p>
            <w:pPr>
              <w:pStyle w:val="TableParagraph"/>
              <w:spacing w:line="195" w:lineRule="exact" w:before="124"/>
              <w:ind w:left="96" w:right="123"/>
              <w:rPr>
                <w:rFonts w:ascii="Calibri"/>
                <w:sz w:val="20"/>
              </w:rPr>
            </w:pPr>
            <w:r>
              <w:rPr>
                <w:rFonts w:ascii="Calibri"/>
                <w:sz w:val="20"/>
              </w:rPr>
              <w:t>RMSE</w:t>
            </w:r>
          </w:p>
        </w:tc>
        <w:tc>
          <w:tcPr>
            <w:tcW w:w="826" w:type="dxa"/>
          </w:tcPr>
          <w:p>
            <w:pPr>
              <w:pStyle w:val="TableParagraph"/>
              <w:spacing w:line="195" w:lineRule="exact" w:before="124"/>
              <w:ind w:left="207"/>
              <w:jc w:val="left"/>
              <w:rPr>
                <w:rFonts w:ascii="Calibri"/>
                <w:sz w:val="20"/>
              </w:rPr>
            </w:pPr>
            <w:r>
              <w:rPr>
                <w:rFonts w:ascii="Calibri"/>
                <w:sz w:val="20"/>
              </w:rPr>
              <w:t>ME</w:t>
            </w:r>
          </w:p>
        </w:tc>
        <w:tc>
          <w:tcPr>
            <w:tcW w:w="597" w:type="dxa"/>
            <w:tcBorders>
              <w:right w:val="single" w:sz="8" w:space="0" w:color="000000"/>
            </w:tcBorders>
          </w:tcPr>
          <w:p>
            <w:pPr>
              <w:pStyle w:val="TableParagraph"/>
              <w:spacing w:line="195" w:lineRule="exact" w:before="124"/>
              <w:ind w:left="5" w:right="124"/>
              <w:rPr>
                <w:rFonts w:ascii="Calibri"/>
                <w:sz w:val="20"/>
              </w:rPr>
            </w:pPr>
            <w:r>
              <w:rPr>
                <w:rFonts w:ascii="Calibri"/>
                <w:sz w:val="20"/>
              </w:rPr>
              <w:t>NSE</w:t>
            </w:r>
          </w:p>
        </w:tc>
        <w:tc>
          <w:tcPr>
            <w:tcW w:w="744" w:type="dxa"/>
            <w:tcBorders>
              <w:left w:val="single" w:sz="8" w:space="0" w:color="000000"/>
            </w:tcBorders>
          </w:tcPr>
          <w:p>
            <w:pPr>
              <w:pStyle w:val="TableParagraph"/>
              <w:spacing w:line="195" w:lineRule="exact" w:before="124"/>
              <w:ind w:right="181"/>
              <w:jc w:val="right"/>
              <w:rPr>
                <w:rFonts w:ascii="Calibri"/>
                <w:sz w:val="20"/>
              </w:rPr>
            </w:pPr>
            <w:r>
              <w:rPr>
                <w:rFonts w:ascii="Calibri"/>
                <w:w w:val="95"/>
                <w:sz w:val="20"/>
              </w:rPr>
              <w:t>RMSE</w:t>
            </w:r>
          </w:p>
        </w:tc>
        <w:tc>
          <w:tcPr>
            <w:tcW w:w="763" w:type="dxa"/>
          </w:tcPr>
          <w:p>
            <w:pPr>
              <w:pStyle w:val="TableParagraph"/>
              <w:spacing w:line="195" w:lineRule="exact" w:before="124"/>
              <w:ind w:left="145" w:right="221"/>
              <w:rPr>
                <w:rFonts w:ascii="Calibri"/>
                <w:sz w:val="20"/>
              </w:rPr>
            </w:pPr>
            <w:r>
              <w:rPr>
                <w:rFonts w:ascii="Calibri"/>
                <w:sz w:val="20"/>
              </w:rPr>
              <w:t>ME</w:t>
            </w:r>
          </w:p>
        </w:tc>
        <w:tc>
          <w:tcPr>
            <w:tcW w:w="869" w:type="dxa"/>
          </w:tcPr>
          <w:p>
            <w:pPr>
              <w:pStyle w:val="TableParagraph"/>
              <w:spacing w:line="195" w:lineRule="exact" w:before="124"/>
              <w:ind w:left="65" w:right="70"/>
              <w:rPr>
                <w:rFonts w:ascii="Calibri"/>
                <w:sz w:val="20"/>
              </w:rPr>
            </w:pPr>
            <w:r>
              <w:rPr>
                <w:rFonts w:ascii="Calibri"/>
                <w:sz w:val="20"/>
              </w:rPr>
              <w:t>NSE</w:t>
            </w:r>
          </w:p>
        </w:tc>
      </w:tr>
      <w:tr>
        <w:trPr>
          <w:trHeight w:val="191" w:hRule="atLeast"/>
        </w:trPr>
        <w:tc>
          <w:tcPr>
            <w:tcW w:w="891" w:type="dxa"/>
          </w:tcPr>
          <w:p>
            <w:pPr>
              <w:pStyle w:val="TableParagraph"/>
              <w:spacing w:line="171" w:lineRule="exact"/>
              <w:ind w:left="69"/>
              <w:jc w:val="left"/>
              <w:rPr>
                <w:rFonts w:ascii="Calibri"/>
                <w:sz w:val="20"/>
              </w:rPr>
            </w:pPr>
            <w:r>
              <w:rPr>
                <w:rFonts w:ascii="Calibri"/>
                <w:sz w:val="20"/>
              </w:rPr>
              <w:t>Station</w:t>
            </w:r>
          </w:p>
        </w:tc>
        <w:tc>
          <w:tcPr>
            <w:tcW w:w="1132" w:type="dxa"/>
          </w:tcPr>
          <w:p>
            <w:pPr>
              <w:pStyle w:val="TableParagraph"/>
              <w:spacing w:line="171" w:lineRule="exact"/>
              <w:ind w:left="4"/>
              <w:jc w:val="left"/>
              <w:rPr>
                <w:rFonts w:ascii="Calibri"/>
                <w:sz w:val="20"/>
              </w:rPr>
            </w:pPr>
            <w:r>
              <w:rPr>
                <w:rFonts w:ascii="Calibri"/>
                <w:sz w:val="20"/>
              </w:rPr>
              <w:t>Branch</w:t>
            </w:r>
          </w:p>
        </w:tc>
        <w:tc>
          <w:tcPr>
            <w:tcW w:w="812" w:type="dxa"/>
            <w:vMerge/>
            <w:tcBorders>
              <w:top w:val="nil"/>
              <w:bottom w:val="single" w:sz="8" w:space="0" w:color="000000"/>
            </w:tcBorders>
          </w:tcPr>
          <w:p>
            <w:pPr>
              <w:rPr>
                <w:sz w:val="2"/>
                <w:szCs w:val="2"/>
              </w:rPr>
            </w:pPr>
          </w:p>
        </w:tc>
        <w:tc>
          <w:tcPr>
            <w:tcW w:w="721" w:type="dxa"/>
            <w:vMerge/>
            <w:tcBorders>
              <w:top w:val="nil"/>
              <w:right w:val="single" w:sz="8" w:space="0" w:color="000000"/>
            </w:tcBorders>
          </w:tcPr>
          <w:p>
            <w:pPr>
              <w:rPr>
                <w:sz w:val="2"/>
                <w:szCs w:val="2"/>
              </w:rPr>
            </w:pPr>
          </w:p>
        </w:tc>
        <w:tc>
          <w:tcPr>
            <w:tcW w:w="739" w:type="dxa"/>
            <w:tcBorders>
              <w:left w:val="single" w:sz="8" w:space="0" w:color="000000"/>
            </w:tcBorders>
          </w:tcPr>
          <w:p>
            <w:pPr>
              <w:pStyle w:val="TableParagraph"/>
              <w:jc w:val="left"/>
              <w:rPr>
                <w:rFonts w:ascii="Times New Roman"/>
                <w:sz w:val="12"/>
              </w:rPr>
            </w:pPr>
          </w:p>
        </w:tc>
        <w:tc>
          <w:tcPr>
            <w:tcW w:w="826" w:type="dxa"/>
          </w:tcPr>
          <w:p>
            <w:pPr>
              <w:pStyle w:val="TableParagraph"/>
              <w:jc w:val="left"/>
              <w:rPr>
                <w:rFonts w:ascii="Times New Roman"/>
                <w:sz w:val="12"/>
              </w:rPr>
            </w:pPr>
          </w:p>
        </w:tc>
        <w:tc>
          <w:tcPr>
            <w:tcW w:w="597" w:type="dxa"/>
            <w:tcBorders>
              <w:right w:val="single" w:sz="8" w:space="0" w:color="000000"/>
            </w:tcBorders>
          </w:tcPr>
          <w:p>
            <w:pPr>
              <w:pStyle w:val="TableParagraph"/>
              <w:jc w:val="left"/>
              <w:rPr>
                <w:rFonts w:ascii="Times New Roman"/>
                <w:sz w:val="12"/>
              </w:rPr>
            </w:pPr>
          </w:p>
        </w:tc>
        <w:tc>
          <w:tcPr>
            <w:tcW w:w="744" w:type="dxa"/>
            <w:tcBorders>
              <w:left w:val="single" w:sz="8" w:space="0" w:color="000000"/>
            </w:tcBorders>
          </w:tcPr>
          <w:p>
            <w:pPr>
              <w:pStyle w:val="TableParagraph"/>
              <w:jc w:val="left"/>
              <w:rPr>
                <w:rFonts w:ascii="Times New Roman"/>
                <w:sz w:val="12"/>
              </w:rPr>
            </w:pPr>
          </w:p>
        </w:tc>
        <w:tc>
          <w:tcPr>
            <w:tcW w:w="763" w:type="dxa"/>
          </w:tcPr>
          <w:p>
            <w:pPr>
              <w:pStyle w:val="TableParagraph"/>
              <w:jc w:val="left"/>
              <w:rPr>
                <w:rFonts w:ascii="Times New Roman"/>
                <w:sz w:val="12"/>
              </w:rPr>
            </w:pPr>
          </w:p>
        </w:tc>
        <w:tc>
          <w:tcPr>
            <w:tcW w:w="869" w:type="dxa"/>
          </w:tcPr>
          <w:p>
            <w:pPr>
              <w:pStyle w:val="TableParagraph"/>
              <w:jc w:val="left"/>
              <w:rPr>
                <w:rFonts w:ascii="Times New Roman"/>
                <w:sz w:val="12"/>
              </w:rPr>
            </w:pPr>
          </w:p>
        </w:tc>
      </w:tr>
      <w:tr>
        <w:trPr>
          <w:trHeight w:val="255" w:hRule="atLeast"/>
        </w:trPr>
        <w:tc>
          <w:tcPr>
            <w:tcW w:w="891" w:type="dxa"/>
            <w:tcBorders>
              <w:bottom w:val="single" w:sz="8" w:space="0" w:color="000000"/>
            </w:tcBorders>
          </w:tcPr>
          <w:p>
            <w:pPr>
              <w:pStyle w:val="TableParagraph"/>
              <w:jc w:val="left"/>
              <w:rPr>
                <w:rFonts w:ascii="Times New Roman"/>
                <w:sz w:val="18"/>
              </w:rPr>
            </w:pPr>
          </w:p>
        </w:tc>
        <w:tc>
          <w:tcPr>
            <w:tcW w:w="1132" w:type="dxa"/>
            <w:tcBorders>
              <w:bottom w:val="single" w:sz="8" w:space="0" w:color="000000"/>
            </w:tcBorders>
          </w:tcPr>
          <w:p>
            <w:pPr>
              <w:pStyle w:val="TableParagraph"/>
              <w:jc w:val="left"/>
              <w:rPr>
                <w:rFonts w:ascii="Times New Roman"/>
                <w:sz w:val="18"/>
              </w:rPr>
            </w:pPr>
          </w:p>
        </w:tc>
        <w:tc>
          <w:tcPr>
            <w:tcW w:w="812" w:type="dxa"/>
            <w:vMerge/>
            <w:tcBorders>
              <w:top w:val="nil"/>
              <w:bottom w:val="single" w:sz="8" w:space="0" w:color="000000"/>
            </w:tcBorders>
          </w:tcPr>
          <w:p>
            <w:pPr>
              <w:rPr>
                <w:sz w:val="2"/>
                <w:szCs w:val="2"/>
              </w:rPr>
            </w:pPr>
          </w:p>
        </w:tc>
        <w:tc>
          <w:tcPr>
            <w:tcW w:w="721" w:type="dxa"/>
            <w:tcBorders>
              <w:bottom w:val="single" w:sz="8" w:space="0" w:color="000000"/>
              <w:right w:val="single" w:sz="8" w:space="0" w:color="000000"/>
            </w:tcBorders>
          </w:tcPr>
          <w:p>
            <w:pPr>
              <w:pStyle w:val="TableParagraph"/>
              <w:spacing w:line="221" w:lineRule="exact"/>
              <w:ind w:left="120" w:right="75"/>
              <w:rPr>
                <w:rFonts w:ascii="Calibri"/>
                <w:sz w:val="20"/>
              </w:rPr>
            </w:pPr>
            <w:r>
              <w:rPr>
                <w:rFonts w:ascii="Calibri"/>
                <w:sz w:val="20"/>
              </w:rPr>
              <w:t>[km2]</w:t>
            </w:r>
          </w:p>
        </w:tc>
        <w:tc>
          <w:tcPr>
            <w:tcW w:w="739" w:type="dxa"/>
            <w:tcBorders>
              <w:left w:val="single" w:sz="8" w:space="0" w:color="000000"/>
              <w:bottom w:val="single" w:sz="8" w:space="0" w:color="000000"/>
            </w:tcBorders>
          </w:tcPr>
          <w:p>
            <w:pPr>
              <w:pStyle w:val="TableParagraph"/>
              <w:spacing w:line="221" w:lineRule="exact"/>
              <w:ind w:left="96" w:right="121"/>
              <w:rPr>
                <w:rFonts w:ascii="Calibri"/>
                <w:sz w:val="20"/>
              </w:rPr>
            </w:pPr>
            <w:r>
              <w:rPr>
                <w:rFonts w:ascii="Calibri"/>
                <w:sz w:val="20"/>
              </w:rPr>
              <w:t>[m]</w:t>
            </w:r>
          </w:p>
        </w:tc>
        <w:tc>
          <w:tcPr>
            <w:tcW w:w="826" w:type="dxa"/>
            <w:tcBorders>
              <w:bottom w:val="single" w:sz="8" w:space="0" w:color="000000"/>
            </w:tcBorders>
          </w:tcPr>
          <w:p>
            <w:pPr>
              <w:pStyle w:val="TableParagraph"/>
              <w:spacing w:line="221" w:lineRule="exact"/>
              <w:ind w:right="341"/>
              <w:jc w:val="right"/>
              <w:rPr>
                <w:rFonts w:ascii="Calibri"/>
                <w:sz w:val="20"/>
              </w:rPr>
            </w:pPr>
            <w:r>
              <w:rPr>
                <w:rFonts w:ascii="Calibri"/>
                <w:sz w:val="20"/>
              </w:rPr>
              <w:t>[m]</w:t>
            </w:r>
          </w:p>
        </w:tc>
        <w:tc>
          <w:tcPr>
            <w:tcW w:w="597" w:type="dxa"/>
            <w:tcBorders>
              <w:bottom w:val="single" w:sz="8" w:space="0" w:color="000000"/>
              <w:right w:val="single" w:sz="8" w:space="0" w:color="000000"/>
            </w:tcBorders>
          </w:tcPr>
          <w:p>
            <w:pPr>
              <w:pStyle w:val="TableParagraph"/>
              <w:spacing w:line="221" w:lineRule="exact"/>
              <w:ind w:left="5" w:right="125"/>
              <w:rPr>
                <w:rFonts w:ascii="Calibri"/>
                <w:sz w:val="20"/>
              </w:rPr>
            </w:pPr>
            <w:r>
              <w:rPr>
                <w:rFonts w:ascii="Calibri"/>
                <w:sz w:val="20"/>
              </w:rPr>
              <w:t>[-]</w:t>
            </w:r>
          </w:p>
        </w:tc>
        <w:tc>
          <w:tcPr>
            <w:tcW w:w="744" w:type="dxa"/>
            <w:tcBorders>
              <w:left w:val="single" w:sz="8" w:space="0" w:color="000000"/>
              <w:bottom w:val="single" w:sz="8" w:space="0" w:color="000000"/>
            </w:tcBorders>
          </w:tcPr>
          <w:p>
            <w:pPr>
              <w:pStyle w:val="TableParagraph"/>
              <w:spacing w:line="221" w:lineRule="exact"/>
              <w:ind w:left="174"/>
              <w:jc w:val="left"/>
              <w:rPr>
                <w:rFonts w:ascii="Calibri"/>
                <w:sz w:val="20"/>
              </w:rPr>
            </w:pPr>
            <w:r>
              <w:rPr>
                <w:rFonts w:ascii="Calibri"/>
                <w:sz w:val="20"/>
              </w:rPr>
              <w:t>[m]</w:t>
            </w:r>
          </w:p>
        </w:tc>
        <w:tc>
          <w:tcPr>
            <w:tcW w:w="763" w:type="dxa"/>
            <w:tcBorders>
              <w:bottom w:val="single" w:sz="8" w:space="0" w:color="000000"/>
            </w:tcBorders>
          </w:tcPr>
          <w:p>
            <w:pPr>
              <w:pStyle w:val="TableParagraph"/>
              <w:spacing w:line="221" w:lineRule="exact"/>
              <w:ind w:left="145" w:right="221"/>
              <w:rPr>
                <w:rFonts w:ascii="Calibri"/>
                <w:sz w:val="20"/>
              </w:rPr>
            </w:pPr>
            <w:r>
              <w:rPr>
                <w:rFonts w:ascii="Calibri"/>
                <w:sz w:val="20"/>
              </w:rPr>
              <w:t>[m]</w:t>
            </w:r>
          </w:p>
        </w:tc>
        <w:tc>
          <w:tcPr>
            <w:tcW w:w="869" w:type="dxa"/>
            <w:tcBorders>
              <w:bottom w:val="single" w:sz="8" w:space="0" w:color="000000"/>
            </w:tcBorders>
          </w:tcPr>
          <w:p>
            <w:pPr>
              <w:pStyle w:val="TableParagraph"/>
              <w:spacing w:line="221" w:lineRule="exact"/>
              <w:ind w:left="65" w:right="70"/>
              <w:rPr>
                <w:rFonts w:ascii="Calibri"/>
                <w:sz w:val="20"/>
              </w:rPr>
            </w:pPr>
            <w:r>
              <w:rPr>
                <w:rFonts w:ascii="Calibri"/>
                <w:sz w:val="20"/>
              </w:rPr>
              <w:t>[-]</w:t>
            </w:r>
          </w:p>
        </w:tc>
      </w:tr>
      <w:tr>
        <w:trPr>
          <w:trHeight w:val="310" w:hRule="atLeast"/>
        </w:trPr>
        <w:tc>
          <w:tcPr>
            <w:tcW w:w="891" w:type="dxa"/>
            <w:tcBorders>
              <w:top w:val="single" w:sz="8" w:space="0" w:color="000000"/>
            </w:tcBorders>
          </w:tcPr>
          <w:p>
            <w:pPr>
              <w:pStyle w:val="TableParagraph"/>
              <w:spacing w:before="32"/>
              <w:ind w:left="69"/>
              <w:jc w:val="left"/>
              <w:rPr>
                <w:rFonts w:ascii="Calibri"/>
                <w:sz w:val="20"/>
              </w:rPr>
            </w:pPr>
            <w:r>
              <w:rPr>
                <w:rFonts w:ascii="Calibri"/>
                <w:sz w:val="20"/>
              </w:rPr>
              <w:t>45.17</w:t>
            </w:r>
          </w:p>
        </w:tc>
        <w:tc>
          <w:tcPr>
            <w:tcW w:w="1132" w:type="dxa"/>
            <w:tcBorders>
              <w:top w:val="single" w:sz="8" w:space="0" w:color="000000"/>
            </w:tcBorders>
          </w:tcPr>
          <w:p>
            <w:pPr>
              <w:pStyle w:val="TableParagraph"/>
              <w:spacing w:before="32"/>
              <w:ind w:left="4"/>
              <w:jc w:val="left"/>
              <w:rPr>
                <w:rFonts w:ascii="Calibri"/>
                <w:sz w:val="20"/>
              </w:rPr>
            </w:pPr>
            <w:r>
              <w:rPr>
                <w:rFonts w:ascii="Calibri"/>
                <w:sz w:val="20"/>
              </w:rPr>
              <w:t>Odense Aa</w:t>
            </w:r>
          </w:p>
        </w:tc>
        <w:tc>
          <w:tcPr>
            <w:tcW w:w="812" w:type="dxa"/>
            <w:tcBorders>
              <w:top w:val="single" w:sz="8" w:space="0" w:color="000000"/>
            </w:tcBorders>
          </w:tcPr>
          <w:p>
            <w:pPr>
              <w:pStyle w:val="TableParagraph"/>
              <w:spacing w:before="32"/>
              <w:ind w:left="161"/>
              <w:jc w:val="left"/>
              <w:rPr>
                <w:rFonts w:ascii="Calibri"/>
                <w:sz w:val="20"/>
              </w:rPr>
            </w:pPr>
            <w:r>
              <w:rPr>
                <w:rFonts w:ascii="Calibri"/>
                <w:sz w:val="20"/>
              </w:rPr>
              <w:t>51313</w:t>
            </w:r>
          </w:p>
        </w:tc>
        <w:tc>
          <w:tcPr>
            <w:tcW w:w="721" w:type="dxa"/>
            <w:tcBorders>
              <w:top w:val="single" w:sz="8" w:space="0" w:color="000000"/>
              <w:right w:val="single" w:sz="8" w:space="0" w:color="000000"/>
            </w:tcBorders>
          </w:tcPr>
          <w:p>
            <w:pPr>
              <w:pStyle w:val="TableParagraph"/>
              <w:jc w:val="left"/>
              <w:rPr>
                <w:rFonts w:ascii="Times New Roman"/>
                <w:sz w:val="20"/>
              </w:rPr>
            </w:pPr>
          </w:p>
        </w:tc>
        <w:tc>
          <w:tcPr>
            <w:tcW w:w="739" w:type="dxa"/>
            <w:tcBorders>
              <w:top w:val="single" w:sz="8" w:space="0" w:color="000000"/>
              <w:left w:val="single" w:sz="8" w:space="0" w:color="000000"/>
            </w:tcBorders>
          </w:tcPr>
          <w:p>
            <w:pPr>
              <w:pStyle w:val="TableParagraph"/>
              <w:spacing w:before="32"/>
              <w:ind w:left="96" w:right="122"/>
              <w:rPr>
                <w:rFonts w:ascii="Calibri"/>
                <w:sz w:val="20"/>
              </w:rPr>
            </w:pPr>
            <w:r>
              <w:rPr>
                <w:rFonts w:ascii="Calibri"/>
                <w:sz w:val="20"/>
              </w:rPr>
              <w:t>0.14</w:t>
            </w:r>
          </w:p>
        </w:tc>
        <w:tc>
          <w:tcPr>
            <w:tcW w:w="826" w:type="dxa"/>
            <w:tcBorders>
              <w:top w:val="single" w:sz="8" w:space="0" w:color="000000"/>
            </w:tcBorders>
          </w:tcPr>
          <w:p>
            <w:pPr>
              <w:pStyle w:val="TableParagraph"/>
              <w:spacing w:before="32"/>
              <w:ind w:right="274"/>
              <w:jc w:val="right"/>
              <w:rPr>
                <w:rFonts w:ascii="Calibri"/>
                <w:sz w:val="20"/>
              </w:rPr>
            </w:pPr>
            <w:r>
              <w:rPr>
                <w:rFonts w:ascii="Calibri"/>
                <w:sz w:val="20"/>
              </w:rPr>
              <w:t>-0.09</w:t>
            </w:r>
          </w:p>
        </w:tc>
        <w:tc>
          <w:tcPr>
            <w:tcW w:w="597" w:type="dxa"/>
            <w:tcBorders>
              <w:top w:val="single" w:sz="8" w:space="0" w:color="000000"/>
              <w:right w:val="single" w:sz="8" w:space="0" w:color="000000"/>
            </w:tcBorders>
          </w:tcPr>
          <w:p>
            <w:pPr>
              <w:pStyle w:val="TableParagraph"/>
              <w:spacing w:before="32"/>
              <w:ind w:left="2" w:right="125"/>
              <w:rPr>
                <w:rFonts w:ascii="Calibri"/>
                <w:sz w:val="20"/>
              </w:rPr>
            </w:pPr>
            <w:r>
              <w:rPr>
                <w:rFonts w:ascii="Calibri"/>
                <w:sz w:val="20"/>
              </w:rPr>
              <w:t>0.25</w:t>
            </w:r>
          </w:p>
        </w:tc>
        <w:tc>
          <w:tcPr>
            <w:tcW w:w="744" w:type="dxa"/>
            <w:tcBorders>
              <w:top w:val="single" w:sz="8" w:space="0" w:color="000000"/>
              <w:left w:val="single" w:sz="8" w:space="0" w:color="000000"/>
            </w:tcBorders>
          </w:tcPr>
          <w:p>
            <w:pPr>
              <w:pStyle w:val="TableParagraph"/>
              <w:spacing w:before="1"/>
              <w:ind w:right="101"/>
              <w:rPr>
                <w:rFonts w:ascii="Calibri"/>
                <w:sz w:val="20"/>
              </w:rPr>
            </w:pPr>
            <w:r>
              <w:rPr>
                <w:rFonts w:ascii="Calibri"/>
                <w:w w:val="99"/>
                <w:sz w:val="20"/>
              </w:rPr>
              <w:t>-</w:t>
            </w:r>
          </w:p>
        </w:tc>
        <w:tc>
          <w:tcPr>
            <w:tcW w:w="763" w:type="dxa"/>
            <w:tcBorders>
              <w:top w:val="single" w:sz="8" w:space="0" w:color="000000"/>
            </w:tcBorders>
          </w:tcPr>
          <w:p>
            <w:pPr>
              <w:pStyle w:val="TableParagraph"/>
              <w:spacing w:before="1"/>
              <w:ind w:right="76"/>
              <w:rPr>
                <w:rFonts w:ascii="Calibri"/>
                <w:sz w:val="20"/>
              </w:rPr>
            </w:pPr>
            <w:r>
              <w:rPr>
                <w:rFonts w:ascii="Calibri"/>
                <w:w w:val="99"/>
                <w:sz w:val="20"/>
              </w:rPr>
              <w:t>-</w:t>
            </w:r>
          </w:p>
        </w:tc>
        <w:tc>
          <w:tcPr>
            <w:tcW w:w="869" w:type="dxa"/>
            <w:tcBorders>
              <w:top w:val="single" w:sz="8" w:space="0" w:color="000000"/>
            </w:tcBorders>
          </w:tcPr>
          <w:p>
            <w:pPr>
              <w:pStyle w:val="TableParagraph"/>
              <w:spacing w:before="1"/>
              <w:ind w:right="3"/>
              <w:rPr>
                <w:rFonts w:ascii="Calibri"/>
                <w:sz w:val="20"/>
              </w:rPr>
            </w:pPr>
            <w:r>
              <w:rPr>
                <w:rFonts w:ascii="Calibri"/>
                <w:w w:val="99"/>
                <w:sz w:val="20"/>
              </w:rPr>
              <w:t>-</w:t>
            </w:r>
          </w:p>
        </w:tc>
      </w:tr>
      <w:tr>
        <w:trPr>
          <w:trHeight w:val="302" w:hRule="atLeast"/>
        </w:trPr>
        <w:tc>
          <w:tcPr>
            <w:tcW w:w="891" w:type="dxa"/>
          </w:tcPr>
          <w:p>
            <w:pPr>
              <w:pStyle w:val="TableParagraph"/>
              <w:spacing w:before="25"/>
              <w:ind w:left="69"/>
              <w:jc w:val="left"/>
              <w:rPr>
                <w:rFonts w:ascii="Calibri"/>
                <w:sz w:val="20"/>
              </w:rPr>
            </w:pPr>
            <w:r>
              <w:rPr>
                <w:rFonts w:ascii="Calibri"/>
                <w:sz w:val="20"/>
              </w:rPr>
              <w:t>450001</w:t>
            </w:r>
          </w:p>
        </w:tc>
        <w:tc>
          <w:tcPr>
            <w:tcW w:w="1132" w:type="dxa"/>
          </w:tcPr>
          <w:p>
            <w:pPr>
              <w:pStyle w:val="TableParagraph"/>
              <w:spacing w:before="25"/>
              <w:ind w:left="4"/>
              <w:jc w:val="left"/>
              <w:rPr>
                <w:rFonts w:ascii="Calibri"/>
                <w:sz w:val="20"/>
              </w:rPr>
            </w:pPr>
            <w:r>
              <w:rPr>
                <w:rFonts w:ascii="Calibri"/>
                <w:sz w:val="20"/>
              </w:rPr>
              <w:t>Odense Aa</w:t>
            </w:r>
          </w:p>
        </w:tc>
        <w:tc>
          <w:tcPr>
            <w:tcW w:w="812" w:type="dxa"/>
          </w:tcPr>
          <w:p>
            <w:pPr>
              <w:pStyle w:val="TableParagraph"/>
              <w:spacing w:before="25"/>
              <w:ind w:left="161"/>
              <w:jc w:val="left"/>
              <w:rPr>
                <w:rFonts w:ascii="Calibri"/>
                <w:sz w:val="20"/>
              </w:rPr>
            </w:pPr>
            <w:r>
              <w:rPr>
                <w:rFonts w:ascii="Calibri"/>
                <w:sz w:val="20"/>
              </w:rPr>
              <w:t>45097</w:t>
            </w:r>
          </w:p>
        </w:tc>
        <w:tc>
          <w:tcPr>
            <w:tcW w:w="721" w:type="dxa"/>
            <w:tcBorders>
              <w:right w:val="single" w:sz="8" w:space="0" w:color="000000"/>
            </w:tcBorders>
          </w:tcPr>
          <w:p>
            <w:pPr>
              <w:pStyle w:val="TableParagraph"/>
              <w:spacing w:before="25"/>
              <w:ind w:left="75" w:right="75"/>
              <w:rPr>
                <w:rFonts w:ascii="Calibri"/>
                <w:sz w:val="20"/>
              </w:rPr>
            </w:pPr>
            <w:r>
              <w:rPr>
                <w:rFonts w:ascii="Calibri"/>
                <w:sz w:val="20"/>
              </w:rPr>
              <w:t>535</w:t>
            </w:r>
          </w:p>
        </w:tc>
        <w:tc>
          <w:tcPr>
            <w:tcW w:w="739" w:type="dxa"/>
            <w:tcBorders>
              <w:left w:val="single" w:sz="8" w:space="0" w:color="000000"/>
            </w:tcBorders>
          </w:tcPr>
          <w:p>
            <w:pPr>
              <w:pStyle w:val="TableParagraph"/>
              <w:spacing w:before="25"/>
              <w:ind w:left="96" w:right="122"/>
              <w:rPr>
                <w:rFonts w:ascii="Calibri"/>
                <w:sz w:val="20"/>
              </w:rPr>
            </w:pPr>
            <w:r>
              <w:rPr>
                <w:rFonts w:ascii="Calibri"/>
                <w:sz w:val="20"/>
              </w:rPr>
              <w:t>0.16</w:t>
            </w:r>
          </w:p>
        </w:tc>
        <w:tc>
          <w:tcPr>
            <w:tcW w:w="826" w:type="dxa"/>
          </w:tcPr>
          <w:p>
            <w:pPr>
              <w:pStyle w:val="TableParagraph"/>
              <w:spacing w:before="25"/>
              <w:ind w:right="274"/>
              <w:jc w:val="right"/>
              <w:rPr>
                <w:rFonts w:ascii="Calibri"/>
                <w:sz w:val="20"/>
              </w:rPr>
            </w:pPr>
            <w:r>
              <w:rPr>
                <w:rFonts w:ascii="Calibri"/>
                <w:sz w:val="20"/>
              </w:rPr>
              <w:t>-0.03</w:t>
            </w:r>
          </w:p>
        </w:tc>
        <w:tc>
          <w:tcPr>
            <w:tcW w:w="597" w:type="dxa"/>
            <w:tcBorders>
              <w:right w:val="single" w:sz="8" w:space="0" w:color="000000"/>
            </w:tcBorders>
          </w:tcPr>
          <w:p>
            <w:pPr>
              <w:pStyle w:val="TableParagraph"/>
              <w:spacing w:before="25"/>
              <w:ind w:left="2" w:right="125"/>
              <w:rPr>
                <w:rFonts w:ascii="Calibri"/>
                <w:sz w:val="20"/>
              </w:rPr>
            </w:pPr>
            <w:r>
              <w:rPr>
                <w:rFonts w:ascii="Calibri"/>
                <w:sz w:val="20"/>
              </w:rPr>
              <w:t>0.66</w:t>
            </w:r>
          </w:p>
        </w:tc>
        <w:tc>
          <w:tcPr>
            <w:tcW w:w="744" w:type="dxa"/>
            <w:tcBorders>
              <w:left w:val="single" w:sz="8" w:space="0" w:color="000000"/>
            </w:tcBorders>
          </w:tcPr>
          <w:p>
            <w:pPr>
              <w:pStyle w:val="TableParagraph"/>
              <w:spacing w:line="241" w:lineRule="exact"/>
              <w:ind w:right="240"/>
              <w:jc w:val="right"/>
              <w:rPr>
                <w:rFonts w:ascii="Calibri"/>
                <w:sz w:val="20"/>
              </w:rPr>
            </w:pPr>
            <w:r>
              <w:rPr>
                <w:rFonts w:ascii="Calibri"/>
                <w:w w:val="95"/>
                <w:sz w:val="20"/>
              </w:rPr>
              <w:t>0.17</w:t>
            </w:r>
          </w:p>
        </w:tc>
        <w:tc>
          <w:tcPr>
            <w:tcW w:w="763" w:type="dxa"/>
          </w:tcPr>
          <w:p>
            <w:pPr>
              <w:pStyle w:val="TableParagraph"/>
              <w:spacing w:line="241" w:lineRule="exact"/>
              <w:ind w:left="145" w:right="222"/>
              <w:rPr>
                <w:rFonts w:ascii="Calibri"/>
                <w:sz w:val="20"/>
              </w:rPr>
            </w:pPr>
            <w:r>
              <w:rPr>
                <w:rFonts w:ascii="Calibri"/>
                <w:sz w:val="20"/>
              </w:rPr>
              <w:t>0.07</w:t>
            </w:r>
          </w:p>
        </w:tc>
        <w:tc>
          <w:tcPr>
            <w:tcW w:w="869" w:type="dxa"/>
          </w:tcPr>
          <w:p>
            <w:pPr>
              <w:pStyle w:val="TableParagraph"/>
              <w:spacing w:line="241" w:lineRule="exact"/>
              <w:ind w:left="65" w:right="68"/>
              <w:rPr>
                <w:rFonts w:ascii="Calibri"/>
                <w:sz w:val="20"/>
              </w:rPr>
            </w:pPr>
            <w:r>
              <w:rPr>
                <w:rFonts w:ascii="Calibri"/>
                <w:sz w:val="20"/>
              </w:rPr>
              <w:t>0.60</w:t>
            </w:r>
          </w:p>
        </w:tc>
      </w:tr>
      <w:tr>
        <w:trPr>
          <w:trHeight w:val="302" w:hRule="atLeast"/>
        </w:trPr>
        <w:tc>
          <w:tcPr>
            <w:tcW w:w="891" w:type="dxa"/>
          </w:tcPr>
          <w:p>
            <w:pPr>
              <w:pStyle w:val="TableParagraph"/>
              <w:spacing w:before="25"/>
              <w:ind w:left="69"/>
              <w:jc w:val="left"/>
              <w:rPr>
                <w:rFonts w:ascii="Calibri"/>
                <w:sz w:val="20"/>
              </w:rPr>
            </w:pPr>
            <w:r>
              <w:rPr>
                <w:rFonts w:ascii="Calibri"/>
                <w:sz w:val="20"/>
              </w:rPr>
              <w:t>450003</w:t>
            </w:r>
          </w:p>
        </w:tc>
        <w:tc>
          <w:tcPr>
            <w:tcW w:w="1132" w:type="dxa"/>
          </w:tcPr>
          <w:p>
            <w:pPr>
              <w:pStyle w:val="TableParagraph"/>
              <w:spacing w:before="25"/>
              <w:ind w:left="4"/>
              <w:jc w:val="left"/>
              <w:rPr>
                <w:rFonts w:ascii="Calibri"/>
                <w:sz w:val="20"/>
              </w:rPr>
            </w:pPr>
            <w:r>
              <w:rPr>
                <w:rFonts w:ascii="Calibri"/>
                <w:sz w:val="20"/>
              </w:rPr>
              <w:t>Odense Aa</w:t>
            </w:r>
          </w:p>
        </w:tc>
        <w:tc>
          <w:tcPr>
            <w:tcW w:w="812" w:type="dxa"/>
          </w:tcPr>
          <w:p>
            <w:pPr>
              <w:pStyle w:val="TableParagraph"/>
              <w:spacing w:before="25"/>
              <w:ind w:left="161"/>
              <w:jc w:val="left"/>
              <w:rPr>
                <w:rFonts w:ascii="Calibri"/>
                <w:sz w:val="20"/>
              </w:rPr>
            </w:pPr>
            <w:r>
              <w:rPr>
                <w:rFonts w:ascii="Calibri"/>
                <w:sz w:val="20"/>
              </w:rPr>
              <w:t>31595</w:t>
            </w:r>
          </w:p>
        </w:tc>
        <w:tc>
          <w:tcPr>
            <w:tcW w:w="721" w:type="dxa"/>
            <w:tcBorders>
              <w:right w:val="single" w:sz="8" w:space="0" w:color="000000"/>
            </w:tcBorders>
          </w:tcPr>
          <w:p>
            <w:pPr>
              <w:pStyle w:val="TableParagraph"/>
              <w:spacing w:before="25"/>
              <w:ind w:left="75" w:right="75"/>
              <w:rPr>
                <w:rFonts w:ascii="Calibri"/>
                <w:sz w:val="20"/>
              </w:rPr>
            </w:pPr>
            <w:r>
              <w:rPr>
                <w:rFonts w:ascii="Calibri"/>
                <w:sz w:val="20"/>
              </w:rPr>
              <w:t>486</w:t>
            </w:r>
          </w:p>
        </w:tc>
        <w:tc>
          <w:tcPr>
            <w:tcW w:w="739" w:type="dxa"/>
            <w:tcBorders>
              <w:left w:val="single" w:sz="8" w:space="0" w:color="000000"/>
            </w:tcBorders>
          </w:tcPr>
          <w:p>
            <w:pPr>
              <w:pStyle w:val="TableParagraph"/>
              <w:spacing w:before="25"/>
              <w:ind w:left="96" w:right="122"/>
              <w:rPr>
                <w:rFonts w:ascii="Calibri"/>
                <w:sz w:val="20"/>
              </w:rPr>
            </w:pPr>
            <w:r>
              <w:rPr>
                <w:rFonts w:ascii="Calibri"/>
                <w:sz w:val="20"/>
              </w:rPr>
              <w:t>0.15</w:t>
            </w:r>
          </w:p>
        </w:tc>
        <w:tc>
          <w:tcPr>
            <w:tcW w:w="826" w:type="dxa"/>
          </w:tcPr>
          <w:p>
            <w:pPr>
              <w:pStyle w:val="TableParagraph"/>
              <w:spacing w:before="25"/>
              <w:ind w:right="274"/>
              <w:jc w:val="right"/>
              <w:rPr>
                <w:rFonts w:ascii="Calibri"/>
                <w:sz w:val="20"/>
              </w:rPr>
            </w:pPr>
            <w:r>
              <w:rPr>
                <w:rFonts w:ascii="Calibri"/>
                <w:sz w:val="20"/>
              </w:rPr>
              <w:t>-0.02</w:t>
            </w:r>
          </w:p>
        </w:tc>
        <w:tc>
          <w:tcPr>
            <w:tcW w:w="597" w:type="dxa"/>
            <w:tcBorders>
              <w:right w:val="single" w:sz="8" w:space="0" w:color="000000"/>
            </w:tcBorders>
          </w:tcPr>
          <w:p>
            <w:pPr>
              <w:pStyle w:val="TableParagraph"/>
              <w:spacing w:before="25"/>
              <w:ind w:left="2" w:right="125"/>
              <w:rPr>
                <w:rFonts w:ascii="Calibri"/>
                <w:sz w:val="20"/>
              </w:rPr>
            </w:pPr>
            <w:r>
              <w:rPr>
                <w:rFonts w:ascii="Calibri"/>
                <w:sz w:val="20"/>
              </w:rPr>
              <w:t>0.72</w:t>
            </w:r>
          </w:p>
        </w:tc>
        <w:tc>
          <w:tcPr>
            <w:tcW w:w="744" w:type="dxa"/>
            <w:tcBorders>
              <w:left w:val="single" w:sz="8" w:space="0" w:color="000000"/>
            </w:tcBorders>
          </w:tcPr>
          <w:p>
            <w:pPr>
              <w:pStyle w:val="TableParagraph"/>
              <w:spacing w:line="240" w:lineRule="exact"/>
              <w:ind w:right="240"/>
              <w:jc w:val="right"/>
              <w:rPr>
                <w:rFonts w:ascii="Calibri"/>
                <w:sz w:val="20"/>
              </w:rPr>
            </w:pPr>
            <w:r>
              <w:rPr>
                <w:rFonts w:ascii="Calibri"/>
                <w:w w:val="95"/>
                <w:sz w:val="20"/>
              </w:rPr>
              <w:t>0.23</w:t>
            </w:r>
          </w:p>
        </w:tc>
        <w:tc>
          <w:tcPr>
            <w:tcW w:w="763" w:type="dxa"/>
          </w:tcPr>
          <w:p>
            <w:pPr>
              <w:pStyle w:val="TableParagraph"/>
              <w:spacing w:line="240" w:lineRule="exact"/>
              <w:ind w:left="145" w:right="222"/>
              <w:rPr>
                <w:rFonts w:ascii="Calibri"/>
                <w:sz w:val="20"/>
              </w:rPr>
            </w:pPr>
            <w:r>
              <w:rPr>
                <w:rFonts w:ascii="Calibri"/>
                <w:sz w:val="20"/>
              </w:rPr>
              <w:t>0.10</w:t>
            </w:r>
          </w:p>
        </w:tc>
        <w:tc>
          <w:tcPr>
            <w:tcW w:w="869" w:type="dxa"/>
          </w:tcPr>
          <w:p>
            <w:pPr>
              <w:pStyle w:val="TableParagraph"/>
              <w:spacing w:line="240" w:lineRule="exact"/>
              <w:ind w:left="65" w:right="68"/>
              <w:rPr>
                <w:rFonts w:ascii="Calibri"/>
                <w:sz w:val="20"/>
              </w:rPr>
            </w:pPr>
            <w:r>
              <w:rPr>
                <w:rFonts w:ascii="Calibri"/>
                <w:sz w:val="20"/>
              </w:rPr>
              <w:t>0.44</w:t>
            </w:r>
          </w:p>
        </w:tc>
      </w:tr>
      <w:tr>
        <w:trPr>
          <w:trHeight w:val="302" w:hRule="atLeast"/>
        </w:trPr>
        <w:tc>
          <w:tcPr>
            <w:tcW w:w="891" w:type="dxa"/>
          </w:tcPr>
          <w:p>
            <w:pPr>
              <w:pStyle w:val="TableParagraph"/>
              <w:spacing w:before="25"/>
              <w:ind w:left="69"/>
              <w:jc w:val="left"/>
              <w:rPr>
                <w:rFonts w:ascii="Calibri"/>
                <w:sz w:val="20"/>
              </w:rPr>
            </w:pPr>
            <w:r>
              <w:rPr>
                <w:rFonts w:ascii="Calibri"/>
                <w:sz w:val="20"/>
              </w:rPr>
              <w:t>450005</w:t>
            </w:r>
          </w:p>
        </w:tc>
        <w:tc>
          <w:tcPr>
            <w:tcW w:w="1132" w:type="dxa"/>
          </w:tcPr>
          <w:p>
            <w:pPr>
              <w:pStyle w:val="TableParagraph"/>
              <w:spacing w:before="25"/>
              <w:ind w:left="4"/>
              <w:jc w:val="left"/>
              <w:rPr>
                <w:rFonts w:ascii="Calibri"/>
                <w:sz w:val="20"/>
              </w:rPr>
            </w:pPr>
            <w:r>
              <w:rPr>
                <w:rFonts w:ascii="Calibri"/>
                <w:sz w:val="20"/>
              </w:rPr>
              <w:t>Stavis_AA</w:t>
            </w:r>
          </w:p>
        </w:tc>
        <w:tc>
          <w:tcPr>
            <w:tcW w:w="812" w:type="dxa"/>
          </w:tcPr>
          <w:p>
            <w:pPr>
              <w:pStyle w:val="TableParagraph"/>
              <w:spacing w:before="25"/>
              <w:ind w:left="161"/>
              <w:jc w:val="left"/>
              <w:rPr>
                <w:rFonts w:ascii="Calibri"/>
                <w:sz w:val="20"/>
              </w:rPr>
            </w:pPr>
            <w:r>
              <w:rPr>
                <w:rFonts w:ascii="Calibri"/>
                <w:sz w:val="20"/>
              </w:rPr>
              <w:t>18205</w:t>
            </w:r>
          </w:p>
        </w:tc>
        <w:tc>
          <w:tcPr>
            <w:tcW w:w="721" w:type="dxa"/>
            <w:tcBorders>
              <w:right w:val="single" w:sz="8" w:space="0" w:color="000000"/>
            </w:tcBorders>
          </w:tcPr>
          <w:p>
            <w:pPr>
              <w:pStyle w:val="TableParagraph"/>
              <w:spacing w:before="25"/>
              <w:ind w:left="75" w:right="75"/>
              <w:rPr>
                <w:rFonts w:ascii="Calibri"/>
                <w:sz w:val="20"/>
              </w:rPr>
            </w:pPr>
            <w:r>
              <w:rPr>
                <w:rFonts w:ascii="Calibri"/>
                <w:sz w:val="20"/>
              </w:rPr>
              <w:t>78</w:t>
            </w:r>
          </w:p>
        </w:tc>
        <w:tc>
          <w:tcPr>
            <w:tcW w:w="739" w:type="dxa"/>
            <w:tcBorders>
              <w:left w:val="single" w:sz="8" w:space="0" w:color="000000"/>
            </w:tcBorders>
          </w:tcPr>
          <w:p>
            <w:pPr>
              <w:pStyle w:val="TableParagraph"/>
              <w:spacing w:before="25"/>
              <w:ind w:left="96" w:right="122"/>
              <w:rPr>
                <w:rFonts w:ascii="Calibri"/>
                <w:sz w:val="20"/>
              </w:rPr>
            </w:pPr>
            <w:r>
              <w:rPr>
                <w:rFonts w:ascii="Calibri"/>
                <w:sz w:val="20"/>
              </w:rPr>
              <w:t>0.41</w:t>
            </w:r>
          </w:p>
        </w:tc>
        <w:tc>
          <w:tcPr>
            <w:tcW w:w="826" w:type="dxa"/>
          </w:tcPr>
          <w:p>
            <w:pPr>
              <w:pStyle w:val="TableParagraph"/>
              <w:spacing w:before="25"/>
              <w:ind w:right="274"/>
              <w:jc w:val="right"/>
              <w:rPr>
                <w:rFonts w:ascii="Calibri"/>
                <w:sz w:val="20"/>
              </w:rPr>
            </w:pPr>
            <w:r>
              <w:rPr>
                <w:rFonts w:ascii="Calibri"/>
                <w:sz w:val="20"/>
              </w:rPr>
              <w:t>-0.32</w:t>
            </w:r>
          </w:p>
        </w:tc>
        <w:tc>
          <w:tcPr>
            <w:tcW w:w="597" w:type="dxa"/>
            <w:tcBorders>
              <w:right w:val="single" w:sz="8" w:space="0" w:color="000000"/>
            </w:tcBorders>
          </w:tcPr>
          <w:p>
            <w:pPr>
              <w:pStyle w:val="TableParagraph"/>
              <w:spacing w:before="25"/>
              <w:ind w:left="5" w:right="125"/>
              <w:rPr>
                <w:rFonts w:ascii="Calibri"/>
                <w:sz w:val="20"/>
              </w:rPr>
            </w:pPr>
            <w:r>
              <w:rPr>
                <w:rFonts w:ascii="Calibri"/>
                <w:sz w:val="20"/>
              </w:rPr>
              <w:t>-0.13</w:t>
            </w:r>
          </w:p>
        </w:tc>
        <w:tc>
          <w:tcPr>
            <w:tcW w:w="744" w:type="dxa"/>
            <w:tcBorders>
              <w:left w:val="single" w:sz="8" w:space="0" w:color="000000"/>
            </w:tcBorders>
          </w:tcPr>
          <w:p>
            <w:pPr>
              <w:pStyle w:val="TableParagraph"/>
              <w:spacing w:line="240" w:lineRule="exact"/>
              <w:ind w:right="240"/>
              <w:jc w:val="right"/>
              <w:rPr>
                <w:rFonts w:ascii="Calibri"/>
                <w:sz w:val="20"/>
              </w:rPr>
            </w:pPr>
            <w:r>
              <w:rPr>
                <w:rFonts w:ascii="Calibri"/>
                <w:w w:val="95"/>
                <w:sz w:val="20"/>
              </w:rPr>
              <w:t>0.32</w:t>
            </w:r>
          </w:p>
        </w:tc>
        <w:tc>
          <w:tcPr>
            <w:tcW w:w="763" w:type="dxa"/>
          </w:tcPr>
          <w:p>
            <w:pPr>
              <w:pStyle w:val="TableParagraph"/>
              <w:spacing w:line="240" w:lineRule="exact"/>
              <w:ind w:left="145" w:right="222"/>
              <w:rPr>
                <w:rFonts w:ascii="Calibri"/>
                <w:sz w:val="20"/>
              </w:rPr>
            </w:pPr>
            <w:r>
              <w:rPr>
                <w:rFonts w:ascii="Calibri"/>
                <w:sz w:val="20"/>
              </w:rPr>
              <w:t>0.09</w:t>
            </w:r>
          </w:p>
        </w:tc>
        <w:tc>
          <w:tcPr>
            <w:tcW w:w="869" w:type="dxa"/>
          </w:tcPr>
          <w:p>
            <w:pPr>
              <w:pStyle w:val="TableParagraph"/>
              <w:spacing w:line="240" w:lineRule="exact"/>
              <w:ind w:left="65" w:right="68"/>
              <w:rPr>
                <w:rFonts w:ascii="Calibri"/>
                <w:sz w:val="20"/>
              </w:rPr>
            </w:pPr>
            <w:r>
              <w:rPr>
                <w:rFonts w:ascii="Calibri"/>
                <w:sz w:val="20"/>
              </w:rPr>
              <w:t>0.34</w:t>
            </w:r>
          </w:p>
        </w:tc>
      </w:tr>
      <w:tr>
        <w:trPr>
          <w:trHeight w:val="347" w:hRule="atLeast"/>
        </w:trPr>
        <w:tc>
          <w:tcPr>
            <w:tcW w:w="891" w:type="dxa"/>
          </w:tcPr>
          <w:p>
            <w:pPr>
              <w:pStyle w:val="TableParagraph"/>
              <w:spacing w:before="41"/>
              <w:ind w:left="69"/>
              <w:jc w:val="left"/>
              <w:rPr>
                <w:rFonts w:ascii="Calibri"/>
                <w:sz w:val="20"/>
              </w:rPr>
            </w:pPr>
            <w:r>
              <w:rPr>
                <w:rFonts w:ascii="Calibri"/>
                <w:sz w:val="20"/>
              </w:rPr>
              <w:t>450043</w:t>
            </w:r>
          </w:p>
        </w:tc>
        <w:tc>
          <w:tcPr>
            <w:tcW w:w="1132" w:type="dxa"/>
          </w:tcPr>
          <w:p>
            <w:pPr>
              <w:pStyle w:val="TableParagraph"/>
              <w:spacing w:before="41"/>
              <w:ind w:left="4"/>
              <w:jc w:val="left"/>
              <w:rPr>
                <w:rFonts w:ascii="Calibri"/>
                <w:sz w:val="20"/>
              </w:rPr>
            </w:pPr>
            <w:r>
              <w:rPr>
                <w:rFonts w:ascii="Calibri"/>
                <w:sz w:val="20"/>
              </w:rPr>
              <w:t>Lindved_AA</w:t>
            </w:r>
          </w:p>
        </w:tc>
        <w:tc>
          <w:tcPr>
            <w:tcW w:w="812" w:type="dxa"/>
          </w:tcPr>
          <w:p>
            <w:pPr>
              <w:pStyle w:val="TableParagraph"/>
              <w:spacing w:before="41"/>
              <w:ind w:left="161"/>
              <w:jc w:val="left"/>
              <w:rPr>
                <w:rFonts w:ascii="Calibri"/>
                <w:sz w:val="20"/>
              </w:rPr>
            </w:pPr>
            <w:r>
              <w:rPr>
                <w:rFonts w:ascii="Calibri"/>
                <w:sz w:val="20"/>
              </w:rPr>
              <w:t>19755</w:t>
            </w:r>
          </w:p>
        </w:tc>
        <w:tc>
          <w:tcPr>
            <w:tcW w:w="721" w:type="dxa"/>
            <w:tcBorders>
              <w:right w:val="single" w:sz="8" w:space="0" w:color="000000"/>
            </w:tcBorders>
          </w:tcPr>
          <w:p>
            <w:pPr>
              <w:pStyle w:val="TableParagraph"/>
              <w:spacing w:before="41"/>
              <w:ind w:left="75" w:right="75"/>
              <w:rPr>
                <w:rFonts w:ascii="Calibri"/>
                <w:sz w:val="20"/>
              </w:rPr>
            </w:pPr>
            <w:r>
              <w:rPr>
                <w:rFonts w:ascii="Calibri"/>
                <w:sz w:val="20"/>
              </w:rPr>
              <w:t>65</w:t>
            </w:r>
          </w:p>
        </w:tc>
        <w:tc>
          <w:tcPr>
            <w:tcW w:w="739" w:type="dxa"/>
            <w:tcBorders>
              <w:left w:val="single" w:sz="8" w:space="0" w:color="000000"/>
            </w:tcBorders>
          </w:tcPr>
          <w:p>
            <w:pPr>
              <w:pStyle w:val="TableParagraph"/>
              <w:spacing w:line="243" w:lineRule="exact" w:before="85"/>
              <w:ind w:left="96" w:right="122"/>
              <w:rPr>
                <w:rFonts w:ascii="Calibri"/>
                <w:sz w:val="20"/>
              </w:rPr>
            </w:pPr>
            <w:r>
              <w:rPr>
                <w:rFonts w:ascii="Calibri"/>
                <w:sz w:val="20"/>
              </w:rPr>
              <w:t>0.10</w:t>
            </w:r>
          </w:p>
        </w:tc>
        <w:tc>
          <w:tcPr>
            <w:tcW w:w="826" w:type="dxa"/>
          </w:tcPr>
          <w:p>
            <w:pPr>
              <w:pStyle w:val="TableParagraph"/>
              <w:spacing w:before="41"/>
              <w:ind w:right="305"/>
              <w:jc w:val="right"/>
              <w:rPr>
                <w:rFonts w:ascii="Calibri"/>
                <w:sz w:val="20"/>
              </w:rPr>
            </w:pPr>
            <w:r>
              <w:rPr>
                <w:rFonts w:ascii="Calibri"/>
                <w:w w:val="95"/>
                <w:sz w:val="20"/>
              </w:rPr>
              <w:t>0.09</w:t>
            </w:r>
          </w:p>
        </w:tc>
        <w:tc>
          <w:tcPr>
            <w:tcW w:w="597" w:type="dxa"/>
            <w:tcBorders>
              <w:right w:val="single" w:sz="8" w:space="0" w:color="000000"/>
            </w:tcBorders>
          </w:tcPr>
          <w:p>
            <w:pPr>
              <w:pStyle w:val="TableParagraph"/>
              <w:spacing w:before="41"/>
              <w:ind w:left="5" w:right="125"/>
              <w:rPr>
                <w:rFonts w:ascii="Calibri"/>
                <w:sz w:val="20"/>
              </w:rPr>
            </w:pPr>
            <w:r>
              <w:rPr>
                <w:rFonts w:ascii="Calibri"/>
                <w:sz w:val="20"/>
              </w:rPr>
              <w:t>-0.03</w:t>
            </w:r>
          </w:p>
        </w:tc>
        <w:tc>
          <w:tcPr>
            <w:tcW w:w="744" w:type="dxa"/>
            <w:tcBorders>
              <w:left w:val="single" w:sz="8" w:space="0" w:color="000000"/>
            </w:tcBorders>
          </w:tcPr>
          <w:p>
            <w:pPr>
              <w:pStyle w:val="TableParagraph"/>
              <w:spacing w:line="240" w:lineRule="exact"/>
              <w:ind w:right="240"/>
              <w:jc w:val="right"/>
              <w:rPr>
                <w:rFonts w:ascii="Calibri"/>
                <w:sz w:val="20"/>
              </w:rPr>
            </w:pPr>
            <w:r>
              <w:rPr>
                <w:rFonts w:ascii="Calibri"/>
                <w:w w:val="95"/>
                <w:sz w:val="20"/>
              </w:rPr>
              <w:t>0.13</w:t>
            </w:r>
          </w:p>
        </w:tc>
        <w:tc>
          <w:tcPr>
            <w:tcW w:w="763" w:type="dxa"/>
          </w:tcPr>
          <w:p>
            <w:pPr>
              <w:pStyle w:val="TableParagraph"/>
              <w:spacing w:line="240" w:lineRule="exact"/>
              <w:ind w:left="145" w:right="222"/>
              <w:rPr>
                <w:rFonts w:ascii="Calibri"/>
                <w:sz w:val="20"/>
              </w:rPr>
            </w:pPr>
            <w:r>
              <w:rPr>
                <w:rFonts w:ascii="Calibri"/>
                <w:sz w:val="20"/>
              </w:rPr>
              <w:t>0.12</w:t>
            </w:r>
          </w:p>
        </w:tc>
        <w:tc>
          <w:tcPr>
            <w:tcW w:w="869" w:type="dxa"/>
          </w:tcPr>
          <w:p>
            <w:pPr>
              <w:pStyle w:val="TableParagraph"/>
              <w:spacing w:line="240" w:lineRule="exact"/>
              <w:ind w:left="65" w:right="71"/>
              <w:rPr>
                <w:rFonts w:ascii="Calibri"/>
                <w:sz w:val="20"/>
              </w:rPr>
            </w:pPr>
            <w:r>
              <w:rPr>
                <w:rFonts w:ascii="Calibri"/>
                <w:sz w:val="20"/>
              </w:rPr>
              <w:t>-0.84</w:t>
            </w:r>
          </w:p>
        </w:tc>
      </w:tr>
      <w:tr>
        <w:trPr>
          <w:trHeight w:val="285" w:hRule="atLeast"/>
        </w:trPr>
        <w:tc>
          <w:tcPr>
            <w:tcW w:w="891" w:type="dxa"/>
          </w:tcPr>
          <w:p>
            <w:pPr>
              <w:pStyle w:val="TableParagraph"/>
              <w:spacing w:before="10"/>
              <w:ind w:left="69"/>
              <w:jc w:val="left"/>
              <w:rPr>
                <w:rFonts w:ascii="Calibri"/>
                <w:sz w:val="20"/>
              </w:rPr>
            </w:pPr>
            <w:r>
              <w:rPr>
                <w:rFonts w:ascii="Calibri"/>
                <w:sz w:val="20"/>
              </w:rPr>
              <w:t>450045</w:t>
            </w:r>
          </w:p>
        </w:tc>
        <w:tc>
          <w:tcPr>
            <w:tcW w:w="1132" w:type="dxa"/>
          </w:tcPr>
          <w:p>
            <w:pPr>
              <w:pStyle w:val="TableParagraph"/>
              <w:spacing w:before="10"/>
              <w:ind w:left="4"/>
              <w:jc w:val="left"/>
              <w:rPr>
                <w:rFonts w:ascii="Calibri"/>
                <w:sz w:val="20"/>
              </w:rPr>
            </w:pPr>
            <w:r>
              <w:rPr>
                <w:rFonts w:ascii="Calibri"/>
                <w:sz w:val="20"/>
              </w:rPr>
              <w:t>Odense Aa</w:t>
            </w:r>
          </w:p>
        </w:tc>
        <w:tc>
          <w:tcPr>
            <w:tcW w:w="812" w:type="dxa"/>
          </w:tcPr>
          <w:p>
            <w:pPr>
              <w:pStyle w:val="TableParagraph"/>
              <w:spacing w:before="10"/>
              <w:ind w:left="161"/>
              <w:jc w:val="left"/>
              <w:rPr>
                <w:rFonts w:ascii="Calibri"/>
                <w:sz w:val="20"/>
              </w:rPr>
            </w:pPr>
            <w:r>
              <w:rPr>
                <w:rFonts w:ascii="Calibri"/>
                <w:sz w:val="20"/>
              </w:rPr>
              <w:t>545</w:t>
            </w:r>
          </w:p>
        </w:tc>
        <w:tc>
          <w:tcPr>
            <w:tcW w:w="721" w:type="dxa"/>
            <w:tcBorders>
              <w:right w:val="single" w:sz="8" w:space="0" w:color="000000"/>
            </w:tcBorders>
          </w:tcPr>
          <w:p>
            <w:pPr>
              <w:pStyle w:val="TableParagraph"/>
              <w:spacing w:before="10"/>
              <w:ind w:left="75" w:right="75"/>
              <w:rPr>
                <w:rFonts w:ascii="Calibri"/>
                <w:sz w:val="20"/>
              </w:rPr>
            </w:pPr>
            <w:r>
              <w:rPr>
                <w:rFonts w:ascii="Calibri"/>
                <w:sz w:val="20"/>
              </w:rPr>
              <w:t>30</w:t>
            </w:r>
          </w:p>
        </w:tc>
        <w:tc>
          <w:tcPr>
            <w:tcW w:w="739" w:type="dxa"/>
            <w:tcBorders>
              <w:left w:val="single" w:sz="8" w:space="0" w:color="000000"/>
            </w:tcBorders>
          </w:tcPr>
          <w:p>
            <w:pPr>
              <w:pStyle w:val="TableParagraph"/>
              <w:spacing w:line="223" w:lineRule="exact" w:before="41"/>
              <w:ind w:left="96" w:right="122"/>
              <w:rPr>
                <w:rFonts w:ascii="Calibri"/>
                <w:sz w:val="20"/>
              </w:rPr>
            </w:pPr>
            <w:r>
              <w:rPr>
                <w:rFonts w:ascii="Calibri"/>
                <w:sz w:val="20"/>
              </w:rPr>
              <w:t>0.15</w:t>
            </w:r>
          </w:p>
        </w:tc>
        <w:tc>
          <w:tcPr>
            <w:tcW w:w="826" w:type="dxa"/>
          </w:tcPr>
          <w:p>
            <w:pPr>
              <w:pStyle w:val="TableParagraph"/>
              <w:spacing w:before="10"/>
              <w:ind w:right="305"/>
              <w:jc w:val="right"/>
              <w:rPr>
                <w:rFonts w:ascii="Calibri"/>
                <w:sz w:val="20"/>
              </w:rPr>
            </w:pPr>
            <w:r>
              <w:rPr>
                <w:rFonts w:ascii="Calibri"/>
                <w:w w:val="95"/>
                <w:sz w:val="20"/>
              </w:rPr>
              <w:t>0.09</w:t>
            </w:r>
          </w:p>
        </w:tc>
        <w:tc>
          <w:tcPr>
            <w:tcW w:w="597" w:type="dxa"/>
            <w:tcBorders>
              <w:right w:val="single" w:sz="8" w:space="0" w:color="000000"/>
            </w:tcBorders>
          </w:tcPr>
          <w:p>
            <w:pPr>
              <w:pStyle w:val="TableParagraph"/>
              <w:spacing w:before="10"/>
              <w:ind w:left="2" w:right="125"/>
              <w:rPr>
                <w:rFonts w:ascii="Calibri"/>
                <w:sz w:val="20"/>
              </w:rPr>
            </w:pPr>
            <w:r>
              <w:rPr>
                <w:rFonts w:ascii="Calibri"/>
                <w:sz w:val="20"/>
              </w:rPr>
              <w:t>0.23</w:t>
            </w:r>
          </w:p>
        </w:tc>
        <w:tc>
          <w:tcPr>
            <w:tcW w:w="744" w:type="dxa"/>
            <w:tcBorders>
              <w:left w:val="single" w:sz="8" w:space="0" w:color="000000"/>
            </w:tcBorders>
          </w:tcPr>
          <w:p>
            <w:pPr>
              <w:pStyle w:val="TableParagraph"/>
              <w:spacing w:line="226" w:lineRule="exact"/>
              <w:ind w:right="240"/>
              <w:jc w:val="right"/>
              <w:rPr>
                <w:rFonts w:ascii="Calibri"/>
                <w:sz w:val="20"/>
              </w:rPr>
            </w:pPr>
            <w:r>
              <w:rPr>
                <w:rFonts w:ascii="Calibri"/>
                <w:w w:val="95"/>
                <w:sz w:val="20"/>
              </w:rPr>
              <w:t>0.20</w:t>
            </w:r>
          </w:p>
        </w:tc>
        <w:tc>
          <w:tcPr>
            <w:tcW w:w="763" w:type="dxa"/>
          </w:tcPr>
          <w:p>
            <w:pPr>
              <w:pStyle w:val="TableParagraph"/>
              <w:spacing w:line="226" w:lineRule="exact"/>
              <w:ind w:left="145" w:right="222"/>
              <w:rPr>
                <w:rFonts w:ascii="Calibri"/>
                <w:sz w:val="20"/>
              </w:rPr>
            </w:pPr>
            <w:r>
              <w:rPr>
                <w:rFonts w:ascii="Calibri"/>
                <w:sz w:val="20"/>
              </w:rPr>
              <w:t>0.13</w:t>
            </w:r>
          </w:p>
        </w:tc>
        <w:tc>
          <w:tcPr>
            <w:tcW w:w="869" w:type="dxa"/>
          </w:tcPr>
          <w:p>
            <w:pPr>
              <w:pStyle w:val="TableParagraph"/>
              <w:spacing w:line="226" w:lineRule="exact"/>
              <w:ind w:left="65" w:right="71"/>
              <w:rPr>
                <w:rFonts w:ascii="Calibri"/>
                <w:sz w:val="20"/>
              </w:rPr>
            </w:pPr>
            <w:r>
              <w:rPr>
                <w:rFonts w:ascii="Calibri"/>
                <w:sz w:val="20"/>
              </w:rPr>
              <w:t>-0.29</w:t>
            </w:r>
          </w:p>
        </w:tc>
      </w:tr>
    </w:tbl>
    <w:p>
      <w:pPr>
        <w:pStyle w:val="BodyText"/>
        <w:spacing w:before="4"/>
        <w:rPr>
          <w:rFonts w:ascii="Calibri"/>
          <w:i/>
          <w:sz w:val="23"/>
        </w:rPr>
      </w:pPr>
    </w:p>
    <w:p>
      <w:pPr>
        <w:pStyle w:val="BodyText"/>
        <w:ind w:left="525"/>
      </w:pPr>
      <w:r>
        <w:rPr/>
        <w:t>I </w:t>
      </w:r>
      <w:hyperlink w:history="true" w:anchor="_bookmark87">
        <w:r>
          <w:rPr/>
          <w:t>figur 52 </w:t>
        </w:r>
      </w:hyperlink>
      <w:r>
        <w:rPr/>
        <w:t>er resultater for kalibreringsperiode 2007-2008 vist.</w:t>
      </w:r>
    </w:p>
    <w:p>
      <w:pPr>
        <w:pStyle w:val="BodyText"/>
        <w:spacing w:before="1"/>
        <w:rPr>
          <w:sz w:val="9"/>
        </w:rPr>
      </w:pPr>
      <w:r>
        <w:rPr/>
        <w:drawing>
          <wp:anchor distT="0" distB="0" distL="0" distR="0" allowOverlap="1" layoutInCell="1" locked="0" behindDoc="0" simplePos="0" relativeHeight="44">
            <wp:simplePos x="0" y="0"/>
            <wp:positionH relativeFrom="page">
              <wp:posOffset>1748934</wp:posOffset>
            </wp:positionH>
            <wp:positionV relativeFrom="paragraph">
              <wp:posOffset>91416</wp:posOffset>
            </wp:positionV>
            <wp:extent cx="4840475" cy="4175188"/>
            <wp:effectExtent l="0" t="0" r="0" b="0"/>
            <wp:wrapTopAndBottom/>
            <wp:docPr id="109" name="image73.jpeg" descr="\\netapp1p\hydro-model\projekter\SDFE-fasttrack\Doc\Rapport\vandstand_vandloeb\Odenseaa_cal.png"/>
            <wp:cNvGraphicFramePr>
              <a:graphicFrameLocks noChangeAspect="1"/>
            </wp:cNvGraphicFramePr>
            <a:graphic>
              <a:graphicData uri="http://schemas.openxmlformats.org/drawingml/2006/picture">
                <pic:pic>
                  <pic:nvPicPr>
                    <pic:cNvPr id="110" name="image73.jpeg"/>
                    <pic:cNvPicPr/>
                  </pic:nvPicPr>
                  <pic:blipFill>
                    <a:blip r:embed="rId79" cstate="print"/>
                    <a:stretch>
                      <a:fillRect/>
                    </a:stretch>
                  </pic:blipFill>
                  <pic:spPr>
                    <a:xfrm>
                      <a:off x="0" y="0"/>
                      <a:ext cx="4840475" cy="4175188"/>
                    </a:xfrm>
                    <a:prstGeom prst="rect">
                      <a:avLst/>
                    </a:prstGeom>
                  </pic:spPr>
                </pic:pic>
              </a:graphicData>
            </a:graphic>
          </wp:anchor>
        </w:drawing>
      </w:r>
    </w:p>
    <w:p>
      <w:pPr>
        <w:spacing w:before="43"/>
        <w:ind w:left="525" w:right="864" w:firstLine="0"/>
        <w:jc w:val="left"/>
        <w:rPr>
          <w:rFonts w:ascii="Calibri" w:hAnsi="Calibri"/>
          <w:sz w:val="18"/>
        </w:rPr>
      </w:pPr>
      <w:bookmarkStart w:name="_bookmark87" w:id="114"/>
      <w:bookmarkEnd w:id="114"/>
      <w:r>
        <w:rPr/>
      </w:r>
      <w:r>
        <w:rPr>
          <w:rFonts w:ascii="Calibri" w:hAnsi="Calibri"/>
          <w:i/>
          <w:color w:val="44536A"/>
          <w:sz w:val="18"/>
        </w:rPr>
        <w:t>Figur 52 </w:t>
      </w:r>
      <w:r>
        <w:rPr>
          <w:rFonts w:ascii="Calibri" w:hAnsi="Calibri"/>
          <w:color w:val="44536A"/>
          <w:sz w:val="18"/>
        </w:rPr>
        <w:t>Simuleret og observeret vandstand (m) for de fire kalibreringsstationer i Odense Å oplandet for 100m_HD modellen. Stiplede linjer er observeret, blå er simuleret.</w:t>
      </w:r>
    </w:p>
    <w:p>
      <w:pPr>
        <w:spacing w:after="0"/>
        <w:jc w:val="left"/>
        <w:rPr>
          <w:rFonts w:ascii="Calibri" w:hAnsi="Calibri"/>
          <w:sz w:val="18"/>
        </w:rPr>
        <w:sectPr>
          <w:pgSz w:w="11910" w:h="16850"/>
          <w:pgMar w:header="0" w:footer="857" w:top="1340" w:bottom="1120" w:left="1460" w:right="680"/>
        </w:sectPr>
      </w:pPr>
    </w:p>
    <w:p>
      <w:pPr>
        <w:pStyle w:val="BodyText"/>
        <w:spacing w:before="4"/>
        <w:rPr>
          <w:rFonts w:ascii="Times New Roman"/>
          <w:sz w:val="17"/>
        </w:rPr>
      </w:pPr>
    </w:p>
    <w:p>
      <w:pPr>
        <w:spacing w:after="0"/>
        <w:rPr>
          <w:rFonts w:ascii="Times New Roman"/>
          <w:sz w:val="17"/>
        </w:rPr>
        <w:sectPr>
          <w:pgSz w:w="11910" w:h="16850"/>
          <w:pgMar w:header="0" w:footer="857" w:top="1600" w:bottom="1040" w:left="1460" w:right="680"/>
        </w:sectPr>
      </w:pPr>
    </w:p>
    <w:p>
      <w:pPr>
        <w:pStyle w:val="Heading1"/>
        <w:numPr>
          <w:ilvl w:val="0"/>
          <w:numId w:val="13"/>
        </w:numPr>
        <w:tabs>
          <w:tab w:pos="1091" w:val="left" w:leader="none"/>
          <w:tab w:pos="1092" w:val="left" w:leader="none"/>
        </w:tabs>
        <w:spacing w:line="240" w:lineRule="auto" w:before="73" w:after="0"/>
        <w:ind w:left="1091" w:right="0" w:hanging="566"/>
        <w:jc w:val="left"/>
      </w:pPr>
      <w:bookmarkStart w:name="_bookmark88" w:id="115"/>
      <w:bookmarkEnd w:id="115"/>
      <w:r>
        <w:rPr>
          <w:b w:val="0"/>
        </w:rPr>
      </w:r>
      <w:bookmarkStart w:name="_bookmark88" w:id="116"/>
      <w:bookmarkEnd w:id="116"/>
      <w:r>
        <w:rPr/>
        <w:t>Si</w:t>
      </w:r>
      <w:r>
        <w:rPr/>
        <w:t>muleringsresultater</w:t>
      </w:r>
    </w:p>
    <w:p>
      <w:pPr>
        <w:pStyle w:val="BodyText"/>
        <w:spacing w:line="288" w:lineRule="auto" w:before="242"/>
        <w:ind w:left="525" w:right="730"/>
        <w:jc w:val="both"/>
      </w:pPr>
      <w:r>
        <w:rPr/>
        <w:t>I det følgende visualiseres resultater for 100 m modellen kalibreret mod Jupiter og Regions data for trykniveau samt vandføring, og med hydrodynamisk løsning kalibreret mod vand- stande</w:t>
      </w:r>
      <w:r>
        <w:rPr>
          <w:spacing w:val="-9"/>
        </w:rPr>
        <w:t> </w:t>
      </w:r>
      <w:r>
        <w:rPr/>
        <w:t>i</w:t>
      </w:r>
      <w:r>
        <w:rPr>
          <w:spacing w:val="-8"/>
        </w:rPr>
        <w:t> </w:t>
      </w:r>
      <w:r>
        <w:rPr/>
        <w:t>vandløb.</w:t>
      </w:r>
      <w:r>
        <w:rPr>
          <w:spacing w:val="-9"/>
        </w:rPr>
        <w:t> </w:t>
      </w:r>
      <w:r>
        <w:rPr/>
        <w:t>Dybde</w:t>
      </w:r>
      <w:r>
        <w:rPr>
          <w:spacing w:val="-9"/>
        </w:rPr>
        <w:t> </w:t>
      </w:r>
      <w:r>
        <w:rPr/>
        <w:t>til</w:t>
      </w:r>
      <w:r>
        <w:rPr>
          <w:spacing w:val="-10"/>
        </w:rPr>
        <w:t> </w:t>
      </w:r>
      <w:r>
        <w:rPr/>
        <w:t>grundvandsspejl,</w:t>
      </w:r>
      <w:r>
        <w:rPr>
          <w:spacing w:val="-9"/>
        </w:rPr>
        <w:t> </w:t>
      </w:r>
      <w:r>
        <w:rPr/>
        <w:t>overskridelsessandsynlighed</w:t>
      </w:r>
      <w:r>
        <w:rPr>
          <w:spacing w:val="-8"/>
        </w:rPr>
        <w:t> </w:t>
      </w:r>
      <w:r>
        <w:rPr/>
        <w:t>for</w:t>
      </w:r>
      <w:r>
        <w:rPr>
          <w:spacing w:val="-10"/>
        </w:rPr>
        <w:t> </w:t>
      </w:r>
      <w:r>
        <w:rPr/>
        <w:t>given</w:t>
      </w:r>
      <w:r>
        <w:rPr>
          <w:spacing w:val="-8"/>
        </w:rPr>
        <w:t> </w:t>
      </w:r>
      <w:r>
        <w:rPr/>
        <w:t>dybde</w:t>
      </w:r>
      <w:r>
        <w:rPr>
          <w:spacing w:val="-8"/>
        </w:rPr>
        <w:t> </w:t>
      </w:r>
      <w:r>
        <w:rPr/>
        <w:t>til grundvandsspejlet samt vand på terræn baseret på forskellige metodikker, der har været anvendt,</w:t>
      </w:r>
      <w:r>
        <w:rPr>
          <w:spacing w:val="-5"/>
        </w:rPr>
        <w:t> </w:t>
      </w:r>
      <w:r>
        <w:rPr/>
        <w:t>visualiseres.</w:t>
      </w:r>
      <w:r>
        <w:rPr>
          <w:spacing w:val="-7"/>
        </w:rPr>
        <w:t> </w:t>
      </w:r>
      <w:r>
        <w:rPr/>
        <w:t>Resultater</w:t>
      </w:r>
      <w:r>
        <w:rPr>
          <w:spacing w:val="-4"/>
        </w:rPr>
        <w:t> </w:t>
      </w:r>
      <w:r>
        <w:rPr/>
        <w:t>illustreres</w:t>
      </w:r>
      <w:r>
        <w:rPr>
          <w:spacing w:val="-6"/>
        </w:rPr>
        <w:t> </w:t>
      </w:r>
      <w:r>
        <w:rPr/>
        <w:t>for</w:t>
      </w:r>
      <w:r>
        <w:rPr>
          <w:spacing w:val="-3"/>
        </w:rPr>
        <w:t> </w:t>
      </w:r>
      <w:r>
        <w:rPr/>
        <w:t>både</w:t>
      </w:r>
      <w:r>
        <w:rPr>
          <w:spacing w:val="-6"/>
        </w:rPr>
        <w:t> </w:t>
      </w:r>
      <w:r>
        <w:rPr/>
        <w:t>Storå</w:t>
      </w:r>
      <w:r>
        <w:rPr>
          <w:spacing w:val="-4"/>
        </w:rPr>
        <w:t> </w:t>
      </w:r>
      <w:r>
        <w:rPr/>
        <w:t>og</w:t>
      </w:r>
      <w:r>
        <w:rPr>
          <w:spacing w:val="-3"/>
        </w:rPr>
        <w:t> </w:t>
      </w:r>
      <w:r>
        <w:rPr/>
        <w:t>Odense</w:t>
      </w:r>
      <w:r>
        <w:rPr>
          <w:spacing w:val="-6"/>
        </w:rPr>
        <w:t> </w:t>
      </w:r>
      <w:r>
        <w:rPr/>
        <w:t>Å</w:t>
      </w:r>
      <w:r>
        <w:rPr>
          <w:spacing w:val="-3"/>
        </w:rPr>
        <w:t> </w:t>
      </w:r>
      <w:r>
        <w:rPr/>
        <w:t>jf.</w:t>
      </w:r>
      <w:r>
        <w:rPr>
          <w:spacing w:val="-4"/>
        </w:rPr>
        <w:t> </w:t>
      </w:r>
      <w:r>
        <w:rPr/>
        <w:t>den</w:t>
      </w:r>
      <w:r>
        <w:rPr>
          <w:spacing w:val="-6"/>
        </w:rPr>
        <w:t> </w:t>
      </w:r>
      <w:r>
        <w:rPr/>
        <w:t>samme</w:t>
      </w:r>
      <w:r>
        <w:rPr>
          <w:spacing w:val="-4"/>
        </w:rPr>
        <w:t> </w:t>
      </w:r>
      <w:r>
        <w:rPr/>
        <w:t>præ- sentationsrækkefølge. Der vises desuden udsnit for udvalgte områder, hvor der sammenlig- nes med Sentinel-1 data. Endelig vises udvalgte tidsserier for simuleret vandstand for vali- deringsperiode og hændelsen (december</w:t>
      </w:r>
      <w:r>
        <w:rPr>
          <w:spacing w:val="-5"/>
        </w:rPr>
        <w:t> </w:t>
      </w:r>
      <w:r>
        <w:rPr/>
        <w:t>2015).</w:t>
      </w:r>
    </w:p>
    <w:p>
      <w:pPr>
        <w:pStyle w:val="BodyText"/>
        <w:spacing w:before="10"/>
        <w:rPr>
          <w:sz w:val="20"/>
        </w:rPr>
      </w:pPr>
    </w:p>
    <w:p>
      <w:pPr>
        <w:pStyle w:val="BodyText"/>
        <w:spacing w:line="288" w:lineRule="auto" w:before="1"/>
        <w:ind w:left="525" w:right="731"/>
        <w:jc w:val="both"/>
      </w:pPr>
      <w:r>
        <w:rPr/>
        <w:t>Videre præsenteres resultater for undersøgelser af betydningen af nedbørsinput på timeba- sis versus døgnbasis, distribueret dræn tidskonstant samt test af forskellige højdemodeller ved udbredelse af simuleret vandstand på terræn.</w:t>
      </w:r>
    </w:p>
    <w:p>
      <w:pPr>
        <w:pStyle w:val="BodyText"/>
        <w:spacing w:before="2"/>
        <w:rPr>
          <w:sz w:val="25"/>
        </w:rPr>
      </w:pPr>
    </w:p>
    <w:p>
      <w:pPr>
        <w:pStyle w:val="Heading2"/>
        <w:numPr>
          <w:ilvl w:val="1"/>
          <w:numId w:val="15"/>
        </w:numPr>
        <w:tabs>
          <w:tab w:pos="1141" w:val="left" w:leader="none"/>
          <w:tab w:pos="1142" w:val="left" w:leader="none"/>
        </w:tabs>
        <w:spacing w:line="240" w:lineRule="auto" w:before="0" w:after="0"/>
        <w:ind w:left="1142" w:right="0" w:hanging="617"/>
        <w:jc w:val="left"/>
      </w:pPr>
      <w:bookmarkStart w:name="_bookmark89" w:id="117"/>
      <w:bookmarkEnd w:id="117"/>
      <w:r>
        <w:rPr>
          <w:b w:val="0"/>
        </w:rPr>
      </w:r>
      <w:bookmarkStart w:name="_bookmark89" w:id="118"/>
      <w:bookmarkEnd w:id="118"/>
      <w:r>
        <w:rPr/>
        <w:t>D</w:t>
      </w:r>
      <w:r>
        <w:rPr/>
        <w:t>ybde til terrænnært grundvand,</w:t>
      </w:r>
      <w:r>
        <w:rPr>
          <w:spacing w:val="-2"/>
        </w:rPr>
        <w:t> </w:t>
      </w:r>
      <w:r>
        <w:rPr/>
        <w:t>Storå</w:t>
      </w:r>
    </w:p>
    <w:p>
      <w:pPr>
        <w:pStyle w:val="BodyText"/>
        <w:spacing w:line="288" w:lineRule="auto" w:before="240"/>
        <w:ind w:left="525" w:right="730"/>
        <w:jc w:val="both"/>
      </w:pPr>
      <w:r>
        <w:rPr/>
        <w:t>Før vi viser resultater for udvalgte situationer og hændelser i Storå oplandet kan det være nyttigt med et overblik over de tidslige variationer i Storås vandstand. I </w:t>
      </w:r>
      <w:hyperlink w:history="true" w:anchor="_bookmark90">
        <w:r>
          <w:rPr/>
          <w:t>figur 53 </w:t>
        </w:r>
      </w:hyperlink>
      <w:r>
        <w:rPr/>
        <w:t>er vist en oversigt over vandstanden for Storå ved Holstebro med markering af de tre seneste over- svømmelsesevents (hhv. 21/01/2007, 16/01/2011 og 07/12/2015). Den første og den sidste hændelse</w:t>
      </w:r>
      <w:r>
        <w:rPr>
          <w:spacing w:val="-7"/>
        </w:rPr>
        <w:t> </w:t>
      </w:r>
      <w:r>
        <w:rPr/>
        <w:t>event</w:t>
      </w:r>
      <w:r>
        <w:rPr>
          <w:spacing w:val="-8"/>
        </w:rPr>
        <w:t> </w:t>
      </w:r>
      <w:r>
        <w:rPr/>
        <w:t>skyldtes</w:t>
      </w:r>
      <w:r>
        <w:rPr>
          <w:spacing w:val="-8"/>
        </w:rPr>
        <w:t> </w:t>
      </w:r>
      <w:r>
        <w:rPr/>
        <w:t>langvaring</w:t>
      </w:r>
      <w:r>
        <w:rPr>
          <w:spacing w:val="-7"/>
        </w:rPr>
        <w:t> </w:t>
      </w:r>
      <w:r>
        <w:rPr/>
        <w:t>regn.</w:t>
      </w:r>
      <w:r>
        <w:rPr>
          <w:spacing w:val="-9"/>
        </w:rPr>
        <w:t> </w:t>
      </w:r>
      <w:r>
        <w:rPr/>
        <w:t>Den</w:t>
      </w:r>
      <w:r>
        <w:rPr>
          <w:spacing w:val="-8"/>
        </w:rPr>
        <w:t> </w:t>
      </w:r>
      <w:r>
        <w:rPr/>
        <w:t>anden</w:t>
      </w:r>
      <w:r>
        <w:rPr>
          <w:spacing w:val="-6"/>
        </w:rPr>
        <w:t> </w:t>
      </w:r>
      <w:r>
        <w:rPr/>
        <w:t>event</w:t>
      </w:r>
      <w:r>
        <w:rPr>
          <w:spacing w:val="-8"/>
        </w:rPr>
        <w:t> </w:t>
      </w:r>
      <w:r>
        <w:rPr/>
        <w:t>var</w:t>
      </w:r>
      <w:r>
        <w:rPr>
          <w:spacing w:val="-8"/>
        </w:rPr>
        <w:t> </w:t>
      </w:r>
      <w:r>
        <w:rPr/>
        <w:t>en</w:t>
      </w:r>
      <w:r>
        <w:rPr>
          <w:spacing w:val="-6"/>
        </w:rPr>
        <w:t> </w:t>
      </w:r>
      <w:r>
        <w:rPr/>
        <w:t>snesmeltningshændelse. Den sidste hændelse toppede den 07.12.2015 og som vi skal komme tilbage til det, har vi her satellitdata fra 09.12.2015, hvor vandstanden dog var faldet noget i Storå (ca. 1</w:t>
      </w:r>
      <w:r>
        <w:rPr>
          <w:spacing w:val="-17"/>
        </w:rPr>
        <w:t> </w:t>
      </w:r>
      <w:r>
        <w:rPr/>
        <w:t>m).</w:t>
      </w:r>
    </w:p>
    <w:p>
      <w:pPr>
        <w:pStyle w:val="BodyText"/>
        <w:rPr>
          <w:sz w:val="22"/>
        </w:rPr>
      </w:pPr>
      <w:r>
        <w:rPr/>
        <w:drawing>
          <wp:anchor distT="0" distB="0" distL="0" distR="0" allowOverlap="1" layoutInCell="1" locked="0" behindDoc="0" simplePos="0" relativeHeight="45">
            <wp:simplePos x="0" y="0"/>
            <wp:positionH relativeFrom="page">
              <wp:posOffset>1260475</wp:posOffset>
            </wp:positionH>
            <wp:positionV relativeFrom="paragraph">
              <wp:posOffset>185450</wp:posOffset>
            </wp:positionV>
            <wp:extent cx="5440594" cy="3432429"/>
            <wp:effectExtent l="0" t="0" r="0" b="0"/>
            <wp:wrapTopAndBottom/>
            <wp:docPr id="111" name="image74.jpeg" descr=""/>
            <wp:cNvGraphicFramePr>
              <a:graphicFrameLocks noChangeAspect="1"/>
            </wp:cNvGraphicFramePr>
            <a:graphic>
              <a:graphicData uri="http://schemas.openxmlformats.org/drawingml/2006/picture">
                <pic:pic>
                  <pic:nvPicPr>
                    <pic:cNvPr id="112" name="image74.jpeg"/>
                    <pic:cNvPicPr/>
                  </pic:nvPicPr>
                  <pic:blipFill>
                    <a:blip r:embed="rId80" cstate="print"/>
                    <a:stretch>
                      <a:fillRect/>
                    </a:stretch>
                  </pic:blipFill>
                  <pic:spPr>
                    <a:xfrm>
                      <a:off x="0" y="0"/>
                      <a:ext cx="5440594" cy="3432429"/>
                    </a:xfrm>
                    <a:prstGeom prst="rect">
                      <a:avLst/>
                    </a:prstGeom>
                  </pic:spPr>
                </pic:pic>
              </a:graphicData>
            </a:graphic>
          </wp:anchor>
        </w:drawing>
      </w:r>
    </w:p>
    <w:p>
      <w:pPr>
        <w:spacing w:before="0"/>
        <w:ind w:left="525" w:right="0" w:firstLine="0"/>
        <w:jc w:val="both"/>
        <w:rPr>
          <w:rFonts w:ascii="Calibri"/>
          <w:i/>
          <w:sz w:val="18"/>
        </w:rPr>
      </w:pPr>
      <w:bookmarkStart w:name="_bookmark90" w:id="119"/>
      <w:bookmarkEnd w:id="119"/>
      <w:r>
        <w:rPr/>
      </w:r>
      <w:r>
        <w:rPr>
          <w:rFonts w:ascii="Calibri"/>
          <w:i/>
          <w:color w:val="44536A"/>
          <w:sz w:val="18"/>
        </w:rPr>
        <w:t>Figur 53 Observeret vandstand</w:t>
      </w:r>
    </w:p>
    <w:p>
      <w:pPr>
        <w:spacing w:after="0"/>
        <w:jc w:val="both"/>
        <w:rPr>
          <w:rFonts w:ascii="Calibri"/>
          <w:sz w:val="18"/>
        </w:rPr>
        <w:sectPr>
          <w:pgSz w:w="11910" w:h="16850"/>
          <w:pgMar w:header="0" w:footer="857" w:top="1340" w:bottom="1040" w:left="1460" w:right="680"/>
        </w:sectPr>
      </w:pPr>
    </w:p>
    <w:p>
      <w:pPr>
        <w:pStyle w:val="BodyText"/>
        <w:spacing w:before="75"/>
        <w:ind w:left="525"/>
      </w:pPr>
      <w:r>
        <w:rPr/>
        <w:t>Der er udvalgt 5 udsnit for Storå: 1. Nedre del af Storå (Vemb), 2. Holstebro, 3. Storå midt,</w:t>
      </w:r>
    </w:p>
    <w:p>
      <w:pPr>
        <w:pStyle w:val="BodyText"/>
        <w:spacing w:before="49"/>
        <w:ind w:left="525"/>
      </w:pPr>
      <w:r>
        <w:rPr/>
        <w:t>4. Sunds og 5. Herning, se </w:t>
      </w:r>
      <w:hyperlink w:history="true" w:anchor="_bookmark91">
        <w:r>
          <w:rPr/>
          <w:t>figur 54</w:t>
        </w:r>
      </w:hyperlink>
      <w:r>
        <w:rPr/>
        <w:t>.</w:t>
      </w:r>
    </w:p>
    <w:p>
      <w:pPr>
        <w:pStyle w:val="BodyText"/>
        <w:spacing w:before="2"/>
        <w:rPr>
          <w:sz w:val="11"/>
        </w:rPr>
      </w:pPr>
      <w:r>
        <w:rPr/>
        <w:drawing>
          <wp:anchor distT="0" distB="0" distL="0" distR="0" allowOverlap="1" layoutInCell="1" locked="0" behindDoc="0" simplePos="0" relativeHeight="46">
            <wp:simplePos x="0" y="0"/>
            <wp:positionH relativeFrom="page">
              <wp:posOffset>1335475</wp:posOffset>
            </wp:positionH>
            <wp:positionV relativeFrom="paragraph">
              <wp:posOffset>106592</wp:posOffset>
            </wp:positionV>
            <wp:extent cx="4932382" cy="3435096"/>
            <wp:effectExtent l="0" t="0" r="0" b="0"/>
            <wp:wrapTopAndBottom/>
            <wp:docPr id="113" name="image75.jpeg" descr=""/>
            <wp:cNvGraphicFramePr>
              <a:graphicFrameLocks noChangeAspect="1"/>
            </wp:cNvGraphicFramePr>
            <a:graphic>
              <a:graphicData uri="http://schemas.openxmlformats.org/drawingml/2006/picture">
                <pic:pic>
                  <pic:nvPicPr>
                    <pic:cNvPr id="114" name="image75.jpeg"/>
                    <pic:cNvPicPr/>
                  </pic:nvPicPr>
                  <pic:blipFill>
                    <a:blip r:embed="rId81" cstate="print"/>
                    <a:stretch>
                      <a:fillRect/>
                    </a:stretch>
                  </pic:blipFill>
                  <pic:spPr>
                    <a:xfrm>
                      <a:off x="0" y="0"/>
                      <a:ext cx="4932382" cy="3435096"/>
                    </a:xfrm>
                    <a:prstGeom prst="rect">
                      <a:avLst/>
                    </a:prstGeom>
                  </pic:spPr>
                </pic:pic>
              </a:graphicData>
            </a:graphic>
          </wp:anchor>
        </w:drawing>
      </w:r>
    </w:p>
    <w:p>
      <w:pPr>
        <w:spacing w:before="104"/>
        <w:ind w:left="525" w:right="0" w:firstLine="0"/>
        <w:jc w:val="left"/>
        <w:rPr>
          <w:rFonts w:ascii="Calibri" w:hAnsi="Calibri"/>
          <w:i/>
          <w:sz w:val="18"/>
        </w:rPr>
      </w:pPr>
      <w:bookmarkStart w:name="_bookmark91" w:id="120"/>
      <w:bookmarkEnd w:id="120"/>
      <w:r>
        <w:rPr/>
      </w:r>
      <w:r>
        <w:rPr>
          <w:rFonts w:ascii="Calibri" w:hAnsi="Calibri"/>
          <w:i/>
          <w:color w:val="44536A"/>
          <w:sz w:val="18"/>
        </w:rPr>
        <w:t>Figur 54 Fem udvalgte udsnit til vurdering af dybde til grundvandsspejl og vand på terræn for Storå.</w:t>
      </w:r>
    </w:p>
    <w:p>
      <w:pPr>
        <w:pStyle w:val="BodyText"/>
        <w:spacing w:before="1"/>
        <w:rPr>
          <w:rFonts w:ascii="Calibri"/>
          <w:i/>
          <w:sz w:val="16"/>
        </w:rPr>
      </w:pPr>
    </w:p>
    <w:p>
      <w:pPr>
        <w:pStyle w:val="Heading5"/>
        <w:rPr>
          <w:i/>
        </w:rPr>
      </w:pPr>
      <w:r>
        <w:rPr>
          <w:i/>
        </w:rPr>
        <w:t>Min, max og middel dybde for 20 årig periode</w:t>
      </w:r>
    </w:p>
    <w:p>
      <w:pPr>
        <w:pStyle w:val="BodyText"/>
        <w:spacing w:line="285" w:lineRule="auto" w:before="49"/>
        <w:ind w:left="525" w:right="733"/>
      </w:pPr>
      <w:r>
        <w:rPr/>
        <w:drawing>
          <wp:anchor distT="0" distB="0" distL="0" distR="0" allowOverlap="1" layoutInCell="1" locked="0" behindDoc="0" simplePos="0" relativeHeight="47">
            <wp:simplePos x="0" y="0"/>
            <wp:positionH relativeFrom="page">
              <wp:posOffset>1326997</wp:posOffset>
            </wp:positionH>
            <wp:positionV relativeFrom="paragraph">
              <wp:posOffset>465861</wp:posOffset>
            </wp:positionV>
            <wp:extent cx="4966772" cy="3486912"/>
            <wp:effectExtent l="0" t="0" r="0" b="0"/>
            <wp:wrapTopAndBottom/>
            <wp:docPr id="115" name="image76.jpeg" descr=""/>
            <wp:cNvGraphicFramePr>
              <a:graphicFrameLocks noChangeAspect="1"/>
            </wp:cNvGraphicFramePr>
            <a:graphic>
              <a:graphicData uri="http://schemas.openxmlformats.org/drawingml/2006/picture">
                <pic:pic>
                  <pic:nvPicPr>
                    <pic:cNvPr id="116" name="image76.jpeg"/>
                    <pic:cNvPicPr/>
                  </pic:nvPicPr>
                  <pic:blipFill>
                    <a:blip r:embed="rId82" cstate="print"/>
                    <a:stretch>
                      <a:fillRect/>
                    </a:stretch>
                  </pic:blipFill>
                  <pic:spPr>
                    <a:xfrm>
                      <a:off x="0" y="0"/>
                      <a:ext cx="4966772" cy="3486912"/>
                    </a:xfrm>
                    <a:prstGeom prst="rect">
                      <a:avLst/>
                    </a:prstGeom>
                  </pic:spPr>
                </pic:pic>
              </a:graphicData>
            </a:graphic>
          </wp:anchor>
        </w:drawing>
      </w:r>
      <w:r>
        <w:rPr/>
        <w:t>På </w:t>
      </w:r>
      <w:hyperlink w:history="true" w:anchor="_bookmark92">
        <w:r>
          <w:rPr/>
          <w:t>figur 55 </w:t>
        </w:r>
      </w:hyperlink>
      <w:r>
        <w:rPr/>
        <w:t>– 57 er vist modelsimuleret dybde til grundvandsspejl for en 20-årig periode (1996-2015) for hhv. middel, max og min afstand til terrænnært grundvand.</w:t>
      </w:r>
    </w:p>
    <w:p>
      <w:pPr>
        <w:spacing w:before="37"/>
        <w:ind w:left="525" w:right="0" w:firstLine="0"/>
        <w:jc w:val="left"/>
        <w:rPr>
          <w:rFonts w:ascii="Calibri" w:hAnsi="Calibri"/>
          <w:i/>
          <w:sz w:val="18"/>
        </w:rPr>
      </w:pPr>
      <w:bookmarkStart w:name="_bookmark92" w:id="121"/>
      <w:bookmarkEnd w:id="121"/>
      <w:r>
        <w:rPr/>
      </w:r>
      <w:r>
        <w:rPr>
          <w:rFonts w:ascii="Calibri" w:hAnsi="Calibri"/>
          <w:i/>
          <w:color w:val="44536A"/>
          <w:sz w:val="18"/>
        </w:rPr>
        <w:t>Figur 55 Middel terrænnær grundvandsdybde (afstand til grundvandsspejl) for 20 årig periode (1996-2015)</w:t>
      </w:r>
    </w:p>
    <w:p>
      <w:pPr>
        <w:spacing w:after="0"/>
        <w:jc w:val="left"/>
        <w:rPr>
          <w:rFonts w:ascii="Calibri" w:hAnsi="Calibri"/>
          <w:sz w:val="18"/>
        </w:rPr>
        <w:sectPr>
          <w:pgSz w:w="11910" w:h="16850"/>
          <w:pgMar w:header="0" w:footer="857" w:top="1340" w:bottom="1120" w:left="1460" w:right="680"/>
        </w:sectPr>
      </w:pPr>
    </w:p>
    <w:p>
      <w:pPr>
        <w:pStyle w:val="BodyText"/>
        <w:spacing w:line="288" w:lineRule="auto" w:before="75"/>
        <w:ind w:left="525" w:right="734"/>
        <w:jc w:val="both"/>
      </w:pPr>
      <w:r>
        <w:rPr/>
        <w:drawing>
          <wp:anchor distT="0" distB="0" distL="0" distR="0" allowOverlap="1" layoutInCell="1" locked="0" behindDoc="0" simplePos="0" relativeHeight="48">
            <wp:simplePos x="0" y="0"/>
            <wp:positionH relativeFrom="page">
              <wp:posOffset>1327921</wp:posOffset>
            </wp:positionH>
            <wp:positionV relativeFrom="paragraph">
              <wp:posOffset>852822</wp:posOffset>
            </wp:positionV>
            <wp:extent cx="4893470" cy="3419855"/>
            <wp:effectExtent l="0" t="0" r="0" b="0"/>
            <wp:wrapTopAndBottom/>
            <wp:docPr id="117" name="image77.jpeg" descr=""/>
            <wp:cNvGraphicFramePr>
              <a:graphicFrameLocks noChangeAspect="1"/>
            </wp:cNvGraphicFramePr>
            <a:graphic>
              <a:graphicData uri="http://schemas.openxmlformats.org/drawingml/2006/picture">
                <pic:pic>
                  <pic:nvPicPr>
                    <pic:cNvPr id="118" name="image77.jpeg"/>
                    <pic:cNvPicPr/>
                  </pic:nvPicPr>
                  <pic:blipFill>
                    <a:blip r:embed="rId83" cstate="print"/>
                    <a:stretch>
                      <a:fillRect/>
                    </a:stretch>
                  </pic:blipFill>
                  <pic:spPr>
                    <a:xfrm>
                      <a:off x="0" y="0"/>
                      <a:ext cx="4893470" cy="3419855"/>
                    </a:xfrm>
                    <a:prstGeom prst="rect">
                      <a:avLst/>
                    </a:prstGeom>
                  </pic:spPr>
                </pic:pic>
              </a:graphicData>
            </a:graphic>
          </wp:anchor>
        </w:drawing>
      </w:r>
      <w:r>
        <w:rPr/>
        <w:t>Middelniveauet er typisk 1-5 m under terræn (orange områder), med nogen områder </w:t>
      </w:r>
      <w:r>
        <w:rPr>
          <w:spacing w:val="-3"/>
        </w:rPr>
        <w:t>med </w:t>
      </w:r>
      <w:r>
        <w:rPr/>
        <w:t>større</w:t>
      </w:r>
      <w:r>
        <w:rPr>
          <w:spacing w:val="-9"/>
        </w:rPr>
        <w:t> </w:t>
      </w:r>
      <w:r>
        <w:rPr/>
        <w:t>dybde</w:t>
      </w:r>
      <w:r>
        <w:rPr>
          <w:spacing w:val="-8"/>
        </w:rPr>
        <w:t> </w:t>
      </w:r>
      <w:r>
        <w:rPr/>
        <w:t>&gt;</w:t>
      </w:r>
      <w:r>
        <w:rPr>
          <w:spacing w:val="-10"/>
        </w:rPr>
        <w:t> </w:t>
      </w:r>
      <w:r>
        <w:rPr/>
        <w:t>5m</w:t>
      </w:r>
      <w:r>
        <w:rPr>
          <w:spacing w:val="-7"/>
        </w:rPr>
        <w:t> </w:t>
      </w:r>
      <w:r>
        <w:rPr/>
        <w:t>(mørkerøde</w:t>
      </w:r>
      <w:r>
        <w:rPr>
          <w:spacing w:val="-8"/>
        </w:rPr>
        <w:t> </w:t>
      </w:r>
      <w:r>
        <w:rPr/>
        <w:t>områder),</w:t>
      </w:r>
      <w:r>
        <w:rPr>
          <w:spacing w:val="-9"/>
        </w:rPr>
        <w:t> </w:t>
      </w:r>
      <w:r>
        <w:rPr/>
        <w:t>og</w:t>
      </w:r>
      <w:r>
        <w:rPr>
          <w:spacing w:val="-9"/>
        </w:rPr>
        <w:t> </w:t>
      </w:r>
      <w:r>
        <w:rPr/>
        <w:t>andre</w:t>
      </w:r>
      <w:r>
        <w:rPr>
          <w:spacing w:val="-11"/>
        </w:rPr>
        <w:t> </w:t>
      </w:r>
      <w:r>
        <w:rPr/>
        <w:t>med</w:t>
      </w:r>
      <w:r>
        <w:rPr>
          <w:spacing w:val="-11"/>
        </w:rPr>
        <w:t> </w:t>
      </w:r>
      <w:r>
        <w:rPr/>
        <w:t>mindre</w:t>
      </w:r>
      <w:r>
        <w:rPr>
          <w:spacing w:val="-10"/>
        </w:rPr>
        <w:t> </w:t>
      </w:r>
      <w:r>
        <w:rPr/>
        <w:t>end</w:t>
      </w:r>
      <w:r>
        <w:rPr>
          <w:spacing w:val="-8"/>
        </w:rPr>
        <w:t> </w:t>
      </w:r>
      <w:r>
        <w:rPr/>
        <w:t>en</w:t>
      </w:r>
      <w:r>
        <w:rPr>
          <w:spacing w:val="-12"/>
        </w:rPr>
        <w:t> </w:t>
      </w:r>
      <w:r>
        <w:rPr/>
        <w:t>m</w:t>
      </w:r>
      <w:r>
        <w:rPr>
          <w:spacing w:val="-7"/>
        </w:rPr>
        <w:t> </w:t>
      </w:r>
      <w:r>
        <w:rPr/>
        <w:t>under</w:t>
      </w:r>
      <w:r>
        <w:rPr>
          <w:spacing w:val="-10"/>
        </w:rPr>
        <w:t> </w:t>
      </w:r>
      <w:r>
        <w:rPr/>
        <w:t>terræn</w:t>
      </w:r>
      <w:r>
        <w:rPr>
          <w:spacing w:val="-9"/>
        </w:rPr>
        <w:t> </w:t>
      </w:r>
      <w:r>
        <w:rPr/>
        <w:t>(gule områder). Når grundvandstanden står højt (januar 2007) udvides området med dybde &lt;1m væsentligt, se </w:t>
      </w:r>
      <w:hyperlink w:history="true" w:anchor="_bookmark93">
        <w:r>
          <w:rPr/>
          <w:t>figur</w:t>
        </w:r>
        <w:r>
          <w:rPr>
            <w:spacing w:val="-7"/>
          </w:rPr>
          <w:t> </w:t>
        </w:r>
        <w:r>
          <w:rPr/>
          <w:t>56</w:t>
        </w:r>
      </w:hyperlink>
      <w:r>
        <w:rPr/>
        <w:t>.</w:t>
      </w:r>
    </w:p>
    <w:p>
      <w:pPr>
        <w:spacing w:before="119"/>
        <w:ind w:left="525" w:right="1122" w:firstLine="0"/>
        <w:jc w:val="left"/>
        <w:rPr>
          <w:rFonts w:ascii="Calibri" w:hAnsi="Calibri"/>
          <w:i/>
          <w:sz w:val="18"/>
        </w:rPr>
      </w:pPr>
      <w:bookmarkStart w:name="_bookmark93" w:id="122"/>
      <w:bookmarkEnd w:id="122"/>
      <w:r>
        <w:rPr/>
      </w:r>
      <w:r>
        <w:rPr>
          <w:rFonts w:ascii="Calibri" w:hAnsi="Calibri"/>
          <w:i/>
          <w:color w:val="44536A"/>
          <w:sz w:val="18"/>
        </w:rPr>
        <w:t>Figur 56 Minimum terrænnær grundvandsniveau (dvs. max afstand til grundvandsspejl) i 20 årig periode (1996- </w:t>
      </w:r>
      <w:r>
        <w:rPr>
          <w:rFonts w:ascii="Calibri" w:hAnsi="Calibri"/>
          <w:i/>
          <w:color w:val="44536A"/>
          <w:sz w:val="18"/>
        </w:rPr>
        <w:t>2015), dvs. typisk svarende til august 1996 hvor vandspejlet var lavest i den 20-årige periode.</w:t>
      </w:r>
    </w:p>
    <w:p>
      <w:pPr>
        <w:pStyle w:val="BodyText"/>
        <w:spacing w:before="11"/>
        <w:rPr>
          <w:rFonts w:ascii="Calibri"/>
          <w:i/>
        </w:rPr>
      </w:pPr>
      <w:r>
        <w:rPr/>
        <w:drawing>
          <wp:anchor distT="0" distB="0" distL="0" distR="0" allowOverlap="1" layoutInCell="1" locked="0" behindDoc="0" simplePos="0" relativeHeight="49">
            <wp:simplePos x="0" y="0"/>
            <wp:positionH relativeFrom="page">
              <wp:posOffset>1328386</wp:posOffset>
            </wp:positionH>
            <wp:positionV relativeFrom="paragraph">
              <wp:posOffset>194836</wp:posOffset>
            </wp:positionV>
            <wp:extent cx="5007085" cy="3497579"/>
            <wp:effectExtent l="0" t="0" r="0" b="0"/>
            <wp:wrapTopAndBottom/>
            <wp:docPr id="119" name="image78.jpeg" descr=""/>
            <wp:cNvGraphicFramePr>
              <a:graphicFrameLocks noChangeAspect="1"/>
            </wp:cNvGraphicFramePr>
            <a:graphic>
              <a:graphicData uri="http://schemas.openxmlformats.org/drawingml/2006/picture">
                <pic:pic>
                  <pic:nvPicPr>
                    <pic:cNvPr id="120" name="image78.jpeg"/>
                    <pic:cNvPicPr/>
                  </pic:nvPicPr>
                  <pic:blipFill>
                    <a:blip r:embed="rId84" cstate="print"/>
                    <a:stretch>
                      <a:fillRect/>
                    </a:stretch>
                  </pic:blipFill>
                  <pic:spPr>
                    <a:xfrm>
                      <a:off x="0" y="0"/>
                      <a:ext cx="5007085" cy="3497579"/>
                    </a:xfrm>
                    <a:prstGeom prst="rect">
                      <a:avLst/>
                    </a:prstGeom>
                  </pic:spPr>
                </pic:pic>
              </a:graphicData>
            </a:graphic>
          </wp:anchor>
        </w:drawing>
      </w:r>
    </w:p>
    <w:p>
      <w:pPr>
        <w:spacing w:before="61"/>
        <w:ind w:left="525" w:right="814" w:firstLine="0"/>
        <w:jc w:val="both"/>
        <w:rPr>
          <w:rFonts w:ascii="Calibri" w:hAnsi="Calibri"/>
          <w:i/>
          <w:sz w:val="18"/>
        </w:rPr>
      </w:pPr>
      <w:r>
        <w:rPr>
          <w:rFonts w:ascii="Calibri" w:hAnsi="Calibri"/>
          <w:i/>
          <w:color w:val="44536A"/>
          <w:sz w:val="18"/>
        </w:rPr>
        <w:t>Figur 57 Maks terrænnær grundvandsniveau (dvs. mindste afstand til grundvandsspejl i 20 årig periode 1996-2015), </w:t>
      </w:r>
      <w:r>
        <w:rPr>
          <w:rFonts w:ascii="Calibri" w:hAnsi="Calibri"/>
          <w:i/>
          <w:color w:val="44536A"/>
          <w:sz w:val="18"/>
        </w:rPr>
        <w:t>som optrådte i januar 2007 hvor grundvandstanden jf. modellen toppede.</w:t>
      </w:r>
    </w:p>
    <w:p>
      <w:pPr>
        <w:spacing w:after="0"/>
        <w:jc w:val="both"/>
        <w:rPr>
          <w:rFonts w:ascii="Calibri" w:hAnsi="Calibri"/>
          <w:sz w:val="18"/>
        </w:rPr>
        <w:sectPr>
          <w:pgSz w:w="11910" w:h="16850"/>
          <w:pgMar w:header="0" w:footer="857" w:top="1340" w:bottom="1120" w:left="1460" w:right="680"/>
        </w:sectPr>
      </w:pPr>
    </w:p>
    <w:p>
      <w:pPr>
        <w:pStyle w:val="Heading5"/>
        <w:spacing w:before="75"/>
        <w:rPr>
          <w:i/>
        </w:rPr>
      </w:pPr>
      <w:r>
        <w:rPr>
          <w:i/>
        </w:rPr>
        <w:t>Overskridelsessandsynlighed for given dybde til grundvandsspejlet</w:t>
      </w:r>
    </w:p>
    <w:p>
      <w:pPr>
        <w:pStyle w:val="BodyText"/>
        <w:spacing w:line="288" w:lineRule="auto" w:before="49"/>
        <w:ind w:left="525" w:right="728"/>
        <w:jc w:val="both"/>
      </w:pPr>
      <w:r>
        <w:rPr/>
        <w:t>Ud fra de simulerede data for 20 år (1996-2015) er det muligt at plotte overskridelsessand- synlighed</w:t>
      </w:r>
      <w:r>
        <w:rPr>
          <w:spacing w:val="-6"/>
        </w:rPr>
        <w:t> </w:t>
      </w:r>
      <w:r>
        <w:rPr/>
        <w:t>for</w:t>
      </w:r>
      <w:r>
        <w:rPr>
          <w:spacing w:val="-7"/>
        </w:rPr>
        <w:t> </w:t>
      </w:r>
      <w:r>
        <w:rPr/>
        <w:t>en</w:t>
      </w:r>
      <w:r>
        <w:rPr>
          <w:spacing w:val="-6"/>
        </w:rPr>
        <w:t> </w:t>
      </w:r>
      <w:r>
        <w:rPr/>
        <w:t>given</w:t>
      </w:r>
      <w:r>
        <w:rPr>
          <w:spacing w:val="-6"/>
        </w:rPr>
        <w:t> </w:t>
      </w:r>
      <w:r>
        <w:rPr/>
        <w:t>dybde</w:t>
      </w:r>
      <w:r>
        <w:rPr>
          <w:spacing w:val="-6"/>
        </w:rPr>
        <w:t> </w:t>
      </w:r>
      <w:r>
        <w:rPr/>
        <w:t>til</w:t>
      </w:r>
      <w:r>
        <w:rPr>
          <w:spacing w:val="-5"/>
        </w:rPr>
        <w:t> </w:t>
      </w:r>
      <w:r>
        <w:rPr/>
        <w:t>grundvandsspejlet,</w:t>
      </w:r>
      <w:r>
        <w:rPr>
          <w:spacing w:val="-7"/>
        </w:rPr>
        <w:t> </w:t>
      </w:r>
      <w:r>
        <w:rPr/>
        <w:t>dvs.</w:t>
      </w:r>
      <w:r>
        <w:rPr>
          <w:spacing w:val="-8"/>
        </w:rPr>
        <w:t> </w:t>
      </w:r>
      <w:r>
        <w:rPr/>
        <w:t>%</w:t>
      </w:r>
      <w:r>
        <w:rPr>
          <w:spacing w:val="-4"/>
        </w:rPr>
        <w:t> </w:t>
      </w:r>
      <w:r>
        <w:rPr/>
        <w:t>sandsynlighed</w:t>
      </w:r>
      <w:r>
        <w:rPr>
          <w:spacing w:val="-6"/>
        </w:rPr>
        <w:t> </w:t>
      </w:r>
      <w:r>
        <w:rPr/>
        <w:t>for</w:t>
      </w:r>
      <w:r>
        <w:rPr>
          <w:spacing w:val="-7"/>
        </w:rPr>
        <w:t> </w:t>
      </w:r>
      <w:r>
        <w:rPr/>
        <w:t>at</w:t>
      </w:r>
      <w:r>
        <w:rPr>
          <w:spacing w:val="-7"/>
        </w:rPr>
        <w:t> </w:t>
      </w:r>
      <w:r>
        <w:rPr/>
        <w:t>grundvandet står</w:t>
      </w:r>
      <w:r>
        <w:rPr>
          <w:spacing w:val="-4"/>
        </w:rPr>
        <w:t> </w:t>
      </w:r>
      <w:r>
        <w:rPr/>
        <w:t>mindre</w:t>
      </w:r>
      <w:r>
        <w:rPr>
          <w:spacing w:val="-4"/>
        </w:rPr>
        <w:t> </w:t>
      </w:r>
      <w:r>
        <w:rPr/>
        <w:t>end</w:t>
      </w:r>
      <w:r>
        <w:rPr>
          <w:spacing w:val="-5"/>
        </w:rPr>
        <w:t> </w:t>
      </w:r>
      <w:r>
        <w:rPr/>
        <w:t>den</w:t>
      </w:r>
      <w:r>
        <w:rPr>
          <w:spacing w:val="-6"/>
        </w:rPr>
        <w:t> </w:t>
      </w:r>
      <w:r>
        <w:rPr/>
        <w:t>givne</w:t>
      </w:r>
      <w:r>
        <w:rPr>
          <w:spacing w:val="-5"/>
        </w:rPr>
        <w:t> </w:t>
      </w:r>
      <w:r>
        <w:rPr/>
        <w:t>dybde</w:t>
      </w:r>
      <w:r>
        <w:rPr>
          <w:spacing w:val="-3"/>
        </w:rPr>
        <w:t> </w:t>
      </w:r>
      <w:r>
        <w:rPr/>
        <w:t>under</w:t>
      </w:r>
      <w:r>
        <w:rPr>
          <w:spacing w:val="-4"/>
        </w:rPr>
        <w:t> </w:t>
      </w:r>
      <w:r>
        <w:rPr/>
        <w:t>terræn</w:t>
      </w:r>
      <w:r>
        <w:rPr>
          <w:spacing w:val="-3"/>
        </w:rPr>
        <w:t> </w:t>
      </w:r>
      <w:r>
        <w:rPr/>
        <w:t>for</w:t>
      </w:r>
      <w:r>
        <w:rPr>
          <w:spacing w:val="-4"/>
        </w:rPr>
        <w:t> </w:t>
      </w:r>
      <w:r>
        <w:rPr/>
        <w:t>året,</w:t>
      </w:r>
      <w:r>
        <w:rPr>
          <w:spacing w:val="-4"/>
        </w:rPr>
        <w:t> </w:t>
      </w:r>
      <w:r>
        <w:rPr/>
        <w:t>eller</w:t>
      </w:r>
      <w:r>
        <w:rPr>
          <w:spacing w:val="-4"/>
        </w:rPr>
        <w:t> </w:t>
      </w:r>
      <w:r>
        <w:rPr/>
        <w:t>del</w:t>
      </w:r>
      <w:r>
        <w:rPr>
          <w:spacing w:val="-5"/>
        </w:rPr>
        <w:t> </w:t>
      </w:r>
      <w:r>
        <w:rPr/>
        <w:t>af</w:t>
      </w:r>
      <w:r>
        <w:rPr>
          <w:spacing w:val="-4"/>
        </w:rPr>
        <w:t> </w:t>
      </w:r>
      <w:r>
        <w:rPr/>
        <w:t>året.</w:t>
      </w:r>
      <w:r>
        <w:rPr>
          <w:spacing w:val="-4"/>
        </w:rPr>
        <w:t> </w:t>
      </w:r>
      <w:r>
        <w:rPr/>
        <w:t>Dette</w:t>
      </w:r>
      <w:r>
        <w:rPr>
          <w:spacing w:val="-5"/>
        </w:rPr>
        <w:t> </w:t>
      </w:r>
      <w:r>
        <w:rPr/>
        <w:t>er</w:t>
      </w:r>
      <w:r>
        <w:rPr>
          <w:spacing w:val="-4"/>
        </w:rPr>
        <w:t> </w:t>
      </w:r>
      <w:r>
        <w:rPr/>
        <w:t>vist</w:t>
      </w:r>
      <w:r>
        <w:rPr>
          <w:spacing w:val="-5"/>
        </w:rPr>
        <w:t> </w:t>
      </w:r>
      <w:r>
        <w:rPr/>
        <w:t>på</w:t>
      </w:r>
      <w:r>
        <w:rPr>
          <w:spacing w:val="-1"/>
        </w:rPr>
        <w:t> </w:t>
      </w:r>
      <w:hyperlink w:history="true" w:anchor="_bookmark94">
        <w:r>
          <w:rPr/>
          <w:t>figur</w:t>
        </w:r>
      </w:hyperlink>
      <w:r>
        <w:rPr/>
        <w:t> </w:t>
      </w:r>
      <w:hyperlink w:history="true" w:anchor="_bookmark94">
        <w:r>
          <w:rPr/>
          <w:t>58 </w:t>
        </w:r>
      </w:hyperlink>
      <w:r>
        <w:rPr/>
        <w:t>- 61, hvor overskridelsessandsynlighed (&lt;2m, &lt;1m og &lt;0.5m) for året og for sommerpe- rioden (juni-august) for perioden 1996-2015</w:t>
      </w:r>
      <w:r>
        <w:rPr>
          <w:spacing w:val="-8"/>
        </w:rPr>
        <w:t> </w:t>
      </w:r>
      <w:r>
        <w:rPr/>
        <w:t>fremgår.</w:t>
      </w:r>
    </w:p>
    <w:p>
      <w:pPr>
        <w:pStyle w:val="BodyText"/>
        <w:spacing w:before="1"/>
        <w:rPr>
          <w:sz w:val="25"/>
        </w:rPr>
      </w:pPr>
    </w:p>
    <w:p>
      <w:pPr>
        <w:pStyle w:val="BodyText"/>
        <w:spacing w:line="288" w:lineRule="auto"/>
        <w:ind w:left="525" w:right="734"/>
        <w:jc w:val="both"/>
      </w:pPr>
      <w:r>
        <w:rPr/>
        <w:t>I </w:t>
      </w:r>
      <w:hyperlink w:history="true" w:anchor="_bookmark94">
        <w:r>
          <w:rPr/>
          <w:t>figur 58 </w:t>
        </w:r>
      </w:hyperlink>
      <w:r>
        <w:rPr/>
        <w:t>er vist områder med overskridelses-sandsynlighed på dybde til terrænnært grund- vand på mindre end 2 meter under terræn. Store dele af Karup hedeslette har mere end 75</w:t>
      </w:r>
    </w:p>
    <w:p>
      <w:pPr>
        <w:pStyle w:val="BodyText"/>
        <w:spacing w:line="288" w:lineRule="auto"/>
        <w:ind w:left="525" w:right="733"/>
        <w:jc w:val="both"/>
      </w:pPr>
      <w:r>
        <w:rPr/>
        <w:t>%</w:t>
      </w:r>
      <w:r>
        <w:rPr>
          <w:spacing w:val="-5"/>
        </w:rPr>
        <w:t> </w:t>
      </w:r>
      <w:r>
        <w:rPr/>
        <w:t>sandsynlighed</w:t>
      </w:r>
      <w:r>
        <w:rPr>
          <w:spacing w:val="-3"/>
        </w:rPr>
        <w:t> </w:t>
      </w:r>
      <w:r>
        <w:rPr/>
        <w:t>for</w:t>
      </w:r>
      <w:r>
        <w:rPr>
          <w:spacing w:val="-4"/>
        </w:rPr>
        <w:t> </w:t>
      </w:r>
      <w:r>
        <w:rPr/>
        <w:t>højtstående</w:t>
      </w:r>
      <w:r>
        <w:rPr>
          <w:spacing w:val="-4"/>
        </w:rPr>
        <w:t> </w:t>
      </w:r>
      <w:r>
        <w:rPr/>
        <w:t>grundvand</w:t>
      </w:r>
      <w:r>
        <w:rPr>
          <w:spacing w:val="-3"/>
        </w:rPr>
        <w:t> </w:t>
      </w:r>
      <w:r>
        <w:rPr/>
        <w:t>jf.</w:t>
      </w:r>
      <w:r>
        <w:rPr>
          <w:spacing w:val="-5"/>
        </w:rPr>
        <w:t> </w:t>
      </w:r>
      <w:r>
        <w:rPr/>
        <w:t>dette</w:t>
      </w:r>
      <w:r>
        <w:rPr>
          <w:spacing w:val="-4"/>
        </w:rPr>
        <w:t> </w:t>
      </w:r>
      <w:r>
        <w:rPr/>
        <w:t>kriterium.</w:t>
      </w:r>
      <w:r>
        <w:rPr>
          <w:spacing w:val="-5"/>
        </w:rPr>
        <w:t> </w:t>
      </w:r>
      <w:r>
        <w:rPr/>
        <w:t>Samme</w:t>
      </w:r>
      <w:r>
        <w:rPr>
          <w:spacing w:val="-4"/>
        </w:rPr>
        <w:t> </w:t>
      </w:r>
      <w:r>
        <w:rPr/>
        <w:t>situation</w:t>
      </w:r>
      <w:r>
        <w:rPr>
          <w:spacing w:val="-4"/>
        </w:rPr>
        <w:t> </w:t>
      </w:r>
      <w:r>
        <w:rPr/>
        <w:t>gælder</w:t>
      </w:r>
      <w:r>
        <w:rPr>
          <w:spacing w:val="-4"/>
        </w:rPr>
        <w:t> </w:t>
      </w:r>
      <w:r>
        <w:rPr/>
        <w:t>om- kring udløbet og langs mange</w:t>
      </w:r>
      <w:r>
        <w:rPr>
          <w:spacing w:val="-11"/>
        </w:rPr>
        <w:t> </w:t>
      </w:r>
      <w:r>
        <w:rPr/>
        <w:t>vandløbsstrækninger.</w:t>
      </w:r>
    </w:p>
    <w:p>
      <w:pPr>
        <w:pStyle w:val="BodyText"/>
        <w:spacing w:before="3"/>
        <w:rPr>
          <w:sz w:val="25"/>
        </w:rPr>
      </w:pPr>
    </w:p>
    <w:p>
      <w:pPr>
        <w:pStyle w:val="BodyText"/>
        <w:spacing w:line="288" w:lineRule="auto"/>
        <w:ind w:left="525" w:right="731"/>
        <w:jc w:val="both"/>
      </w:pPr>
      <w:hyperlink w:history="true" w:anchor="_bookmark95">
        <w:r>
          <w:rPr/>
          <w:t>Figur 59 </w:t>
        </w:r>
      </w:hyperlink>
      <w:r>
        <w:rPr/>
        <w:t>viser et tilsvarende overskridelses-sandsynligheds temakort blot med et kriterium på</w:t>
      </w:r>
      <w:r>
        <w:rPr>
          <w:spacing w:val="-10"/>
        </w:rPr>
        <w:t> </w:t>
      </w:r>
      <w:r>
        <w:rPr/>
        <w:t>terrænnært</w:t>
      </w:r>
      <w:r>
        <w:rPr>
          <w:spacing w:val="-12"/>
        </w:rPr>
        <w:t> </w:t>
      </w:r>
      <w:r>
        <w:rPr/>
        <w:t>grundvand</w:t>
      </w:r>
      <w:r>
        <w:rPr>
          <w:spacing w:val="-11"/>
        </w:rPr>
        <w:t> </w:t>
      </w:r>
      <w:r>
        <w:rPr/>
        <w:t>&lt;1m</w:t>
      </w:r>
      <w:r>
        <w:rPr>
          <w:spacing w:val="-8"/>
        </w:rPr>
        <w:t> </w:t>
      </w:r>
      <w:r>
        <w:rPr/>
        <w:t>under</w:t>
      </w:r>
      <w:r>
        <w:rPr>
          <w:spacing w:val="-11"/>
        </w:rPr>
        <w:t> </w:t>
      </w:r>
      <w:r>
        <w:rPr/>
        <w:t>terræn.</w:t>
      </w:r>
      <w:r>
        <w:rPr>
          <w:spacing w:val="-12"/>
        </w:rPr>
        <w:t> </w:t>
      </w:r>
      <w:r>
        <w:rPr/>
        <w:t>Udstrækningen</w:t>
      </w:r>
      <w:r>
        <w:rPr>
          <w:spacing w:val="-10"/>
        </w:rPr>
        <w:t> </w:t>
      </w:r>
      <w:r>
        <w:rPr/>
        <w:t>af</w:t>
      </w:r>
      <w:r>
        <w:rPr>
          <w:spacing w:val="-10"/>
        </w:rPr>
        <w:t> </w:t>
      </w:r>
      <w:r>
        <w:rPr/>
        <w:t>områder</w:t>
      </w:r>
      <w:r>
        <w:rPr>
          <w:spacing w:val="-13"/>
        </w:rPr>
        <w:t> </w:t>
      </w:r>
      <w:r>
        <w:rPr/>
        <w:t>med</w:t>
      </w:r>
      <w:r>
        <w:rPr>
          <w:spacing w:val="-13"/>
        </w:rPr>
        <w:t> </w:t>
      </w:r>
      <w:r>
        <w:rPr/>
        <w:t>store</w:t>
      </w:r>
      <w:r>
        <w:rPr>
          <w:spacing w:val="-10"/>
        </w:rPr>
        <w:t> </w:t>
      </w:r>
      <w:r>
        <w:rPr/>
        <w:t>overskri- delsessandsynligheder indskrænkes hermed</w:t>
      </w:r>
      <w:r>
        <w:rPr>
          <w:spacing w:val="-5"/>
        </w:rPr>
        <w:t> </w:t>
      </w:r>
      <w:r>
        <w:rPr/>
        <w:t>noget.</w:t>
      </w:r>
    </w:p>
    <w:p>
      <w:pPr>
        <w:pStyle w:val="BodyText"/>
        <w:spacing w:before="3"/>
        <w:rPr>
          <w:sz w:val="25"/>
        </w:rPr>
      </w:pPr>
    </w:p>
    <w:p>
      <w:pPr>
        <w:pStyle w:val="BodyText"/>
        <w:spacing w:line="285" w:lineRule="auto"/>
        <w:ind w:left="525" w:right="733"/>
        <w:jc w:val="both"/>
      </w:pPr>
      <w:hyperlink w:history="true" w:anchor="_bookmark96">
        <w:r>
          <w:rPr/>
          <w:t>Figur</w:t>
        </w:r>
        <w:r>
          <w:rPr>
            <w:spacing w:val="-6"/>
          </w:rPr>
          <w:t> </w:t>
        </w:r>
        <w:r>
          <w:rPr/>
          <w:t>60</w:t>
        </w:r>
        <w:r>
          <w:rPr>
            <w:spacing w:val="-6"/>
          </w:rPr>
          <w:t> </w:t>
        </w:r>
      </w:hyperlink>
      <w:r>
        <w:rPr/>
        <w:t>viser</w:t>
      </w:r>
      <w:r>
        <w:rPr>
          <w:spacing w:val="-6"/>
        </w:rPr>
        <w:t> </w:t>
      </w:r>
      <w:r>
        <w:rPr/>
        <w:t>sammen</w:t>
      </w:r>
      <w:r>
        <w:rPr>
          <w:spacing w:val="-6"/>
        </w:rPr>
        <w:t> </w:t>
      </w:r>
      <w:r>
        <w:rPr/>
        <w:t>tema</w:t>
      </w:r>
      <w:r>
        <w:rPr>
          <w:spacing w:val="-5"/>
        </w:rPr>
        <w:t> </w:t>
      </w:r>
      <w:r>
        <w:rPr/>
        <w:t>som</w:t>
      </w:r>
      <w:r>
        <w:rPr>
          <w:spacing w:val="-5"/>
        </w:rPr>
        <w:t> </w:t>
      </w:r>
      <w:r>
        <w:rPr/>
        <w:t>i</w:t>
      </w:r>
      <w:r>
        <w:rPr>
          <w:spacing w:val="-2"/>
        </w:rPr>
        <w:t> </w:t>
      </w:r>
      <w:hyperlink w:history="true" w:anchor="_bookmark94">
        <w:r>
          <w:rPr/>
          <w:t>figur</w:t>
        </w:r>
        <w:r>
          <w:rPr>
            <w:spacing w:val="-6"/>
          </w:rPr>
          <w:t> </w:t>
        </w:r>
        <w:r>
          <w:rPr/>
          <w:t>58</w:t>
        </w:r>
        <w:r>
          <w:rPr>
            <w:spacing w:val="-5"/>
          </w:rPr>
          <w:t> </w:t>
        </w:r>
      </w:hyperlink>
      <w:r>
        <w:rPr/>
        <w:t>blot</w:t>
      </w:r>
      <w:r>
        <w:rPr>
          <w:spacing w:val="-7"/>
        </w:rPr>
        <w:t> </w:t>
      </w:r>
      <w:r>
        <w:rPr/>
        <w:t>for</w:t>
      </w:r>
      <w:r>
        <w:rPr>
          <w:spacing w:val="-6"/>
        </w:rPr>
        <w:t> </w:t>
      </w:r>
      <w:r>
        <w:rPr/>
        <w:t>sommerperioden</w:t>
      </w:r>
      <w:r>
        <w:rPr>
          <w:spacing w:val="-6"/>
        </w:rPr>
        <w:t> </w:t>
      </w:r>
      <w:r>
        <w:rPr/>
        <w:t>(jun-august).</w:t>
      </w:r>
      <w:r>
        <w:rPr>
          <w:spacing w:val="-4"/>
        </w:rPr>
        <w:t> </w:t>
      </w:r>
      <w:r>
        <w:rPr/>
        <w:t>I</w:t>
      </w:r>
      <w:r>
        <w:rPr>
          <w:spacing w:val="-7"/>
        </w:rPr>
        <w:t> </w:t>
      </w:r>
      <w:r>
        <w:rPr/>
        <w:t>sommer- perioden</w:t>
      </w:r>
      <w:r>
        <w:rPr>
          <w:spacing w:val="-17"/>
        </w:rPr>
        <w:t> </w:t>
      </w:r>
      <w:r>
        <w:rPr/>
        <w:t>indskrænkes</w:t>
      </w:r>
      <w:r>
        <w:rPr>
          <w:spacing w:val="-16"/>
        </w:rPr>
        <w:t> </w:t>
      </w:r>
      <w:r>
        <w:rPr/>
        <w:t>områder</w:t>
      </w:r>
      <w:r>
        <w:rPr>
          <w:spacing w:val="-16"/>
        </w:rPr>
        <w:t> </w:t>
      </w:r>
      <w:r>
        <w:rPr/>
        <w:t>med</w:t>
      </w:r>
      <w:r>
        <w:rPr>
          <w:spacing w:val="-15"/>
        </w:rPr>
        <w:t> </w:t>
      </w:r>
      <w:r>
        <w:rPr/>
        <w:t>stor</w:t>
      </w:r>
      <w:r>
        <w:rPr>
          <w:spacing w:val="-16"/>
        </w:rPr>
        <w:t> </w:t>
      </w:r>
      <w:r>
        <w:rPr/>
        <w:t>sandsynlighed</w:t>
      </w:r>
      <w:r>
        <w:rPr>
          <w:spacing w:val="-15"/>
        </w:rPr>
        <w:t> </w:t>
      </w:r>
      <w:r>
        <w:rPr/>
        <w:t>for</w:t>
      </w:r>
      <w:r>
        <w:rPr>
          <w:spacing w:val="-15"/>
        </w:rPr>
        <w:t> </w:t>
      </w:r>
      <w:r>
        <w:rPr/>
        <w:t>dybde</w:t>
      </w:r>
      <w:r>
        <w:rPr>
          <w:spacing w:val="-15"/>
        </w:rPr>
        <w:t> </w:t>
      </w:r>
      <w:r>
        <w:rPr/>
        <w:t>mindre</w:t>
      </w:r>
      <w:r>
        <w:rPr>
          <w:spacing w:val="-16"/>
        </w:rPr>
        <w:t> </w:t>
      </w:r>
      <w:r>
        <w:rPr/>
        <w:t>end</w:t>
      </w:r>
      <w:r>
        <w:rPr>
          <w:spacing w:val="-17"/>
        </w:rPr>
        <w:t> </w:t>
      </w:r>
      <w:r>
        <w:rPr/>
        <w:t>1</w:t>
      </w:r>
      <w:r>
        <w:rPr>
          <w:spacing w:val="-16"/>
        </w:rPr>
        <w:t> </w:t>
      </w:r>
      <w:r>
        <w:rPr/>
        <w:t>m</w:t>
      </w:r>
      <w:r>
        <w:rPr>
          <w:spacing w:val="-14"/>
        </w:rPr>
        <w:t> </w:t>
      </w:r>
      <w:r>
        <w:rPr/>
        <w:t>yderligere.</w:t>
      </w:r>
    </w:p>
    <w:p>
      <w:pPr>
        <w:pStyle w:val="BodyText"/>
        <w:spacing w:before="7"/>
        <w:rPr>
          <w:sz w:val="25"/>
        </w:rPr>
      </w:pPr>
    </w:p>
    <w:p>
      <w:pPr>
        <w:pStyle w:val="BodyText"/>
        <w:spacing w:line="288" w:lineRule="auto"/>
        <w:ind w:left="525" w:right="734"/>
        <w:jc w:val="both"/>
      </w:pPr>
      <w:r>
        <w:rPr/>
        <w:t>I </w:t>
      </w:r>
      <w:hyperlink w:history="true" w:anchor="_bookmark97">
        <w:r>
          <w:rPr/>
          <w:t>figur 61 </w:t>
        </w:r>
      </w:hyperlink>
      <w:r>
        <w:rPr/>
        <w:t>er vist overskridelses-sandsynlighed for terrænnært grundvand mindre end 0.5 m under</w:t>
      </w:r>
      <w:r>
        <w:rPr>
          <w:spacing w:val="-15"/>
        </w:rPr>
        <w:t> </w:t>
      </w:r>
      <w:r>
        <w:rPr/>
        <w:t>terræn.</w:t>
      </w:r>
      <w:r>
        <w:rPr>
          <w:spacing w:val="-16"/>
        </w:rPr>
        <w:t> </w:t>
      </w:r>
      <w:r>
        <w:rPr/>
        <w:t>Der</w:t>
      </w:r>
      <w:r>
        <w:rPr>
          <w:spacing w:val="-15"/>
        </w:rPr>
        <w:t> </w:t>
      </w:r>
      <w:r>
        <w:rPr/>
        <w:t>er</w:t>
      </w:r>
      <w:r>
        <w:rPr>
          <w:spacing w:val="-15"/>
        </w:rPr>
        <w:t> </w:t>
      </w:r>
      <w:r>
        <w:rPr/>
        <w:t>kun</w:t>
      </w:r>
      <w:r>
        <w:rPr>
          <w:spacing w:val="-14"/>
        </w:rPr>
        <w:t> </w:t>
      </w:r>
      <w:r>
        <w:rPr/>
        <w:t>ganske</w:t>
      </w:r>
      <w:r>
        <w:rPr>
          <w:spacing w:val="-15"/>
        </w:rPr>
        <w:t> </w:t>
      </w:r>
      <w:r>
        <w:rPr/>
        <w:t>få</w:t>
      </w:r>
      <w:r>
        <w:rPr>
          <w:spacing w:val="-14"/>
        </w:rPr>
        <w:t> </w:t>
      </w:r>
      <w:r>
        <w:rPr/>
        <w:t>grids,</w:t>
      </w:r>
      <w:r>
        <w:rPr>
          <w:spacing w:val="-16"/>
        </w:rPr>
        <w:t> </w:t>
      </w:r>
      <w:r>
        <w:rPr/>
        <w:t>hvor</w:t>
      </w:r>
      <w:r>
        <w:rPr>
          <w:spacing w:val="-15"/>
        </w:rPr>
        <w:t> </w:t>
      </w:r>
      <w:r>
        <w:rPr/>
        <w:t>dette</w:t>
      </w:r>
      <w:r>
        <w:rPr>
          <w:spacing w:val="-12"/>
        </w:rPr>
        <w:t> </w:t>
      </w:r>
      <w:r>
        <w:rPr/>
        <w:t>er</w:t>
      </w:r>
      <w:r>
        <w:rPr>
          <w:spacing w:val="-15"/>
        </w:rPr>
        <w:t> </w:t>
      </w:r>
      <w:r>
        <w:rPr/>
        <w:t>tilfældet,</w:t>
      </w:r>
      <w:r>
        <w:rPr>
          <w:spacing w:val="-16"/>
        </w:rPr>
        <w:t> </w:t>
      </w:r>
      <w:r>
        <w:rPr/>
        <w:t>jf.</w:t>
      </w:r>
      <w:r>
        <w:rPr>
          <w:spacing w:val="-15"/>
        </w:rPr>
        <w:t> </w:t>
      </w:r>
      <w:r>
        <w:rPr/>
        <w:t>at</w:t>
      </w:r>
      <w:r>
        <w:rPr>
          <w:spacing w:val="-15"/>
        </w:rPr>
        <w:t> </w:t>
      </w:r>
      <w:r>
        <w:rPr/>
        <w:t>drænene</w:t>
      </w:r>
      <w:r>
        <w:rPr>
          <w:spacing w:val="-14"/>
        </w:rPr>
        <w:t> </w:t>
      </w:r>
      <w:r>
        <w:rPr/>
        <w:t>i</w:t>
      </w:r>
      <w:r>
        <w:rPr>
          <w:spacing w:val="-16"/>
        </w:rPr>
        <w:t> </w:t>
      </w:r>
      <w:r>
        <w:rPr/>
        <w:t>100</w:t>
      </w:r>
      <w:r>
        <w:rPr>
          <w:spacing w:val="-14"/>
        </w:rPr>
        <w:t> </w:t>
      </w:r>
      <w:r>
        <w:rPr/>
        <w:t>m</w:t>
      </w:r>
      <w:r>
        <w:rPr>
          <w:spacing w:val="-13"/>
        </w:rPr>
        <w:t> </w:t>
      </w:r>
      <w:r>
        <w:rPr/>
        <w:t>griddet de fleste steder hindrer et så højt</w:t>
      </w:r>
      <w:r>
        <w:rPr>
          <w:spacing w:val="-12"/>
        </w:rPr>
        <w:t> </w:t>
      </w:r>
      <w:r>
        <w:rPr/>
        <w:t>grundvandsniveau.</w:t>
      </w:r>
    </w:p>
    <w:p>
      <w:pPr>
        <w:pStyle w:val="BodyText"/>
        <w:rPr>
          <w:sz w:val="20"/>
        </w:rPr>
      </w:pPr>
    </w:p>
    <w:p>
      <w:pPr>
        <w:pStyle w:val="BodyText"/>
        <w:spacing w:before="1"/>
        <w:rPr>
          <w:sz w:val="11"/>
        </w:rPr>
      </w:pPr>
      <w:r>
        <w:rPr/>
        <w:drawing>
          <wp:anchor distT="0" distB="0" distL="0" distR="0" allowOverlap="1" layoutInCell="1" locked="0" behindDoc="0" simplePos="0" relativeHeight="50">
            <wp:simplePos x="0" y="0"/>
            <wp:positionH relativeFrom="page">
              <wp:posOffset>1327031</wp:posOffset>
            </wp:positionH>
            <wp:positionV relativeFrom="paragraph">
              <wp:posOffset>105730</wp:posOffset>
            </wp:positionV>
            <wp:extent cx="5297140" cy="3721608"/>
            <wp:effectExtent l="0" t="0" r="0" b="0"/>
            <wp:wrapTopAndBottom/>
            <wp:docPr id="121" name="image79.jpeg" descr=""/>
            <wp:cNvGraphicFramePr>
              <a:graphicFrameLocks noChangeAspect="1"/>
            </wp:cNvGraphicFramePr>
            <a:graphic>
              <a:graphicData uri="http://schemas.openxmlformats.org/drawingml/2006/picture">
                <pic:pic>
                  <pic:nvPicPr>
                    <pic:cNvPr id="122" name="image79.jpeg"/>
                    <pic:cNvPicPr/>
                  </pic:nvPicPr>
                  <pic:blipFill>
                    <a:blip r:embed="rId85" cstate="print"/>
                    <a:stretch>
                      <a:fillRect/>
                    </a:stretch>
                  </pic:blipFill>
                  <pic:spPr>
                    <a:xfrm>
                      <a:off x="0" y="0"/>
                      <a:ext cx="5297140" cy="3721608"/>
                    </a:xfrm>
                    <a:prstGeom prst="rect">
                      <a:avLst/>
                    </a:prstGeom>
                  </pic:spPr>
                </pic:pic>
              </a:graphicData>
            </a:graphic>
          </wp:anchor>
        </w:drawing>
      </w:r>
    </w:p>
    <w:p>
      <w:pPr>
        <w:spacing w:before="71"/>
        <w:ind w:left="525" w:right="765" w:firstLine="0"/>
        <w:jc w:val="both"/>
        <w:rPr>
          <w:rFonts w:ascii="Calibri" w:hAnsi="Calibri"/>
          <w:i/>
          <w:sz w:val="18"/>
        </w:rPr>
      </w:pPr>
      <w:bookmarkStart w:name="_bookmark94" w:id="123"/>
      <w:bookmarkEnd w:id="123"/>
      <w:r>
        <w:rPr/>
      </w:r>
      <w:r>
        <w:rPr>
          <w:rFonts w:ascii="Calibri" w:hAnsi="Calibri"/>
          <w:i/>
          <w:color w:val="44536A"/>
          <w:sz w:val="18"/>
        </w:rPr>
        <w:t>Figur 58 Overskridelsessandsynlighed for &lt;2 m dybde til grundvandsspejlet (dvs. % sandsynlighed for at grundvandet </w:t>
      </w:r>
      <w:r>
        <w:rPr>
          <w:rFonts w:ascii="Calibri" w:hAnsi="Calibri"/>
          <w:i/>
          <w:color w:val="44536A"/>
          <w:sz w:val="18"/>
        </w:rPr>
        <w:t>står mindre end en meter under terræn) for året (ud fra simulererede data for 1996-2015).</w:t>
      </w:r>
    </w:p>
    <w:p>
      <w:pPr>
        <w:spacing w:after="0"/>
        <w:jc w:val="both"/>
        <w:rPr>
          <w:rFonts w:ascii="Calibri" w:hAnsi="Calibri"/>
          <w:sz w:val="18"/>
        </w:rPr>
        <w:sectPr>
          <w:pgSz w:w="11910" w:h="16850"/>
          <w:pgMar w:header="0" w:footer="857" w:top="1340" w:bottom="1120" w:left="1460" w:right="680"/>
        </w:sectPr>
      </w:pPr>
    </w:p>
    <w:p>
      <w:pPr>
        <w:pStyle w:val="BodyText"/>
        <w:ind w:left="629"/>
        <w:rPr>
          <w:rFonts w:ascii="Calibri"/>
          <w:sz w:val="20"/>
        </w:rPr>
      </w:pPr>
      <w:r>
        <w:rPr>
          <w:rFonts w:ascii="Calibri"/>
          <w:sz w:val="20"/>
        </w:rPr>
        <w:drawing>
          <wp:inline distT="0" distB="0" distL="0" distR="0">
            <wp:extent cx="5328263" cy="3755136"/>
            <wp:effectExtent l="0" t="0" r="0" b="0"/>
            <wp:docPr id="123" name="image80.jpeg" descr=""/>
            <wp:cNvGraphicFramePr>
              <a:graphicFrameLocks noChangeAspect="1"/>
            </wp:cNvGraphicFramePr>
            <a:graphic>
              <a:graphicData uri="http://schemas.openxmlformats.org/drawingml/2006/picture">
                <pic:pic>
                  <pic:nvPicPr>
                    <pic:cNvPr id="124" name="image80.jpeg"/>
                    <pic:cNvPicPr/>
                  </pic:nvPicPr>
                  <pic:blipFill>
                    <a:blip r:embed="rId86" cstate="print"/>
                    <a:stretch>
                      <a:fillRect/>
                    </a:stretch>
                  </pic:blipFill>
                  <pic:spPr>
                    <a:xfrm>
                      <a:off x="0" y="0"/>
                      <a:ext cx="5328263" cy="3755136"/>
                    </a:xfrm>
                    <a:prstGeom prst="rect">
                      <a:avLst/>
                    </a:prstGeom>
                  </pic:spPr>
                </pic:pic>
              </a:graphicData>
            </a:graphic>
          </wp:inline>
        </w:drawing>
      </w:r>
      <w:r>
        <w:rPr>
          <w:rFonts w:ascii="Calibri"/>
          <w:sz w:val="20"/>
        </w:rPr>
      </w:r>
    </w:p>
    <w:p>
      <w:pPr>
        <w:spacing w:before="48"/>
        <w:ind w:left="525" w:right="753" w:firstLine="0"/>
        <w:jc w:val="left"/>
        <w:rPr>
          <w:rFonts w:ascii="Calibri" w:hAnsi="Calibri"/>
          <w:i/>
          <w:sz w:val="18"/>
        </w:rPr>
      </w:pPr>
      <w:bookmarkStart w:name="_bookmark95" w:id="124"/>
      <w:bookmarkEnd w:id="124"/>
      <w:r>
        <w:rPr/>
      </w:r>
      <w:r>
        <w:rPr>
          <w:rFonts w:ascii="Calibri" w:hAnsi="Calibri"/>
          <w:i/>
          <w:color w:val="44536A"/>
          <w:sz w:val="18"/>
        </w:rPr>
        <w:t>Figur 59 Overskridelsessandsynlighed for &lt;1 m dybde til grundvandsspejlet (dvs. % sandsynlighed for at grundvandet </w:t>
      </w:r>
      <w:r>
        <w:rPr>
          <w:rFonts w:ascii="Calibri" w:hAnsi="Calibri"/>
          <w:i/>
          <w:color w:val="44536A"/>
          <w:sz w:val="18"/>
        </w:rPr>
        <w:t>står mindre end en meter under terræn) for året (ud fra simulererede data for 1996-2015).</w:t>
      </w:r>
    </w:p>
    <w:p>
      <w:pPr>
        <w:pStyle w:val="BodyText"/>
        <w:spacing w:before="8"/>
        <w:rPr>
          <w:rFonts w:ascii="Calibri"/>
          <w:i/>
        </w:rPr>
      </w:pPr>
      <w:r>
        <w:rPr/>
        <w:drawing>
          <wp:anchor distT="0" distB="0" distL="0" distR="0" allowOverlap="1" layoutInCell="1" locked="0" behindDoc="0" simplePos="0" relativeHeight="51">
            <wp:simplePos x="0" y="0"/>
            <wp:positionH relativeFrom="page">
              <wp:posOffset>1326929</wp:posOffset>
            </wp:positionH>
            <wp:positionV relativeFrom="paragraph">
              <wp:posOffset>193068</wp:posOffset>
            </wp:positionV>
            <wp:extent cx="5328617" cy="3755136"/>
            <wp:effectExtent l="0" t="0" r="0" b="0"/>
            <wp:wrapTopAndBottom/>
            <wp:docPr id="125" name="image81.jpeg" descr=""/>
            <wp:cNvGraphicFramePr>
              <a:graphicFrameLocks noChangeAspect="1"/>
            </wp:cNvGraphicFramePr>
            <a:graphic>
              <a:graphicData uri="http://schemas.openxmlformats.org/drawingml/2006/picture">
                <pic:pic>
                  <pic:nvPicPr>
                    <pic:cNvPr id="126" name="image81.jpeg"/>
                    <pic:cNvPicPr/>
                  </pic:nvPicPr>
                  <pic:blipFill>
                    <a:blip r:embed="rId87" cstate="print"/>
                    <a:stretch>
                      <a:fillRect/>
                    </a:stretch>
                  </pic:blipFill>
                  <pic:spPr>
                    <a:xfrm>
                      <a:off x="0" y="0"/>
                      <a:ext cx="5328617" cy="3755136"/>
                    </a:xfrm>
                    <a:prstGeom prst="rect">
                      <a:avLst/>
                    </a:prstGeom>
                  </pic:spPr>
                </pic:pic>
              </a:graphicData>
            </a:graphic>
          </wp:anchor>
        </w:drawing>
      </w:r>
    </w:p>
    <w:p>
      <w:pPr>
        <w:spacing w:before="18"/>
        <w:ind w:left="525" w:right="811" w:firstLine="0"/>
        <w:jc w:val="left"/>
        <w:rPr>
          <w:rFonts w:ascii="Calibri" w:hAnsi="Calibri"/>
          <w:i/>
          <w:sz w:val="18"/>
        </w:rPr>
      </w:pPr>
      <w:bookmarkStart w:name="_bookmark96" w:id="125"/>
      <w:bookmarkEnd w:id="125"/>
      <w:r>
        <w:rPr/>
      </w:r>
      <w:r>
        <w:rPr>
          <w:rFonts w:ascii="Calibri" w:hAnsi="Calibri"/>
          <w:i/>
          <w:color w:val="44536A"/>
          <w:sz w:val="18"/>
        </w:rPr>
        <w:t>Figur 60 Overskridelsessandsynlighed for &lt;1 m dybde til grundvandsspejlet i sommerperioden (dvs. % sandsynlighed </w:t>
      </w:r>
      <w:r>
        <w:rPr>
          <w:rFonts w:ascii="Calibri" w:hAnsi="Calibri"/>
          <w:i/>
          <w:color w:val="44536A"/>
          <w:sz w:val="18"/>
        </w:rPr>
        <w:t>for at grundvandet står mindre end 1 meter under terræn) for juni-august (ud fra simulererede data for 1996-2015)</w:t>
      </w:r>
    </w:p>
    <w:p>
      <w:pPr>
        <w:spacing w:after="0"/>
        <w:jc w:val="left"/>
        <w:rPr>
          <w:rFonts w:ascii="Calibri" w:hAnsi="Calibri"/>
          <w:sz w:val="18"/>
        </w:rPr>
        <w:sectPr>
          <w:pgSz w:w="11910" w:h="16850"/>
          <w:pgMar w:header="0" w:footer="857" w:top="1520" w:bottom="1120" w:left="1460" w:right="680"/>
        </w:sectPr>
      </w:pPr>
    </w:p>
    <w:p>
      <w:pPr>
        <w:pStyle w:val="BodyText"/>
        <w:ind w:left="637"/>
        <w:rPr>
          <w:rFonts w:ascii="Calibri"/>
          <w:sz w:val="20"/>
        </w:rPr>
      </w:pPr>
      <w:r>
        <w:rPr>
          <w:rFonts w:ascii="Calibri"/>
          <w:sz w:val="20"/>
        </w:rPr>
        <w:drawing>
          <wp:inline distT="0" distB="0" distL="0" distR="0">
            <wp:extent cx="5306599" cy="3724655"/>
            <wp:effectExtent l="0" t="0" r="0" b="0"/>
            <wp:docPr id="127" name="image82.jpeg" descr=""/>
            <wp:cNvGraphicFramePr>
              <a:graphicFrameLocks noChangeAspect="1"/>
            </wp:cNvGraphicFramePr>
            <a:graphic>
              <a:graphicData uri="http://schemas.openxmlformats.org/drawingml/2006/picture">
                <pic:pic>
                  <pic:nvPicPr>
                    <pic:cNvPr id="128" name="image82.jpeg"/>
                    <pic:cNvPicPr/>
                  </pic:nvPicPr>
                  <pic:blipFill>
                    <a:blip r:embed="rId88" cstate="print"/>
                    <a:stretch>
                      <a:fillRect/>
                    </a:stretch>
                  </pic:blipFill>
                  <pic:spPr>
                    <a:xfrm>
                      <a:off x="0" y="0"/>
                      <a:ext cx="5306599" cy="3724655"/>
                    </a:xfrm>
                    <a:prstGeom prst="rect">
                      <a:avLst/>
                    </a:prstGeom>
                  </pic:spPr>
                </pic:pic>
              </a:graphicData>
            </a:graphic>
          </wp:inline>
        </w:drawing>
      </w:r>
      <w:r>
        <w:rPr>
          <w:rFonts w:ascii="Calibri"/>
          <w:sz w:val="20"/>
        </w:rPr>
      </w:r>
    </w:p>
    <w:p>
      <w:pPr>
        <w:spacing w:before="89"/>
        <w:ind w:left="525" w:right="813" w:firstLine="0"/>
        <w:jc w:val="both"/>
        <w:rPr>
          <w:rFonts w:ascii="Calibri" w:hAnsi="Calibri"/>
          <w:i/>
          <w:sz w:val="18"/>
        </w:rPr>
      </w:pPr>
      <w:bookmarkStart w:name="_bookmark97" w:id="126"/>
      <w:bookmarkEnd w:id="126"/>
      <w:r>
        <w:rPr/>
      </w:r>
      <w:r>
        <w:rPr>
          <w:rFonts w:ascii="Calibri" w:hAnsi="Calibri"/>
          <w:i/>
          <w:color w:val="44536A"/>
          <w:sz w:val="18"/>
        </w:rPr>
        <w:t>Figur 61 Overskridelsessandsynlighed for &lt;0.5 m dybde til grundvandsspejlet (dvs. % sandsynlighed for at grundvan- </w:t>
      </w:r>
      <w:r>
        <w:rPr>
          <w:rFonts w:ascii="Calibri" w:hAnsi="Calibri"/>
          <w:i/>
          <w:color w:val="44536A"/>
          <w:sz w:val="18"/>
        </w:rPr>
        <w:t>det står mindre end en halv meter under terræn) for året (ud fra simulererede data for 1996-2015)</w:t>
      </w:r>
    </w:p>
    <w:p>
      <w:pPr>
        <w:pStyle w:val="BodyText"/>
        <w:rPr>
          <w:rFonts w:ascii="Calibri"/>
          <w:i/>
          <w:sz w:val="18"/>
        </w:rPr>
      </w:pPr>
    </w:p>
    <w:p>
      <w:pPr>
        <w:pStyle w:val="BodyText"/>
        <w:spacing w:before="11"/>
        <w:rPr>
          <w:rFonts w:ascii="Calibri"/>
          <w:i/>
        </w:rPr>
      </w:pPr>
    </w:p>
    <w:p>
      <w:pPr>
        <w:pStyle w:val="Heading5"/>
        <w:spacing w:before="1"/>
        <w:rPr>
          <w:i/>
        </w:rPr>
      </w:pPr>
      <w:r>
        <w:rPr>
          <w:i/>
        </w:rPr>
        <w:t>Visualisering af hændelsesdata 9. december 2015 Storå</w:t>
      </w:r>
    </w:p>
    <w:p>
      <w:pPr>
        <w:pStyle w:val="BodyText"/>
        <w:spacing w:line="288" w:lineRule="auto" w:before="49"/>
        <w:ind w:left="525" w:right="729"/>
        <w:jc w:val="both"/>
      </w:pPr>
      <w:r>
        <w:rPr/>
        <w:t>På </w:t>
      </w:r>
      <w:hyperlink w:history="true" w:anchor="_bookmark98">
        <w:r>
          <w:rPr/>
          <w:t>figur 62 </w:t>
        </w:r>
      </w:hyperlink>
      <w:r>
        <w:rPr/>
        <w:t>og 63 er vist et plot af afstand til grundvandsspejlet for hændelsen med højt terrænnært</w:t>
      </w:r>
      <w:r>
        <w:rPr>
          <w:spacing w:val="-6"/>
        </w:rPr>
        <w:t> </w:t>
      </w:r>
      <w:r>
        <w:rPr/>
        <w:t>grundvandsspejl</w:t>
      </w:r>
      <w:r>
        <w:rPr>
          <w:spacing w:val="-4"/>
        </w:rPr>
        <w:t> </w:t>
      </w:r>
      <w:r>
        <w:rPr/>
        <w:t>9.</w:t>
      </w:r>
      <w:r>
        <w:rPr>
          <w:spacing w:val="-5"/>
        </w:rPr>
        <w:t> </w:t>
      </w:r>
      <w:r>
        <w:rPr/>
        <w:t>december</w:t>
      </w:r>
      <w:r>
        <w:rPr>
          <w:spacing w:val="-5"/>
        </w:rPr>
        <w:t> </w:t>
      </w:r>
      <w:r>
        <w:rPr/>
        <w:t>2015</w:t>
      </w:r>
      <w:r>
        <w:rPr>
          <w:spacing w:val="-4"/>
        </w:rPr>
        <w:t> </w:t>
      </w:r>
      <w:r>
        <w:rPr/>
        <w:t>(hvor</w:t>
      </w:r>
      <w:r>
        <w:rPr>
          <w:spacing w:val="-6"/>
        </w:rPr>
        <w:t> </w:t>
      </w:r>
      <w:r>
        <w:rPr/>
        <w:t>der</w:t>
      </w:r>
      <w:r>
        <w:rPr>
          <w:spacing w:val="-5"/>
        </w:rPr>
        <w:t> </w:t>
      </w:r>
      <w:r>
        <w:rPr/>
        <w:t>foreligger</w:t>
      </w:r>
      <w:r>
        <w:rPr>
          <w:spacing w:val="-5"/>
        </w:rPr>
        <w:t> </w:t>
      </w:r>
      <w:r>
        <w:rPr/>
        <w:t>Sentinel-1</w:t>
      </w:r>
      <w:r>
        <w:rPr>
          <w:spacing w:val="-4"/>
        </w:rPr>
        <w:t> </w:t>
      </w:r>
      <w:r>
        <w:rPr/>
        <w:t>data</w:t>
      </w:r>
      <w:r>
        <w:rPr>
          <w:spacing w:val="-5"/>
        </w:rPr>
        <w:t> </w:t>
      </w:r>
      <w:r>
        <w:rPr/>
        <w:t>for</w:t>
      </w:r>
      <w:r>
        <w:rPr>
          <w:spacing w:val="-5"/>
        </w:rPr>
        <w:t> </w:t>
      </w:r>
      <w:r>
        <w:rPr/>
        <w:t>hæn- delsen). </w:t>
      </w:r>
      <w:hyperlink w:history="true" w:anchor="_bookmark98">
        <w:r>
          <w:rPr/>
          <w:t>Figur 62 </w:t>
        </w:r>
      </w:hyperlink>
      <w:r>
        <w:rPr/>
        <w:t>viser udtræk fra 100 m model og </w:t>
      </w:r>
      <w:hyperlink w:history="true" w:anchor="_bookmark99">
        <w:r>
          <w:rPr/>
          <w:t>figur 63 </w:t>
        </w:r>
      </w:hyperlink>
      <w:r>
        <w:rPr/>
        <w:t>nedskaleret udtræk til 10</w:t>
      </w:r>
      <w:r>
        <w:rPr>
          <w:spacing w:val="-24"/>
        </w:rPr>
        <w:t> </w:t>
      </w:r>
      <w:r>
        <w:rPr/>
        <w:t>m.</w:t>
      </w:r>
    </w:p>
    <w:p>
      <w:pPr>
        <w:spacing w:after="0" w:line="288" w:lineRule="auto"/>
        <w:jc w:val="both"/>
        <w:sectPr>
          <w:pgSz w:w="11910" w:h="16850"/>
          <w:pgMar w:header="0" w:footer="857" w:top="1520" w:bottom="1120" w:left="1460" w:right="680"/>
        </w:sectPr>
      </w:pPr>
    </w:p>
    <w:p>
      <w:pPr>
        <w:pStyle w:val="BodyText"/>
        <w:ind w:left="638"/>
        <w:rPr>
          <w:sz w:val="20"/>
        </w:rPr>
      </w:pPr>
      <w:r>
        <w:rPr>
          <w:sz w:val="20"/>
        </w:rPr>
        <w:drawing>
          <wp:inline distT="0" distB="0" distL="0" distR="0">
            <wp:extent cx="5262434" cy="3653028"/>
            <wp:effectExtent l="0" t="0" r="0" b="0"/>
            <wp:docPr id="129" name="image83.jpeg" descr=""/>
            <wp:cNvGraphicFramePr>
              <a:graphicFrameLocks noChangeAspect="1"/>
            </wp:cNvGraphicFramePr>
            <a:graphic>
              <a:graphicData uri="http://schemas.openxmlformats.org/drawingml/2006/picture">
                <pic:pic>
                  <pic:nvPicPr>
                    <pic:cNvPr id="130" name="image83.jpeg"/>
                    <pic:cNvPicPr/>
                  </pic:nvPicPr>
                  <pic:blipFill>
                    <a:blip r:embed="rId89" cstate="print"/>
                    <a:stretch>
                      <a:fillRect/>
                    </a:stretch>
                  </pic:blipFill>
                  <pic:spPr>
                    <a:xfrm>
                      <a:off x="0" y="0"/>
                      <a:ext cx="5262434" cy="3653028"/>
                    </a:xfrm>
                    <a:prstGeom prst="rect">
                      <a:avLst/>
                    </a:prstGeom>
                  </pic:spPr>
                </pic:pic>
              </a:graphicData>
            </a:graphic>
          </wp:inline>
        </w:drawing>
      </w:r>
      <w:r>
        <w:rPr>
          <w:sz w:val="20"/>
        </w:rPr>
      </w:r>
    </w:p>
    <w:p>
      <w:pPr>
        <w:pStyle w:val="BodyText"/>
        <w:spacing w:before="6"/>
        <w:rPr>
          <w:sz w:val="10"/>
        </w:rPr>
      </w:pPr>
    </w:p>
    <w:p>
      <w:pPr>
        <w:spacing w:before="63"/>
        <w:ind w:left="525" w:right="0" w:firstLine="0"/>
        <w:jc w:val="left"/>
        <w:rPr>
          <w:rFonts w:ascii="Calibri" w:hAnsi="Calibri"/>
          <w:i/>
          <w:sz w:val="18"/>
        </w:rPr>
      </w:pPr>
      <w:bookmarkStart w:name="_bookmark98" w:id="127"/>
      <w:bookmarkEnd w:id="127"/>
      <w:r>
        <w:rPr/>
      </w:r>
      <w:r>
        <w:rPr>
          <w:rFonts w:ascii="Calibri" w:hAnsi="Calibri"/>
          <w:i/>
          <w:color w:val="44536A"/>
          <w:sz w:val="18"/>
        </w:rPr>
        <w:t>Figur 62 Simuleret afstand til terrænnært grundvandsspejl for hændelse 9. december 2015, 100 m grid.</w:t>
      </w:r>
    </w:p>
    <w:p>
      <w:pPr>
        <w:pStyle w:val="BodyText"/>
        <w:spacing w:before="1"/>
        <w:rPr>
          <w:rFonts w:ascii="Calibri"/>
          <w:i/>
          <w:sz w:val="22"/>
        </w:rPr>
      </w:pPr>
      <w:r>
        <w:rPr/>
        <w:drawing>
          <wp:anchor distT="0" distB="0" distL="0" distR="0" allowOverlap="1" layoutInCell="1" locked="0" behindDoc="0" simplePos="0" relativeHeight="52">
            <wp:simplePos x="0" y="0"/>
            <wp:positionH relativeFrom="page">
              <wp:posOffset>1330540</wp:posOffset>
            </wp:positionH>
            <wp:positionV relativeFrom="paragraph">
              <wp:posOffset>196116</wp:posOffset>
            </wp:positionV>
            <wp:extent cx="5256732" cy="3715512"/>
            <wp:effectExtent l="0" t="0" r="0" b="0"/>
            <wp:wrapTopAndBottom/>
            <wp:docPr id="131" name="image84.jpeg" descr=""/>
            <wp:cNvGraphicFramePr>
              <a:graphicFrameLocks noChangeAspect="1"/>
            </wp:cNvGraphicFramePr>
            <a:graphic>
              <a:graphicData uri="http://schemas.openxmlformats.org/drawingml/2006/picture">
                <pic:pic>
                  <pic:nvPicPr>
                    <pic:cNvPr id="132" name="image84.jpeg"/>
                    <pic:cNvPicPr/>
                  </pic:nvPicPr>
                  <pic:blipFill>
                    <a:blip r:embed="rId90" cstate="print"/>
                    <a:stretch>
                      <a:fillRect/>
                    </a:stretch>
                  </pic:blipFill>
                  <pic:spPr>
                    <a:xfrm>
                      <a:off x="0" y="0"/>
                      <a:ext cx="5256732" cy="3715512"/>
                    </a:xfrm>
                    <a:prstGeom prst="rect">
                      <a:avLst/>
                    </a:prstGeom>
                  </pic:spPr>
                </pic:pic>
              </a:graphicData>
            </a:graphic>
          </wp:anchor>
        </w:drawing>
      </w:r>
    </w:p>
    <w:p>
      <w:pPr>
        <w:spacing w:before="68"/>
        <w:ind w:left="525" w:right="0" w:firstLine="0"/>
        <w:jc w:val="left"/>
        <w:rPr>
          <w:rFonts w:ascii="Calibri" w:hAnsi="Calibri"/>
          <w:i/>
          <w:sz w:val="18"/>
        </w:rPr>
      </w:pPr>
      <w:bookmarkStart w:name="_bookmark99" w:id="128"/>
      <w:bookmarkEnd w:id="128"/>
      <w:r>
        <w:rPr/>
      </w:r>
      <w:r>
        <w:rPr>
          <w:rFonts w:ascii="Calibri" w:hAnsi="Calibri"/>
          <w:i/>
          <w:color w:val="44536A"/>
          <w:sz w:val="18"/>
        </w:rPr>
        <w:t>Figur 63 Simuleret afstand til terrænnært grundvandsspejl for hændelse 9. december 2015 (nedskaleret til 10 m grid)</w:t>
      </w:r>
    </w:p>
    <w:p>
      <w:pPr>
        <w:spacing w:after="0"/>
        <w:jc w:val="left"/>
        <w:rPr>
          <w:rFonts w:ascii="Calibri" w:hAnsi="Calibri"/>
          <w:sz w:val="18"/>
        </w:rPr>
        <w:sectPr>
          <w:pgSz w:w="11910" w:h="16850"/>
          <w:pgMar w:header="0" w:footer="857" w:top="1540" w:bottom="1120" w:left="1460" w:right="680"/>
        </w:sectPr>
      </w:pPr>
    </w:p>
    <w:p>
      <w:pPr>
        <w:pStyle w:val="Heading5"/>
        <w:spacing w:before="75"/>
        <w:rPr>
          <w:i/>
        </w:rPr>
      </w:pPr>
      <w:r>
        <w:rPr>
          <w:i/>
        </w:rPr>
        <w:t>Udsnit for 5 delområder i Storå</w:t>
      </w:r>
    </w:p>
    <w:p>
      <w:pPr>
        <w:pStyle w:val="BodyText"/>
        <w:spacing w:line="285" w:lineRule="auto" w:before="49"/>
        <w:ind w:left="525" w:right="737"/>
        <w:jc w:val="both"/>
      </w:pPr>
      <w:hyperlink w:history="true" w:anchor="_bookmark100">
        <w:r>
          <w:rPr/>
          <w:t>Figur 64 </w:t>
        </w:r>
      </w:hyperlink>
      <w:r>
        <w:rPr/>
        <w:t>– 68 viser plot af dybde til grundvandsspejl med 100 m model sammenlignet med nedskalerede model (til 10 m). I midten vises observerede hændelsesdata (Sentinel-1).</w:t>
      </w:r>
    </w:p>
    <w:p>
      <w:pPr>
        <w:pStyle w:val="BodyText"/>
        <w:spacing w:before="7"/>
        <w:rPr>
          <w:sz w:val="28"/>
        </w:rPr>
      </w:pPr>
      <w:r>
        <w:rPr/>
        <w:drawing>
          <wp:anchor distT="0" distB="0" distL="0" distR="0" allowOverlap="1" layoutInCell="1" locked="0" behindDoc="0" simplePos="0" relativeHeight="53">
            <wp:simplePos x="0" y="0"/>
            <wp:positionH relativeFrom="page">
              <wp:posOffset>1297852</wp:posOffset>
            </wp:positionH>
            <wp:positionV relativeFrom="paragraph">
              <wp:posOffset>234020</wp:posOffset>
            </wp:positionV>
            <wp:extent cx="5373305" cy="3164204"/>
            <wp:effectExtent l="0" t="0" r="0" b="0"/>
            <wp:wrapTopAndBottom/>
            <wp:docPr id="133" name="image10.jpeg" descr=""/>
            <wp:cNvGraphicFramePr>
              <a:graphicFrameLocks noChangeAspect="1"/>
            </wp:cNvGraphicFramePr>
            <a:graphic>
              <a:graphicData uri="http://schemas.openxmlformats.org/drawingml/2006/picture">
                <pic:pic>
                  <pic:nvPicPr>
                    <pic:cNvPr id="134" name="image10.jpeg"/>
                    <pic:cNvPicPr/>
                  </pic:nvPicPr>
                  <pic:blipFill>
                    <a:blip r:embed="rId16" cstate="print"/>
                    <a:stretch>
                      <a:fillRect/>
                    </a:stretch>
                  </pic:blipFill>
                  <pic:spPr>
                    <a:xfrm>
                      <a:off x="0" y="0"/>
                      <a:ext cx="5373305" cy="3164204"/>
                    </a:xfrm>
                    <a:prstGeom prst="rect">
                      <a:avLst/>
                    </a:prstGeom>
                  </pic:spPr>
                </pic:pic>
              </a:graphicData>
            </a:graphic>
          </wp:anchor>
        </w:drawing>
      </w:r>
    </w:p>
    <w:p>
      <w:pPr>
        <w:spacing w:before="47"/>
        <w:ind w:left="525" w:right="787" w:firstLine="0"/>
        <w:jc w:val="both"/>
        <w:rPr>
          <w:rFonts w:ascii="Calibri" w:hAnsi="Calibri"/>
          <w:i/>
          <w:sz w:val="18"/>
        </w:rPr>
      </w:pPr>
      <w:bookmarkStart w:name="_bookmark100" w:id="129"/>
      <w:bookmarkEnd w:id="129"/>
      <w:r>
        <w:rPr/>
      </w:r>
      <w:r>
        <w:rPr>
          <w:rFonts w:ascii="Calibri" w:hAnsi="Calibri"/>
          <w:i/>
          <w:color w:val="44536A"/>
          <w:sz w:val="18"/>
        </w:rPr>
        <w:t>Figur 64 ZOOM 1. Simuleret afstand til grundvandsspejl med 100 m model (venstre) og nedskaleret fra 100 m model </w:t>
      </w:r>
      <w:r>
        <w:rPr>
          <w:rFonts w:ascii="Calibri" w:hAnsi="Calibri"/>
          <w:i/>
          <w:color w:val="44536A"/>
          <w:sz w:val="18"/>
        </w:rPr>
        <w:t>(højre) og sammenlignet med observationer af DHI GRAS for 9. december 2015 hændelse. Nedre del af Storå (Vemb)</w:t>
      </w:r>
    </w:p>
    <w:p>
      <w:pPr>
        <w:pStyle w:val="BodyText"/>
        <w:spacing w:before="2"/>
        <w:rPr>
          <w:rFonts w:ascii="Calibri"/>
          <w:i/>
          <w:sz w:val="16"/>
        </w:rPr>
      </w:pPr>
    </w:p>
    <w:p>
      <w:pPr>
        <w:pStyle w:val="BodyText"/>
        <w:spacing w:line="288" w:lineRule="auto"/>
        <w:ind w:left="525" w:right="731"/>
        <w:jc w:val="both"/>
      </w:pPr>
      <w:r>
        <w:rPr/>
        <w:t>Omkring den 9. december, </w:t>
      </w:r>
      <w:hyperlink w:history="true" w:anchor="_bookmark100">
        <w:r>
          <w:rPr/>
          <w:t>figur 64</w:t>
        </w:r>
      </w:hyperlink>
      <w:r>
        <w:rPr/>
        <w:t>, viser simuleret afstand til grundvandsspejl rimelig god overensstemmelse mellem DHI GRAS processerede satellitbaseret (Sentinel-1) overvøm- melsesdata (figuren i midten) med både 100 m model (venstre figur) og med den nedskale- rede 100 m model (til 10 m på figuren til højre) for dybden til terrænnært grundvandsspejl. Modellen er også i stand til at fange de små vandløbstilløb. Den nedskalerede model ser umiddelbart mest overbevisende ud, som følge af den øgende detaljeringsgrad baseret på inddragelse af den detaljerede højdemodel.</w:t>
      </w:r>
    </w:p>
    <w:p>
      <w:pPr>
        <w:pStyle w:val="BodyText"/>
        <w:spacing w:before="3"/>
        <w:rPr>
          <w:sz w:val="25"/>
        </w:rPr>
      </w:pPr>
    </w:p>
    <w:p>
      <w:pPr>
        <w:pStyle w:val="BodyText"/>
        <w:spacing w:line="288" w:lineRule="auto"/>
        <w:ind w:left="525" w:right="732"/>
        <w:jc w:val="both"/>
      </w:pPr>
      <w:r>
        <w:rPr/>
        <w:t>På </w:t>
      </w:r>
      <w:hyperlink w:history="true" w:anchor="_bookmark101">
        <w:r>
          <w:rPr/>
          <w:t>figur 65 </w:t>
        </w:r>
      </w:hyperlink>
      <w:r>
        <w:rPr/>
        <w:t>er vist de samme temaer for området omkring Holstebro. For hændelsen 9. de- cember 2015 er der på satellitbilledet tolket et område med sandsynlighed for oversvøm- melse i området omkring golfbanen (i vestlige del af udsnittet) omkring Storådalens Café </w:t>
      </w:r>
      <w:r>
        <w:rPr>
          <w:spacing w:val="-3"/>
        </w:rPr>
        <w:t>og </w:t>
      </w:r>
      <w:r>
        <w:rPr/>
        <w:t>restaurant. Her viser modellen imidlertid kun højtliggende grundvand tæt på vandløbet, og ikke med en udbredelse som indikeret på det tolkede satellitfoto. For de øvrige dele af ud- snittet</w:t>
      </w:r>
      <w:r>
        <w:rPr>
          <w:spacing w:val="-7"/>
        </w:rPr>
        <w:t> </w:t>
      </w:r>
      <w:r>
        <w:rPr/>
        <w:t>giver</w:t>
      </w:r>
      <w:r>
        <w:rPr>
          <w:spacing w:val="-9"/>
        </w:rPr>
        <w:t> </w:t>
      </w:r>
      <w:r>
        <w:rPr/>
        <w:t>modellen</w:t>
      </w:r>
      <w:r>
        <w:rPr>
          <w:spacing w:val="-6"/>
        </w:rPr>
        <w:t> </w:t>
      </w:r>
      <w:r>
        <w:rPr/>
        <w:t>udpegning</w:t>
      </w:r>
      <w:r>
        <w:rPr>
          <w:spacing w:val="-6"/>
        </w:rPr>
        <w:t> </w:t>
      </w:r>
      <w:r>
        <w:rPr/>
        <w:t>af</w:t>
      </w:r>
      <w:r>
        <w:rPr>
          <w:spacing w:val="-5"/>
        </w:rPr>
        <w:t> </w:t>
      </w:r>
      <w:r>
        <w:rPr/>
        <w:t>en</w:t>
      </w:r>
      <w:r>
        <w:rPr>
          <w:spacing w:val="-8"/>
        </w:rPr>
        <w:t> </w:t>
      </w:r>
      <w:r>
        <w:rPr/>
        <w:t>del</w:t>
      </w:r>
      <w:r>
        <w:rPr>
          <w:spacing w:val="-7"/>
        </w:rPr>
        <w:t> </w:t>
      </w:r>
      <w:r>
        <w:rPr/>
        <w:t>områder</w:t>
      </w:r>
      <w:r>
        <w:rPr>
          <w:spacing w:val="-7"/>
        </w:rPr>
        <w:t> </w:t>
      </w:r>
      <w:r>
        <w:rPr/>
        <w:t>med</w:t>
      </w:r>
      <w:r>
        <w:rPr>
          <w:spacing w:val="-6"/>
        </w:rPr>
        <w:t> </w:t>
      </w:r>
      <w:r>
        <w:rPr/>
        <w:t>højtliggende</w:t>
      </w:r>
      <w:r>
        <w:rPr>
          <w:spacing w:val="-6"/>
        </w:rPr>
        <w:t> </w:t>
      </w:r>
      <w:r>
        <w:rPr/>
        <w:t>grundvand</w:t>
      </w:r>
      <w:r>
        <w:rPr>
          <w:spacing w:val="-6"/>
        </w:rPr>
        <w:t> </w:t>
      </w:r>
      <w:r>
        <w:rPr/>
        <w:t>(&lt;</w:t>
      </w:r>
      <w:r>
        <w:rPr>
          <w:spacing w:val="-7"/>
        </w:rPr>
        <w:t> </w:t>
      </w:r>
      <w:r>
        <w:rPr/>
        <w:t>0.5</w:t>
      </w:r>
      <w:r>
        <w:rPr>
          <w:spacing w:val="-6"/>
        </w:rPr>
        <w:t> </w:t>
      </w:r>
      <w:r>
        <w:rPr/>
        <w:t>m</w:t>
      </w:r>
      <w:r>
        <w:rPr>
          <w:spacing w:val="-5"/>
        </w:rPr>
        <w:t> </w:t>
      </w:r>
      <w:r>
        <w:rPr>
          <w:spacing w:val="-3"/>
        </w:rPr>
        <w:t>og </w:t>
      </w:r>
      <w:r>
        <w:rPr/>
        <w:t>mellem 0.5-1 m under terræn), som ikke fremgår af satellitbilledet, der kun viser vand på terræn. Det gælder fx tilløb fra nord og syd lige et stykke nedstrøms Vandkraftsøen, som satellitbilledet evt. ikke kan fange formentlig på grund af begrænset udbredelse af lokale tilløbs</w:t>
      </w:r>
      <w:r>
        <w:rPr>
          <w:spacing w:val="-4"/>
        </w:rPr>
        <w:t> </w:t>
      </w:r>
      <w:r>
        <w:rPr/>
        <w:t>ådale.</w:t>
      </w:r>
    </w:p>
    <w:p>
      <w:pPr>
        <w:spacing w:after="0" w:line="288" w:lineRule="auto"/>
        <w:jc w:val="both"/>
        <w:sectPr>
          <w:pgSz w:w="11910" w:h="16850"/>
          <w:pgMar w:header="0" w:footer="857" w:top="1340" w:bottom="1120" w:left="1460" w:right="680"/>
        </w:sectPr>
      </w:pPr>
    </w:p>
    <w:p>
      <w:pPr>
        <w:pStyle w:val="BodyText"/>
        <w:ind w:left="525"/>
        <w:rPr>
          <w:sz w:val="20"/>
        </w:rPr>
      </w:pPr>
      <w:r>
        <w:rPr>
          <w:sz w:val="20"/>
        </w:rPr>
        <w:drawing>
          <wp:inline distT="0" distB="0" distL="0" distR="0">
            <wp:extent cx="5432433" cy="3218687"/>
            <wp:effectExtent l="0" t="0" r="0" b="0"/>
            <wp:docPr id="135" name="image85.jpeg" descr=""/>
            <wp:cNvGraphicFramePr>
              <a:graphicFrameLocks noChangeAspect="1"/>
            </wp:cNvGraphicFramePr>
            <a:graphic>
              <a:graphicData uri="http://schemas.openxmlformats.org/drawingml/2006/picture">
                <pic:pic>
                  <pic:nvPicPr>
                    <pic:cNvPr id="136" name="image85.jpeg"/>
                    <pic:cNvPicPr/>
                  </pic:nvPicPr>
                  <pic:blipFill>
                    <a:blip r:embed="rId91" cstate="print"/>
                    <a:stretch>
                      <a:fillRect/>
                    </a:stretch>
                  </pic:blipFill>
                  <pic:spPr>
                    <a:xfrm>
                      <a:off x="0" y="0"/>
                      <a:ext cx="5432433" cy="3218687"/>
                    </a:xfrm>
                    <a:prstGeom prst="rect">
                      <a:avLst/>
                    </a:prstGeom>
                  </pic:spPr>
                </pic:pic>
              </a:graphicData>
            </a:graphic>
          </wp:inline>
        </w:drawing>
      </w:r>
      <w:r>
        <w:rPr>
          <w:sz w:val="20"/>
        </w:rPr>
      </w:r>
    </w:p>
    <w:p>
      <w:pPr>
        <w:spacing w:before="48"/>
        <w:ind w:left="525" w:right="807" w:firstLine="0"/>
        <w:jc w:val="both"/>
        <w:rPr>
          <w:rFonts w:ascii="Calibri" w:hAnsi="Calibri"/>
          <w:i/>
          <w:sz w:val="18"/>
        </w:rPr>
      </w:pPr>
      <w:bookmarkStart w:name="_bookmark101" w:id="130"/>
      <w:bookmarkEnd w:id="130"/>
      <w:r>
        <w:rPr/>
      </w:r>
      <w:r>
        <w:rPr>
          <w:rFonts w:ascii="Calibri" w:hAnsi="Calibri"/>
          <w:i/>
          <w:color w:val="44536A"/>
          <w:sz w:val="18"/>
        </w:rPr>
        <w:t>Figur 65 ZOOM 2. Simuleret afstand til grundvandsspejl med 100 m model (venstre) og nedskaleret fra 100 m model </w:t>
      </w:r>
      <w:r>
        <w:rPr>
          <w:rFonts w:ascii="Calibri" w:hAnsi="Calibri"/>
          <w:i/>
          <w:color w:val="44536A"/>
          <w:sz w:val="18"/>
        </w:rPr>
        <w:t>(højre) og sammenlignet med observationer af DHI GRAS for 9. december 2015 hændelse (Holstebro)</w:t>
      </w:r>
    </w:p>
    <w:p>
      <w:pPr>
        <w:pStyle w:val="BodyText"/>
        <w:rPr>
          <w:rFonts w:ascii="Calibri"/>
          <w:i/>
          <w:sz w:val="18"/>
        </w:rPr>
      </w:pPr>
    </w:p>
    <w:p>
      <w:pPr>
        <w:pStyle w:val="BodyText"/>
        <w:spacing w:before="11"/>
        <w:rPr>
          <w:rFonts w:ascii="Calibri"/>
          <w:i/>
        </w:rPr>
      </w:pPr>
    </w:p>
    <w:p>
      <w:pPr>
        <w:pStyle w:val="BodyText"/>
        <w:spacing w:line="288" w:lineRule="auto"/>
        <w:ind w:left="525" w:right="730"/>
        <w:jc w:val="both"/>
      </w:pPr>
      <w:r>
        <w:rPr/>
        <w:t>På </w:t>
      </w:r>
      <w:hyperlink w:history="true" w:anchor="_bookmark102">
        <w:r>
          <w:rPr/>
          <w:t>figur 66 </w:t>
        </w:r>
      </w:hyperlink>
      <w:r>
        <w:rPr/>
        <w:t>er vist det tilsvarende udsnit for område 3 for en centrale del af Storå (syd for Feldborgvej). Her viser satellitdata sandsynlighed for vandløbsoversvømmelse, som også fanges i den simulerede dybde til grundvandsspejlet (et sted mellem &lt; 0.5 m under terræn og pixels med vand på terræn). Igen er det nedskalerede tema det intuitivt mest overbevi- sende, idet en række snævre ådale kommer med i udpegningen med en god detaljering.</w:t>
      </w:r>
    </w:p>
    <w:p>
      <w:pPr>
        <w:pStyle w:val="BodyText"/>
        <w:rPr>
          <w:sz w:val="20"/>
        </w:rPr>
      </w:pPr>
    </w:p>
    <w:p>
      <w:pPr>
        <w:pStyle w:val="BodyText"/>
        <w:rPr>
          <w:sz w:val="20"/>
        </w:rPr>
      </w:pPr>
    </w:p>
    <w:p>
      <w:pPr>
        <w:pStyle w:val="BodyText"/>
        <w:spacing w:before="4"/>
        <w:rPr>
          <w:sz w:val="13"/>
        </w:rPr>
      </w:pPr>
      <w:r>
        <w:rPr/>
        <w:drawing>
          <wp:anchor distT="0" distB="0" distL="0" distR="0" allowOverlap="1" layoutInCell="1" locked="0" behindDoc="0" simplePos="0" relativeHeight="54">
            <wp:simplePos x="0" y="0"/>
            <wp:positionH relativeFrom="page">
              <wp:posOffset>1297856</wp:posOffset>
            </wp:positionH>
            <wp:positionV relativeFrom="paragraph">
              <wp:posOffset>122653</wp:posOffset>
            </wp:positionV>
            <wp:extent cx="5375064" cy="3164204"/>
            <wp:effectExtent l="0" t="0" r="0" b="0"/>
            <wp:wrapTopAndBottom/>
            <wp:docPr id="137" name="image86.jpeg" descr=""/>
            <wp:cNvGraphicFramePr>
              <a:graphicFrameLocks noChangeAspect="1"/>
            </wp:cNvGraphicFramePr>
            <a:graphic>
              <a:graphicData uri="http://schemas.openxmlformats.org/drawingml/2006/picture">
                <pic:pic>
                  <pic:nvPicPr>
                    <pic:cNvPr id="138" name="image86.jpeg"/>
                    <pic:cNvPicPr/>
                  </pic:nvPicPr>
                  <pic:blipFill>
                    <a:blip r:embed="rId92" cstate="print"/>
                    <a:stretch>
                      <a:fillRect/>
                    </a:stretch>
                  </pic:blipFill>
                  <pic:spPr>
                    <a:xfrm>
                      <a:off x="0" y="0"/>
                      <a:ext cx="5375064" cy="3164204"/>
                    </a:xfrm>
                    <a:prstGeom prst="rect">
                      <a:avLst/>
                    </a:prstGeom>
                  </pic:spPr>
                </pic:pic>
              </a:graphicData>
            </a:graphic>
          </wp:anchor>
        </w:drawing>
      </w:r>
    </w:p>
    <w:p>
      <w:pPr>
        <w:spacing w:before="36"/>
        <w:ind w:left="525" w:right="807" w:firstLine="0"/>
        <w:jc w:val="both"/>
        <w:rPr>
          <w:rFonts w:ascii="Calibri" w:hAnsi="Calibri"/>
          <w:i/>
          <w:sz w:val="18"/>
        </w:rPr>
      </w:pPr>
      <w:bookmarkStart w:name="_bookmark102" w:id="131"/>
      <w:bookmarkEnd w:id="131"/>
      <w:r>
        <w:rPr/>
      </w:r>
      <w:r>
        <w:rPr>
          <w:rFonts w:ascii="Calibri" w:hAnsi="Calibri"/>
          <w:i/>
          <w:color w:val="44536A"/>
          <w:sz w:val="18"/>
        </w:rPr>
        <w:t>Figur 66 ZOOM 3. Simuleret afstand til grundvandsspejl med 100 m model (venstre) og nedskaleret fra 100 m model </w:t>
      </w:r>
      <w:r>
        <w:rPr>
          <w:rFonts w:ascii="Calibri" w:hAnsi="Calibri"/>
          <w:i/>
          <w:color w:val="44536A"/>
          <w:sz w:val="18"/>
        </w:rPr>
        <w:t>(højre) og sammenlignet med observationer af DHI GRAS for 9. december 2015 hændelse (Storå midt)</w:t>
      </w:r>
    </w:p>
    <w:p>
      <w:pPr>
        <w:spacing w:after="0"/>
        <w:jc w:val="both"/>
        <w:rPr>
          <w:rFonts w:ascii="Calibri" w:hAnsi="Calibri"/>
          <w:sz w:val="18"/>
        </w:rPr>
        <w:sectPr>
          <w:pgSz w:w="11910" w:h="16850"/>
          <w:pgMar w:header="0" w:footer="857" w:top="1420" w:bottom="1120" w:left="1460" w:right="680"/>
        </w:sectPr>
      </w:pPr>
    </w:p>
    <w:p>
      <w:pPr>
        <w:pStyle w:val="BodyText"/>
        <w:spacing w:line="288" w:lineRule="auto" w:before="75"/>
        <w:ind w:left="525" w:right="732"/>
        <w:jc w:val="both"/>
      </w:pPr>
      <w:r>
        <w:rPr/>
        <w:t>På</w:t>
      </w:r>
      <w:r>
        <w:rPr>
          <w:spacing w:val="-8"/>
        </w:rPr>
        <w:t> </w:t>
      </w:r>
      <w:hyperlink w:history="true" w:anchor="_bookmark103">
        <w:r>
          <w:rPr/>
          <w:t>figur</w:t>
        </w:r>
        <w:r>
          <w:rPr>
            <w:spacing w:val="-8"/>
          </w:rPr>
          <w:t> </w:t>
        </w:r>
        <w:r>
          <w:rPr/>
          <w:t>67</w:t>
        </w:r>
        <w:r>
          <w:rPr>
            <w:spacing w:val="-8"/>
          </w:rPr>
          <w:t> </w:t>
        </w:r>
      </w:hyperlink>
      <w:r>
        <w:rPr/>
        <w:t>og</w:t>
      </w:r>
      <w:r>
        <w:rPr>
          <w:spacing w:val="-7"/>
        </w:rPr>
        <w:t> </w:t>
      </w:r>
      <w:r>
        <w:rPr/>
        <w:t>68</w:t>
      </w:r>
      <w:r>
        <w:rPr>
          <w:spacing w:val="-7"/>
        </w:rPr>
        <w:t> </w:t>
      </w:r>
      <w:r>
        <w:rPr/>
        <w:t>er</w:t>
      </w:r>
      <w:r>
        <w:rPr>
          <w:spacing w:val="-9"/>
        </w:rPr>
        <w:t> </w:t>
      </w:r>
      <w:r>
        <w:rPr/>
        <w:t>vist</w:t>
      </w:r>
      <w:r>
        <w:rPr>
          <w:spacing w:val="-8"/>
        </w:rPr>
        <w:t> </w:t>
      </w:r>
      <w:r>
        <w:rPr/>
        <w:t>tilsvarende</w:t>
      </w:r>
      <w:r>
        <w:rPr>
          <w:spacing w:val="-11"/>
        </w:rPr>
        <w:t> </w:t>
      </w:r>
      <w:r>
        <w:rPr/>
        <w:t>kort</w:t>
      </w:r>
      <w:r>
        <w:rPr>
          <w:spacing w:val="-9"/>
        </w:rPr>
        <w:t> </w:t>
      </w:r>
      <w:r>
        <w:rPr/>
        <w:t>for</w:t>
      </w:r>
      <w:r>
        <w:rPr>
          <w:spacing w:val="-9"/>
        </w:rPr>
        <w:t> </w:t>
      </w:r>
      <w:r>
        <w:rPr/>
        <w:t>hhv.</w:t>
      </w:r>
      <w:r>
        <w:rPr>
          <w:spacing w:val="-8"/>
        </w:rPr>
        <w:t> </w:t>
      </w:r>
      <w:r>
        <w:rPr/>
        <w:t>Sunds</w:t>
      </w:r>
      <w:r>
        <w:rPr>
          <w:spacing w:val="-7"/>
        </w:rPr>
        <w:t> </w:t>
      </w:r>
      <w:r>
        <w:rPr/>
        <w:t>og</w:t>
      </w:r>
      <w:r>
        <w:rPr>
          <w:spacing w:val="-8"/>
        </w:rPr>
        <w:t> </w:t>
      </w:r>
      <w:r>
        <w:rPr/>
        <w:t>Herning</w:t>
      </w:r>
      <w:r>
        <w:rPr>
          <w:spacing w:val="-7"/>
        </w:rPr>
        <w:t> </w:t>
      </w:r>
      <w:r>
        <w:rPr/>
        <w:t>området.</w:t>
      </w:r>
      <w:r>
        <w:rPr>
          <w:spacing w:val="-9"/>
        </w:rPr>
        <w:t> </w:t>
      </w:r>
      <w:r>
        <w:rPr/>
        <w:t>Søerne</w:t>
      </w:r>
      <w:r>
        <w:rPr>
          <w:spacing w:val="-9"/>
        </w:rPr>
        <w:t> </w:t>
      </w:r>
      <w:r>
        <w:rPr/>
        <w:t>fremgår af satellitdata som områder, hvor der altid er åbent vand. Udtræk af afstand til grundvands- spejl giver ikke nødvendigvis nogen god beskrivelse af søernes udbredelse, der er påvirket af både grundvand og</w:t>
      </w:r>
      <w:r>
        <w:rPr>
          <w:spacing w:val="-3"/>
        </w:rPr>
        <w:t> </w:t>
      </w:r>
      <w:r>
        <w:rPr/>
        <w:t>overfladevand.</w:t>
      </w:r>
    </w:p>
    <w:p>
      <w:pPr>
        <w:pStyle w:val="BodyText"/>
        <w:spacing w:before="1"/>
        <w:rPr>
          <w:sz w:val="22"/>
        </w:rPr>
      </w:pPr>
      <w:r>
        <w:rPr/>
        <w:drawing>
          <wp:anchor distT="0" distB="0" distL="0" distR="0" allowOverlap="1" layoutInCell="1" locked="0" behindDoc="0" simplePos="0" relativeHeight="55">
            <wp:simplePos x="0" y="0"/>
            <wp:positionH relativeFrom="page">
              <wp:posOffset>1260475</wp:posOffset>
            </wp:positionH>
            <wp:positionV relativeFrom="paragraph">
              <wp:posOffset>186117</wp:posOffset>
            </wp:positionV>
            <wp:extent cx="5434621" cy="3218688"/>
            <wp:effectExtent l="0" t="0" r="0" b="0"/>
            <wp:wrapTopAndBottom/>
            <wp:docPr id="139" name="image87.jpeg" descr=""/>
            <wp:cNvGraphicFramePr>
              <a:graphicFrameLocks noChangeAspect="1"/>
            </wp:cNvGraphicFramePr>
            <a:graphic>
              <a:graphicData uri="http://schemas.openxmlformats.org/drawingml/2006/picture">
                <pic:pic>
                  <pic:nvPicPr>
                    <pic:cNvPr id="140" name="image87.jpeg"/>
                    <pic:cNvPicPr/>
                  </pic:nvPicPr>
                  <pic:blipFill>
                    <a:blip r:embed="rId93" cstate="print"/>
                    <a:stretch>
                      <a:fillRect/>
                    </a:stretch>
                  </pic:blipFill>
                  <pic:spPr>
                    <a:xfrm>
                      <a:off x="0" y="0"/>
                      <a:ext cx="5434621" cy="3218688"/>
                    </a:xfrm>
                    <a:prstGeom prst="rect">
                      <a:avLst/>
                    </a:prstGeom>
                  </pic:spPr>
                </pic:pic>
              </a:graphicData>
            </a:graphic>
          </wp:anchor>
        </w:drawing>
      </w:r>
    </w:p>
    <w:p>
      <w:pPr>
        <w:spacing w:before="21"/>
        <w:ind w:left="525" w:right="774" w:firstLine="0"/>
        <w:jc w:val="both"/>
        <w:rPr>
          <w:rFonts w:ascii="Calibri" w:hAnsi="Calibri"/>
          <w:i/>
          <w:sz w:val="18"/>
        </w:rPr>
      </w:pPr>
      <w:bookmarkStart w:name="_bookmark103" w:id="132"/>
      <w:bookmarkEnd w:id="132"/>
      <w:r>
        <w:rPr/>
      </w:r>
      <w:r>
        <w:rPr>
          <w:rFonts w:ascii="Calibri" w:hAnsi="Calibri"/>
          <w:i/>
          <w:color w:val="44536A"/>
          <w:sz w:val="18"/>
        </w:rPr>
        <w:t>Figur 67 ZOOM 4. Simuleret afstand til grundvandsspejl med 100 m model (venstre) og nedskaleret fra 100 m model </w:t>
      </w:r>
      <w:r>
        <w:rPr>
          <w:rFonts w:ascii="Calibri" w:hAnsi="Calibri"/>
          <w:i/>
          <w:color w:val="44536A"/>
          <w:sz w:val="18"/>
        </w:rPr>
        <w:t>(højre) og sammenlignet med satellitbaseret kortlægning af vand på terræn af DHI GRAS for 9. december 2015 hæn- delse (Sunds)</w:t>
      </w:r>
    </w:p>
    <w:p>
      <w:pPr>
        <w:pStyle w:val="BodyText"/>
        <w:rPr>
          <w:rFonts w:ascii="Calibri"/>
          <w:i/>
          <w:sz w:val="13"/>
        </w:rPr>
      </w:pPr>
      <w:r>
        <w:rPr/>
        <w:drawing>
          <wp:anchor distT="0" distB="0" distL="0" distR="0" allowOverlap="1" layoutInCell="1" locked="0" behindDoc="0" simplePos="0" relativeHeight="56">
            <wp:simplePos x="0" y="0"/>
            <wp:positionH relativeFrom="page">
              <wp:posOffset>1260475</wp:posOffset>
            </wp:positionH>
            <wp:positionV relativeFrom="paragraph">
              <wp:posOffset>125996</wp:posOffset>
            </wp:positionV>
            <wp:extent cx="5429322" cy="3218688"/>
            <wp:effectExtent l="0" t="0" r="0" b="0"/>
            <wp:wrapTopAndBottom/>
            <wp:docPr id="141" name="image88.jpeg" descr=""/>
            <wp:cNvGraphicFramePr>
              <a:graphicFrameLocks noChangeAspect="1"/>
            </wp:cNvGraphicFramePr>
            <a:graphic>
              <a:graphicData uri="http://schemas.openxmlformats.org/drawingml/2006/picture">
                <pic:pic>
                  <pic:nvPicPr>
                    <pic:cNvPr id="142" name="image88.jpeg"/>
                    <pic:cNvPicPr/>
                  </pic:nvPicPr>
                  <pic:blipFill>
                    <a:blip r:embed="rId94" cstate="print"/>
                    <a:stretch>
                      <a:fillRect/>
                    </a:stretch>
                  </pic:blipFill>
                  <pic:spPr>
                    <a:xfrm>
                      <a:off x="0" y="0"/>
                      <a:ext cx="5429322" cy="3218688"/>
                    </a:xfrm>
                    <a:prstGeom prst="rect">
                      <a:avLst/>
                    </a:prstGeom>
                  </pic:spPr>
                </pic:pic>
              </a:graphicData>
            </a:graphic>
          </wp:anchor>
        </w:drawing>
      </w:r>
    </w:p>
    <w:p>
      <w:pPr>
        <w:spacing w:before="55"/>
        <w:ind w:left="525" w:right="807" w:firstLine="0"/>
        <w:jc w:val="both"/>
        <w:rPr>
          <w:rFonts w:ascii="Calibri" w:hAnsi="Calibri"/>
          <w:i/>
          <w:sz w:val="18"/>
        </w:rPr>
      </w:pPr>
      <w:r>
        <w:rPr>
          <w:rFonts w:ascii="Calibri" w:hAnsi="Calibri"/>
          <w:i/>
          <w:color w:val="44536A"/>
          <w:sz w:val="18"/>
        </w:rPr>
        <w:t>Figur 68 ZOOM 5. Simuleret afstand til grundvandsspejl med 100 m model (venstre) og nedskaleret fra 100 m model </w:t>
      </w:r>
      <w:r>
        <w:rPr>
          <w:rFonts w:ascii="Calibri" w:hAnsi="Calibri"/>
          <w:i/>
          <w:color w:val="44536A"/>
          <w:sz w:val="18"/>
        </w:rPr>
        <w:t>(højre) og sammenlignet med observationer af DHI GRAS for 9. december 2015 hændelse (Herning)</w:t>
      </w:r>
    </w:p>
    <w:p>
      <w:pPr>
        <w:spacing w:after="0"/>
        <w:jc w:val="both"/>
        <w:rPr>
          <w:rFonts w:ascii="Calibri" w:hAnsi="Calibri"/>
          <w:sz w:val="18"/>
        </w:rPr>
        <w:sectPr>
          <w:pgSz w:w="11910" w:h="16850"/>
          <w:pgMar w:header="0" w:footer="857" w:top="1340" w:bottom="1120" w:left="1460" w:right="680"/>
        </w:sectPr>
      </w:pPr>
    </w:p>
    <w:p>
      <w:pPr>
        <w:pStyle w:val="Heading2"/>
        <w:numPr>
          <w:ilvl w:val="1"/>
          <w:numId w:val="15"/>
        </w:numPr>
        <w:tabs>
          <w:tab w:pos="1142" w:val="left" w:leader="none"/>
        </w:tabs>
        <w:spacing w:line="240" w:lineRule="auto" w:before="74" w:after="0"/>
        <w:ind w:left="1142" w:right="0" w:hanging="617"/>
        <w:jc w:val="both"/>
      </w:pPr>
      <w:bookmarkStart w:name="_bookmark104" w:id="133"/>
      <w:bookmarkEnd w:id="133"/>
      <w:r>
        <w:rPr>
          <w:b w:val="0"/>
        </w:rPr>
      </w:r>
      <w:bookmarkStart w:name="_bookmark104" w:id="134"/>
      <w:bookmarkEnd w:id="134"/>
      <w:r>
        <w:rPr/>
        <w:t>Si</w:t>
      </w:r>
      <w:r>
        <w:rPr/>
        <w:t>muleret vandstand i vandløb udbredt på terræn,</w:t>
      </w:r>
      <w:r>
        <w:rPr>
          <w:spacing w:val="-9"/>
        </w:rPr>
        <w:t> </w:t>
      </w:r>
      <w:r>
        <w:rPr/>
        <w:t>Storå</w:t>
      </w:r>
    </w:p>
    <w:p>
      <w:pPr>
        <w:pStyle w:val="BodyText"/>
        <w:spacing w:line="288" w:lineRule="auto" w:before="241"/>
        <w:ind w:left="525" w:right="732"/>
        <w:jc w:val="both"/>
      </w:pPr>
      <w:r>
        <w:rPr/>
        <w:t>Før vi i det følgende præsenterer resultater af estimeret vandstand i vandløb beregnet med hhv. hydrodynamisk model og eksternt vandstandsmodul og udbredt til terræn med COWI GIS tool for de fem udsnit, er i </w:t>
      </w:r>
      <w:hyperlink w:history="true" w:anchor="_bookmark105">
        <w:r>
          <w:rPr/>
          <w:t>figur 69 </w:t>
        </w:r>
      </w:hyperlink>
      <w:r>
        <w:rPr/>
        <w:t>vist resultatet af simuleringen af vandstand ved ud- valgte stationer. Øverst er vist simuleret og observeret vandstand for kalibreringsperioden (2007-2008) og nedest resultater for valideringsperioden (2009-2015).</w:t>
      </w:r>
    </w:p>
    <w:p>
      <w:pPr>
        <w:pStyle w:val="BodyText"/>
        <w:spacing w:before="1"/>
        <w:rPr>
          <w:sz w:val="25"/>
        </w:rPr>
      </w:pPr>
    </w:p>
    <w:p>
      <w:pPr>
        <w:pStyle w:val="BodyText"/>
        <w:spacing w:line="288" w:lineRule="auto"/>
        <w:ind w:left="525" w:right="731"/>
        <w:jc w:val="both"/>
      </w:pPr>
      <w:r>
        <w:rPr/>
        <w:t>I</w:t>
      </w:r>
      <w:r>
        <w:rPr>
          <w:spacing w:val="-12"/>
        </w:rPr>
        <w:t> </w:t>
      </w:r>
      <w:hyperlink w:history="true" w:anchor="_bookmark106">
        <w:r>
          <w:rPr/>
          <w:t>figur</w:t>
        </w:r>
        <w:r>
          <w:rPr>
            <w:spacing w:val="-11"/>
          </w:rPr>
          <w:t> </w:t>
        </w:r>
        <w:r>
          <w:rPr/>
          <w:t>70</w:t>
        </w:r>
        <w:r>
          <w:rPr>
            <w:spacing w:val="-11"/>
          </w:rPr>
          <w:t> </w:t>
        </w:r>
      </w:hyperlink>
      <w:r>
        <w:rPr/>
        <w:t>er</w:t>
      </w:r>
      <w:r>
        <w:rPr>
          <w:spacing w:val="-11"/>
        </w:rPr>
        <w:t> </w:t>
      </w:r>
      <w:r>
        <w:rPr/>
        <w:t>vist</w:t>
      </w:r>
      <w:r>
        <w:rPr>
          <w:spacing w:val="-12"/>
        </w:rPr>
        <w:t> </w:t>
      </w:r>
      <w:r>
        <w:rPr/>
        <w:t>modellens</w:t>
      </w:r>
      <w:r>
        <w:rPr>
          <w:spacing w:val="-13"/>
        </w:rPr>
        <w:t> </w:t>
      </w:r>
      <w:r>
        <w:rPr/>
        <w:t>resultater</w:t>
      </w:r>
      <w:r>
        <w:rPr>
          <w:spacing w:val="-14"/>
        </w:rPr>
        <w:t> </w:t>
      </w:r>
      <w:r>
        <w:rPr/>
        <w:t>for</w:t>
      </w:r>
      <w:r>
        <w:rPr>
          <w:spacing w:val="-11"/>
        </w:rPr>
        <w:t> </w:t>
      </w:r>
      <w:r>
        <w:rPr/>
        <w:t>event</w:t>
      </w:r>
      <w:r>
        <w:rPr>
          <w:spacing w:val="-12"/>
        </w:rPr>
        <w:t> </w:t>
      </w:r>
      <w:r>
        <w:rPr/>
        <w:t>7-9.</w:t>
      </w:r>
      <w:r>
        <w:rPr>
          <w:spacing w:val="-12"/>
        </w:rPr>
        <w:t> </w:t>
      </w:r>
      <w:r>
        <w:rPr/>
        <w:t>december</w:t>
      </w:r>
      <w:r>
        <w:rPr>
          <w:spacing w:val="-11"/>
        </w:rPr>
        <w:t> </w:t>
      </w:r>
      <w:r>
        <w:rPr/>
        <w:t>2015.</w:t>
      </w:r>
      <w:r>
        <w:rPr>
          <w:spacing w:val="-12"/>
        </w:rPr>
        <w:t> </w:t>
      </w:r>
      <w:r>
        <w:rPr/>
        <w:t>Modellen</w:t>
      </w:r>
      <w:r>
        <w:rPr>
          <w:spacing w:val="-11"/>
        </w:rPr>
        <w:t> </w:t>
      </w:r>
      <w:r>
        <w:rPr/>
        <w:t>giver</w:t>
      </w:r>
      <w:r>
        <w:rPr>
          <w:spacing w:val="-11"/>
        </w:rPr>
        <w:t> </w:t>
      </w:r>
      <w:r>
        <w:rPr/>
        <w:t>en</w:t>
      </w:r>
      <w:r>
        <w:rPr>
          <w:spacing w:val="-10"/>
        </w:rPr>
        <w:t> </w:t>
      </w:r>
      <w:r>
        <w:rPr/>
        <w:t>rimelig præcis beskrivelse af vandstanden ved stationen i Sunds Nørreå (Gammel Sunds) og for nederste</w:t>
      </w:r>
      <w:r>
        <w:rPr>
          <w:spacing w:val="-14"/>
        </w:rPr>
        <w:t> </w:t>
      </w:r>
      <w:r>
        <w:rPr/>
        <w:t>station</w:t>
      </w:r>
      <w:r>
        <w:rPr>
          <w:spacing w:val="-13"/>
        </w:rPr>
        <w:t> </w:t>
      </w:r>
      <w:r>
        <w:rPr/>
        <w:t>i</w:t>
      </w:r>
      <w:r>
        <w:rPr>
          <w:spacing w:val="-12"/>
        </w:rPr>
        <w:t> </w:t>
      </w:r>
      <w:r>
        <w:rPr/>
        <w:t>Storå</w:t>
      </w:r>
      <w:r>
        <w:rPr>
          <w:spacing w:val="-14"/>
        </w:rPr>
        <w:t> </w:t>
      </w:r>
      <w:r>
        <w:rPr/>
        <w:t>(Skærum</w:t>
      </w:r>
      <w:r>
        <w:rPr>
          <w:spacing w:val="-12"/>
        </w:rPr>
        <w:t> </w:t>
      </w:r>
      <w:r>
        <w:rPr/>
        <w:t>bro).</w:t>
      </w:r>
      <w:r>
        <w:rPr>
          <w:spacing w:val="-14"/>
        </w:rPr>
        <w:t> </w:t>
      </w:r>
      <w:r>
        <w:rPr/>
        <w:t>Ved</w:t>
      </w:r>
      <w:r>
        <w:rPr>
          <w:spacing w:val="-14"/>
        </w:rPr>
        <w:t> </w:t>
      </w:r>
      <w:r>
        <w:rPr/>
        <w:t>Skærum</w:t>
      </w:r>
      <w:r>
        <w:rPr>
          <w:spacing w:val="-14"/>
        </w:rPr>
        <w:t> </w:t>
      </w:r>
      <w:r>
        <w:rPr/>
        <w:t>bro</w:t>
      </w:r>
      <w:r>
        <w:rPr>
          <w:spacing w:val="-14"/>
        </w:rPr>
        <w:t> </w:t>
      </w:r>
      <w:r>
        <w:rPr/>
        <w:t>ses</w:t>
      </w:r>
      <w:r>
        <w:rPr>
          <w:spacing w:val="-13"/>
        </w:rPr>
        <w:t> </w:t>
      </w:r>
      <w:r>
        <w:rPr/>
        <w:t>imidlertid</w:t>
      </w:r>
      <w:r>
        <w:rPr>
          <w:spacing w:val="-13"/>
        </w:rPr>
        <w:t> </w:t>
      </w:r>
      <w:r>
        <w:rPr/>
        <w:t>en</w:t>
      </w:r>
      <w:r>
        <w:rPr>
          <w:spacing w:val="-13"/>
        </w:rPr>
        <w:t> </w:t>
      </w:r>
      <w:r>
        <w:rPr/>
        <w:t>afvigelse</w:t>
      </w:r>
      <w:r>
        <w:rPr>
          <w:spacing w:val="-14"/>
        </w:rPr>
        <w:t> </w:t>
      </w:r>
      <w:r>
        <w:rPr/>
        <w:t>idet</w:t>
      </w:r>
      <w:r>
        <w:rPr>
          <w:spacing w:val="-14"/>
        </w:rPr>
        <w:t> </w:t>
      </w:r>
      <w:r>
        <w:rPr/>
        <w:t>vand- standen i perioden 7-9 december simuleres for lavt. Det skyldes formentlig regulering, der blev</w:t>
      </w:r>
      <w:r>
        <w:rPr>
          <w:spacing w:val="-6"/>
        </w:rPr>
        <w:t> </w:t>
      </w:r>
      <w:r>
        <w:rPr/>
        <w:t>foretaget</w:t>
      </w:r>
      <w:r>
        <w:rPr>
          <w:spacing w:val="-4"/>
        </w:rPr>
        <w:t> </w:t>
      </w:r>
      <w:r>
        <w:rPr/>
        <w:t>af</w:t>
      </w:r>
      <w:r>
        <w:rPr>
          <w:spacing w:val="-3"/>
        </w:rPr>
        <w:t> </w:t>
      </w:r>
      <w:r>
        <w:rPr/>
        <w:t>afløbet</w:t>
      </w:r>
      <w:r>
        <w:rPr>
          <w:spacing w:val="-5"/>
        </w:rPr>
        <w:t> </w:t>
      </w:r>
      <w:r>
        <w:rPr/>
        <w:t>fra</w:t>
      </w:r>
      <w:r>
        <w:rPr>
          <w:spacing w:val="-4"/>
        </w:rPr>
        <w:t> </w:t>
      </w:r>
      <w:r>
        <w:rPr/>
        <w:t>Vandkraftsøen,</w:t>
      </w:r>
      <w:r>
        <w:rPr>
          <w:spacing w:val="-5"/>
        </w:rPr>
        <w:t> </w:t>
      </w:r>
      <w:r>
        <w:rPr/>
        <w:t>hvor</w:t>
      </w:r>
      <w:r>
        <w:rPr>
          <w:spacing w:val="-4"/>
        </w:rPr>
        <w:t> </w:t>
      </w:r>
      <w:r>
        <w:rPr/>
        <w:t>der</w:t>
      </w:r>
      <w:r>
        <w:rPr>
          <w:spacing w:val="-6"/>
        </w:rPr>
        <w:t> </w:t>
      </w:r>
      <w:r>
        <w:rPr/>
        <w:t>blev</w:t>
      </w:r>
      <w:r>
        <w:rPr>
          <w:spacing w:val="-6"/>
        </w:rPr>
        <w:t> </w:t>
      </w:r>
      <w:r>
        <w:rPr/>
        <w:t>lukket</w:t>
      </w:r>
      <w:r>
        <w:rPr>
          <w:spacing w:val="-3"/>
        </w:rPr>
        <w:t> </w:t>
      </w:r>
      <w:r>
        <w:rPr/>
        <w:t>vand</w:t>
      </w:r>
      <w:r>
        <w:rPr>
          <w:spacing w:val="-3"/>
        </w:rPr>
        <w:t> </w:t>
      </w:r>
      <w:r>
        <w:rPr/>
        <w:t>ud</w:t>
      </w:r>
      <w:r>
        <w:rPr>
          <w:spacing w:val="-3"/>
        </w:rPr>
        <w:t> </w:t>
      </w:r>
      <w:r>
        <w:rPr/>
        <w:t>af</w:t>
      </w:r>
      <w:r>
        <w:rPr>
          <w:spacing w:val="-3"/>
        </w:rPr>
        <w:t> </w:t>
      </w:r>
      <w:r>
        <w:rPr/>
        <w:t>søen</w:t>
      </w:r>
      <w:r>
        <w:rPr>
          <w:spacing w:val="-3"/>
        </w:rPr>
        <w:t> </w:t>
      </w:r>
      <w:r>
        <w:rPr/>
        <w:t>fra</w:t>
      </w:r>
      <w:r>
        <w:rPr>
          <w:spacing w:val="-4"/>
        </w:rPr>
        <w:t> </w:t>
      </w:r>
      <w:r>
        <w:rPr/>
        <w:t>omkring</w:t>
      </w:r>
    </w:p>
    <w:p>
      <w:pPr>
        <w:pStyle w:val="BodyText"/>
        <w:spacing w:line="288" w:lineRule="auto" w:before="1"/>
        <w:ind w:left="525" w:right="732"/>
        <w:jc w:val="both"/>
      </w:pPr>
      <w:r>
        <w:rPr/>
        <w:t>7.</w:t>
      </w:r>
      <w:r>
        <w:rPr>
          <w:spacing w:val="-8"/>
        </w:rPr>
        <w:t> </w:t>
      </w:r>
      <w:r>
        <w:rPr/>
        <w:t>december,</w:t>
      </w:r>
      <w:r>
        <w:rPr>
          <w:spacing w:val="-9"/>
        </w:rPr>
        <w:t> </w:t>
      </w:r>
      <w:r>
        <w:rPr/>
        <w:t>en</w:t>
      </w:r>
      <w:r>
        <w:rPr>
          <w:spacing w:val="-7"/>
        </w:rPr>
        <w:t> </w:t>
      </w:r>
      <w:r>
        <w:rPr/>
        <w:t>regulering</w:t>
      </w:r>
      <w:r>
        <w:rPr>
          <w:spacing w:val="-7"/>
        </w:rPr>
        <w:t> </w:t>
      </w:r>
      <w:r>
        <w:rPr/>
        <w:t>der</w:t>
      </w:r>
      <w:r>
        <w:rPr>
          <w:spacing w:val="-6"/>
        </w:rPr>
        <w:t> </w:t>
      </w:r>
      <w:r>
        <w:rPr/>
        <w:t>ikke</w:t>
      </w:r>
      <w:r>
        <w:rPr>
          <w:spacing w:val="-7"/>
        </w:rPr>
        <w:t> </w:t>
      </w:r>
      <w:r>
        <w:rPr/>
        <w:t>beskrives</w:t>
      </w:r>
      <w:r>
        <w:rPr>
          <w:spacing w:val="-7"/>
        </w:rPr>
        <w:t> </w:t>
      </w:r>
      <w:r>
        <w:rPr/>
        <w:t>i</w:t>
      </w:r>
      <w:r>
        <w:rPr>
          <w:spacing w:val="-9"/>
        </w:rPr>
        <w:t> </w:t>
      </w:r>
      <w:r>
        <w:rPr/>
        <w:t>modellen.</w:t>
      </w:r>
      <w:r>
        <w:rPr>
          <w:spacing w:val="-7"/>
        </w:rPr>
        <w:t> </w:t>
      </w:r>
      <w:r>
        <w:rPr/>
        <w:t>Samme</w:t>
      </w:r>
      <w:r>
        <w:rPr>
          <w:spacing w:val="-7"/>
        </w:rPr>
        <w:t> </w:t>
      </w:r>
      <w:r>
        <w:rPr/>
        <w:t>forskel</w:t>
      </w:r>
      <w:r>
        <w:rPr>
          <w:spacing w:val="-6"/>
        </w:rPr>
        <w:t> </w:t>
      </w:r>
      <w:r>
        <w:rPr/>
        <w:t>ses</w:t>
      </w:r>
      <w:r>
        <w:rPr>
          <w:spacing w:val="-7"/>
        </w:rPr>
        <w:t> </w:t>
      </w:r>
      <w:r>
        <w:rPr/>
        <w:t>tydeligere</w:t>
      </w:r>
      <w:r>
        <w:rPr>
          <w:spacing w:val="-7"/>
        </w:rPr>
        <w:t> </w:t>
      </w:r>
      <w:r>
        <w:rPr/>
        <w:t>tæt- tere på afløbet fra Vandkraftsøen (Opstrøms Holstebro Renseanlæg). En anden mulig for- klaring på uoverensstemmelsen kan være usikkerheder i nedbørsregistreringen i oplandet, så den observerede nedbør er undervurderet. Under alle omstændigheder er der en regi- streret forskel i simuleret vandføring for 7-9. december 2015, som kan forklare en væsentlig del af den forskel der ses på vandstandsregistreringen i nedre del af</w:t>
      </w:r>
      <w:r>
        <w:rPr>
          <w:spacing w:val="-14"/>
        </w:rPr>
        <w:t> </w:t>
      </w:r>
      <w:r>
        <w:rPr/>
        <w:t>Storå.</w:t>
      </w:r>
    </w:p>
    <w:p>
      <w:pPr>
        <w:pStyle w:val="BodyText"/>
        <w:spacing w:before="2"/>
        <w:rPr>
          <w:sz w:val="25"/>
        </w:rPr>
      </w:pPr>
    </w:p>
    <w:p>
      <w:pPr>
        <w:pStyle w:val="BodyText"/>
        <w:spacing w:line="288" w:lineRule="auto"/>
        <w:ind w:left="525" w:right="729"/>
        <w:jc w:val="both"/>
      </w:pPr>
      <w:r>
        <w:rPr/>
        <w:t>Denne forskel betyder, at der blev observeret en væsentlig højere vandstand omkring og nedstrøms Holstebro end den modellen simulerer. Hændelsen er ikke registreret i satellit- data, da satellitdata først foreligger for 9. december (hvor vandstanden var faldet med ca.</w:t>
      </w:r>
      <w:r>
        <w:rPr>
          <w:spacing w:val="-35"/>
        </w:rPr>
        <w:t> </w:t>
      </w:r>
      <w:r>
        <w:rPr/>
        <w:t>½ m</w:t>
      </w:r>
      <w:r>
        <w:rPr>
          <w:spacing w:val="-6"/>
        </w:rPr>
        <w:t> </w:t>
      </w:r>
      <w:r>
        <w:rPr/>
        <w:t>i</w:t>
      </w:r>
      <w:r>
        <w:rPr>
          <w:spacing w:val="-5"/>
        </w:rPr>
        <w:t> </w:t>
      </w:r>
      <w:r>
        <w:rPr/>
        <w:t>forhold</w:t>
      </w:r>
      <w:r>
        <w:rPr>
          <w:spacing w:val="-4"/>
        </w:rPr>
        <w:t> </w:t>
      </w:r>
      <w:r>
        <w:rPr/>
        <w:t>til</w:t>
      </w:r>
      <w:r>
        <w:rPr>
          <w:spacing w:val="-5"/>
        </w:rPr>
        <w:t> </w:t>
      </w:r>
      <w:r>
        <w:rPr/>
        <w:t>maksimum</w:t>
      </w:r>
      <w:r>
        <w:rPr>
          <w:spacing w:val="-3"/>
        </w:rPr>
        <w:t> </w:t>
      </w:r>
      <w:r>
        <w:rPr/>
        <w:t>situationen).</w:t>
      </w:r>
      <w:r>
        <w:rPr>
          <w:spacing w:val="-6"/>
        </w:rPr>
        <w:t> </w:t>
      </w:r>
      <w:r>
        <w:rPr/>
        <w:t>I</w:t>
      </w:r>
      <w:r>
        <w:rPr>
          <w:spacing w:val="-7"/>
        </w:rPr>
        <w:t> </w:t>
      </w:r>
      <w:r>
        <w:rPr/>
        <w:t>Sunds</w:t>
      </w:r>
      <w:r>
        <w:rPr>
          <w:spacing w:val="-6"/>
        </w:rPr>
        <w:t> </w:t>
      </w:r>
      <w:r>
        <w:rPr/>
        <w:t>Nørreå</w:t>
      </w:r>
      <w:r>
        <w:rPr>
          <w:spacing w:val="-4"/>
        </w:rPr>
        <w:t> </w:t>
      </w:r>
      <w:r>
        <w:rPr/>
        <w:t>og</w:t>
      </w:r>
      <w:r>
        <w:rPr>
          <w:spacing w:val="-7"/>
        </w:rPr>
        <w:t> </w:t>
      </w:r>
      <w:r>
        <w:rPr/>
        <w:t>øvrige</w:t>
      </w:r>
      <w:r>
        <w:rPr>
          <w:spacing w:val="-6"/>
        </w:rPr>
        <w:t> </w:t>
      </w:r>
      <w:r>
        <w:rPr/>
        <w:t>dele</w:t>
      </w:r>
      <w:r>
        <w:rPr>
          <w:spacing w:val="-3"/>
        </w:rPr>
        <w:t> </w:t>
      </w:r>
      <w:r>
        <w:rPr/>
        <w:t>af</w:t>
      </w:r>
      <w:r>
        <w:rPr>
          <w:spacing w:val="-5"/>
        </w:rPr>
        <w:t> </w:t>
      </w:r>
      <w:r>
        <w:rPr/>
        <w:t>Storå</w:t>
      </w:r>
      <w:r>
        <w:rPr>
          <w:spacing w:val="-4"/>
        </w:rPr>
        <w:t> </w:t>
      </w:r>
      <w:r>
        <w:rPr/>
        <w:t>simuleres</w:t>
      </w:r>
      <w:r>
        <w:rPr>
          <w:spacing w:val="-6"/>
        </w:rPr>
        <w:t> </w:t>
      </w:r>
      <w:r>
        <w:rPr/>
        <w:t>min- dre afvigelser i forhold til observationer, men der er fortsat en tendens til at den simulerede vandstand er laverede end den</w:t>
      </w:r>
      <w:r>
        <w:rPr>
          <w:spacing w:val="-5"/>
        </w:rPr>
        <w:t> </w:t>
      </w:r>
      <w:r>
        <w:rPr/>
        <w:t>observerede.</w:t>
      </w:r>
    </w:p>
    <w:p>
      <w:pPr>
        <w:spacing w:after="0" w:line="288" w:lineRule="auto"/>
        <w:jc w:val="both"/>
        <w:sectPr>
          <w:pgSz w:w="11910" w:h="16850"/>
          <w:pgMar w:header="0" w:footer="857" w:top="1340" w:bottom="1120" w:left="1460" w:right="680"/>
        </w:sectPr>
      </w:pPr>
    </w:p>
    <w:p>
      <w:pPr>
        <w:pStyle w:val="BodyText"/>
        <w:ind w:left="664"/>
        <w:rPr>
          <w:sz w:val="20"/>
        </w:rPr>
      </w:pPr>
      <w:r>
        <w:rPr>
          <w:sz w:val="20"/>
        </w:rPr>
        <w:drawing>
          <wp:inline distT="0" distB="0" distL="0" distR="0">
            <wp:extent cx="5287088" cy="2992374"/>
            <wp:effectExtent l="0" t="0" r="0" b="0"/>
            <wp:docPr id="143" name="image72.jpeg" descr=""/>
            <wp:cNvGraphicFramePr>
              <a:graphicFrameLocks noChangeAspect="1"/>
            </wp:cNvGraphicFramePr>
            <a:graphic>
              <a:graphicData uri="http://schemas.openxmlformats.org/drawingml/2006/picture">
                <pic:pic>
                  <pic:nvPicPr>
                    <pic:cNvPr id="144" name="image72.jpeg"/>
                    <pic:cNvPicPr/>
                  </pic:nvPicPr>
                  <pic:blipFill>
                    <a:blip r:embed="rId78" cstate="print"/>
                    <a:stretch>
                      <a:fillRect/>
                    </a:stretch>
                  </pic:blipFill>
                  <pic:spPr>
                    <a:xfrm>
                      <a:off x="0" y="0"/>
                      <a:ext cx="5287088" cy="2992374"/>
                    </a:xfrm>
                    <a:prstGeom prst="rect">
                      <a:avLst/>
                    </a:prstGeom>
                  </pic:spPr>
                </pic:pic>
              </a:graphicData>
            </a:graphic>
          </wp:inline>
        </w:drawing>
      </w:r>
      <w:r>
        <w:rPr>
          <w:sz w:val="20"/>
        </w:rPr>
      </w:r>
    </w:p>
    <w:p>
      <w:pPr>
        <w:pStyle w:val="BodyText"/>
        <w:spacing w:before="1"/>
        <w:rPr>
          <w:sz w:val="29"/>
        </w:rPr>
      </w:pPr>
      <w:r>
        <w:rPr/>
        <w:drawing>
          <wp:anchor distT="0" distB="0" distL="0" distR="0" allowOverlap="1" layoutInCell="1" locked="0" behindDoc="0" simplePos="0" relativeHeight="57">
            <wp:simplePos x="0" y="0"/>
            <wp:positionH relativeFrom="page">
              <wp:posOffset>1305242</wp:posOffset>
            </wp:positionH>
            <wp:positionV relativeFrom="paragraph">
              <wp:posOffset>237346</wp:posOffset>
            </wp:positionV>
            <wp:extent cx="5334615" cy="3037713"/>
            <wp:effectExtent l="0" t="0" r="0" b="0"/>
            <wp:wrapTopAndBottom/>
            <wp:docPr id="145" name="image89.jpeg" descr=""/>
            <wp:cNvGraphicFramePr>
              <a:graphicFrameLocks noChangeAspect="1"/>
            </wp:cNvGraphicFramePr>
            <a:graphic>
              <a:graphicData uri="http://schemas.openxmlformats.org/drawingml/2006/picture">
                <pic:pic>
                  <pic:nvPicPr>
                    <pic:cNvPr id="146" name="image89.jpeg"/>
                    <pic:cNvPicPr/>
                  </pic:nvPicPr>
                  <pic:blipFill>
                    <a:blip r:embed="rId95" cstate="print"/>
                    <a:stretch>
                      <a:fillRect/>
                    </a:stretch>
                  </pic:blipFill>
                  <pic:spPr>
                    <a:xfrm>
                      <a:off x="0" y="0"/>
                      <a:ext cx="5334615" cy="3037713"/>
                    </a:xfrm>
                    <a:prstGeom prst="rect">
                      <a:avLst/>
                    </a:prstGeom>
                  </pic:spPr>
                </pic:pic>
              </a:graphicData>
            </a:graphic>
          </wp:anchor>
        </w:drawing>
      </w:r>
    </w:p>
    <w:p>
      <w:pPr>
        <w:pStyle w:val="BodyText"/>
        <w:spacing w:before="6"/>
        <w:rPr>
          <w:sz w:val="17"/>
        </w:rPr>
      </w:pPr>
    </w:p>
    <w:p>
      <w:pPr>
        <w:spacing w:before="64"/>
        <w:ind w:left="525" w:right="1082" w:firstLine="0"/>
        <w:jc w:val="left"/>
        <w:rPr>
          <w:rFonts w:ascii="Calibri" w:hAnsi="Calibri"/>
          <w:i/>
          <w:sz w:val="18"/>
        </w:rPr>
      </w:pPr>
      <w:bookmarkStart w:name="_bookmark105" w:id="135"/>
      <w:bookmarkEnd w:id="135"/>
      <w:r>
        <w:rPr/>
      </w:r>
      <w:r>
        <w:rPr>
          <w:rFonts w:ascii="Calibri" w:hAnsi="Calibri"/>
          <w:i/>
          <w:color w:val="44536A"/>
          <w:sz w:val="18"/>
        </w:rPr>
        <w:t>Figur 69 Simuleret vandstand (m) med MIKE HYDRO River (hydrodynamisk løsning) for hhv. kalibreringsperioden </w:t>
      </w:r>
      <w:r>
        <w:rPr>
          <w:rFonts w:ascii="Calibri" w:hAnsi="Calibri"/>
          <w:i/>
          <w:color w:val="44536A"/>
          <w:sz w:val="18"/>
        </w:rPr>
        <w:t>2007-08 (øverst) og valideringsperioden 2009-2015 (nederst) ved fire stationer i Storå.</w:t>
      </w:r>
    </w:p>
    <w:p>
      <w:pPr>
        <w:spacing w:after="0"/>
        <w:jc w:val="left"/>
        <w:rPr>
          <w:rFonts w:ascii="Calibri" w:hAnsi="Calibri"/>
          <w:sz w:val="18"/>
        </w:rPr>
        <w:sectPr>
          <w:pgSz w:w="11910" w:h="16850"/>
          <w:pgMar w:header="0" w:footer="857" w:top="1520" w:bottom="1120" w:left="1460" w:right="680"/>
        </w:sectPr>
      </w:pPr>
    </w:p>
    <w:p>
      <w:pPr>
        <w:pStyle w:val="BodyText"/>
        <w:spacing w:before="10"/>
        <w:rPr>
          <w:rFonts w:ascii="Calibri"/>
          <w:i/>
          <w:sz w:val="22"/>
        </w:rPr>
      </w:pPr>
    </w:p>
    <w:p>
      <w:pPr>
        <w:pStyle w:val="BodyText"/>
        <w:ind w:left="595"/>
        <w:rPr>
          <w:rFonts w:ascii="Calibri"/>
          <w:sz w:val="20"/>
        </w:rPr>
      </w:pPr>
      <w:r>
        <w:rPr>
          <w:rFonts w:ascii="Calibri"/>
          <w:sz w:val="20"/>
        </w:rPr>
        <w:drawing>
          <wp:inline distT="0" distB="0" distL="0" distR="0">
            <wp:extent cx="5417387" cy="3083052"/>
            <wp:effectExtent l="0" t="0" r="0" b="0"/>
            <wp:docPr id="147" name="image90.jpeg" descr=""/>
            <wp:cNvGraphicFramePr>
              <a:graphicFrameLocks noChangeAspect="1"/>
            </wp:cNvGraphicFramePr>
            <a:graphic>
              <a:graphicData uri="http://schemas.openxmlformats.org/drawingml/2006/picture">
                <pic:pic>
                  <pic:nvPicPr>
                    <pic:cNvPr id="148" name="image90.jpeg"/>
                    <pic:cNvPicPr/>
                  </pic:nvPicPr>
                  <pic:blipFill>
                    <a:blip r:embed="rId96" cstate="print"/>
                    <a:stretch>
                      <a:fillRect/>
                    </a:stretch>
                  </pic:blipFill>
                  <pic:spPr>
                    <a:xfrm>
                      <a:off x="0" y="0"/>
                      <a:ext cx="5417387" cy="3083052"/>
                    </a:xfrm>
                    <a:prstGeom prst="rect">
                      <a:avLst/>
                    </a:prstGeom>
                  </pic:spPr>
                </pic:pic>
              </a:graphicData>
            </a:graphic>
          </wp:inline>
        </w:drawing>
      </w:r>
      <w:r>
        <w:rPr>
          <w:rFonts w:ascii="Calibri"/>
          <w:sz w:val="20"/>
        </w:rPr>
      </w:r>
    </w:p>
    <w:p>
      <w:pPr>
        <w:pStyle w:val="BodyText"/>
        <w:spacing w:before="10"/>
        <w:rPr>
          <w:rFonts w:ascii="Calibri"/>
          <w:i/>
          <w:sz w:val="7"/>
        </w:rPr>
      </w:pPr>
    </w:p>
    <w:p>
      <w:pPr>
        <w:spacing w:before="63"/>
        <w:ind w:left="525" w:right="0" w:firstLine="0"/>
        <w:jc w:val="left"/>
        <w:rPr>
          <w:rFonts w:ascii="Calibri" w:hAnsi="Calibri"/>
          <w:i/>
          <w:sz w:val="18"/>
        </w:rPr>
      </w:pPr>
      <w:bookmarkStart w:name="_bookmark106" w:id="136"/>
      <w:bookmarkEnd w:id="136"/>
      <w:r>
        <w:rPr/>
      </w:r>
      <w:r>
        <w:rPr>
          <w:rFonts w:ascii="Calibri" w:hAnsi="Calibri"/>
          <w:i/>
          <w:color w:val="44536A"/>
          <w:sz w:val="18"/>
        </w:rPr>
        <w:t>Figur 70 Simuleret og observeret vandstand for Storå december 2015 omkring hændelsen 7-9. december 2015</w:t>
      </w:r>
    </w:p>
    <w:p>
      <w:pPr>
        <w:pStyle w:val="BodyText"/>
        <w:rPr>
          <w:rFonts w:ascii="Calibri"/>
          <w:i/>
          <w:sz w:val="18"/>
        </w:rPr>
      </w:pPr>
    </w:p>
    <w:p>
      <w:pPr>
        <w:pStyle w:val="BodyText"/>
        <w:spacing w:before="8"/>
        <w:rPr>
          <w:rFonts w:ascii="Calibri"/>
          <w:i/>
        </w:rPr>
      </w:pPr>
    </w:p>
    <w:p>
      <w:pPr>
        <w:pStyle w:val="Heading5"/>
        <w:spacing w:before="1"/>
        <w:rPr>
          <w:i/>
        </w:rPr>
      </w:pPr>
      <w:r>
        <w:rPr>
          <w:i w:val="0"/>
        </w:rPr>
        <w:t>S</w:t>
      </w:r>
      <w:r>
        <w:rPr>
          <w:i/>
        </w:rPr>
        <w:t>imuleret vandstand udbredt på terræn med COWI GIS tool</w:t>
      </w:r>
    </w:p>
    <w:p>
      <w:pPr>
        <w:pStyle w:val="BodyText"/>
        <w:spacing w:line="288" w:lineRule="auto" w:before="49"/>
        <w:ind w:left="525" w:right="732"/>
        <w:jc w:val="both"/>
      </w:pPr>
      <w:r>
        <w:rPr/>
        <w:drawing>
          <wp:anchor distT="0" distB="0" distL="0" distR="0" allowOverlap="1" layoutInCell="1" locked="0" behindDoc="0" simplePos="0" relativeHeight="58">
            <wp:simplePos x="0" y="0"/>
            <wp:positionH relativeFrom="page">
              <wp:posOffset>1327340</wp:posOffset>
            </wp:positionH>
            <wp:positionV relativeFrom="paragraph">
              <wp:posOffset>651170</wp:posOffset>
            </wp:positionV>
            <wp:extent cx="5096832" cy="3553967"/>
            <wp:effectExtent l="0" t="0" r="0" b="0"/>
            <wp:wrapTopAndBottom/>
            <wp:docPr id="149" name="image91.jpeg" descr=""/>
            <wp:cNvGraphicFramePr>
              <a:graphicFrameLocks noChangeAspect="1"/>
            </wp:cNvGraphicFramePr>
            <a:graphic>
              <a:graphicData uri="http://schemas.openxmlformats.org/drawingml/2006/picture">
                <pic:pic>
                  <pic:nvPicPr>
                    <pic:cNvPr id="150" name="image91.jpeg"/>
                    <pic:cNvPicPr/>
                  </pic:nvPicPr>
                  <pic:blipFill>
                    <a:blip r:embed="rId97" cstate="print"/>
                    <a:stretch>
                      <a:fillRect/>
                    </a:stretch>
                  </pic:blipFill>
                  <pic:spPr>
                    <a:xfrm>
                      <a:off x="0" y="0"/>
                      <a:ext cx="5096832" cy="3553967"/>
                    </a:xfrm>
                    <a:prstGeom prst="rect">
                      <a:avLst/>
                    </a:prstGeom>
                  </pic:spPr>
                </pic:pic>
              </a:graphicData>
            </a:graphic>
          </wp:anchor>
        </w:drawing>
      </w:r>
      <w:hyperlink w:history="true" w:anchor="_bookmark107">
        <w:r>
          <w:rPr/>
          <w:t>Figur</w:t>
        </w:r>
        <w:r>
          <w:rPr>
            <w:spacing w:val="-5"/>
          </w:rPr>
          <w:t> </w:t>
        </w:r>
        <w:r>
          <w:rPr/>
          <w:t>71</w:t>
        </w:r>
        <w:r>
          <w:rPr>
            <w:spacing w:val="-6"/>
          </w:rPr>
          <w:t> </w:t>
        </w:r>
      </w:hyperlink>
      <w:r>
        <w:rPr/>
        <w:t>og</w:t>
      </w:r>
      <w:r>
        <w:rPr>
          <w:spacing w:val="-3"/>
        </w:rPr>
        <w:t> </w:t>
      </w:r>
      <w:r>
        <w:rPr/>
        <w:t>72</w:t>
      </w:r>
      <w:r>
        <w:rPr>
          <w:spacing w:val="-3"/>
        </w:rPr>
        <w:t> </w:t>
      </w:r>
      <w:r>
        <w:rPr/>
        <w:t>viser</w:t>
      </w:r>
      <w:r>
        <w:rPr>
          <w:spacing w:val="-4"/>
        </w:rPr>
        <w:t> </w:t>
      </w:r>
      <w:r>
        <w:rPr/>
        <w:t>vand</w:t>
      </w:r>
      <w:r>
        <w:rPr>
          <w:spacing w:val="-6"/>
        </w:rPr>
        <w:t> </w:t>
      </w:r>
      <w:r>
        <w:rPr/>
        <w:t>på</w:t>
      </w:r>
      <w:r>
        <w:rPr>
          <w:spacing w:val="-3"/>
        </w:rPr>
        <w:t> </w:t>
      </w:r>
      <w:r>
        <w:rPr/>
        <w:t>terræn</w:t>
      </w:r>
      <w:r>
        <w:rPr>
          <w:spacing w:val="-4"/>
        </w:rPr>
        <w:t> </w:t>
      </w:r>
      <w:r>
        <w:rPr/>
        <w:t>ved</w:t>
      </w:r>
      <w:r>
        <w:rPr>
          <w:spacing w:val="-3"/>
        </w:rPr>
        <w:t> </w:t>
      </w:r>
      <w:r>
        <w:rPr/>
        <w:t>brug</w:t>
      </w:r>
      <w:r>
        <w:rPr>
          <w:spacing w:val="-4"/>
        </w:rPr>
        <w:t> </w:t>
      </w:r>
      <w:r>
        <w:rPr/>
        <w:t>af</w:t>
      </w:r>
      <w:r>
        <w:rPr>
          <w:spacing w:val="-4"/>
        </w:rPr>
        <w:t> </w:t>
      </w:r>
      <w:r>
        <w:rPr/>
        <w:t>COWI</w:t>
      </w:r>
      <w:r>
        <w:rPr>
          <w:spacing w:val="-7"/>
        </w:rPr>
        <w:t> </w:t>
      </w:r>
      <w:r>
        <w:rPr/>
        <w:t>GIS</w:t>
      </w:r>
      <w:r>
        <w:rPr>
          <w:spacing w:val="-3"/>
        </w:rPr>
        <w:t> </w:t>
      </w:r>
      <w:r>
        <w:rPr/>
        <w:t>tool,</w:t>
      </w:r>
      <w:r>
        <w:rPr>
          <w:spacing w:val="-7"/>
        </w:rPr>
        <w:t> </w:t>
      </w:r>
      <w:r>
        <w:rPr/>
        <w:t>for</w:t>
      </w:r>
      <w:r>
        <w:rPr>
          <w:spacing w:val="-4"/>
        </w:rPr>
        <w:t> </w:t>
      </w:r>
      <w:r>
        <w:rPr/>
        <w:t>hele</w:t>
      </w:r>
      <w:r>
        <w:rPr>
          <w:spacing w:val="-6"/>
        </w:rPr>
        <w:t> </w:t>
      </w:r>
      <w:r>
        <w:rPr/>
        <w:t>modelområdet.</w:t>
      </w:r>
      <w:r>
        <w:rPr>
          <w:spacing w:val="-5"/>
        </w:rPr>
        <w:t> </w:t>
      </w:r>
      <w:r>
        <w:rPr/>
        <w:t>Det simulerede vandstand baseret på de to løsningsmoduler, MikeHydroRiver og det eksterne vandstandsmodul udviklet af</w:t>
      </w:r>
      <w:r>
        <w:rPr>
          <w:spacing w:val="-6"/>
        </w:rPr>
        <w:t> </w:t>
      </w:r>
      <w:r>
        <w:rPr/>
        <w:t>HydroInform.</w:t>
      </w:r>
    </w:p>
    <w:p>
      <w:pPr>
        <w:spacing w:before="139"/>
        <w:ind w:left="525" w:right="881" w:firstLine="0"/>
        <w:jc w:val="left"/>
        <w:rPr>
          <w:rFonts w:ascii="Calibri" w:hAnsi="Calibri"/>
          <w:i/>
          <w:sz w:val="18"/>
        </w:rPr>
      </w:pPr>
      <w:bookmarkStart w:name="_bookmark107" w:id="137"/>
      <w:bookmarkEnd w:id="137"/>
      <w:r>
        <w:rPr/>
      </w:r>
      <w:r>
        <w:rPr>
          <w:rFonts w:ascii="Calibri" w:hAnsi="Calibri"/>
          <w:i/>
          <w:color w:val="44536A"/>
          <w:sz w:val="18"/>
        </w:rPr>
        <w:t>Figur 71 Simuleret vand på terræn med MIKE HYDRO River og COWI GIS tool til udbredelse af vand på terræn for 9. </w:t>
      </w:r>
      <w:r>
        <w:rPr>
          <w:rFonts w:ascii="Calibri" w:hAnsi="Calibri"/>
          <w:i/>
          <w:color w:val="44536A"/>
          <w:sz w:val="18"/>
        </w:rPr>
        <w:t>december 2015.</w:t>
      </w:r>
    </w:p>
    <w:p>
      <w:pPr>
        <w:spacing w:after="0"/>
        <w:jc w:val="left"/>
        <w:rPr>
          <w:rFonts w:ascii="Calibri" w:hAnsi="Calibri"/>
          <w:sz w:val="18"/>
        </w:rPr>
        <w:sectPr>
          <w:pgSz w:w="11910" w:h="16850"/>
          <w:pgMar w:header="0" w:footer="857" w:top="1600" w:bottom="1120" w:left="1460" w:right="680"/>
        </w:sectPr>
      </w:pPr>
    </w:p>
    <w:p>
      <w:pPr>
        <w:pStyle w:val="BodyText"/>
        <w:ind w:left="629"/>
        <w:rPr>
          <w:rFonts w:ascii="Calibri"/>
          <w:sz w:val="20"/>
        </w:rPr>
      </w:pPr>
      <w:r>
        <w:rPr>
          <w:rFonts w:ascii="Calibri"/>
          <w:sz w:val="20"/>
        </w:rPr>
        <w:drawing>
          <wp:inline distT="0" distB="0" distL="0" distR="0">
            <wp:extent cx="4694704" cy="3285744"/>
            <wp:effectExtent l="0" t="0" r="0" b="0"/>
            <wp:docPr id="151" name="image92.jpeg" descr=""/>
            <wp:cNvGraphicFramePr>
              <a:graphicFrameLocks noChangeAspect="1"/>
            </wp:cNvGraphicFramePr>
            <a:graphic>
              <a:graphicData uri="http://schemas.openxmlformats.org/drawingml/2006/picture">
                <pic:pic>
                  <pic:nvPicPr>
                    <pic:cNvPr id="152" name="image92.jpeg"/>
                    <pic:cNvPicPr/>
                  </pic:nvPicPr>
                  <pic:blipFill>
                    <a:blip r:embed="rId98" cstate="print"/>
                    <a:stretch>
                      <a:fillRect/>
                    </a:stretch>
                  </pic:blipFill>
                  <pic:spPr>
                    <a:xfrm>
                      <a:off x="0" y="0"/>
                      <a:ext cx="4694704" cy="3285744"/>
                    </a:xfrm>
                    <a:prstGeom prst="rect">
                      <a:avLst/>
                    </a:prstGeom>
                  </pic:spPr>
                </pic:pic>
              </a:graphicData>
            </a:graphic>
          </wp:inline>
        </w:drawing>
      </w:r>
      <w:r>
        <w:rPr>
          <w:rFonts w:ascii="Calibri"/>
          <w:sz w:val="20"/>
        </w:rPr>
      </w:r>
    </w:p>
    <w:p>
      <w:pPr>
        <w:spacing w:before="53"/>
        <w:ind w:left="525" w:right="765" w:firstLine="0"/>
        <w:jc w:val="left"/>
        <w:rPr>
          <w:rFonts w:ascii="Calibri" w:hAnsi="Calibri"/>
          <w:i/>
          <w:sz w:val="18"/>
        </w:rPr>
      </w:pPr>
      <w:r>
        <w:rPr>
          <w:rFonts w:ascii="Calibri" w:hAnsi="Calibri"/>
          <w:i/>
          <w:color w:val="44536A"/>
          <w:sz w:val="18"/>
        </w:rPr>
        <w:t>Figur 72 Simuleret vand på terræn med ekstern Vandstandsmodul og COWI GIS tool til udbredelse af vand på terræn </w:t>
      </w:r>
      <w:r>
        <w:rPr>
          <w:rFonts w:ascii="Calibri" w:hAnsi="Calibri"/>
          <w:i/>
          <w:color w:val="44536A"/>
          <w:sz w:val="18"/>
        </w:rPr>
        <w:t>for 9. december 2015.</w:t>
      </w:r>
    </w:p>
    <w:p>
      <w:pPr>
        <w:pStyle w:val="BodyText"/>
        <w:spacing w:before="11"/>
        <w:rPr>
          <w:rFonts w:ascii="Calibri"/>
          <w:i/>
          <w:sz w:val="15"/>
        </w:rPr>
      </w:pPr>
    </w:p>
    <w:p>
      <w:pPr>
        <w:pStyle w:val="Heading5"/>
        <w:spacing w:before="1"/>
        <w:rPr>
          <w:i/>
        </w:rPr>
      </w:pPr>
      <w:r>
        <w:rPr>
          <w:i/>
        </w:rPr>
        <w:t>Udsnit for 5 delområder i Storå</w:t>
      </w:r>
    </w:p>
    <w:p>
      <w:pPr>
        <w:pStyle w:val="BodyText"/>
        <w:spacing w:line="288" w:lineRule="auto" w:before="48"/>
        <w:ind w:left="525" w:right="656"/>
      </w:pPr>
      <w:hyperlink w:history="true" w:anchor="_bookmark108">
        <w:r>
          <w:rPr/>
          <w:t>Figur 73 </w:t>
        </w:r>
      </w:hyperlink>
      <w:r>
        <w:rPr/>
        <w:t>– 77 viser en sammenligning af hhv. MIKE HYDRO River og eksternt vandstands- modul, med visning af udbredelse af vand på terræn med COWI GIS tool.</w:t>
      </w:r>
    </w:p>
    <w:p>
      <w:pPr>
        <w:pStyle w:val="BodyText"/>
        <w:spacing w:before="2"/>
        <w:rPr>
          <w:sz w:val="25"/>
        </w:rPr>
      </w:pPr>
    </w:p>
    <w:p>
      <w:pPr>
        <w:pStyle w:val="BodyText"/>
        <w:spacing w:line="288" w:lineRule="auto" w:after="4"/>
        <w:ind w:left="525" w:right="735"/>
        <w:jc w:val="both"/>
      </w:pPr>
      <w:r>
        <w:rPr/>
        <w:t>For</w:t>
      </w:r>
      <w:r>
        <w:rPr>
          <w:spacing w:val="-8"/>
        </w:rPr>
        <w:t> </w:t>
      </w:r>
      <w:r>
        <w:rPr/>
        <w:t>udsnit</w:t>
      </w:r>
      <w:r>
        <w:rPr>
          <w:spacing w:val="-7"/>
        </w:rPr>
        <w:t> </w:t>
      </w:r>
      <w:r>
        <w:rPr/>
        <w:t>1,</w:t>
      </w:r>
      <w:r>
        <w:rPr>
          <w:spacing w:val="-7"/>
        </w:rPr>
        <w:t> </w:t>
      </w:r>
      <w:hyperlink w:history="true" w:anchor="_bookmark108">
        <w:r>
          <w:rPr/>
          <w:t>figur</w:t>
        </w:r>
        <w:r>
          <w:rPr>
            <w:spacing w:val="-6"/>
          </w:rPr>
          <w:t> </w:t>
        </w:r>
        <w:r>
          <w:rPr/>
          <w:t>73</w:t>
        </w:r>
      </w:hyperlink>
      <w:r>
        <w:rPr/>
        <w:t>,</w:t>
      </w:r>
      <w:r>
        <w:rPr>
          <w:spacing w:val="-7"/>
        </w:rPr>
        <w:t> </w:t>
      </w:r>
      <w:r>
        <w:rPr/>
        <w:t>ses</w:t>
      </w:r>
      <w:r>
        <w:rPr>
          <w:spacing w:val="-8"/>
        </w:rPr>
        <w:t> </w:t>
      </w:r>
      <w:r>
        <w:rPr/>
        <w:t>en</w:t>
      </w:r>
      <w:r>
        <w:rPr>
          <w:spacing w:val="-6"/>
        </w:rPr>
        <w:t> </w:t>
      </w:r>
      <w:r>
        <w:rPr/>
        <w:t>rimelig</w:t>
      </w:r>
      <w:r>
        <w:rPr>
          <w:spacing w:val="-6"/>
        </w:rPr>
        <w:t> </w:t>
      </w:r>
      <w:r>
        <w:rPr/>
        <w:t>fornuftig</w:t>
      </w:r>
      <w:r>
        <w:rPr>
          <w:spacing w:val="-6"/>
        </w:rPr>
        <w:t> </w:t>
      </w:r>
      <w:r>
        <w:rPr/>
        <w:t>simulering</w:t>
      </w:r>
      <w:r>
        <w:rPr>
          <w:spacing w:val="-8"/>
        </w:rPr>
        <w:t> </w:t>
      </w:r>
      <w:r>
        <w:rPr/>
        <w:t>med</w:t>
      </w:r>
      <w:r>
        <w:rPr>
          <w:spacing w:val="-6"/>
        </w:rPr>
        <w:t> </w:t>
      </w:r>
      <w:r>
        <w:rPr/>
        <w:t>såvel</w:t>
      </w:r>
      <w:r>
        <w:rPr>
          <w:spacing w:val="-5"/>
        </w:rPr>
        <w:t> </w:t>
      </w:r>
      <w:r>
        <w:rPr/>
        <w:t>hydrodynamisk</w:t>
      </w:r>
      <w:r>
        <w:rPr>
          <w:spacing w:val="-4"/>
        </w:rPr>
        <w:t> </w:t>
      </w:r>
      <w:r>
        <w:rPr/>
        <w:t>som</w:t>
      </w:r>
      <w:r>
        <w:rPr>
          <w:spacing w:val="-5"/>
        </w:rPr>
        <w:t> </w:t>
      </w:r>
      <w:r>
        <w:rPr/>
        <w:t>eks- ternt vandstandsmodul, og med rimelig god overensstemmelse i forhold til satellitdata for udsnittet tæt på udløbet ved</w:t>
      </w:r>
      <w:r>
        <w:rPr>
          <w:spacing w:val="-9"/>
        </w:rPr>
        <w:t> </w:t>
      </w:r>
      <w:r>
        <w:rPr/>
        <w:t>Vemb.</w:t>
      </w:r>
    </w:p>
    <w:p>
      <w:pPr>
        <w:pStyle w:val="BodyText"/>
        <w:ind w:left="525"/>
        <w:rPr>
          <w:sz w:val="20"/>
        </w:rPr>
      </w:pPr>
      <w:r>
        <w:rPr>
          <w:sz w:val="20"/>
        </w:rPr>
        <w:drawing>
          <wp:inline distT="0" distB="0" distL="0" distR="0">
            <wp:extent cx="5062461" cy="3053905"/>
            <wp:effectExtent l="0" t="0" r="0" b="0"/>
            <wp:docPr id="153" name="image11.jpeg" descr=""/>
            <wp:cNvGraphicFramePr>
              <a:graphicFrameLocks noChangeAspect="1"/>
            </wp:cNvGraphicFramePr>
            <a:graphic>
              <a:graphicData uri="http://schemas.openxmlformats.org/drawingml/2006/picture">
                <pic:pic>
                  <pic:nvPicPr>
                    <pic:cNvPr id="154" name="image11.jpeg"/>
                    <pic:cNvPicPr/>
                  </pic:nvPicPr>
                  <pic:blipFill>
                    <a:blip r:embed="rId17" cstate="print"/>
                    <a:stretch>
                      <a:fillRect/>
                    </a:stretch>
                  </pic:blipFill>
                  <pic:spPr>
                    <a:xfrm>
                      <a:off x="0" y="0"/>
                      <a:ext cx="5062461" cy="3053905"/>
                    </a:xfrm>
                    <a:prstGeom prst="rect">
                      <a:avLst/>
                    </a:prstGeom>
                  </pic:spPr>
                </pic:pic>
              </a:graphicData>
            </a:graphic>
          </wp:inline>
        </w:drawing>
      </w:r>
      <w:r>
        <w:rPr>
          <w:sz w:val="20"/>
        </w:rPr>
      </w:r>
    </w:p>
    <w:p>
      <w:pPr>
        <w:spacing w:before="99"/>
        <w:ind w:left="525" w:right="848" w:firstLine="0"/>
        <w:jc w:val="left"/>
        <w:rPr>
          <w:rFonts w:ascii="Calibri" w:hAnsi="Calibri"/>
          <w:i/>
          <w:sz w:val="18"/>
        </w:rPr>
      </w:pPr>
      <w:bookmarkStart w:name="_bookmark108" w:id="138"/>
      <w:bookmarkEnd w:id="138"/>
      <w:r>
        <w:rPr/>
      </w:r>
      <w:r>
        <w:rPr>
          <w:rFonts w:ascii="Calibri" w:hAnsi="Calibri"/>
          <w:i/>
          <w:color w:val="44536A"/>
          <w:sz w:val="18"/>
        </w:rPr>
        <w:t>Figur 73 Zoom 1 Udbredelse af vand på terræn estimeret vha. COWI GIS tool for hhv. Hydrodynamisk løsning (ven- </w:t>
      </w:r>
      <w:r>
        <w:rPr>
          <w:rFonts w:ascii="Calibri" w:hAnsi="Calibri"/>
          <w:i/>
          <w:color w:val="44536A"/>
          <w:sz w:val="18"/>
        </w:rPr>
        <w:t>stre) og Hydroinform eksternt vandstandsmodul (højre) udbredt i terræn med DHM grid=10 m. I midten er vist regi- streret oversvømmelse jf. satellitdata.</w:t>
      </w:r>
    </w:p>
    <w:p>
      <w:pPr>
        <w:spacing w:after="0"/>
        <w:jc w:val="left"/>
        <w:rPr>
          <w:rFonts w:ascii="Calibri" w:hAnsi="Calibri"/>
          <w:sz w:val="18"/>
        </w:rPr>
        <w:sectPr>
          <w:pgSz w:w="11910" w:h="16850"/>
          <w:pgMar w:header="0" w:footer="857" w:top="1520" w:bottom="1120" w:left="1460" w:right="680"/>
        </w:sectPr>
      </w:pPr>
    </w:p>
    <w:p>
      <w:pPr>
        <w:pStyle w:val="BodyText"/>
        <w:spacing w:line="288" w:lineRule="auto" w:before="75"/>
        <w:ind w:left="525" w:right="728"/>
        <w:jc w:val="both"/>
      </w:pPr>
      <w:hyperlink w:history="true" w:anchor="_bookmark109">
        <w:r>
          <w:rPr/>
          <w:t>Figur</w:t>
        </w:r>
        <w:r>
          <w:rPr>
            <w:spacing w:val="-6"/>
          </w:rPr>
          <w:t> </w:t>
        </w:r>
        <w:r>
          <w:rPr/>
          <w:t>74</w:t>
        </w:r>
        <w:r>
          <w:rPr>
            <w:spacing w:val="-7"/>
          </w:rPr>
          <w:t> </w:t>
        </w:r>
      </w:hyperlink>
      <w:r>
        <w:rPr/>
        <w:t>med</w:t>
      </w:r>
      <w:r>
        <w:rPr>
          <w:spacing w:val="-4"/>
        </w:rPr>
        <w:t> </w:t>
      </w:r>
      <w:r>
        <w:rPr/>
        <w:t>udsnittet</w:t>
      </w:r>
      <w:r>
        <w:rPr>
          <w:spacing w:val="-6"/>
        </w:rPr>
        <w:t> </w:t>
      </w:r>
      <w:r>
        <w:rPr/>
        <w:t>ved</w:t>
      </w:r>
      <w:r>
        <w:rPr>
          <w:spacing w:val="-5"/>
        </w:rPr>
        <w:t> </w:t>
      </w:r>
      <w:r>
        <w:rPr/>
        <w:t>Holstebro</w:t>
      </w:r>
      <w:r>
        <w:rPr>
          <w:spacing w:val="-5"/>
        </w:rPr>
        <w:t> </w:t>
      </w:r>
      <w:r>
        <w:rPr/>
        <w:t>giver</w:t>
      </w:r>
      <w:r>
        <w:rPr>
          <w:spacing w:val="-5"/>
        </w:rPr>
        <w:t> </w:t>
      </w:r>
      <w:r>
        <w:rPr/>
        <w:t>rimelig</w:t>
      </w:r>
      <w:r>
        <w:rPr>
          <w:spacing w:val="-7"/>
        </w:rPr>
        <w:t> </w:t>
      </w:r>
      <w:r>
        <w:rPr/>
        <w:t>god</w:t>
      </w:r>
      <w:r>
        <w:rPr>
          <w:spacing w:val="-4"/>
        </w:rPr>
        <w:t> </w:t>
      </w:r>
      <w:r>
        <w:rPr/>
        <w:t>overensstemmelse</w:t>
      </w:r>
      <w:r>
        <w:rPr>
          <w:spacing w:val="-8"/>
        </w:rPr>
        <w:t> </w:t>
      </w:r>
      <w:r>
        <w:rPr/>
        <w:t>med</w:t>
      </w:r>
      <w:r>
        <w:rPr>
          <w:spacing w:val="-5"/>
        </w:rPr>
        <w:t> </w:t>
      </w:r>
      <w:r>
        <w:rPr/>
        <w:t>de</w:t>
      </w:r>
      <w:r>
        <w:rPr>
          <w:spacing w:val="-4"/>
        </w:rPr>
        <w:t> </w:t>
      </w:r>
      <w:r>
        <w:rPr/>
        <w:t>to</w:t>
      </w:r>
      <w:r>
        <w:rPr>
          <w:spacing w:val="-5"/>
        </w:rPr>
        <w:t> </w:t>
      </w:r>
      <w:r>
        <w:rPr/>
        <w:t>vands- tandsberegningsmetoder</w:t>
      </w:r>
      <w:r>
        <w:rPr>
          <w:spacing w:val="-11"/>
        </w:rPr>
        <w:t> </w:t>
      </w:r>
      <w:r>
        <w:rPr/>
        <w:t>(MIKE</w:t>
      </w:r>
      <w:r>
        <w:rPr>
          <w:spacing w:val="-9"/>
        </w:rPr>
        <w:t> </w:t>
      </w:r>
      <w:r>
        <w:rPr/>
        <w:t>HYDRO</w:t>
      </w:r>
      <w:r>
        <w:rPr>
          <w:spacing w:val="-10"/>
        </w:rPr>
        <w:t> </w:t>
      </w:r>
      <w:r>
        <w:rPr/>
        <w:t>Hydrodynamisk/Stationær).</w:t>
      </w:r>
      <w:r>
        <w:rPr>
          <w:spacing w:val="-10"/>
        </w:rPr>
        <w:t> </w:t>
      </w:r>
      <w:r>
        <w:rPr/>
        <w:t>Vandstanden</w:t>
      </w:r>
      <w:r>
        <w:rPr>
          <w:spacing w:val="-10"/>
        </w:rPr>
        <w:t> </w:t>
      </w:r>
      <w:r>
        <w:rPr/>
        <w:t>ved</w:t>
      </w:r>
      <w:r>
        <w:rPr>
          <w:spacing w:val="-9"/>
        </w:rPr>
        <w:t> </w:t>
      </w:r>
      <w:r>
        <w:rPr/>
        <w:t>golf- banen</w:t>
      </w:r>
      <w:r>
        <w:rPr>
          <w:spacing w:val="-12"/>
        </w:rPr>
        <w:t> </w:t>
      </w:r>
      <w:r>
        <w:rPr/>
        <w:t>er</w:t>
      </w:r>
      <w:r>
        <w:rPr>
          <w:spacing w:val="-15"/>
        </w:rPr>
        <w:t> </w:t>
      </w:r>
      <w:r>
        <w:rPr/>
        <w:t>muligvis</w:t>
      </w:r>
      <w:r>
        <w:rPr>
          <w:spacing w:val="-12"/>
        </w:rPr>
        <w:t> </w:t>
      </w:r>
      <w:r>
        <w:rPr/>
        <w:t>undervurderet</w:t>
      </w:r>
      <w:r>
        <w:rPr>
          <w:spacing w:val="-12"/>
        </w:rPr>
        <w:t> </w:t>
      </w:r>
      <w:r>
        <w:rPr/>
        <w:t>i</w:t>
      </w:r>
      <w:r>
        <w:rPr>
          <w:spacing w:val="-13"/>
        </w:rPr>
        <w:t> </w:t>
      </w:r>
      <w:r>
        <w:rPr/>
        <w:t>modellen,</w:t>
      </w:r>
      <w:r>
        <w:rPr>
          <w:spacing w:val="-13"/>
        </w:rPr>
        <w:t> </w:t>
      </w:r>
      <w:r>
        <w:rPr/>
        <w:t>hvilket</w:t>
      </w:r>
      <w:r>
        <w:rPr>
          <w:spacing w:val="-12"/>
        </w:rPr>
        <w:t> </w:t>
      </w:r>
      <w:r>
        <w:rPr/>
        <w:t>påvirker</w:t>
      </w:r>
      <w:r>
        <w:rPr>
          <w:spacing w:val="-12"/>
        </w:rPr>
        <w:t> </w:t>
      </w:r>
      <w:r>
        <w:rPr/>
        <w:t>kortlægning</w:t>
      </w:r>
      <w:r>
        <w:rPr>
          <w:spacing w:val="-11"/>
        </w:rPr>
        <w:t> </w:t>
      </w:r>
      <w:r>
        <w:rPr/>
        <w:t>af</w:t>
      </w:r>
      <w:r>
        <w:rPr>
          <w:spacing w:val="-9"/>
        </w:rPr>
        <w:t> </w:t>
      </w:r>
      <w:r>
        <w:rPr/>
        <w:t>oversvømmelser.</w:t>
      </w:r>
    </w:p>
    <w:p>
      <w:pPr>
        <w:pStyle w:val="BodyText"/>
        <w:rPr>
          <w:sz w:val="22"/>
        </w:rPr>
      </w:pPr>
      <w:r>
        <w:rPr/>
        <w:drawing>
          <wp:anchor distT="0" distB="0" distL="0" distR="0" allowOverlap="1" layoutInCell="1" locked="0" behindDoc="0" simplePos="0" relativeHeight="59">
            <wp:simplePos x="0" y="0"/>
            <wp:positionH relativeFrom="page">
              <wp:posOffset>1260475</wp:posOffset>
            </wp:positionH>
            <wp:positionV relativeFrom="paragraph">
              <wp:posOffset>185720</wp:posOffset>
            </wp:positionV>
            <wp:extent cx="5045441" cy="3014472"/>
            <wp:effectExtent l="0" t="0" r="0" b="0"/>
            <wp:wrapTopAndBottom/>
            <wp:docPr id="155" name="image93.jpeg" descr=""/>
            <wp:cNvGraphicFramePr>
              <a:graphicFrameLocks noChangeAspect="1"/>
            </wp:cNvGraphicFramePr>
            <a:graphic>
              <a:graphicData uri="http://schemas.openxmlformats.org/drawingml/2006/picture">
                <pic:pic>
                  <pic:nvPicPr>
                    <pic:cNvPr id="156" name="image93.jpeg"/>
                    <pic:cNvPicPr/>
                  </pic:nvPicPr>
                  <pic:blipFill>
                    <a:blip r:embed="rId99" cstate="print"/>
                    <a:stretch>
                      <a:fillRect/>
                    </a:stretch>
                  </pic:blipFill>
                  <pic:spPr>
                    <a:xfrm>
                      <a:off x="0" y="0"/>
                      <a:ext cx="5045441" cy="3014472"/>
                    </a:xfrm>
                    <a:prstGeom prst="rect">
                      <a:avLst/>
                    </a:prstGeom>
                  </pic:spPr>
                </pic:pic>
              </a:graphicData>
            </a:graphic>
          </wp:anchor>
        </w:drawing>
      </w:r>
    </w:p>
    <w:p>
      <w:pPr>
        <w:spacing w:before="112"/>
        <w:ind w:left="525" w:right="855" w:firstLine="0"/>
        <w:jc w:val="left"/>
        <w:rPr>
          <w:rFonts w:ascii="Calibri" w:hAnsi="Calibri"/>
          <w:i/>
          <w:sz w:val="18"/>
        </w:rPr>
      </w:pPr>
      <w:bookmarkStart w:name="_bookmark109" w:id="139"/>
      <w:bookmarkEnd w:id="139"/>
      <w:r>
        <w:rPr/>
      </w:r>
      <w:r>
        <w:rPr>
          <w:rFonts w:ascii="Calibri" w:hAnsi="Calibri"/>
          <w:i/>
          <w:color w:val="44536A"/>
          <w:sz w:val="18"/>
        </w:rPr>
        <w:t>Figur 74 Zoom 2 Udbredelse af vand på terræn med DHM grid 10 m estimeret vha. COWI GIS tool for hhv. Hydrody- </w:t>
      </w:r>
      <w:r>
        <w:rPr>
          <w:rFonts w:ascii="Calibri" w:hAnsi="Calibri"/>
          <w:i/>
          <w:color w:val="44536A"/>
          <w:sz w:val="18"/>
        </w:rPr>
        <w:t>namisk løsning (venstre) og Hydroinform eksternt vandstandsmodul (højre). I midten er vist registreret oversvøm- melse jf. satellitdata.</w:t>
      </w:r>
    </w:p>
    <w:p>
      <w:pPr>
        <w:pStyle w:val="BodyText"/>
        <w:spacing w:before="3"/>
        <w:rPr>
          <w:rFonts w:ascii="Calibri"/>
          <w:i/>
          <w:sz w:val="16"/>
        </w:rPr>
      </w:pPr>
    </w:p>
    <w:p>
      <w:pPr>
        <w:pStyle w:val="BodyText"/>
        <w:spacing w:line="288" w:lineRule="auto"/>
        <w:ind w:left="525" w:right="732"/>
        <w:jc w:val="both"/>
      </w:pPr>
      <w:r>
        <w:rPr/>
        <w:t>For midt strækning af Storå, </w:t>
      </w:r>
      <w:hyperlink w:history="true" w:anchor="_bookmark110">
        <w:r>
          <w:rPr/>
          <w:t>figur 75</w:t>
        </w:r>
      </w:hyperlink>
      <w:r>
        <w:rPr/>
        <w:t>, giver hydrodynamisk model størst udbredelse af vand på terræn. Den modellerede udbredelse strækker sig længere opstrøms både med MIKE HYDRO River og HYMOD</w:t>
      </w:r>
    </w:p>
    <w:p>
      <w:pPr>
        <w:pStyle w:val="BodyText"/>
        <w:ind w:left="525"/>
      </w:pPr>
      <w:r>
        <w:rPr/>
        <w:drawing>
          <wp:anchor distT="0" distB="0" distL="0" distR="0" allowOverlap="1" layoutInCell="1" locked="0" behindDoc="0" simplePos="0" relativeHeight="60">
            <wp:simplePos x="0" y="0"/>
            <wp:positionH relativeFrom="page">
              <wp:posOffset>1291591</wp:posOffset>
            </wp:positionH>
            <wp:positionV relativeFrom="paragraph">
              <wp:posOffset>185151</wp:posOffset>
            </wp:positionV>
            <wp:extent cx="5033632" cy="3061716"/>
            <wp:effectExtent l="0" t="0" r="0" b="0"/>
            <wp:wrapTopAndBottom/>
            <wp:docPr id="157" name="image94.jpeg" descr=""/>
            <wp:cNvGraphicFramePr>
              <a:graphicFrameLocks noChangeAspect="1"/>
            </wp:cNvGraphicFramePr>
            <a:graphic>
              <a:graphicData uri="http://schemas.openxmlformats.org/drawingml/2006/picture">
                <pic:pic>
                  <pic:nvPicPr>
                    <pic:cNvPr id="158" name="image94.jpeg"/>
                    <pic:cNvPicPr/>
                  </pic:nvPicPr>
                  <pic:blipFill>
                    <a:blip r:embed="rId100" cstate="print"/>
                    <a:stretch>
                      <a:fillRect/>
                    </a:stretch>
                  </pic:blipFill>
                  <pic:spPr>
                    <a:xfrm>
                      <a:off x="0" y="0"/>
                      <a:ext cx="5033632" cy="3061716"/>
                    </a:xfrm>
                    <a:prstGeom prst="rect">
                      <a:avLst/>
                    </a:prstGeom>
                  </pic:spPr>
                </pic:pic>
              </a:graphicData>
            </a:graphic>
          </wp:anchor>
        </w:drawing>
      </w:r>
      <w:r>
        <w:rPr>
          <w:w w:val="100"/>
        </w:rPr>
        <w:t>.</w:t>
      </w:r>
    </w:p>
    <w:p>
      <w:pPr>
        <w:spacing w:before="0"/>
        <w:ind w:left="525" w:right="789" w:firstLine="0"/>
        <w:jc w:val="left"/>
        <w:rPr>
          <w:rFonts w:ascii="Calibri" w:hAnsi="Calibri"/>
          <w:i/>
          <w:sz w:val="18"/>
        </w:rPr>
      </w:pPr>
      <w:bookmarkStart w:name="_bookmark110" w:id="140"/>
      <w:bookmarkEnd w:id="140"/>
      <w:r>
        <w:rPr/>
      </w:r>
      <w:r>
        <w:rPr>
          <w:rFonts w:ascii="Calibri" w:hAnsi="Calibri"/>
          <w:i/>
          <w:color w:val="44536A"/>
          <w:sz w:val="18"/>
        </w:rPr>
        <w:t>Figur 75 Zoom 3 Udbredelse af vand på terræn (DHM grid 10 m) estimeret vha. COWI GIS tool for hhv. Hydrodyna- </w:t>
      </w:r>
      <w:r>
        <w:rPr>
          <w:rFonts w:ascii="Calibri" w:hAnsi="Calibri"/>
          <w:i/>
          <w:color w:val="44536A"/>
          <w:sz w:val="18"/>
        </w:rPr>
        <w:t>misk løsning (venstre) og Hydroinform eksternt vandstandsmodul (højre). I midten er vist registreret oversvømmelse jf. satellitdata.</w:t>
      </w:r>
    </w:p>
    <w:p>
      <w:pPr>
        <w:spacing w:after="0"/>
        <w:jc w:val="left"/>
        <w:rPr>
          <w:rFonts w:ascii="Calibri" w:hAnsi="Calibri"/>
          <w:sz w:val="18"/>
        </w:rPr>
        <w:sectPr>
          <w:pgSz w:w="11910" w:h="16850"/>
          <w:pgMar w:header="0" w:footer="857" w:top="1340" w:bottom="1120" w:left="1460" w:right="680"/>
        </w:sectPr>
      </w:pPr>
    </w:p>
    <w:p>
      <w:pPr>
        <w:pStyle w:val="BodyText"/>
        <w:spacing w:line="288" w:lineRule="auto" w:before="75"/>
        <w:ind w:left="525" w:right="730"/>
        <w:jc w:val="both"/>
      </w:pPr>
      <w:r>
        <w:rPr/>
        <w:drawing>
          <wp:anchor distT="0" distB="0" distL="0" distR="0" allowOverlap="1" layoutInCell="1" locked="0" behindDoc="0" simplePos="0" relativeHeight="61">
            <wp:simplePos x="0" y="0"/>
            <wp:positionH relativeFrom="page">
              <wp:posOffset>1288281</wp:posOffset>
            </wp:positionH>
            <wp:positionV relativeFrom="paragraph">
              <wp:posOffset>1180784</wp:posOffset>
            </wp:positionV>
            <wp:extent cx="5439618" cy="3538728"/>
            <wp:effectExtent l="0" t="0" r="0" b="0"/>
            <wp:wrapTopAndBottom/>
            <wp:docPr id="159" name="image95.jpeg" descr=""/>
            <wp:cNvGraphicFramePr>
              <a:graphicFrameLocks noChangeAspect="1"/>
            </wp:cNvGraphicFramePr>
            <a:graphic>
              <a:graphicData uri="http://schemas.openxmlformats.org/drawingml/2006/picture">
                <pic:pic>
                  <pic:nvPicPr>
                    <pic:cNvPr id="160" name="image95.jpeg"/>
                    <pic:cNvPicPr/>
                  </pic:nvPicPr>
                  <pic:blipFill>
                    <a:blip r:embed="rId101" cstate="print"/>
                    <a:stretch>
                      <a:fillRect/>
                    </a:stretch>
                  </pic:blipFill>
                  <pic:spPr>
                    <a:xfrm>
                      <a:off x="0" y="0"/>
                      <a:ext cx="5439618" cy="3538728"/>
                    </a:xfrm>
                    <a:prstGeom prst="rect">
                      <a:avLst/>
                    </a:prstGeom>
                  </pic:spPr>
                </pic:pic>
              </a:graphicData>
            </a:graphic>
          </wp:anchor>
        </w:drawing>
      </w:r>
      <w:r>
        <w:rPr/>
        <w:t>Der opnås god overensstemmelse med oversvømmelser ved Sunds (søens udbredelse). Der er dog ikke helt overensstemmelse med satellitdata for nedstrøms oversvømmelse, der fanges af både MIKE HYDRO hydrodynamisk og HYMOD. MIKE HYDRO viser også et op- strøms område mod øst, der har vand på terræn, som hverken HYMOD eller satellitdata viser, se </w:t>
      </w:r>
      <w:hyperlink w:history="true" w:anchor="_bookmark111">
        <w:r>
          <w:rPr/>
          <w:t>figur 76</w:t>
        </w:r>
      </w:hyperlink>
      <w:r>
        <w:rPr/>
        <w:t>. Det er meget stor afstand mellem målte tværprofiler (ca. 1 km) på denne strækning og det kan være forklaringen.</w:t>
      </w:r>
    </w:p>
    <w:p>
      <w:pPr>
        <w:spacing w:before="133"/>
        <w:ind w:left="525" w:right="800" w:firstLine="0"/>
        <w:jc w:val="both"/>
        <w:rPr>
          <w:rFonts w:ascii="Calibri" w:hAnsi="Calibri"/>
          <w:i/>
          <w:sz w:val="18"/>
        </w:rPr>
      </w:pPr>
      <w:bookmarkStart w:name="_bookmark111" w:id="141"/>
      <w:bookmarkEnd w:id="141"/>
      <w:r>
        <w:rPr/>
      </w:r>
      <w:r>
        <w:rPr>
          <w:rFonts w:ascii="Calibri" w:hAnsi="Calibri"/>
          <w:i/>
          <w:color w:val="44536A"/>
          <w:sz w:val="18"/>
        </w:rPr>
        <w:t>Figur 76 Zoom 4 Udbredelse af vand på terræn (DHM grid = 10 m) estimeret vha. COWI GIS tool for hhv. Hydrodyna- </w:t>
      </w:r>
      <w:r>
        <w:rPr>
          <w:rFonts w:ascii="Calibri" w:hAnsi="Calibri"/>
          <w:i/>
          <w:color w:val="44536A"/>
          <w:sz w:val="18"/>
        </w:rPr>
        <w:t>misk løsning (venstre) og Hydroinform eksternt vandstandsmodul (højre). I midten er vist registreret oversvømmelse jf. satellitdata.</w:t>
      </w:r>
    </w:p>
    <w:p>
      <w:pPr>
        <w:pStyle w:val="BodyText"/>
        <w:spacing w:before="2"/>
        <w:rPr>
          <w:rFonts w:ascii="Calibri"/>
          <w:i/>
          <w:sz w:val="13"/>
        </w:rPr>
      </w:pPr>
      <w:r>
        <w:rPr/>
        <w:drawing>
          <wp:anchor distT="0" distB="0" distL="0" distR="0" allowOverlap="1" layoutInCell="1" locked="0" behindDoc="0" simplePos="0" relativeHeight="62">
            <wp:simplePos x="0" y="0"/>
            <wp:positionH relativeFrom="page">
              <wp:posOffset>1260475</wp:posOffset>
            </wp:positionH>
            <wp:positionV relativeFrom="paragraph">
              <wp:posOffset>127060</wp:posOffset>
            </wp:positionV>
            <wp:extent cx="4892579" cy="2852928"/>
            <wp:effectExtent l="0" t="0" r="0" b="0"/>
            <wp:wrapTopAndBottom/>
            <wp:docPr id="161" name="image96.jpeg" descr=""/>
            <wp:cNvGraphicFramePr>
              <a:graphicFrameLocks noChangeAspect="1"/>
            </wp:cNvGraphicFramePr>
            <a:graphic>
              <a:graphicData uri="http://schemas.openxmlformats.org/drawingml/2006/picture">
                <pic:pic>
                  <pic:nvPicPr>
                    <pic:cNvPr id="162" name="image96.jpeg"/>
                    <pic:cNvPicPr/>
                  </pic:nvPicPr>
                  <pic:blipFill>
                    <a:blip r:embed="rId102" cstate="print"/>
                    <a:stretch>
                      <a:fillRect/>
                    </a:stretch>
                  </pic:blipFill>
                  <pic:spPr>
                    <a:xfrm>
                      <a:off x="0" y="0"/>
                      <a:ext cx="4892579" cy="2852928"/>
                    </a:xfrm>
                    <a:prstGeom prst="rect">
                      <a:avLst/>
                    </a:prstGeom>
                  </pic:spPr>
                </pic:pic>
              </a:graphicData>
            </a:graphic>
          </wp:anchor>
        </w:drawing>
      </w:r>
    </w:p>
    <w:p>
      <w:pPr>
        <w:spacing w:before="149"/>
        <w:ind w:left="525" w:right="928" w:firstLine="0"/>
        <w:jc w:val="left"/>
        <w:rPr>
          <w:rFonts w:ascii="Calibri" w:hAnsi="Calibri"/>
          <w:i/>
          <w:sz w:val="18"/>
        </w:rPr>
      </w:pPr>
      <w:bookmarkStart w:name="_bookmark112" w:id="142"/>
      <w:bookmarkEnd w:id="142"/>
      <w:r>
        <w:rPr/>
      </w:r>
      <w:r>
        <w:rPr>
          <w:rFonts w:ascii="Calibri" w:hAnsi="Calibri"/>
          <w:i/>
          <w:color w:val="44536A"/>
          <w:sz w:val="18"/>
        </w:rPr>
        <w:t>Figur 77 Zoom 5 Udbredelse af vand på terræn estimeret vha. COWI GIS tool for hhv. Hydrodynamisk løsning (ven- </w:t>
      </w:r>
      <w:r>
        <w:rPr>
          <w:rFonts w:ascii="Calibri" w:hAnsi="Calibri"/>
          <w:i/>
          <w:color w:val="44536A"/>
          <w:sz w:val="18"/>
        </w:rPr>
        <w:t>stre) og Hydroinform eksternt vandstandsmodul (højre). I midten er vist registreret oversvømmelse jf. satellitdata.</w:t>
      </w:r>
    </w:p>
    <w:p>
      <w:pPr>
        <w:spacing w:after="0"/>
        <w:jc w:val="left"/>
        <w:rPr>
          <w:rFonts w:ascii="Calibri" w:hAnsi="Calibri"/>
          <w:sz w:val="18"/>
        </w:rPr>
        <w:sectPr>
          <w:pgSz w:w="11910" w:h="16850"/>
          <w:pgMar w:header="0" w:footer="857" w:top="1340" w:bottom="1120" w:left="1460" w:right="680"/>
        </w:sectPr>
      </w:pPr>
    </w:p>
    <w:p>
      <w:pPr>
        <w:pStyle w:val="BodyText"/>
        <w:spacing w:line="288" w:lineRule="auto" w:before="75"/>
        <w:ind w:left="525" w:right="732"/>
        <w:jc w:val="both"/>
      </w:pPr>
      <w:r>
        <w:rPr/>
        <w:t>For oversvømmelser ved Herning udpeger HYMOD Gødstrup sø korrekt. Det gør MIKE</w:t>
      </w:r>
      <w:r>
        <w:rPr>
          <w:spacing w:val="-38"/>
        </w:rPr>
        <w:t> </w:t>
      </w:r>
      <w:r>
        <w:rPr/>
        <w:t>HY- DRO hydrodynamisk ikke, men det har evt. noget at gøre med vandløbsmodellens opsæt- ning. Bortset fra denne forskel giver modellerne omtrent samme udpegning, </w:t>
      </w:r>
      <w:hyperlink w:history="true" w:anchor="_bookmark112">
        <w:r>
          <w:rPr/>
          <w:t>figur</w:t>
        </w:r>
        <w:r>
          <w:rPr>
            <w:spacing w:val="-16"/>
          </w:rPr>
          <w:t> </w:t>
        </w:r>
        <w:r>
          <w:rPr/>
          <w:t>77</w:t>
        </w:r>
      </w:hyperlink>
      <w:r>
        <w:rPr/>
        <w:t>.</w:t>
      </w:r>
    </w:p>
    <w:p>
      <w:pPr>
        <w:pStyle w:val="BodyText"/>
        <w:spacing w:before="2"/>
        <w:rPr>
          <w:sz w:val="25"/>
        </w:rPr>
      </w:pPr>
    </w:p>
    <w:p>
      <w:pPr>
        <w:pStyle w:val="Heading5"/>
        <w:spacing w:before="1"/>
        <w:rPr>
          <w:i/>
        </w:rPr>
      </w:pPr>
      <w:r>
        <w:rPr>
          <w:i/>
        </w:rPr>
        <w:t>Diskussion</w:t>
      </w:r>
    </w:p>
    <w:p>
      <w:pPr>
        <w:pStyle w:val="BodyText"/>
        <w:spacing w:line="288" w:lineRule="auto" w:before="48"/>
        <w:ind w:left="525" w:right="730"/>
        <w:jc w:val="both"/>
      </w:pPr>
      <w:r>
        <w:rPr/>
        <w:t>Vandstandsmodellen (MIKE HYDRO River) er kalibreret for 2007-2008 og vandføringen er kalibreret for 2000-2008. I valideringsperioden (2009-2015) ses for visse stationer mere sy- stematiske</w:t>
      </w:r>
      <w:r>
        <w:rPr>
          <w:spacing w:val="-9"/>
        </w:rPr>
        <w:t> </w:t>
      </w:r>
      <w:r>
        <w:rPr/>
        <w:t>fejl</w:t>
      </w:r>
      <w:r>
        <w:rPr>
          <w:spacing w:val="-6"/>
        </w:rPr>
        <w:t> </w:t>
      </w:r>
      <w:r>
        <w:rPr/>
        <w:t>på</w:t>
      </w:r>
      <w:r>
        <w:rPr>
          <w:spacing w:val="-8"/>
        </w:rPr>
        <w:t> </w:t>
      </w:r>
      <w:r>
        <w:rPr/>
        <w:t>den</w:t>
      </w:r>
      <w:r>
        <w:rPr>
          <w:spacing w:val="-7"/>
        </w:rPr>
        <w:t> </w:t>
      </w:r>
      <w:r>
        <w:rPr/>
        <w:t>simulerede</w:t>
      </w:r>
      <w:r>
        <w:rPr>
          <w:spacing w:val="-7"/>
        </w:rPr>
        <w:t> </w:t>
      </w:r>
      <w:r>
        <w:rPr/>
        <w:t>vandstand.</w:t>
      </w:r>
      <w:r>
        <w:rPr>
          <w:spacing w:val="-8"/>
        </w:rPr>
        <w:t> </w:t>
      </w:r>
      <w:r>
        <w:rPr/>
        <w:t>I</w:t>
      </w:r>
      <w:r>
        <w:rPr>
          <w:spacing w:val="-8"/>
        </w:rPr>
        <w:t> </w:t>
      </w:r>
      <w:r>
        <w:rPr/>
        <w:t>visse</w:t>
      </w:r>
      <w:r>
        <w:rPr>
          <w:spacing w:val="-9"/>
        </w:rPr>
        <w:t> </w:t>
      </w:r>
      <w:r>
        <w:rPr/>
        <w:t>tilfælde</w:t>
      </w:r>
      <w:r>
        <w:rPr>
          <w:spacing w:val="-7"/>
        </w:rPr>
        <w:t> </w:t>
      </w:r>
      <w:r>
        <w:rPr/>
        <w:t>skyldes</w:t>
      </w:r>
      <w:r>
        <w:rPr>
          <w:spacing w:val="-8"/>
        </w:rPr>
        <w:t> </w:t>
      </w:r>
      <w:r>
        <w:rPr/>
        <w:t>disse</w:t>
      </w:r>
      <w:r>
        <w:rPr>
          <w:spacing w:val="-8"/>
        </w:rPr>
        <w:t> </w:t>
      </w:r>
      <w:r>
        <w:rPr/>
        <w:t>fejl</w:t>
      </w:r>
      <w:r>
        <w:rPr>
          <w:spacing w:val="-9"/>
        </w:rPr>
        <w:t> </w:t>
      </w:r>
      <w:r>
        <w:rPr/>
        <w:t>i</w:t>
      </w:r>
      <w:r>
        <w:rPr>
          <w:spacing w:val="-8"/>
        </w:rPr>
        <w:t> </w:t>
      </w:r>
      <w:r>
        <w:rPr/>
        <w:t>simuleringen af afstrømningen, i andre tilfælde (for strækninger hvor der ikke har foreligget vandstands- data til kalibreringen) skyldes formentlig unøjagtig bestemmelse af Manningtallet. Sammen- ligninger i </w:t>
      </w:r>
      <w:hyperlink w:history="true" w:anchor="_bookmark108">
        <w:r>
          <w:rPr/>
          <w:t>figur 73 </w:t>
        </w:r>
      </w:hyperlink>
      <w:r>
        <w:rPr/>
        <w:t>- 77, viser samlet set, at resultaterne er meget afhængige af disse usik- kerhedskilder. Det er meget vigtigt at ramme både vandføring og vandstand relativt præcist, hvis</w:t>
      </w:r>
      <w:r>
        <w:rPr>
          <w:spacing w:val="-6"/>
        </w:rPr>
        <w:t> </w:t>
      </w:r>
      <w:r>
        <w:rPr/>
        <w:t>det</w:t>
      </w:r>
      <w:r>
        <w:rPr>
          <w:spacing w:val="-7"/>
        </w:rPr>
        <w:t> </w:t>
      </w:r>
      <w:r>
        <w:rPr/>
        <w:t>skal</w:t>
      </w:r>
      <w:r>
        <w:rPr>
          <w:spacing w:val="-5"/>
        </w:rPr>
        <w:t> </w:t>
      </w:r>
      <w:r>
        <w:rPr/>
        <w:t>være</w:t>
      </w:r>
      <w:r>
        <w:rPr>
          <w:spacing w:val="-5"/>
        </w:rPr>
        <w:t> </w:t>
      </w:r>
      <w:r>
        <w:rPr/>
        <w:t>muligt</w:t>
      </w:r>
      <w:r>
        <w:rPr>
          <w:spacing w:val="-9"/>
        </w:rPr>
        <w:t> </w:t>
      </w:r>
      <w:r>
        <w:rPr/>
        <w:t>at</w:t>
      </w:r>
      <w:r>
        <w:rPr>
          <w:spacing w:val="-7"/>
        </w:rPr>
        <w:t> </w:t>
      </w:r>
      <w:r>
        <w:rPr/>
        <w:t>give</w:t>
      </w:r>
      <w:r>
        <w:rPr>
          <w:spacing w:val="-6"/>
        </w:rPr>
        <w:t> </w:t>
      </w:r>
      <w:r>
        <w:rPr/>
        <w:t>troværdige</w:t>
      </w:r>
      <w:r>
        <w:rPr>
          <w:spacing w:val="-5"/>
        </w:rPr>
        <w:t> </w:t>
      </w:r>
      <w:r>
        <w:rPr/>
        <w:t>udbredelser</w:t>
      </w:r>
      <w:r>
        <w:rPr>
          <w:spacing w:val="-7"/>
        </w:rPr>
        <w:t> </w:t>
      </w:r>
      <w:r>
        <w:rPr/>
        <w:t>af</w:t>
      </w:r>
      <w:r>
        <w:rPr>
          <w:spacing w:val="-5"/>
        </w:rPr>
        <w:t> </w:t>
      </w:r>
      <w:r>
        <w:rPr/>
        <w:t>vand</w:t>
      </w:r>
      <w:r>
        <w:rPr>
          <w:spacing w:val="-5"/>
        </w:rPr>
        <w:t> </w:t>
      </w:r>
      <w:r>
        <w:rPr/>
        <w:t>på</w:t>
      </w:r>
      <w:r>
        <w:rPr>
          <w:spacing w:val="-6"/>
        </w:rPr>
        <w:t> </w:t>
      </w:r>
      <w:r>
        <w:rPr/>
        <w:t>terræn</w:t>
      </w:r>
      <w:r>
        <w:rPr>
          <w:spacing w:val="-6"/>
        </w:rPr>
        <w:t> </w:t>
      </w:r>
      <w:r>
        <w:rPr/>
        <w:t>ud</w:t>
      </w:r>
      <w:r>
        <w:rPr>
          <w:spacing w:val="-8"/>
        </w:rPr>
        <w:t> </w:t>
      </w:r>
      <w:r>
        <w:rPr/>
        <w:t>fra</w:t>
      </w:r>
      <w:r>
        <w:rPr>
          <w:spacing w:val="-5"/>
        </w:rPr>
        <w:t> </w:t>
      </w:r>
      <w:r>
        <w:rPr/>
        <w:t>COWI</w:t>
      </w:r>
      <w:r>
        <w:rPr>
          <w:spacing w:val="-10"/>
        </w:rPr>
        <w:t> </w:t>
      </w:r>
      <w:r>
        <w:rPr/>
        <w:t>GIS tool og den detaljerede højdemodel. Det kræver formentlig at parameterisering af Manning- tallet i MIKE HYDRO kan distribueres (det var ikke muligt en den version GEUS anvendte, her</w:t>
      </w:r>
      <w:r>
        <w:rPr>
          <w:spacing w:val="-15"/>
        </w:rPr>
        <w:t> </w:t>
      </w:r>
      <w:r>
        <w:rPr/>
        <w:t>var</w:t>
      </w:r>
      <w:r>
        <w:rPr>
          <w:spacing w:val="-15"/>
        </w:rPr>
        <w:t> </w:t>
      </w:r>
      <w:r>
        <w:rPr/>
        <w:t>det</w:t>
      </w:r>
      <w:r>
        <w:rPr>
          <w:spacing w:val="-16"/>
        </w:rPr>
        <w:t> </w:t>
      </w:r>
      <w:r>
        <w:rPr/>
        <w:t>kun</w:t>
      </w:r>
      <w:r>
        <w:rPr>
          <w:spacing w:val="-16"/>
        </w:rPr>
        <w:t> </w:t>
      </w:r>
      <w:r>
        <w:rPr/>
        <w:t>muligt</w:t>
      </w:r>
      <w:r>
        <w:rPr>
          <w:spacing w:val="-14"/>
        </w:rPr>
        <w:t> </w:t>
      </w:r>
      <w:r>
        <w:rPr/>
        <w:t>at</w:t>
      </w:r>
      <w:r>
        <w:rPr>
          <w:spacing w:val="-17"/>
        </w:rPr>
        <w:t> </w:t>
      </w:r>
      <w:r>
        <w:rPr/>
        <w:t>inddrage</w:t>
      </w:r>
      <w:r>
        <w:rPr>
          <w:spacing w:val="-13"/>
        </w:rPr>
        <w:t> </w:t>
      </w:r>
      <w:r>
        <w:rPr/>
        <w:t>tidsmæssige</w:t>
      </w:r>
      <w:r>
        <w:rPr>
          <w:spacing w:val="-14"/>
        </w:rPr>
        <w:t> </w:t>
      </w:r>
      <w:r>
        <w:rPr/>
        <w:t>variation</w:t>
      </w:r>
      <w:r>
        <w:rPr>
          <w:spacing w:val="-15"/>
        </w:rPr>
        <w:t> </w:t>
      </w:r>
      <w:r>
        <w:rPr/>
        <w:t>fastlagt</w:t>
      </w:r>
      <w:r>
        <w:rPr>
          <w:spacing w:val="-15"/>
        </w:rPr>
        <w:t> </w:t>
      </w:r>
      <w:r>
        <w:rPr/>
        <w:t>ved</w:t>
      </w:r>
      <w:r>
        <w:rPr>
          <w:spacing w:val="-14"/>
        </w:rPr>
        <w:t> </w:t>
      </w:r>
      <w:r>
        <w:rPr/>
        <w:t>sinus</w:t>
      </w:r>
      <w:r>
        <w:rPr>
          <w:spacing w:val="-16"/>
        </w:rPr>
        <w:t> </w:t>
      </w:r>
      <w:r>
        <w:rPr/>
        <w:t>funktion).</w:t>
      </w:r>
      <w:r>
        <w:rPr>
          <w:spacing w:val="-16"/>
        </w:rPr>
        <w:t> </w:t>
      </w:r>
      <w:r>
        <w:rPr/>
        <w:t>På</w:t>
      </w:r>
      <w:r>
        <w:rPr>
          <w:spacing w:val="-13"/>
        </w:rPr>
        <w:t> </w:t>
      </w:r>
      <w:r>
        <w:rPr/>
        <w:t>basis af flere synkrone vandstandsobservationer ned gennem vandløbet vil det formentlig være muligt</w:t>
      </w:r>
      <w:r>
        <w:rPr>
          <w:spacing w:val="-12"/>
        </w:rPr>
        <w:t> </w:t>
      </w:r>
      <w:r>
        <w:rPr/>
        <w:t>at</w:t>
      </w:r>
      <w:r>
        <w:rPr>
          <w:spacing w:val="-15"/>
        </w:rPr>
        <w:t> </w:t>
      </w:r>
      <w:r>
        <w:rPr/>
        <w:t>kunne</w:t>
      </w:r>
      <w:r>
        <w:rPr>
          <w:spacing w:val="-14"/>
        </w:rPr>
        <w:t> </w:t>
      </w:r>
      <w:r>
        <w:rPr/>
        <w:t>foretage</w:t>
      </w:r>
      <w:r>
        <w:rPr>
          <w:spacing w:val="-10"/>
        </w:rPr>
        <w:t> </w:t>
      </w:r>
      <w:r>
        <w:rPr/>
        <w:t>en</w:t>
      </w:r>
      <w:r>
        <w:rPr>
          <w:spacing w:val="-10"/>
        </w:rPr>
        <w:t> </w:t>
      </w:r>
      <w:r>
        <w:rPr/>
        <w:t>endnu</w:t>
      </w:r>
      <w:r>
        <w:rPr>
          <w:spacing w:val="-14"/>
        </w:rPr>
        <w:t> </w:t>
      </w:r>
      <w:r>
        <w:rPr/>
        <w:t>mere</w:t>
      </w:r>
      <w:r>
        <w:rPr>
          <w:spacing w:val="-11"/>
        </w:rPr>
        <w:t> </w:t>
      </w:r>
      <w:r>
        <w:rPr/>
        <w:t>pålidelig</w:t>
      </w:r>
      <w:r>
        <w:rPr>
          <w:spacing w:val="-12"/>
        </w:rPr>
        <w:t> </w:t>
      </w:r>
      <w:r>
        <w:rPr/>
        <w:t>simulering</w:t>
      </w:r>
      <w:r>
        <w:rPr>
          <w:spacing w:val="-14"/>
        </w:rPr>
        <w:t> </w:t>
      </w:r>
      <w:r>
        <w:rPr/>
        <w:t>af</w:t>
      </w:r>
      <w:r>
        <w:rPr>
          <w:spacing w:val="-10"/>
        </w:rPr>
        <w:t> </w:t>
      </w:r>
      <w:r>
        <w:rPr/>
        <w:t>vandstanden</w:t>
      </w:r>
      <w:r>
        <w:rPr>
          <w:spacing w:val="-14"/>
        </w:rPr>
        <w:t> </w:t>
      </w:r>
      <w:r>
        <w:rPr/>
        <w:t>for</w:t>
      </w:r>
      <w:r>
        <w:rPr>
          <w:spacing w:val="-13"/>
        </w:rPr>
        <w:t> </w:t>
      </w:r>
      <w:r>
        <w:rPr/>
        <w:t>en</w:t>
      </w:r>
      <w:r>
        <w:rPr>
          <w:spacing w:val="-11"/>
        </w:rPr>
        <w:t> </w:t>
      </w:r>
      <w:r>
        <w:rPr/>
        <w:t>hændelse og dermed udbredelse af vand på</w:t>
      </w:r>
      <w:r>
        <w:rPr>
          <w:spacing w:val="-8"/>
        </w:rPr>
        <w:t> </w:t>
      </w:r>
      <w:r>
        <w:rPr/>
        <w:t>terræn.</w:t>
      </w:r>
    </w:p>
    <w:p>
      <w:pPr>
        <w:pStyle w:val="BodyText"/>
        <w:spacing w:before="3"/>
        <w:rPr>
          <w:sz w:val="25"/>
        </w:rPr>
      </w:pPr>
    </w:p>
    <w:p>
      <w:pPr>
        <w:pStyle w:val="BodyText"/>
        <w:spacing w:line="288" w:lineRule="auto"/>
        <w:ind w:left="525" w:right="732"/>
        <w:jc w:val="both"/>
      </w:pPr>
      <w:r>
        <w:rPr/>
        <w:t>En bedre rumlig og tidslig kalibrering af Manningtallet vil kræve et langt bedre datagrundlag i</w:t>
      </w:r>
      <w:r>
        <w:rPr>
          <w:spacing w:val="-5"/>
        </w:rPr>
        <w:t> </w:t>
      </w:r>
      <w:r>
        <w:rPr/>
        <w:t>form</w:t>
      </w:r>
      <w:r>
        <w:rPr>
          <w:spacing w:val="-3"/>
        </w:rPr>
        <w:t> </w:t>
      </w:r>
      <w:r>
        <w:rPr/>
        <w:t>af</w:t>
      </w:r>
      <w:r>
        <w:rPr>
          <w:spacing w:val="-4"/>
        </w:rPr>
        <w:t> </w:t>
      </w:r>
      <w:r>
        <w:rPr/>
        <w:t>observerede</w:t>
      </w:r>
      <w:r>
        <w:rPr>
          <w:spacing w:val="-6"/>
        </w:rPr>
        <w:t> </w:t>
      </w:r>
      <w:r>
        <w:rPr/>
        <w:t>vandstande,</w:t>
      </w:r>
      <w:r>
        <w:rPr>
          <w:spacing w:val="-6"/>
        </w:rPr>
        <w:t> </w:t>
      </w:r>
      <w:r>
        <w:rPr/>
        <w:t>tværprofiler</w:t>
      </w:r>
      <w:r>
        <w:rPr>
          <w:spacing w:val="-5"/>
        </w:rPr>
        <w:t> </w:t>
      </w:r>
      <w:r>
        <w:rPr/>
        <w:t>og</w:t>
      </w:r>
      <w:r>
        <w:rPr>
          <w:spacing w:val="-5"/>
        </w:rPr>
        <w:t> </w:t>
      </w:r>
      <w:r>
        <w:rPr/>
        <w:t>bygværker</w:t>
      </w:r>
      <w:r>
        <w:rPr>
          <w:spacing w:val="-5"/>
        </w:rPr>
        <w:t> </w:t>
      </w:r>
      <w:r>
        <w:rPr/>
        <w:t>ned</w:t>
      </w:r>
      <w:r>
        <w:rPr>
          <w:spacing w:val="-7"/>
        </w:rPr>
        <w:t> </w:t>
      </w:r>
      <w:r>
        <w:rPr/>
        <w:t>gennem</w:t>
      </w:r>
      <w:r>
        <w:rPr>
          <w:spacing w:val="-3"/>
        </w:rPr>
        <w:t> </w:t>
      </w:r>
      <w:r>
        <w:rPr/>
        <w:t>vandløbet</w:t>
      </w:r>
      <w:r>
        <w:rPr>
          <w:spacing w:val="-4"/>
        </w:rPr>
        <w:t> </w:t>
      </w:r>
      <w:r>
        <w:rPr/>
        <w:t>og</w:t>
      </w:r>
      <w:r>
        <w:rPr>
          <w:spacing w:val="-7"/>
        </w:rPr>
        <w:t> </w:t>
      </w:r>
      <w:r>
        <w:rPr/>
        <w:t>kan bedst håndteres i lokale detailmodeller, koblet til DK-model, som kan give</w:t>
      </w:r>
      <w:r>
        <w:rPr>
          <w:spacing w:val="-23"/>
        </w:rPr>
        <w:t> </w:t>
      </w:r>
      <w:r>
        <w:rPr/>
        <w:t>vandføringsinput.</w:t>
      </w:r>
    </w:p>
    <w:p>
      <w:pPr>
        <w:spacing w:after="0" w:line="288" w:lineRule="auto"/>
        <w:jc w:val="both"/>
        <w:sectPr>
          <w:pgSz w:w="11910" w:h="16850"/>
          <w:pgMar w:header="0" w:footer="857" w:top="1340" w:bottom="1120" w:left="1460" w:right="680"/>
        </w:sectPr>
      </w:pPr>
    </w:p>
    <w:p>
      <w:pPr>
        <w:pStyle w:val="Heading2"/>
        <w:numPr>
          <w:ilvl w:val="1"/>
          <w:numId w:val="15"/>
        </w:numPr>
        <w:tabs>
          <w:tab w:pos="1141" w:val="left" w:leader="none"/>
          <w:tab w:pos="1142" w:val="left" w:leader="none"/>
        </w:tabs>
        <w:spacing w:line="240" w:lineRule="auto" w:before="74" w:after="0"/>
        <w:ind w:left="1142" w:right="0" w:hanging="617"/>
        <w:jc w:val="left"/>
      </w:pPr>
      <w:bookmarkStart w:name="_bookmark113" w:id="143"/>
      <w:bookmarkEnd w:id="143"/>
      <w:r>
        <w:rPr>
          <w:b w:val="0"/>
        </w:rPr>
      </w:r>
      <w:bookmarkStart w:name="_bookmark113" w:id="144"/>
      <w:bookmarkEnd w:id="144"/>
      <w:r>
        <w:rPr/>
        <w:t>D</w:t>
      </w:r>
      <w:r>
        <w:rPr/>
        <w:t>ybde til terrænnært grundvand, Odense</w:t>
      </w:r>
      <w:r>
        <w:rPr>
          <w:spacing w:val="-2"/>
        </w:rPr>
        <w:t> </w:t>
      </w:r>
      <w:r>
        <w:rPr/>
        <w:t>Å</w:t>
      </w:r>
    </w:p>
    <w:p>
      <w:pPr>
        <w:pStyle w:val="BodyText"/>
        <w:spacing w:before="241"/>
        <w:ind w:left="525"/>
      </w:pPr>
      <w:r>
        <w:rPr/>
        <w:t>Der er udvalgt 5 udsnit for Odense Å: 1. Stavis Å, 2. Odense Å, nedre del, 3. Lindved Å midt,</w:t>
      </w:r>
    </w:p>
    <w:p>
      <w:pPr>
        <w:pStyle w:val="BodyText"/>
        <w:spacing w:before="49"/>
        <w:ind w:left="525"/>
      </w:pPr>
      <w:r>
        <w:rPr/>
        <w:t>4. Odense Å midt ved Kraholm, 5. Odense Å opstrøms ved Nr. Broby, se </w:t>
      </w:r>
      <w:hyperlink w:history="true" w:anchor="_bookmark114">
        <w:r>
          <w:rPr/>
          <w:t>figur 78</w:t>
        </w:r>
      </w:hyperlink>
      <w:r>
        <w:rPr/>
        <w:t>.</w:t>
      </w:r>
    </w:p>
    <w:p>
      <w:pPr>
        <w:pStyle w:val="BodyText"/>
        <w:rPr>
          <w:sz w:val="10"/>
        </w:rPr>
      </w:pPr>
      <w:r>
        <w:rPr/>
        <w:drawing>
          <wp:anchor distT="0" distB="0" distL="0" distR="0" allowOverlap="1" layoutInCell="1" locked="0" behindDoc="0" simplePos="0" relativeHeight="63">
            <wp:simplePos x="0" y="0"/>
            <wp:positionH relativeFrom="page">
              <wp:posOffset>1326872</wp:posOffset>
            </wp:positionH>
            <wp:positionV relativeFrom="paragraph">
              <wp:posOffset>98171</wp:posOffset>
            </wp:positionV>
            <wp:extent cx="4686322" cy="3285744"/>
            <wp:effectExtent l="0" t="0" r="0" b="0"/>
            <wp:wrapTopAndBottom/>
            <wp:docPr id="163" name="image97.jpeg" descr=""/>
            <wp:cNvGraphicFramePr>
              <a:graphicFrameLocks noChangeAspect="1"/>
            </wp:cNvGraphicFramePr>
            <a:graphic>
              <a:graphicData uri="http://schemas.openxmlformats.org/drawingml/2006/picture">
                <pic:pic>
                  <pic:nvPicPr>
                    <pic:cNvPr id="164" name="image97.jpeg"/>
                    <pic:cNvPicPr/>
                  </pic:nvPicPr>
                  <pic:blipFill>
                    <a:blip r:embed="rId104" cstate="print"/>
                    <a:stretch>
                      <a:fillRect/>
                    </a:stretch>
                  </pic:blipFill>
                  <pic:spPr>
                    <a:xfrm>
                      <a:off x="0" y="0"/>
                      <a:ext cx="4686322" cy="3285744"/>
                    </a:xfrm>
                    <a:prstGeom prst="rect">
                      <a:avLst/>
                    </a:prstGeom>
                  </pic:spPr>
                </pic:pic>
              </a:graphicData>
            </a:graphic>
          </wp:anchor>
        </w:drawing>
      </w:r>
    </w:p>
    <w:p>
      <w:pPr>
        <w:spacing w:before="30"/>
        <w:ind w:left="525" w:right="0" w:firstLine="0"/>
        <w:jc w:val="left"/>
        <w:rPr>
          <w:rFonts w:ascii="Calibri" w:hAnsi="Calibri"/>
          <w:i/>
          <w:sz w:val="18"/>
        </w:rPr>
      </w:pPr>
      <w:bookmarkStart w:name="_bookmark114" w:id="145"/>
      <w:bookmarkEnd w:id="145"/>
      <w:r>
        <w:rPr/>
      </w:r>
      <w:r>
        <w:rPr>
          <w:rFonts w:ascii="Calibri" w:hAnsi="Calibri"/>
          <w:i/>
          <w:color w:val="44536A"/>
          <w:sz w:val="18"/>
        </w:rPr>
        <w:t>Figur 78 Fem udvalgte udsnit til vurdering af dybde til grundvandsspejl og vand på terræn for Odense Å</w:t>
      </w:r>
    </w:p>
    <w:p>
      <w:pPr>
        <w:pStyle w:val="BodyText"/>
        <w:rPr>
          <w:rFonts w:ascii="Calibri"/>
          <w:i/>
          <w:sz w:val="18"/>
        </w:rPr>
      </w:pPr>
    </w:p>
    <w:p>
      <w:pPr>
        <w:pStyle w:val="BodyText"/>
        <w:spacing w:before="11"/>
        <w:rPr>
          <w:rFonts w:ascii="Calibri"/>
          <w:i/>
        </w:rPr>
      </w:pPr>
    </w:p>
    <w:p>
      <w:pPr>
        <w:pStyle w:val="Heading5"/>
        <w:rPr>
          <w:i/>
        </w:rPr>
      </w:pPr>
      <w:r>
        <w:rPr>
          <w:i/>
        </w:rPr>
        <w:t>Min, max og middel dybde for 20 årig periode</w:t>
      </w:r>
    </w:p>
    <w:p>
      <w:pPr>
        <w:pStyle w:val="BodyText"/>
        <w:spacing w:line="285" w:lineRule="auto" w:before="49"/>
        <w:ind w:left="525" w:right="656"/>
      </w:pPr>
      <w:r>
        <w:rPr/>
        <w:drawing>
          <wp:anchor distT="0" distB="0" distL="0" distR="0" allowOverlap="1" layoutInCell="1" locked="0" behindDoc="0" simplePos="0" relativeHeight="64">
            <wp:simplePos x="0" y="0"/>
            <wp:positionH relativeFrom="page">
              <wp:posOffset>1325232</wp:posOffset>
            </wp:positionH>
            <wp:positionV relativeFrom="paragraph">
              <wp:posOffset>464378</wp:posOffset>
            </wp:positionV>
            <wp:extent cx="4702338" cy="3276600"/>
            <wp:effectExtent l="0" t="0" r="0" b="0"/>
            <wp:wrapTopAndBottom/>
            <wp:docPr id="165" name="image98.jpeg" descr=""/>
            <wp:cNvGraphicFramePr>
              <a:graphicFrameLocks noChangeAspect="1"/>
            </wp:cNvGraphicFramePr>
            <a:graphic>
              <a:graphicData uri="http://schemas.openxmlformats.org/drawingml/2006/picture">
                <pic:pic>
                  <pic:nvPicPr>
                    <pic:cNvPr id="166" name="image98.jpeg"/>
                    <pic:cNvPicPr/>
                  </pic:nvPicPr>
                  <pic:blipFill>
                    <a:blip r:embed="rId105" cstate="print"/>
                    <a:stretch>
                      <a:fillRect/>
                    </a:stretch>
                  </pic:blipFill>
                  <pic:spPr>
                    <a:xfrm>
                      <a:off x="0" y="0"/>
                      <a:ext cx="4702338" cy="3276600"/>
                    </a:xfrm>
                    <a:prstGeom prst="rect">
                      <a:avLst/>
                    </a:prstGeom>
                  </pic:spPr>
                </pic:pic>
              </a:graphicData>
            </a:graphic>
          </wp:anchor>
        </w:drawing>
      </w:r>
      <w:r>
        <w:rPr/>
        <w:t>På</w:t>
      </w:r>
      <w:r>
        <w:rPr>
          <w:spacing w:val="-16"/>
        </w:rPr>
        <w:t> </w:t>
      </w:r>
      <w:hyperlink w:history="true" w:anchor="_bookmark115">
        <w:r>
          <w:rPr/>
          <w:t>figur</w:t>
        </w:r>
        <w:r>
          <w:rPr>
            <w:spacing w:val="-13"/>
          </w:rPr>
          <w:t> </w:t>
        </w:r>
        <w:r>
          <w:rPr/>
          <w:t>79</w:t>
        </w:r>
        <w:r>
          <w:rPr>
            <w:spacing w:val="-14"/>
          </w:rPr>
          <w:t> </w:t>
        </w:r>
      </w:hyperlink>
      <w:r>
        <w:rPr/>
        <w:t>-</w:t>
      </w:r>
      <w:r>
        <w:rPr>
          <w:spacing w:val="-16"/>
        </w:rPr>
        <w:t> </w:t>
      </w:r>
      <w:r>
        <w:rPr/>
        <w:t>81</w:t>
      </w:r>
      <w:r>
        <w:rPr>
          <w:spacing w:val="-14"/>
        </w:rPr>
        <w:t> </w:t>
      </w:r>
      <w:r>
        <w:rPr/>
        <w:t>er</w:t>
      </w:r>
      <w:r>
        <w:rPr>
          <w:spacing w:val="-14"/>
        </w:rPr>
        <w:t> </w:t>
      </w:r>
      <w:r>
        <w:rPr/>
        <w:t>vist</w:t>
      </w:r>
      <w:r>
        <w:rPr>
          <w:spacing w:val="-18"/>
        </w:rPr>
        <w:t> </w:t>
      </w:r>
      <w:r>
        <w:rPr/>
        <w:t>modelsimuleret</w:t>
      </w:r>
      <w:r>
        <w:rPr>
          <w:spacing w:val="-15"/>
        </w:rPr>
        <w:t> </w:t>
      </w:r>
      <w:r>
        <w:rPr/>
        <w:t>dybde</w:t>
      </w:r>
      <w:r>
        <w:rPr>
          <w:spacing w:val="-14"/>
        </w:rPr>
        <w:t> </w:t>
      </w:r>
      <w:r>
        <w:rPr/>
        <w:t>til</w:t>
      </w:r>
      <w:r>
        <w:rPr>
          <w:spacing w:val="-15"/>
        </w:rPr>
        <w:t> </w:t>
      </w:r>
      <w:r>
        <w:rPr/>
        <w:t>grundvandsspejl</w:t>
      </w:r>
      <w:r>
        <w:rPr>
          <w:spacing w:val="-13"/>
        </w:rPr>
        <w:t> </w:t>
      </w:r>
      <w:r>
        <w:rPr/>
        <w:t>for</w:t>
      </w:r>
      <w:r>
        <w:rPr>
          <w:spacing w:val="-14"/>
        </w:rPr>
        <w:t> </w:t>
      </w:r>
      <w:r>
        <w:rPr/>
        <w:t>en</w:t>
      </w:r>
      <w:r>
        <w:rPr>
          <w:spacing w:val="-14"/>
        </w:rPr>
        <w:t> </w:t>
      </w:r>
      <w:r>
        <w:rPr/>
        <w:t>20-årig</w:t>
      </w:r>
      <w:r>
        <w:rPr>
          <w:spacing w:val="-13"/>
        </w:rPr>
        <w:t> </w:t>
      </w:r>
      <w:r>
        <w:rPr/>
        <w:t>periode</w:t>
      </w:r>
      <w:r>
        <w:rPr>
          <w:spacing w:val="-14"/>
        </w:rPr>
        <w:t> </w:t>
      </w:r>
      <w:r>
        <w:rPr/>
        <w:t>(1996- 2015) for hhv. middel, max og min afstand til terrænnært</w:t>
      </w:r>
      <w:r>
        <w:rPr>
          <w:spacing w:val="-16"/>
        </w:rPr>
        <w:t> </w:t>
      </w:r>
      <w:r>
        <w:rPr/>
        <w:t>grundvand.</w:t>
      </w:r>
    </w:p>
    <w:p>
      <w:pPr>
        <w:spacing w:before="49"/>
        <w:ind w:left="525" w:right="0" w:firstLine="0"/>
        <w:jc w:val="left"/>
        <w:rPr>
          <w:rFonts w:ascii="Calibri" w:hAnsi="Calibri"/>
          <w:i/>
          <w:sz w:val="18"/>
        </w:rPr>
      </w:pPr>
      <w:bookmarkStart w:name="_bookmark115" w:id="146"/>
      <w:bookmarkEnd w:id="146"/>
      <w:r>
        <w:rPr/>
      </w:r>
      <w:r>
        <w:rPr>
          <w:rFonts w:ascii="Calibri" w:hAnsi="Calibri"/>
          <w:i/>
          <w:color w:val="44536A"/>
          <w:sz w:val="18"/>
        </w:rPr>
        <w:t>Figur 79 Middel afstand til grundvandsspejl for en 20 årig periode (1996-2015)</w:t>
      </w:r>
    </w:p>
    <w:p>
      <w:pPr>
        <w:spacing w:after="0"/>
        <w:jc w:val="left"/>
        <w:rPr>
          <w:rFonts w:ascii="Calibri" w:hAnsi="Calibri"/>
          <w:sz w:val="18"/>
        </w:rPr>
        <w:sectPr>
          <w:footerReference w:type="default" r:id="rId103"/>
          <w:pgSz w:w="11910" w:h="16850"/>
          <w:pgMar w:footer="937" w:header="0" w:top="1340" w:bottom="1120" w:left="1460" w:right="680"/>
        </w:sectPr>
      </w:pPr>
    </w:p>
    <w:p>
      <w:pPr>
        <w:pStyle w:val="BodyText"/>
        <w:spacing w:line="288" w:lineRule="auto" w:before="75"/>
        <w:ind w:left="525" w:right="730"/>
        <w:jc w:val="both"/>
      </w:pPr>
      <w:r>
        <w:rPr/>
        <w:drawing>
          <wp:anchor distT="0" distB="0" distL="0" distR="0" allowOverlap="1" layoutInCell="1" locked="0" behindDoc="0" simplePos="0" relativeHeight="65">
            <wp:simplePos x="0" y="0"/>
            <wp:positionH relativeFrom="page">
              <wp:posOffset>1330645</wp:posOffset>
            </wp:positionH>
            <wp:positionV relativeFrom="paragraph">
              <wp:posOffset>671221</wp:posOffset>
            </wp:positionV>
            <wp:extent cx="4909118" cy="3435096"/>
            <wp:effectExtent l="0" t="0" r="0" b="0"/>
            <wp:wrapTopAndBottom/>
            <wp:docPr id="167" name="image99.jpeg" descr=""/>
            <wp:cNvGraphicFramePr>
              <a:graphicFrameLocks noChangeAspect="1"/>
            </wp:cNvGraphicFramePr>
            <a:graphic>
              <a:graphicData uri="http://schemas.openxmlformats.org/drawingml/2006/picture">
                <pic:pic>
                  <pic:nvPicPr>
                    <pic:cNvPr id="168" name="image99.jpeg"/>
                    <pic:cNvPicPr/>
                  </pic:nvPicPr>
                  <pic:blipFill>
                    <a:blip r:embed="rId107" cstate="print"/>
                    <a:stretch>
                      <a:fillRect/>
                    </a:stretch>
                  </pic:blipFill>
                  <pic:spPr>
                    <a:xfrm>
                      <a:off x="0" y="0"/>
                      <a:ext cx="4909118" cy="3435096"/>
                    </a:xfrm>
                    <a:prstGeom prst="rect">
                      <a:avLst/>
                    </a:prstGeom>
                  </pic:spPr>
                </pic:pic>
              </a:graphicData>
            </a:graphic>
          </wp:anchor>
        </w:drawing>
      </w:r>
      <w:r>
        <w:rPr/>
        <w:t>I</w:t>
      </w:r>
      <w:r>
        <w:rPr>
          <w:spacing w:val="-5"/>
        </w:rPr>
        <w:t> </w:t>
      </w:r>
      <w:hyperlink w:history="true" w:anchor="_bookmark116">
        <w:r>
          <w:rPr/>
          <w:t>figur</w:t>
        </w:r>
        <w:r>
          <w:rPr>
            <w:spacing w:val="-4"/>
          </w:rPr>
          <w:t> </w:t>
        </w:r>
        <w:r>
          <w:rPr/>
          <w:t>80</w:t>
        </w:r>
        <w:r>
          <w:rPr>
            <w:spacing w:val="-3"/>
          </w:rPr>
          <w:t> </w:t>
        </w:r>
      </w:hyperlink>
      <w:r>
        <w:rPr/>
        <w:t>er</w:t>
      </w:r>
      <w:r>
        <w:rPr>
          <w:spacing w:val="-4"/>
        </w:rPr>
        <w:t> </w:t>
      </w:r>
      <w:r>
        <w:rPr/>
        <w:t>vist</w:t>
      </w:r>
      <w:r>
        <w:rPr>
          <w:spacing w:val="-5"/>
        </w:rPr>
        <w:t> </w:t>
      </w:r>
      <w:r>
        <w:rPr/>
        <w:t>minimum</w:t>
      </w:r>
      <w:r>
        <w:rPr>
          <w:spacing w:val="-3"/>
        </w:rPr>
        <w:t> </w:t>
      </w:r>
      <w:r>
        <w:rPr/>
        <w:t>afstand</w:t>
      </w:r>
      <w:r>
        <w:rPr>
          <w:spacing w:val="-2"/>
        </w:rPr>
        <w:t> </w:t>
      </w:r>
      <w:r>
        <w:rPr/>
        <w:t>til</w:t>
      </w:r>
      <w:r>
        <w:rPr>
          <w:spacing w:val="-3"/>
        </w:rPr>
        <w:t> </w:t>
      </w:r>
      <w:r>
        <w:rPr/>
        <w:t>grundvandsspejl</w:t>
      </w:r>
      <w:r>
        <w:rPr>
          <w:spacing w:val="-3"/>
        </w:rPr>
        <w:t> </w:t>
      </w:r>
      <w:r>
        <w:rPr/>
        <w:t>1996-2015,</w:t>
      </w:r>
      <w:r>
        <w:rPr>
          <w:spacing w:val="-5"/>
        </w:rPr>
        <w:t> </w:t>
      </w:r>
      <w:r>
        <w:rPr/>
        <w:t>dvs.</w:t>
      </w:r>
      <w:r>
        <w:rPr>
          <w:spacing w:val="-5"/>
        </w:rPr>
        <w:t> </w:t>
      </w:r>
      <w:r>
        <w:rPr/>
        <w:t>den</w:t>
      </w:r>
      <w:r>
        <w:rPr>
          <w:spacing w:val="-3"/>
        </w:rPr>
        <w:t> </w:t>
      </w:r>
      <w:r>
        <w:rPr/>
        <w:t>højeste</w:t>
      </w:r>
      <w:r>
        <w:rPr>
          <w:spacing w:val="-4"/>
        </w:rPr>
        <w:t> </w:t>
      </w:r>
      <w:r>
        <w:rPr/>
        <w:t>beliggen- hed svarende til januar 2007, og i </w:t>
      </w:r>
      <w:hyperlink w:history="true" w:anchor="_bookmark117">
        <w:r>
          <w:rPr/>
          <w:t>figur 81</w:t>
        </w:r>
      </w:hyperlink>
      <w:r>
        <w:rPr/>
        <w:t>vises max afstand, dvs. laveste niveau jf. august 1996.</w:t>
      </w:r>
    </w:p>
    <w:p>
      <w:pPr>
        <w:spacing w:before="112"/>
        <w:ind w:left="525" w:right="0" w:firstLine="0"/>
        <w:jc w:val="left"/>
        <w:rPr>
          <w:rFonts w:ascii="Calibri" w:hAnsi="Calibri"/>
          <w:i/>
          <w:sz w:val="18"/>
        </w:rPr>
      </w:pPr>
      <w:bookmarkStart w:name="_bookmark116" w:id="147"/>
      <w:bookmarkEnd w:id="147"/>
      <w:r>
        <w:rPr/>
      </w:r>
      <w:r>
        <w:rPr>
          <w:rFonts w:ascii="Calibri" w:hAnsi="Calibri"/>
          <w:i/>
          <w:color w:val="44536A"/>
          <w:sz w:val="18"/>
        </w:rPr>
        <w:t>Figur 80 Minimum afstand til grundvandsspejl for 20-årig periode (1996 – 2015), dvs. højt grundvandsspejl jf. 2007.</w:t>
      </w:r>
    </w:p>
    <w:p>
      <w:pPr>
        <w:pStyle w:val="BodyText"/>
        <w:rPr>
          <w:rFonts w:ascii="Calibri"/>
          <w:i/>
          <w:sz w:val="20"/>
        </w:rPr>
      </w:pPr>
    </w:p>
    <w:p>
      <w:pPr>
        <w:pStyle w:val="BodyText"/>
        <w:spacing w:before="7"/>
        <w:rPr>
          <w:rFonts w:ascii="Calibri"/>
          <w:i/>
          <w:sz w:val="25"/>
        </w:rPr>
      </w:pPr>
      <w:r>
        <w:rPr/>
        <w:drawing>
          <wp:anchor distT="0" distB="0" distL="0" distR="0" allowOverlap="1" layoutInCell="1" locked="0" behindDoc="0" simplePos="0" relativeHeight="66">
            <wp:simplePos x="0" y="0"/>
            <wp:positionH relativeFrom="page">
              <wp:posOffset>1329805</wp:posOffset>
            </wp:positionH>
            <wp:positionV relativeFrom="paragraph">
              <wp:posOffset>223587</wp:posOffset>
            </wp:positionV>
            <wp:extent cx="4974943" cy="3505200"/>
            <wp:effectExtent l="0" t="0" r="0" b="0"/>
            <wp:wrapTopAndBottom/>
            <wp:docPr id="169" name="image100.jpeg" descr=""/>
            <wp:cNvGraphicFramePr>
              <a:graphicFrameLocks noChangeAspect="1"/>
            </wp:cNvGraphicFramePr>
            <a:graphic>
              <a:graphicData uri="http://schemas.openxmlformats.org/drawingml/2006/picture">
                <pic:pic>
                  <pic:nvPicPr>
                    <pic:cNvPr id="170" name="image100.jpeg"/>
                    <pic:cNvPicPr/>
                  </pic:nvPicPr>
                  <pic:blipFill>
                    <a:blip r:embed="rId108" cstate="print"/>
                    <a:stretch>
                      <a:fillRect/>
                    </a:stretch>
                  </pic:blipFill>
                  <pic:spPr>
                    <a:xfrm>
                      <a:off x="0" y="0"/>
                      <a:ext cx="4974943" cy="3505200"/>
                    </a:xfrm>
                    <a:prstGeom prst="rect">
                      <a:avLst/>
                    </a:prstGeom>
                  </pic:spPr>
                </pic:pic>
              </a:graphicData>
            </a:graphic>
          </wp:anchor>
        </w:drawing>
      </w:r>
    </w:p>
    <w:p>
      <w:pPr>
        <w:spacing w:before="157"/>
        <w:ind w:left="525" w:right="1071" w:firstLine="0"/>
        <w:jc w:val="left"/>
        <w:rPr>
          <w:rFonts w:ascii="Calibri" w:hAnsi="Calibri"/>
          <w:i/>
          <w:sz w:val="18"/>
        </w:rPr>
      </w:pPr>
      <w:bookmarkStart w:name="_bookmark117" w:id="148"/>
      <w:bookmarkEnd w:id="148"/>
      <w:r>
        <w:rPr/>
      </w:r>
      <w:r>
        <w:rPr>
          <w:rFonts w:ascii="Calibri" w:hAnsi="Calibri"/>
          <w:i/>
          <w:color w:val="44536A"/>
          <w:sz w:val="18"/>
        </w:rPr>
        <w:t>Figur 81 Maks afstand til grundvandsspejl for 20-årig periode (1996 – 2015), dvs. lavt grundvandsspejl jf. august </w:t>
      </w:r>
      <w:r>
        <w:rPr>
          <w:rFonts w:ascii="Calibri" w:hAnsi="Calibri"/>
          <w:i/>
          <w:color w:val="44536A"/>
          <w:sz w:val="18"/>
        </w:rPr>
        <w:t>1996.</w:t>
      </w:r>
    </w:p>
    <w:p>
      <w:pPr>
        <w:spacing w:after="0"/>
        <w:jc w:val="left"/>
        <w:rPr>
          <w:rFonts w:ascii="Calibri" w:hAnsi="Calibri"/>
          <w:sz w:val="18"/>
        </w:rPr>
        <w:sectPr>
          <w:footerReference w:type="default" r:id="rId106"/>
          <w:pgSz w:w="11910" w:h="16850"/>
          <w:pgMar w:footer="937" w:header="0" w:top="1340" w:bottom="1120" w:left="1460" w:right="680"/>
          <w:pgNumType w:start="111"/>
        </w:sectPr>
      </w:pPr>
    </w:p>
    <w:p>
      <w:pPr>
        <w:pStyle w:val="Heading5"/>
        <w:spacing w:before="75"/>
        <w:rPr>
          <w:i/>
        </w:rPr>
      </w:pPr>
      <w:r>
        <w:rPr>
          <w:i/>
        </w:rPr>
        <w:t>Overskridelsessandsynlighed for given dybde til grundvandsspejlet</w:t>
      </w:r>
    </w:p>
    <w:p>
      <w:pPr>
        <w:pStyle w:val="BodyText"/>
        <w:spacing w:line="288" w:lineRule="auto" w:before="49"/>
        <w:ind w:left="525" w:right="731"/>
        <w:jc w:val="both"/>
      </w:pPr>
      <w:r>
        <w:rPr/>
        <w:t>Ud fra de simulerede data for 20 år (1996-2015) er det muligt at plotte overskridelsessand- synlighed</w:t>
      </w:r>
      <w:r>
        <w:rPr>
          <w:spacing w:val="-7"/>
        </w:rPr>
        <w:t> </w:t>
      </w:r>
      <w:r>
        <w:rPr/>
        <w:t>for</w:t>
      </w:r>
      <w:r>
        <w:rPr>
          <w:spacing w:val="-7"/>
        </w:rPr>
        <w:t> </w:t>
      </w:r>
      <w:r>
        <w:rPr/>
        <w:t>en</w:t>
      </w:r>
      <w:r>
        <w:rPr>
          <w:spacing w:val="-6"/>
        </w:rPr>
        <w:t> </w:t>
      </w:r>
      <w:r>
        <w:rPr/>
        <w:t>given</w:t>
      </w:r>
      <w:r>
        <w:rPr>
          <w:spacing w:val="-6"/>
        </w:rPr>
        <w:t> </w:t>
      </w:r>
      <w:r>
        <w:rPr/>
        <w:t>dybde</w:t>
      </w:r>
      <w:r>
        <w:rPr>
          <w:spacing w:val="-6"/>
        </w:rPr>
        <w:t> </w:t>
      </w:r>
      <w:r>
        <w:rPr/>
        <w:t>til</w:t>
      </w:r>
      <w:r>
        <w:rPr>
          <w:spacing w:val="-5"/>
        </w:rPr>
        <w:t> </w:t>
      </w:r>
      <w:r>
        <w:rPr/>
        <w:t>grundvandsspejlet,</w:t>
      </w:r>
      <w:r>
        <w:rPr>
          <w:spacing w:val="-5"/>
        </w:rPr>
        <w:t> </w:t>
      </w:r>
      <w:r>
        <w:rPr/>
        <w:t>dvs.</w:t>
      </w:r>
      <w:r>
        <w:rPr>
          <w:spacing w:val="-8"/>
        </w:rPr>
        <w:t> </w:t>
      </w:r>
      <w:r>
        <w:rPr/>
        <w:t>%</w:t>
      </w:r>
      <w:r>
        <w:rPr>
          <w:spacing w:val="-4"/>
        </w:rPr>
        <w:t> </w:t>
      </w:r>
      <w:r>
        <w:rPr/>
        <w:t>sandsynlighed</w:t>
      </w:r>
      <w:r>
        <w:rPr>
          <w:spacing w:val="-6"/>
        </w:rPr>
        <w:t> </w:t>
      </w:r>
      <w:r>
        <w:rPr/>
        <w:t>for</w:t>
      </w:r>
      <w:r>
        <w:rPr>
          <w:spacing w:val="-7"/>
        </w:rPr>
        <w:t> </w:t>
      </w:r>
      <w:r>
        <w:rPr/>
        <w:t>at</w:t>
      </w:r>
      <w:r>
        <w:rPr>
          <w:spacing w:val="-7"/>
        </w:rPr>
        <w:t> </w:t>
      </w:r>
      <w:r>
        <w:rPr/>
        <w:t>grundvandet står mindre end den givne dybde under terræn for året. </w:t>
      </w:r>
      <w:hyperlink w:history="true" w:anchor="_bookmark118">
        <w:r>
          <w:rPr/>
          <w:t>Figur 82 </w:t>
        </w:r>
      </w:hyperlink>
      <w:r>
        <w:rPr/>
        <w:t>– 85 viser overskridelses sandsynlighed (&lt;2m, &lt;1m og &lt;0.5m) for året eller for sommerperioden (juni-august) for pe- rioden</w:t>
      </w:r>
      <w:r>
        <w:rPr>
          <w:spacing w:val="-1"/>
        </w:rPr>
        <w:t> </w:t>
      </w:r>
      <w:r>
        <w:rPr/>
        <w:t>1996-2015.</w:t>
      </w:r>
    </w:p>
    <w:p>
      <w:pPr>
        <w:pStyle w:val="BodyText"/>
        <w:spacing w:before="1"/>
        <w:rPr>
          <w:sz w:val="25"/>
        </w:rPr>
      </w:pPr>
    </w:p>
    <w:p>
      <w:pPr>
        <w:pStyle w:val="BodyText"/>
        <w:spacing w:line="288" w:lineRule="auto"/>
        <w:ind w:left="525" w:right="734"/>
        <w:jc w:val="both"/>
      </w:pPr>
      <w:r>
        <w:rPr/>
        <w:t>I </w:t>
      </w:r>
      <w:hyperlink w:history="true" w:anchor="_bookmark118">
        <w:r>
          <w:rPr/>
          <w:t>figur 82 </w:t>
        </w:r>
      </w:hyperlink>
      <w:r>
        <w:rPr/>
        <w:t>er vist områder med overskridelses-sandsynlighed på dybde til terrænnært grund- vand på mindre end 2 meter under terræn.</w:t>
      </w:r>
    </w:p>
    <w:p>
      <w:pPr>
        <w:pStyle w:val="BodyText"/>
        <w:spacing w:before="2"/>
        <w:rPr>
          <w:sz w:val="25"/>
        </w:rPr>
      </w:pPr>
    </w:p>
    <w:p>
      <w:pPr>
        <w:pStyle w:val="BodyText"/>
        <w:spacing w:line="288" w:lineRule="auto"/>
        <w:ind w:left="525" w:right="731"/>
        <w:jc w:val="both"/>
      </w:pPr>
      <w:hyperlink w:history="true" w:anchor="_bookmark119">
        <w:r>
          <w:rPr/>
          <w:t>Figur 83 </w:t>
        </w:r>
      </w:hyperlink>
      <w:r>
        <w:rPr/>
        <w:t>viser et tilsvarende overskridelses-sandsynligheds temakort blot med et kriterium på</w:t>
      </w:r>
      <w:r>
        <w:rPr>
          <w:spacing w:val="-10"/>
        </w:rPr>
        <w:t> </w:t>
      </w:r>
      <w:r>
        <w:rPr/>
        <w:t>terrænnært</w:t>
      </w:r>
      <w:r>
        <w:rPr>
          <w:spacing w:val="-12"/>
        </w:rPr>
        <w:t> </w:t>
      </w:r>
      <w:r>
        <w:rPr/>
        <w:t>grundvand</w:t>
      </w:r>
      <w:r>
        <w:rPr>
          <w:spacing w:val="-11"/>
        </w:rPr>
        <w:t> </w:t>
      </w:r>
      <w:r>
        <w:rPr/>
        <w:t>&lt;1m</w:t>
      </w:r>
      <w:r>
        <w:rPr>
          <w:spacing w:val="-8"/>
        </w:rPr>
        <w:t> </w:t>
      </w:r>
      <w:r>
        <w:rPr/>
        <w:t>under</w:t>
      </w:r>
      <w:r>
        <w:rPr>
          <w:spacing w:val="-11"/>
        </w:rPr>
        <w:t> </w:t>
      </w:r>
      <w:r>
        <w:rPr/>
        <w:t>terræn.</w:t>
      </w:r>
      <w:r>
        <w:rPr>
          <w:spacing w:val="-12"/>
        </w:rPr>
        <w:t> </w:t>
      </w:r>
      <w:r>
        <w:rPr/>
        <w:t>Udstrækningen</w:t>
      </w:r>
      <w:r>
        <w:rPr>
          <w:spacing w:val="-10"/>
        </w:rPr>
        <w:t> </w:t>
      </w:r>
      <w:r>
        <w:rPr/>
        <w:t>af</w:t>
      </w:r>
      <w:r>
        <w:rPr>
          <w:spacing w:val="-10"/>
        </w:rPr>
        <w:t> </w:t>
      </w:r>
      <w:r>
        <w:rPr/>
        <w:t>områder</w:t>
      </w:r>
      <w:r>
        <w:rPr>
          <w:spacing w:val="-13"/>
        </w:rPr>
        <w:t> </w:t>
      </w:r>
      <w:r>
        <w:rPr/>
        <w:t>med</w:t>
      </w:r>
      <w:r>
        <w:rPr>
          <w:spacing w:val="-13"/>
        </w:rPr>
        <w:t> </w:t>
      </w:r>
      <w:r>
        <w:rPr/>
        <w:t>store</w:t>
      </w:r>
      <w:r>
        <w:rPr>
          <w:spacing w:val="-10"/>
        </w:rPr>
        <w:t> </w:t>
      </w:r>
      <w:r>
        <w:rPr/>
        <w:t>overskri- delsessandsynligheder indskrænkes hermed</w:t>
      </w:r>
      <w:r>
        <w:rPr>
          <w:spacing w:val="-4"/>
        </w:rPr>
        <w:t> </w:t>
      </w:r>
      <w:r>
        <w:rPr/>
        <w:t>noget.</w:t>
      </w:r>
    </w:p>
    <w:p>
      <w:pPr>
        <w:pStyle w:val="BodyText"/>
        <w:rPr>
          <w:sz w:val="24"/>
        </w:rPr>
      </w:pPr>
    </w:p>
    <w:p>
      <w:pPr>
        <w:pStyle w:val="BodyText"/>
        <w:spacing w:before="8"/>
        <w:rPr>
          <w:sz w:val="26"/>
        </w:rPr>
      </w:pPr>
    </w:p>
    <w:p>
      <w:pPr>
        <w:pStyle w:val="BodyText"/>
        <w:spacing w:line="283" w:lineRule="auto"/>
        <w:ind w:left="525" w:right="733"/>
        <w:jc w:val="both"/>
      </w:pPr>
      <w:hyperlink w:history="true" w:anchor="_bookmark120">
        <w:r>
          <w:rPr/>
          <w:t>Figur </w:t>
        </w:r>
        <w:r>
          <w:rPr>
            <w:rFonts w:ascii="Calibri" w:hAnsi="Calibri"/>
            <w:i/>
            <w:color w:val="44536A"/>
            <w:sz w:val="18"/>
          </w:rPr>
          <w:t>84</w:t>
        </w:r>
      </w:hyperlink>
      <w:r>
        <w:rPr>
          <w:rFonts w:ascii="Calibri" w:hAnsi="Calibri"/>
          <w:i/>
          <w:color w:val="44536A"/>
          <w:sz w:val="18"/>
        </w:rPr>
        <w:t> </w:t>
      </w:r>
      <w:r>
        <w:rPr/>
        <w:t>viser sammen tema som i </w:t>
      </w:r>
      <w:hyperlink w:history="true" w:anchor="_bookmark119">
        <w:r>
          <w:rPr/>
          <w:t>figur 83 </w:t>
        </w:r>
      </w:hyperlink>
      <w:r>
        <w:rPr/>
        <w:t>for sommerperioden (jun-august). I sommerperi- oden indskrænkes områder med stor sandsynlighed for dybde mindre end 1 m yderligere.</w:t>
      </w:r>
    </w:p>
    <w:p>
      <w:pPr>
        <w:pStyle w:val="BodyText"/>
        <w:spacing w:before="10"/>
        <w:rPr>
          <w:sz w:val="25"/>
        </w:rPr>
      </w:pPr>
    </w:p>
    <w:p>
      <w:pPr>
        <w:pStyle w:val="BodyText"/>
        <w:spacing w:line="288" w:lineRule="auto"/>
        <w:ind w:left="525" w:right="735"/>
        <w:jc w:val="both"/>
      </w:pPr>
      <w:r>
        <w:rPr/>
        <w:t>I </w:t>
      </w:r>
      <w:hyperlink w:history="true" w:anchor="_bookmark121">
        <w:r>
          <w:rPr/>
          <w:t>figur 85 </w:t>
        </w:r>
      </w:hyperlink>
      <w:r>
        <w:rPr/>
        <w:t>er vist overskridelses-sandsynlighed for terrænnært grundvand mindre end 0.5 m under</w:t>
      </w:r>
      <w:r>
        <w:rPr>
          <w:spacing w:val="-8"/>
        </w:rPr>
        <w:t> </w:t>
      </w:r>
      <w:r>
        <w:rPr/>
        <w:t>terræn.</w:t>
      </w:r>
      <w:r>
        <w:rPr>
          <w:spacing w:val="-9"/>
        </w:rPr>
        <w:t> </w:t>
      </w:r>
      <w:r>
        <w:rPr/>
        <w:t>Der</w:t>
      </w:r>
      <w:r>
        <w:rPr>
          <w:spacing w:val="-8"/>
        </w:rPr>
        <w:t> </w:t>
      </w:r>
      <w:r>
        <w:rPr/>
        <w:t>er</w:t>
      </w:r>
      <w:r>
        <w:rPr>
          <w:spacing w:val="-10"/>
        </w:rPr>
        <w:t> </w:t>
      </w:r>
      <w:r>
        <w:rPr/>
        <w:t>kun</w:t>
      </w:r>
      <w:r>
        <w:rPr>
          <w:spacing w:val="-7"/>
        </w:rPr>
        <w:t> </w:t>
      </w:r>
      <w:r>
        <w:rPr/>
        <w:t>ganske</w:t>
      </w:r>
      <w:r>
        <w:rPr>
          <w:spacing w:val="-10"/>
        </w:rPr>
        <w:t> </w:t>
      </w:r>
      <w:r>
        <w:rPr/>
        <w:t>få</w:t>
      </w:r>
      <w:r>
        <w:rPr>
          <w:spacing w:val="-7"/>
        </w:rPr>
        <w:t> </w:t>
      </w:r>
      <w:r>
        <w:rPr/>
        <w:t>grids</w:t>
      </w:r>
      <w:r>
        <w:rPr>
          <w:spacing w:val="-7"/>
        </w:rPr>
        <w:t> </w:t>
      </w:r>
      <w:r>
        <w:rPr/>
        <w:t>hvor</w:t>
      </w:r>
      <w:r>
        <w:rPr>
          <w:spacing w:val="-8"/>
        </w:rPr>
        <w:t> </w:t>
      </w:r>
      <w:r>
        <w:rPr/>
        <w:t>dette</w:t>
      </w:r>
      <w:r>
        <w:rPr>
          <w:spacing w:val="-7"/>
        </w:rPr>
        <w:t> </w:t>
      </w:r>
      <w:r>
        <w:rPr/>
        <w:t>er</w:t>
      </w:r>
      <w:r>
        <w:rPr>
          <w:spacing w:val="-8"/>
        </w:rPr>
        <w:t> </w:t>
      </w:r>
      <w:r>
        <w:rPr/>
        <w:t>tilfældet</w:t>
      </w:r>
      <w:r>
        <w:rPr>
          <w:spacing w:val="-8"/>
        </w:rPr>
        <w:t> </w:t>
      </w:r>
      <w:r>
        <w:rPr/>
        <w:t>jf.</w:t>
      </w:r>
      <w:r>
        <w:rPr>
          <w:spacing w:val="-7"/>
        </w:rPr>
        <w:t> </w:t>
      </w:r>
      <w:r>
        <w:rPr/>
        <w:t>at</w:t>
      </w:r>
      <w:r>
        <w:rPr>
          <w:spacing w:val="-8"/>
        </w:rPr>
        <w:t> </w:t>
      </w:r>
      <w:r>
        <w:rPr/>
        <w:t>drænene</w:t>
      </w:r>
      <w:r>
        <w:rPr>
          <w:spacing w:val="-7"/>
        </w:rPr>
        <w:t> </w:t>
      </w:r>
      <w:r>
        <w:rPr/>
        <w:t>i</w:t>
      </w:r>
      <w:r>
        <w:rPr>
          <w:spacing w:val="-9"/>
        </w:rPr>
        <w:t> </w:t>
      </w:r>
      <w:r>
        <w:rPr/>
        <w:t>100</w:t>
      </w:r>
      <w:r>
        <w:rPr>
          <w:spacing w:val="-9"/>
        </w:rPr>
        <w:t> </w:t>
      </w:r>
      <w:r>
        <w:rPr/>
        <w:t>m</w:t>
      </w:r>
      <w:r>
        <w:rPr>
          <w:spacing w:val="-6"/>
        </w:rPr>
        <w:t> </w:t>
      </w:r>
      <w:r>
        <w:rPr/>
        <w:t>griddet de fleste steder hindrer et så højt</w:t>
      </w:r>
      <w:r>
        <w:rPr>
          <w:spacing w:val="-12"/>
        </w:rPr>
        <w:t> </w:t>
      </w:r>
      <w:r>
        <w:rPr/>
        <w:t>grundvandsniveau.</w:t>
      </w:r>
    </w:p>
    <w:p>
      <w:pPr>
        <w:pStyle w:val="BodyText"/>
        <w:rPr>
          <w:sz w:val="20"/>
        </w:rPr>
      </w:pPr>
    </w:p>
    <w:p>
      <w:pPr>
        <w:pStyle w:val="BodyText"/>
        <w:spacing w:before="1"/>
        <w:rPr>
          <w:sz w:val="11"/>
        </w:rPr>
      </w:pPr>
      <w:r>
        <w:rPr/>
        <w:drawing>
          <wp:anchor distT="0" distB="0" distL="0" distR="0" allowOverlap="1" layoutInCell="1" locked="0" behindDoc="0" simplePos="0" relativeHeight="67">
            <wp:simplePos x="0" y="0"/>
            <wp:positionH relativeFrom="page">
              <wp:posOffset>1326929</wp:posOffset>
            </wp:positionH>
            <wp:positionV relativeFrom="paragraph">
              <wp:posOffset>105952</wp:posOffset>
            </wp:positionV>
            <wp:extent cx="5328440" cy="3755135"/>
            <wp:effectExtent l="0" t="0" r="0" b="0"/>
            <wp:wrapTopAndBottom/>
            <wp:docPr id="171" name="image101.jpeg" descr=""/>
            <wp:cNvGraphicFramePr>
              <a:graphicFrameLocks noChangeAspect="1"/>
            </wp:cNvGraphicFramePr>
            <a:graphic>
              <a:graphicData uri="http://schemas.openxmlformats.org/drawingml/2006/picture">
                <pic:pic>
                  <pic:nvPicPr>
                    <pic:cNvPr id="172" name="image101.jpeg"/>
                    <pic:cNvPicPr/>
                  </pic:nvPicPr>
                  <pic:blipFill>
                    <a:blip r:embed="rId109" cstate="print"/>
                    <a:stretch>
                      <a:fillRect/>
                    </a:stretch>
                  </pic:blipFill>
                  <pic:spPr>
                    <a:xfrm>
                      <a:off x="0" y="0"/>
                      <a:ext cx="5328440" cy="3755135"/>
                    </a:xfrm>
                    <a:prstGeom prst="rect">
                      <a:avLst/>
                    </a:prstGeom>
                  </pic:spPr>
                </pic:pic>
              </a:graphicData>
            </a:graphic>
          </wp:anchor>
        </w:drawing>
      </w:r>
    </w:p>
    <w:p>
      <w:pPr>
        <w:spacing w:before="18"/>
        <w:ind w:left="525" w:right="920" w:firstLine="0"/>
        <w:jc w:val="left"/>
        <w:rPr>
          <w:rFonts w:ascii="Calibri" w:hAnsi="Calibri"/>
          <w:i/>
          <w:sz w:val="18"/>
        </w:rPr>
      </w:pPr>
      <w:bookmarkStart w:name="_bookmark118" w:id="149"/>
      <w:bookmarkEnd w:id="149"/>
      <w:r>
        <w:rPr/>
      </w:r>
      <w:r>
        <w:rPr>
          <w:rFonts w:ascii="Calibri" w:hAnsi="Calibri"/>
          <w:i/>
          <w:color w:val="44536A"/>
          <w:sz w:val="18"/>
        </w:rPr>
        <w:t>Figur 82 Overskridelsessandsynlighed for grundvandsspejl mindre end 2 meter under terræn, dvs. % sandsynlighed </w:t>
      </w:r>
      <w:r>
        <w:rPr>
          <w:rFonts w:ascii="Calibri" w:hAnsi="Calibri"/>
          <w:i/>
          <w:color w:val="44536A"/>
          <w:sz w:val="18"/>
        </w:rPr>
        <w:t>for at grundvandet står mindre end to meter under terræn for året (ud fra simulererede data for 1996-2015).</w:t>
      </w:r>
    </w:p>
    <w:p>
      <w:pPr>
        <w:spacing w:after="0"/>
        <w:jc w:val="left"/>
        <w:rPr>
          <w:rFonts w:ascii="Calibri" w:hAnsi="Calibri"/>
          <w:sz w:val="18"/>
        </w:rPr>
        <w:sectPr>
          <w:pgSz w:w="11910" w:h="16850"/>
          <w:pgMar w:header="0" w:footer="937" w:top="1340" w:bottom="1120" w:left="1460" w:right="680"/>
        </w:sectPr>
      </w:pPr>
    </w:p>
    <w:p>
      <w:pPr>
        <w:pStyle w:val="BodyText"/>
        <w:ind w:left="629"/>
        <w:rPr>
          <w:rFonts w:ascii="Calibri"/>
          <w:sz w:val="20"/>
        </w:rPr>
      </w:pPr>
      <w:r>
        <w:rPr>
          <w:rFonts w:ascii="Calibri"/>
          <w:sz w:val="20"/>
        </w:rPr>
        <w:drawing>
          <wp:inline distT="0" distB="0" distL="0" distR="0">
            <wp:extent cx="5331017" cy="3755136"/>
            <wp:effectExtent l="0" t="0" r="0" b="0"/>
            <wp:docPr id="173" name="image102.jpeg" descr=""/>
            <wp:cNvGraphicFramePr>
              <a:graphicFrameLocks noChangeAspect="1"/>
            </wp:cNvGraphicFramePr>
            <a:graphic>
              <a:graphicData uri="http://schemas.openxmlformats.org/drawingml/2006/picture">
                <pic:pic>
                  <pic:nvPicPr>
                    <pic:cNvPr id="174" name="image102.jpeg"/>
                    <pic:cNvPicPr/>
                  </pic:nvPicPr>
                  <pic:blipFill>
                    <a:blip r:embed="rId110" cstate="print"/>
                    <a:stretch>
                      <a:fillRect/>
                    </a:stretch>
                  </pic:blipFill>
                  <pic:spPr>
                    <a:xfrm>
                      <a:off x="0" y="0"/>
                      <a:ext cx="5331017" cy="3755136"/>
                    </a:xfrm>
                    <a:prstGeom prst="rect">
                      <a:avLst/>
                    </a:prstGeom>
                  </pic:spPr>
                </pic:pic>
              </a:graphicData>
            </a:graphic>
          </wp:inline>
        </w:drawing>
      </w:r>
      <w:r>
        <w:rPr>
          <w:rFonts w:ascii="Calibri"/>
          <w:sz w:val="20"/>
        </w:rPr>
      </w:r>
    </w:p>
    <w:p>
      <w:pPr>
        <w:spacing w:before="46"/>
        <w:ind w:left="525" w:right="770" w:firstLine="0"/>
        <w:jc w:val="left"/>
        <w:rPr>
          <w:rFonts w:ascii="Calibri" w:hAnsi="Calibri"/>
          <w:i/>
          <w:sz w:val="18"/>
        </w:rPr>
      </w:pPr>
      <w:bookmarkStart w:name="_bookmark119" w:id="150"/>
      <w:bookmarkEnd w:id="150"/>
      <w:r>
        <w:rPr/>
      </w:r>
      <w:r>
        <w:rPr>
          <w:rFonts w:ascii="Calibri" w:hAnsi="Calibri"/>
          <w:i/>
          <w:color w:val="44536A"/>
          <w:sz w:val="18"/>
        </w:rPr>
        <w:t>Figur 83 Overskridelsessandsynlighed for grundvandsspejl mindre end 1 m under terræn, dvs. % sandsynlighed for at </w:t>
      </w:r>
      <w:r>
        <w:rPr>
          <w:rFonts w:ascii="Calibri" w:hAnsi="Calibri"/>
          <w:i/>
          <w:color w:val="44536A"/>
          <w:sz w:val="18"/>
        </w:rPr>
        <w:t>grundvandet står mindre end en meter under terræn for året (ud fra simulererede data for 1996-2015).</w:t>
      </w:r>
    </w:p>
    <w:p>
      <w:pPr>
        <w:pStyle w:val="BodyText"/>
        <w:spacing w:before="6"/>
        <w:rPr>
          <w:rFonts w:ascii="Calibri"/>
          <w:i/>
        </w:rPr>
      </w:pPr>
      <w:r>
        <w:rPr/>
        <w:drawing>
          <wp:anchor distT="0" distB="0" distL="0" distR="0" allowOverlap="1" layoutInCell="1" locked="0" behindDoc="0" simplePos="0" relativeHeight="68">
            <wp:simplePos x="0" y="0"/>
            <wp:positionH relativeFrom="page">
              <wp:posOffset>1326937</wp:posOffset>
            </wp:positionH>
            <wp:positionV relativeFrom="paragraph">
              <wp:posOffset>191907</wp:posOffset>
            </wp:positionV>
            <wp:extent cx="5330662" cy="3755136"/>
            <wp:effectExtent l="0" t="0" r="0" b="0"/>
            <wp:wrapTopAndBottom/>
            <wp:docPr id="175" name="image103.jpeg" descr=""/>
            <wp:cNvGraphicFramePr>
              <a:graphicFrameLocks noChangeAspect="1"/>
            </wp:cNvGraphicFramePr>
            <a:graphic>
              <a:graphicData uri="http://schemas.openxmlformats.org/drawingml/2006/picture">
                <pic:pic>
                  <pic:nvPicPr>
                    <pic:cNvPr id="176" name="image103.jpeg"/>
                    <pic:cNvPicPr/>
                  </pic:nvPicPr>
                  <pic:blipFill>
                    <a:blip r:embed="rId111" cstate="print"/>
                    <a:stretch>
                      <a:fillRect/>
                    </a:stretch>
                  </pic:blipFill>
                  <pic:spPr>
                    <a:xfrm>
                      <a:off x="0" y="0"/>
                      <a:ext cx="5330662" cy="3755136"/>
                    </a:xfrm>
                    <a:prstGeom prst="rect">
                      <a:avLst/>
                    </a:prstGeom>
                  </pic:spPr>
                </pic:pic>
              </a:graphicData>
            </a:graphic>
          </wp:anchor>
        </w:drawing>
      </w:r>
    </w:p>
    <w:p>
      <w:pPr>
        <w:spacing w:before="15"/>
        <w:ind w:left="525" w:right="843" w:firstLine="0"/>
        <w:jc w:val="left"/>
        <w:rPr>
          <w:rFonts w:ascii="Calibri" w:hAnsi="Calibri"/>
          <w:i/>
          <w:sz w:val="18"/>
        </w:rPr>
      </w:pPr>
      <w:r>
        <w:rPr>
          <w:rFonts w:ascii="Calibri" w:hAnsi="Calibri"/>
          <w:i/>
          <w:color w:val="44536A"/>
          <w:sz w:val="18"/>
        </w:rPr>
        <w:t>Figur 84 Overskridelsessandsynlighed for grundvandsspejl mindre end 1 m under terræn (sommerperioden juni-au</w:t>
      </w:r>
      <w:bookmarkStart w:name="_bookmark120" w:id="151"/>
      <w:bookmarkEnd w:id="151"/>
      <w:r>
        <w:rPr>
          <w:rFonts w:ascii="Calibri" w:hAnsi="Calibri"/>
          <w:i/>
          <w:color w:val="44536A"/>
          <w:sz w:val="18"/>
        </w:rPr>
        <w:t>-</w:t>
      </w:r>
      <w:r>
        <w:rPr>
          <w:rFonts w:ascii="Calibri" w:hAnsi="Calibri"/>
          <w:i/>
          <w:color w:val="44536A"/>
          <w:sz w:val="18"/>
        </w:rPr>
        <w:t> </w:t>
      </w:r>
      <w:r>
        <w:rPr>
          <w:rFonts w:ascii="Calibri" w:hAnsi="Calibri"/>
          <w:i/>
          <w:color w:val="44536A"/>
          <w:sz w:val="18"/>
        </w:rPr>
        <w:t>gust)</w:t>
      </w:r>
    </w:p>
    <w:p>
      <w:pPr>
        <w:spacing w:after="0"/>
        <w:jc w:val="left"/>
        <w:rPr>
          <w:rFonts w:ascii="Calibri" w:hAnsi="Calibri"/>
          <w:sz w:val="18"/>
        </w:rPr>
        <w:sectPr>
          <w:pgSz w:w="11910" w:h="16850"/>
          <w:pgMar w:header="0" w:footer="937" w:top="1520" w:bottom="1120" w:left="1460" w:right="680"/>
        </w:sectPr>
      </w:pPr>
    </w:p>
    <w:p>
      <w:pPr>
        <w:pStyle w:val="BodyText"/>
        <w:ind w:left="629"/>
        <w:rPr>
          <w:rFonts w:ascii="Calibri"/>
          <w:sz w:val="20"/>
        </w:rPr>
      </w:pPr>
      <w:r>
        <w:rPr>
          <w:rFonts w:ascii="Calibri"/>
          <w:sz w:val="20"/>
        </w:rPr>
        <w:drawing>
          <wp:inline distT="0" distB="0" distL="0" distR="0">
            <wp:extent cx="5331017" cy="3755136"/>
            <wp:effectExtent l="0" t="0" r="0" b="0"/>
            <wp:docPr id="177" name="image104.jpeg" descr=""/>
            <wp:cNvGraphicFramePr>
              <a:graphicFrameLocks noChangeAspect="1"/>
            </wp:cNvGraphicFramePr>
            <a:graphic>
              <a:graphicData uri="http://schemas.openxmlformats.org/drawingml/2006/picture">
                <pic:pic>
                  <pic:nvPicPr>
                    <pic:cNvPr id="178" name="image104.jpeg"/>
                    <pic:cNvPicPr/>
                  </pic:nvPicPr>
                  <pic:blipFill>
                    <a:blip r:embed="rId112" cstate="print"/>
                    <a:stretch>
                      <a:fillRect/>
                    </a:stretch>
                  </pic:blipFill>
                  <pic:spPr>
                    <a:xfrm>
                      <a:off x="0" y="0"/>
                      <a:ext cx="5331017" cy="3755136"/>
                    </a:xfrm>
                    <a:prstGeom prst="rect">
                      <a:avLst/>
                    </a:prstGeom>
                  </pic:spPr>
                </pic:pic>
              </a:graphicData>
            </a:graphic>
          </wp:inline>
        </w:drawing>
      </w:r>
      <w:r>
        <w:rPr>
          <w:rFonts w:ascii="Calibri"/>
          <w:sz w:val="20"/>
        </w:rPr>
      </w:r>
    </w:p>
    <w:p>
      <w:pPr>
        <w:spacing w:before="46"/>
        <w:ind w:left="525" w:right="732" w:firstLine="0"/>
        <w:jc w:val="both"/>
        <w:rPr>
          <w:sz w:val="21"/>
        </w:rPr>
      </w:pPr>
      <w:bookmarkStart w:name="_bookmark121" w:id="152"/>
      <w:bookmarkEnd w:id="152"/>
      <w:r>
        <w:rPr/>
      </w:r>
      <w:r>
        <w:rPr>
          <w:rFonts w:ascii="Calibri" w:hAnsi="Calibri"/>
          <w:i/>
          <w:color w:val="44536A"/>
          <w:sz w:val="18"/>
        </w:rPr>
        <w:t>Figur</w:t>
      </w:r>
      <w:r>
        <w:rPr>
          <w:rFonts w:ascii="Calibri" w:hAnsi="Calibri"/>
          <w:i/>
          <w:color w:val="44536A"/>
          <w:spacing w:val="-8"/>
          <w:sz w:val="18"/>
        </w:rPr>
        <w:t> </w:t>
      </w:r>
      <w:r>
        <w:rPr>
          <w:rFonts w:ascii="Calibri" w:hAnsi="Calibri"/>
          <w:i/>
          <w:color w:val="44536A"/>
          <w:sz w:val="18"/>
        </w:rPr>
        <w:t>85</w:t>
      </w:r>
      <w:r>
        <w:rPr>
          <w:rFonts w:ascii="Calibri" w:hAnsi="Calibri"/>
          <w:i/>
          <w:color w:val="44536A"/>
          <w:spacing w:val="-8"/>
          <w:sz w:val="18"/>
        </w:rPr>
        <w:t> </w:t>
      </w:r>
      <w:r>
        <w:rPr>
          <w:rFonts w:ascii="Calibri" w:hAnsi="Calibri"/>
          <w:i/>
          <w:color w:val="44536A"/>
          <w:sz w:val="18"/>
        </w:rPr>
        <w:t>Overskridelsessandsynlighed</w:t>
      </w:r>
      <w:r>
        <w:rPr>
          <w:rFonts w:ascii="Calibri" w:hAnsi="Calibri"/>
          <w:i/>
          <w:color w:val="44536A"/>
          <w:spacing w:val="-7"/>
          <w:sz w:val="18"/>
        </w:rPr>
        <w:t> </w:t>
      </w:r>
      <w:r>
        <w:rPr>
          <w:rFonts w:ascii="Calibri" w:hAnsi="Calibri"/>
          <w:i/>
          <w:color w:val="44536A"/>
          <w:sz w:val="18"/>
        </w:rPr>
        <w:t>for</w:t>
      </w:r>
      <w:r>
        <w:rPr>
          <w:rFonts w:ascii="Calibri" w:hAnsi="Calibri"/>
          <w:i/>
          <w:color w:val="44536A"/>
          <w:spacing w:val="-8"/>
          <w:sz w:val="18"/>
        </w:rPr>
        <w:t> </w:t>
      </w:r>
      <w:r>
        <w:rPr>
          <w:rFonts w:ascii="Calibri" w:hAnsi="Calibri"/>
          <w:i/>
          <w:color w:val="44536A"/>
          <w:sz w:val="18"/>
        </w:rPr>
        <w:t>grundvandspejl</w:t>
      </w:r>
      <w:r>
        <w:rPr>
          <w:rFonts w:ascii="Calibri" w:hAnsi="Calibri"/>
          <w:i/>
          <w:color w:val="44536A"/>
          <w:spacing w:val="-9"/>
          <w:sz w:val="18"/>
        </w:rPr>
        <w:t> </w:t>
      </w:r>
      <w:r>
        <w:rPr>
          <w:rFonts w:ascii="Calibri" w:hAnsi="Calibri"/>
          <w:i/>
          <w:color w:val="44536A"/>
          <w:sz w:val="18"/>
        </w:rPr>
        <w:t>&lt;</w:t>
      </w:r>
      <w:r>
        <w:rPr>
          <w:rFonts w:ascii="Calibri" w:hAnsi="Calibri"/>
          <w:i/>
          <w:color w:val="44536A"/>
          <w:spacing w:val="-9"/>
          <w:sz w:val="18"/>
        </w:rPr>
        <w:t> </w:t>
      </w:r>
      <w:r>
        <w:rPr>
          <w:rFonts w:ascii="Calibri" w:hAnsi="Calibri"/>
          <w:i/>
          <w:color w:val="44536A"/>
          <w:sz w:val="18"/>
        </w:rPr>
        <w:t>0.5</w:t>
      </w:r>
      <w:r>
        <w:rPr>
          <w:rFonts w:ascii="Calibri" w:hAnsi="Calibri"/>
          <w:i/>
          <w:color w:val="44536A"/>
          <w:spacing w:val="-8"/>
          <w:sz w:val="18"/>
        </w:rPr>
        <w:t> </w:t>
      </w:r>
      <w:r>
        <w:rPr>
          <w:rFonts w:ascii="Calibri" w:hAnsi="Calibri"/>
          <w:i/>
          <w:color w:val="44536A"/>
          <w:sz w:val="18"/>
        </w:rPr>
        <w:t>m</w:t>
      </w:r>
      <w:r>
        <w:rPr>
          <w:rFonts w:ascii="Calibri" w:hAnsi="Calibri"/>
          <w:i/>
          <w:color w:val="44536A"/>
          <w:spacing w:val="-9"/>
          <w:sz w:val="18"/>
        </w:rPr>
        <w:t> </w:t>
      </w:r>
      <w:r>
        <w:rPr>
          <w:rFonts w:ascii="Calibri" w:hAnsi="Calibri"/>
          <w:i/>
          <w:color w:val="44536A"/>
          <w:sz w:val="18"/>
        </w:rPr>
        <w:t>under</w:t>
      </w:r>
      <w:r>
        <w:rPr>
          <w:rFonts w:ascii="Calibri" w:hAnsi="Calibri"/>
          <w:i/>
          <w:color w:val="44536A"/>
          <w:spacing w:val="-7"/>
          <w:sz w:val="18"/>
        </w:rPr>
        <w:t> </w:t>
      </w:r>
      <w:r>
        <w:rPr>
          <w:rFonts w:ascii="Calibri" w:hAnsi="Calibri"/>
          <w:i/>
          <w:color w:val="44536A"/>
          <w:sz w:val="18"/>
        </w:rPr>
        <w:t>terræn,</w:t>
      </w:r>
      <w:r>
        <w:rPr>
          <w:rFonts w:ascii="Calibri" w:hAnsi="Calibri"/>
          <w:i/>
          <w:color w:val="44536A"/>
          <w:spacing w:val="-10"/>
          <w:sz w:val="18"/>
        </w:rPr>
        <w:t> </w:t>
      </w:r>
      <w:r>
        <w:rPr>
          <w:rFonts w:ascii="Calibri" w:hAnsi="Calibri"/>
          <w:i/>
          <w:color w:val="44536A"/>
          <w:sz w:val="18"/>
        </w:rPr>
        <w:t>dvs.</w:t>
      </w:r>
      <w:r>
        <w:rPr>
          <w:rFonts w:ascii="Calibri" w:hAnsi="Calibri"/>
          <w:i/>
          <w:color w:val="44536A"/>
          <w:spacing w:val="-9"/>
          <w:sz w:val="18"/>
        </w:rPr>
        <w:t> </w:t>
      </w:r>
      <w:r>
        <w:rPr>
          <w:rFonts w:ascii="Calibri" w:hAnsi="Calibri"/>
          <w:i/>
          <w:color w:val="44536A"/>
          <w:sz w:val="18"/>
        </w:rPr>
        <w:t>%</w:t>
      </w:r>
      <w:r>
        <w:rPr>
          <w:rFonts w:ascii="Calibri" w:hAnsi="Calibri"/>
          <w:i/>
          <w:color w:val="44536A"/>
          <w:spacing w:val="-7"/>
          <w:sz w:val="18"/>
        </w:rPr>
        <w:t> </w:t>
      </w:r>
      <w:r>
        <w:rPr>
          <w:rFonts w:ascii="Calibri" w:hAnsi="Calibri"/>
          <w:i/>
          <w:color w:val="44536A"/>
          <w:sz w:val="18"/>
        </w:rPr>
        <w:t>sandsynlighed</w:t>
      </w:r>
      <w:r>
        <w:rPr>
          <w:rFonts w:ascii="Calibri" w:hAnsi="Calibri"/>
          <w:i/>
          <w:color w:val="44536A"/>
          <w:spacing w:val="-7"/>
          <w:sz w:val="18"/>
        </w:rPr>
        <w:t> </w:t>
      </w:r>
      <w:r>
        <w:rPr>
          <w:rFonts w:ascii="Calibri" w:hAnsi="Calibri"/>
          <w:i/>
          <w:color w:val="44536A"/>
          <w:sz w:val="18"/>
        </w:rPr>
        <w:t>for</w:t>
      </w:r>
      <w:r>
        <w:rPr>
          <w:rFonts w:ascii="Calibri" w:hAnsi="Calibri"/>
          <w:i/>
          <w:color w:val="44536A"/>
          <w:spacing w:val="-8"/>
          <w:sz w:val="18"/>
        </w:rPr>
        <w:t> </w:t>
      </w:r>
      <w:r>
        <w:rPr>
          <w:rFonts w:ascii="Calibri" w:hAnsi="Calibri"/>
          <w:i/>
          <w:color w:val="44536A"/>
          <w:sz w:val="18"/>
        </w:rPr>
        <w:t>at</w:t>
      </w:r>
      <w:r>
        <w:rPr>
          <w:rFonts w:ascii="Calibri" w:hAnsi="Calibri"/>
          <w:i/>
          <w:color w:val="44536A"/>
          <w:spacing w:val="-9"/>
          <w:sz w:val="18"/>
        </w:rPr>
        <w:t> </w:t>
      </w:r>
      <w:r>
        <w:rPr>
          <w:rFonts w:ascii="Calibri" w:hAnsi="Calibri"/>
          <w:i/>
          <w:color w:val="44536A"/>
          <w:sz w:val="18"/>
        </w:rPr>
        <w:t>grundvan- </w:t>
      </w:r>
      <w:r>
        <w:rPr>
          <w:rFonts w:ascii="Calibri" w:hAnsi="Calibri"/>
          <w:i/>
          <w:color w:val="44536A"/>
          <w:sz w:val="18"/>
        </w:rPr>
        <w:t>det står mindre end to meter under terræn for året (ud fra simulererede data for</w:t>
      </w:r>
      <w:r>
        <w:rPr>
          <w:rFonts w:ascii="Calibri" w:hAnsi="Calibri"/>
          <w:i/>
          <w:color w:val="44536A"/>
          <w:spacing w:val="-14"/>
          <w:sz w:val="18"/>
        </w:rPr>
        <w:t> </w:t>
      </w:r>
      <w:r>
        <w:rPr>
          <w:rFonts w:ascii="Calibri" w:hAnsi="Calibri"/>
          <w:i/>
          <w:color w:val="44536A"/>
          <w:sz w:val="18"/>
        </w:rPr>
        <w:t>1996-2015)</w:t>
      </w:r>
      <w:r>
        <w:rPr>
          <w:sz w:val="21"/>
        </w:rPr>
        <w:t>.</w:t>
      </w:r>
    </w:p>
    <w:p>
      <w:pPr>
        <w:pStyle w:val="BodyText"/>
        <w:rPr>
          <w:sz w:val="24"/>
        </w:rPr>
      </w:pPr>
    </w:p>
    <w:p>
      <w:pPr>
        <w:pStyle w:val="BodyText"/>
        <w:rPr>
          <w:sz w:val="26"/>
        </w:rPr>
      </w:pPr>
    </w:p>
    <w:p>
      <w:pPr>
        <w:pStyle w:val="Heading5"/>
        <w:spacing w:line="288" w:lineRule="auto"/>
        <w:ind w:right="732"/>
        <w:jc w:val="both"/>
      </w:pPr>
      <w:r>
        <w:rPr>
          <w:i/>
        </w:rPr>
        <w:t>Sammenligning af terrænnært grundvand med hændelsesdata 26. december 2015 </w:t>
      </w:r>
      <w:r>
        <w:rPr/>
        <w:t>Odense Å</w:t>
      </w:r>
    </w:p>
    <w:p>
      <w:pPr>
        <w:pStyle w:val="BodyText"/>
        <w:spacing w:line="288" w:lineRule="auto" w:before="1"/>
        <w:ind w:left="525" w:right="729"/>
        <w:jc w:val="both"/>
      </w:pPr>
      <w:r>
        <w:rPr/>
        <w:t>På </w:t>
      </w:r>
      <w:hyperlink w:history="true" w:anchor="_bookmark122">
        <w:r>
          <w:rPr/>
          <w:t>figur 86 </w:t>
        </w:r>
      </w:hyperlink>
      <w:r>
        <w:rPr/>
        <w:t>og 87 er vist et plot af afstand til grundvandsspejlet for hændelsen med højt terrænnært</w:t>
      </w:r>
      <w:r>
        <w:rPr>
          <w:spacing w:val="-17"/>
        </w:rPr>
        <w:t> </w:t>
      </w:r>
      <w:r>
        <w:rPr/>
        <w:t>grundvandsspejl</w:t>
      </w:r>
      <w:r>
        <w:rPr>
          <w:spacing w:val="-13"/>
        </w:rPr>
        <w:t> </w:t>
      </w:r>
      <w:r>
        <w:rPr/>
        <w:t>26.</w:t>
      </w:r>
      <w:r>
        <w:rPr>
          <w:spacing w:val="-16"/>
        </w:rPr>
        <w:t> </w:t>
      </w:r>
      <w:r>
        <w:rPr/>
        <w:t>december</w:t>
      </w:r>
      <w:r>
        <w:rPr>
          <w:spacing w:val="-16"/>
        </w:rPr>
        <w:t> </w:t>
      </w:r>
      <w:r>
        <w:rPr/>
        <w:t>2015</w:t>
      </w:r>
      <w:r>
        <w:rPr>
          <w:spacing w:val="-15"/>
        </w:rPr>
        <w:t> </w:t>
      </w:r>
      <w:r>
        <w:rPr/>
        <w:t>(hvor</w:t>
      </w:r>
      <w:r>
        <w:rPr>
          <w:spacing w:val="-15"/>
        </w:rPr>
        <w:t> </w:t>
      </w:r>
      <w:r>
        <w:rPr/>
        <w:t>der</w:t>
      </w:r>
      <w:r>
        <w:rPr>
          <w:spacing w:val="-15"/>
        </w:rPr>
        <w:t> </w:t>
      </w:r>
      <w:r>
        <w:rPr/>
        <w:t>foreligger</w:t>
      </w:r>
      <w:r>
        <w:rPr>
          <w:spacing w:val="-18"/>
        </w:rPr>
        <w:t> </w:t>
      </w:r>
      <w:r>
        <w:rPr/>
        <w:t>Sentinel-1</w:t>
      </w:r>
      <w:r>
        <w:rPr>
          <w:spacing w:val="-17"/>
        </w:rPr>
        <w:t> </w:t>
      </w:r>
      <w:r>
        <w:rPr/>
        <w:t>data</w:t>
      </w:r>
      <w:r>
        <w:rPr>
          <w:spacing w:val="-15"/>
        </w:rPr>
        <w:t> </w:t>
      </w:r>
      <w:r>
        <w:rPr/>
        <w:t>for</w:t>
      </w:r>
      <w:r>
        <w:rPr>
          <w:spacing w:val="-15"/>
        </w:rPr>
        <w:t> </w:t>
      </w:r>
      <w:r>
        <w:rPr/>
        <w:t>hæn- delsen). </w:t>
      </w:r>
      <w:hyperlink w:history="true" w:anchor="_bookmark122">
        <w:r>
          <w:rPr/>
          <w:t>Figur 86 </w:t>
        </w:r>
      </w:hyperlink>
      <w:r>
        <w:rPr/>
        <w:t>viser udtræk fra 100 m model og </w:t>
      </w:r>
      <w:hyperlink w:history="true" w:anchor="_bookmark123">
        <w:r>
          <w:rPr/>
          <w:t>figur 87 </w:t>
        </w:r>
      </w:hyperlink>
      <w:r>
        <w:rPr/>
        <w:t>nedskaleret udtræk til 10</w:t>
      </w:r>
      <w:r>
        <w:rPr>
          <w:spacing w:val="-22"/>
        </w:rPr>
        <w:t> </w:t>
      </w:r>
      <w:r>
        <w:rPr/>
        <w:t>m.</w:t>
      </w:r>
    </w:p>
    <w:p>
      <w:pPr>
        <w:spacing w:after="0" w:line="288" w:lineRule="auto"/>
        <w:jc w:val="both"/>
        <w:sectPr>
          <w:pgSz w:w="11910" w:h="16850"/>
          <w:pgMar w:header="0" w:footer="937" w:top="1520" w:bottom="1120" w:left="1460" w:right="680"/>
        </w:sectPr>
      </w:pPr>
    </w:p>
    <w:p>
      <w:pPr>
        <w:pStyle w:val="BodyText"/>
        <w:ind w:left="629"/>
        <w:rPr>
          <w:sz w:val="20"/>
        </w:rPr>
      </w:pPr>
      <w:r>
        <w:rPr>
          <w:sz w:val="20"/>
        </w:rPr>
        <w:drawing>
          <wp:inline distT="0" distB="0" distL="0" distR="0">
            <wp:extent cx="4690080" cy="3285744"/>
            <wp:effectExtent l="0" t="0" r="0" b="0"/>
            <wp:docPr id="179" name="image105.jpeg" descr=""/>
            <wp:cNvGraphicFramePr>
              <a:graphicFrameLocks noChangeAspect="1"/>
            </wp:cNvGraphicFramePr>
            <a:graphic>
              <a:graphicData uri="http://schemas.openxmlformats.org/drawingml/2006/picture">
                <pic:pic>
                  <pic:nvPicPr>
                    <pic:cNvPr id="180" name="image105.jpeg"/>
                    <pic:cNvPicPr/>
                  </pic:nvPicPr>
                  <pic:blipFill>
                    <a:blip r:embed="rId113" cstate="print"/>
                    <a:stretch>
                      <a:fillRect/>
                    </a:stretch>
                  </pic:blipFill>
                  <pic:spPr>
                    <a:xfrm>
                      <a:off x="0" y="0"/>
                      <a:ext cx="4690080" cy="3285744"/>
                    </a:xfrm>
                    <a:prstGeom prst="rect">
                      <a:avLst/>
                    </a:prstGeom>
                  </pic:spPr>
                </pic:pic>
              </a:graphicData>
            </a:graphic>
          </wp:inline>
        </w:drawing>
      </w:r>
      <w:r>
        <w:rPr>
          <w:sz w:val="20"/>
        </w:rPr>
      </w:r>
    </w:p>
    <w:p>
      <w:pPr>
        <w:spacing w:before="82"/>
        <w:ind w:left="525" w:right="0" w:firstLine="0"/>
        <w:jc w:val="left"/>
        <w:rPr>
          <w:rFonts w:ascii="Calibri" w:hAnsi="Calibri"/>
          <w:i/>
          <w:sz w:val="18"/>
        </w:rPr>
      </w:pPr>
      <w:r>
        <w:rPr/>
        <w:drawing>
          <wp:anchor distT="0" distB="0" distL="0" distR="0" allowOverlap="1" layoutInCell="1" locked="0" behindDoc="0" simplePos="0" relativeHeight="69">
            <wp:simplePos x="0" y="0"/>
            <wp:positionH relativeFrom="page">
              <wp:posOffset>1327256</wp:posOffset>
            </wp:positionH>
            <wp:positionV relativeFrom="paragraph">
              <wp:posOffset>257331</wp:posOffset>
            </wp:positionV>
            <wp:extent cx="4707697" cy="3285744"/>
            <wp:effectExtent l="0" t="0" r="0" b="0"/>
            <wp:wrapTopAndBottom/>
            <wp:docPr id="181" name="image106.jpeg" descr=""/>
            <wp:cNvGraphicFramePr>
              <a:graphicFrameLocks noChangeAspect="1"/>
            </wp:cNvGraphicFramePr>
            <a:graphic>
              <a:graphicData uri="http://schemas.openxmlformats.org/drawingml/2006/picture">
                <pic:pic>
                  <pic:nvPicPr>
                    <pic:cNvPr id="182" name="image106.jpeg"/>
                    <pic:cNvPicPr/>
                  </pic:nvPicPr>
                  <pic:blipFill>
                    <a:blip r:embed="rId114" cstate="print"/>
                    <a:stretch>
                      <a:fillRect/>
                    </a:stretch>
                  </pic:blipFill>
                  <pic:spPr>
                    <a:xfrm>
                      <a:off x="0" y="0"/>
                      <a:ext cx="4707697" cy="3285744"/>
                    </a:xfrm>
                    <a:prstGeom prst="rect">
                      <a:avLst/>
                    </a:prstGeom>
                  </pic:spPr>
                </pic:pic>
              </a:graphicData>
            </a:graphic>
          </wp:anchor>
        </w:drawing>
      </w:r>
      <w:bookmarkStart w:name="_bookmark122" w:id="153"/>
      <w:bookmarkEnd w:id="153"/>
      <w:r>
        <w:rPr/>
      </w:r>
      <w:r>
        <w:rPr>
          <w:rFonts w:ascii="Calibri" w:hAnsi="Calibri"/>
          <w:i/>
          <w:color w:val="44536A"/>
          <w:sz w:val="18"/>
        </w:rPr>
        <w:t>Figur 86 Simuleret afstand til terrænnært grundvandsspejl for hændelse 26. december 2015, 100 m grid.</w:t>
      </w:r>
    </w:p>
    <w:p>
      <w:pPr>
        <w:pStyle w:val="BodyText"/>
        <w:spacing w:before="7"/>
        <w:rPr>
          <w:rFonts w:ascii="Calibri"/>
          <w:i/>
          <w:sz w:val="16"/>
        </w:rPr>
      </w:pPr>
    </w:p>
    <w:p>
      <w:pPr>
        <w:spacing w:before="1"/>
        <w:ind w:left="525" w:right="1045" w:firstLine="0"/>
        <w:jc w:val="left"/>
        <w:rPr>
          <w:rFonts w:ascii="Calibri" w:hAnsi="Calibri"/>
          <w:i/>
          <w:sz w:val="18"/>
        </w:rPr>
      </w:pPr>
      <w:bookmarkStart w:name="_bookmark123" w:id="154"/>
      <w:bookmarkEnd w:id="154"/>
      <w:r>
        <w:rPr/>
      </w:r>
      <w:r>
        <w:rPr>
          <w:rFonts w:ascii="Calibri" w:hAnsi="Calibri"/>
          <w:i/>
          <w:color w:val="44536A"/>
          <w:sz w:val="18"/>
        </w:rPr>
        <w:t>Figur 87 Simuleret afstand til terrænnært grundvandsspejl for hændelse 26. december 2015, nedskaleret til 10 m </w:t>
      </w:r>
      <w:r>
        <w:rPr>
          <w:rFonts w:ascii="Calibri" w:hAnsi="Calibri"/>
          <w:i/>
          <w:color w:val="44536A"/>
          <w:sz w:val="18"/>
        </w:rPr>
        <w:t>grid.</w:t>
      </w:r>
    </w:p>
    <w:p>
      <w:pPr>
        <w:pStyle w:val="BodyText"/>
        <w:rPr>
          <w:rFonts w:ascii="Calibri"/>
          <w:i/>
          <w:sz w:val="18"/>
        </w:rPr>
      </w:pPr>
    </w:p>
    <w:p>
      <w:pPr>
        <w:pStyle w:val="BodyText"/>
        <w:spacing w:before="11"/>
        <w:rPr>
          <w:rFonts w:ascii="Calibri"/>
          <w:i/>
        </w:rPr>
      </w:pPr>
    </w:p>
    <w:p>
      <w:pPr>
        <w:pStyle w:val="Heading5"/>
        <w:rPr>
          <w:i/>
        </w:rPr>
      </w:pPr>
      <w:r>
        <w:rPr>
          <w:i/>
        </w:rPr>
        <w:t>Udsnit for 5 delområder i Odense Å</w:t>
      </w:r>
    </w:p>
    <w:p>
      <w:pPr>
        <w:pStyle w:val="BodyText"/>
        <w:spacing w:line="285" w:lineRule="auto" w:before="49"/>
        <w:ind w:left="525" w:right="727"/>
      </w:pPr>
      <w:hyperlink w:history="true" w:anchor="_bookmark124">
        <w:r>
          <w:rPr/>
          <w:t>Figur 88 </w:t>
        </w:r>
      </w:hyperlink>
      <w:r>
        <w:rPr/>
        <w:t>– 92 viser plot af dybde til grundvandsspejl med 100 m model sammenlignet med den nedskalerede model (til 10 m). I midten vises observerede hændelsesdata (Sentinel-1).</w:t>
      </w:r>
    </w:p>
    <w:p>
      <w:pPr>
        <w:spacing w:after="0" w:line="285" w:lineRule="auto"/>
        <w:sectPr>
          <w:pgSz w:w="11910" w:h="16850"/>
          <w:pgMar w:header="0" w:footer="937" w:top="1520" w:bottom="1120" w:left="1460" w:right="680"/>
        </w:sectPr>
      </w:pPr>
    </w:p>
    <w:p>
      <w:pPr>
        <w:pStyle w:val="BodyText"/>
        <w:ind w:left="583"/>
        <w:rPr>
          <w:sz w:val="20"/>
        </w:rPr>
      </w:pPr>
      <w:r>
        <w:rPr>
          <w:sz w:val="20"/>
        </w:rPr>
        <w:drawing>
          <wp:inline distT="0" distB="0" distL="0" distR="0">
            <wp:extent cx="5372959" cy="3164204"/>
            <wp:effectExtent l="0" t="0" r="0" b="0"/>
            <wp:docPr id="183" name="image107.jpeg" descr=""/>
            <wp:cNvGraphicFramePr>
              <a:graphicFrameLocks noChangeAspect="1"/>
            </wp:cNvGraphicFramePr>
            <a:graphic>
              <a:graphicData uri="http://schemas.openxmlformats.org/drawingml/2006/picture">
                <pic:pic>
                  <pic:nvPicPr>
                    <pic:cNvPr id="184" name="image107.jpeg"/>
                    <pic:cNvPicPr/>
                  </pic:nvPicPr>
                  <pic:blipFill>
                    <a:blip r:embed="rId115" cstate="print"/>
                    <a:stretch>
                      <a:fillRect/>
                    </a:stretch>
                  </pic:blipFill>
                  <pic:spPr>
                    <a:xfrm>
                      <a:off x="0" y="0"/>
                      <a:ext cx="5372959" cy="3164204"/>
                    </a:xfrm>
                    <a:prstGeom prst="rect">
                      <a:avLst/>
                    </a:prstGeom>
                  </pic:spPr>
                </pic:pic>
              </a:graphicData>
            </a:graphic>
          </wp:inline>
        </w:drawing>
      </w:r>
      <w:r>
        <w:rPr>
          <w:sz w:val="20"/>
        </w:rPr>
      </w:r>
    </w:p>
    <w:p>
      <w:pPr>
        <w:spacing w:before="74"/>
        <w:ind w:left="525" w:right="807" w:firstLine="0"/>
        <w:jc w:val="both"/>
        <w:rPr>
          <w:rFonts w:ascii="Calibri" w:hAnsi="Calibri"/>
          <w:i/>
          <w:sz w:val="18"/>
        </w:rPr>
      </w:pPr>
      <w:bookmarkStart w:name="_bookmark124" w:id="155"/>
      <w:bookmarkEnd w:id="155"/>
      <w:r>
        <w:rPr/>
      </w:r>
      <w:r>
        <w:rPr>
          <w:rFonts w:ascii="Calibri" w:hAnsi="Calibri"/>
          <w:i/>
          <w:color w:val="44536A"/>
          <w:sz w:val="18"/>
        </w:rPr>
        <w:t>Figur 88 ZOOM 1. Simuleret afstand til grundvandsspejl med 100 m model (venstre) og nedskaleret fra 100 m model </w:t>
      </w:r>
      <w:r>
        <w:rPr>
          <w:rFonts w:ascii="Calibri" w:hAnsi="Calibri"/>
          <w:i/>
          <w:color w:val="44536A"/>
          <w:sz w:val="18"/>
        </w:rPr>
        <w:t>(højre) og sammenlignet med observationer af DHI GRAS for 26. december 2015 hændelse. Stavis Å.</w:t>
      </w:r>
    </w:p>
    <w:p>
      <w:pPr>
        <w:pStyle w:val="BodyText"/>
        <w:rPr>
          <w:rFonts w:ascii="Calibri"/>
          <w:i/>
          <w:sz w:val="20"/>
        </w:rPr>
      </w:pPr>
    </w:p>
    <w:p>
      <w:pPr>
        <w:pStyle w:val="BodyText"/>
        <w:spacing w:before="10"/>
        <w:rPr>
          <w:rFonts w:ascii="Calibri"/>
          <w:i/>
          <w:sz w:val="16"/>
        </w:rPr>
      </w:pPr>
      <w:r>
        <w:rPr/>
        <w:drawing>
          <wp:anchor distT="0" distB="0" distL="0" distR="0" allowOverlap="1" layoutInCell="1" locked="0" behindDoc="0" simplePos="0" relativeHeight="70">
            <wp:simplePos x="0" y="0"/>
            <wp:positionH relativeFrom="page">
              <wp:posOffset>1260475</wp:posOffset>
            </wp:positionH>
            <wp:positionV relativeFrom="paragraph">
              <wp:posOffset>155578</wp:posOffset>
            </wp:positionV>
            <wp:extent cx="5430014" cy="3218688"/>
            <wp:effectExtent l="0" t="0" r="0" b="0"/>
            <wp:wrapTopAndBottom/>
            <wp:docPr id="185" name="image108.jpeg" descr=""/>
            <wp:cNvGraphicFramePr>
              <a:graphicFrameLocks noChangeAspect="1"/>
            </wp:cNvGraphicFramePr>
            <a:graphic>
              <a:graphicData uri="http://schemas.openxmlformats.org/drawingml/2006/picture">
                <pic:pic>
                  <pic:nvPicPr>
                    <pic:cNvPr id="186" name="image108.jpeg"/>
                    <pic:cNvPicPr/>
                  </pic:nvPicPr>
                  <pic:blipFill>
                    <a:blip r:embed="rId116" cstate="print"/>
                    <a:stretch>
                      <a:fillRect/>
                    </a:stretch>
                  </pic:blipFill>
                  <pic:spPr>
                    <a:xfrm>
                      <a:off x="0" y="0"/>
                      <a:ext cx="5430014" cy="3218688"/>
                    </a:xfrm>
                    <a:prstGeom prst="rect">
                      <a:avLst/>
                    </a:prstGeom>
                  </pic:spPr>
                </pic:pic>
              </a:graphicData>
            </a:graphic>
          </wp:anchor>
        </w:drawing>
      </w:r>
    </w:p>
    <w:p>
      <w:pPr>
        <w:spacing w:before="51"/>
        <w:ind w:left="525" w:right="804" w:firstLine="0"/>
        <w:jc w:val="both"/>
        <w:rPr>
          <w:rFonts w:ascii="Calibri" w:hAnsi="Calibri"/>
          <w:i/>
          <w:sz w:val="18"/>
        </w:rPr>
      </w:pPr>
      <w:r>
        <w:rPr>
          <w:rFonts w:ascii="Calibri" w:hAnsi="Calibri"/>
          <w:i/>
          <w:color w:val="44536A"/>
          <w:sz w:val="18"/>
        </w:rPr>
        <w:t>Figur 89 ZOOM 2. Simuleret afstand til grundvandsspejl med 100 m model (venstre) og nedskaleret fra 100 m model </w:t>
      </w:r>
      <w:r>
        <w:rPr>
          <w:rFonts w:ascii="Calibri" w:hAnsi="Calibri"/>
          <w:i/>
          <w:color w:val="44536A"/>
          <w:sz w:val="18"/>
        </w:rPr>
        <w:t>(højre) og sammenlignet med observationer af DHI GRAS for 26. december 2015 hændelse. Odense Å ved Lindved Å.</w:t>
      </w:r>
    </w:p>
    <w:p>
      <w:pPr>
        <w:pStyle w:val="BodyText"/>
        <w:rPr>
          <w:rFonts w:ascii="Calibri"/>
          <w:i/>
          <w:sz w:val="18"/>
        </w:rPr>
      </w:pPr>
    </w:p>
    <w:p>
      <w:pPr>
        <w:pStyle w:val="BodyText"/>
        <w:spacing w:before="11"/>
        <w:rPr>
          <w:rFonts w:ascii="Calibri"/>
          <w:i/>
        </w:rPr>
      </w:pPr>
    </w:p>
    <w:p>
      <w:pPr>
        <w:pStyle w:val="BodyText"/>
        <w:spacing w:line="288" w:lineRule="auto" w:before="1"/>
        <w:ind w:left="525" w:right="731"/>
        <w:jc w:val="both"/>
      </w:pPr>
      <w:r>
        <w:rPr/>
        <w:t>For de to udsnit for Stavis å og nedre del af Odense Å ved Lindeved Å, </w:t>
      </w:r>
      <w:hyperlink w:history="true" w:anchor="_bookmark124">
        <w:r>
          <w:rPr/>
          <w:t>figur 88 </w:t>
        </w:r>
      </w:hyperlink>
      <w:r>
        <w:rPr/>
        <w:t>og 89, giver den nedskalerede 100 m model et relativt nuanceret billede, som er væsentligt mere detal- jeret</w:t>
      </w:r>
      <w:r>
        <w:rPr>
          <w:spacing w:val="-9"/>
        </w:rPr>
        <w:t> </w:t>
      </w:r>
      <w:r>
        <w:rPr/>
        <w:t>end</w:t>
      </w:r>
      <w:r>
        <w:rPr>
          <w:spacing w:val="-7"/>
        </w:rPr>
        <w:t> </w:t>
      </w:r>
      <w:r>
        <w:rPr/>
        <w:t>satellitdata</w:t>
      </w:r>
      <w:r>
        <w:rPr>
          <w:spacing w:val="-7"/>
        </w:rPr>
        <w:t> </w:t>
      </w:r>
      <w:r>
        <w:rPr/>
        <w:t>giver</w:t>
      </w:r>
      <w:r>
        <w:rPr>
          <w:spacing w:val="-8"/>
        </w:rPr>
        <w:t> </w:t>
      </w:r>
      <w:r>
        <w:rPr/>
        <w:t>mulighed</w:t>
      </w:r>
      <w:r>
        <w:rPr>
          <w:spacing w:val="-6"/>
        </w:rPr>
        <w:t> </w:t>
      </w:r>
      <w:r>
        <w:rPr/>
        <w:t>for</w:t>
      </w:r>
      <w:r>
        <w:rPr>
          <w:spacing w:val="-6"/>
        </w:rPr>
        <w:t> </w:t>
      </w:r>
      <w:r>
        <w:rPr/>
        <w:t>(kvantitativt</w:t>
      </w:r>
      <w:r>
        <w:rPr>
          <w:spacing w:val="-8"/>
        </w:rPr>
        <w:t> </w:t>
      </w:r>
      <w:r>
        <w:rPr/>
        <w:t>kan</w:t>
      </w:r>
      <w:r>
        <w:rPr>
          <w:spacing w:val="-9"/>
        </w:rPr>
        <w:t> </w:t>
      </w:r>
      <w:r>
        <w:rPr/>
        <w:t>man</w:t>
      </w:r>
      <w:r>
        <w:rPr>
          <w:spacing w:val="-6"/>
        </w:rPr>
        <w:t> </w:t>
      </w:r>
      <w:r>
        <w:rPr/>
        <w:t>dog</w:t>
      </w:r>
      <w:r>
        <w:rPr>
          <w:spacing w:val="-7"/>
        </w:rPr>
        <w:t> </w:t>
      </w:r>
      <w:r>
        <w:rPr/>
        <w:t>ikke</w:t>
      </w:r>
      <w:r>
        <w:rPr>
          <w:spacing w:val="-7"/>
        </w:rPr>
        <w:t> </w:t>
      </w:r>
      <w:r>
        <w:rPr/>
        <w:t>afgøre</w:t>
      </w:r>
      <w:r>
        <w:rPr>
          <w:spacing w:val="-7"/>
        </w:rPr>
        <w:t> </w:t>
      </w:r>
      <w:r>
        <w:rPr/>
        <w:t>om</w:t>
      </w:r>
      <w:r>
        <w:rPr>
          <w:spacing w:val="-5"/>
        </w:rPr>
        <w:t> </w:t>
      </w:r>
      <w:r>
        <w:rPr/>
        <w:t>det</w:t>
      </w:r>
      <w:r>
        <w:rPr>
          <w:spacing w:val="-8"/>
        </w:rPr>
        <w:t> </w:t>
      </w:r>
      <w:r>
        <w:rPr/>
        <w:t>er</w:t>
      </w:r>
      <w:r>
        <w:rPr>
          <w:spacing w:val="-8"/>
        </w:rPr>
        <w:t> </w:t>
      </w:r>
      <w:r>
        <w:rPr/>
        <w:t>mere korrekt). Det samme gælder udsnit for Lindved å midt, og den centrale del af Odense Å ved Kratholm, </w:t>
      </w:r>
      <w:hyperlink w:history="true" w:anchor="_bookmark125">
        <w:r>
          <w:rPr/>
          <w:t>figur 90 </w:t>
        </w:r>
      </w:hyperlink>
      <w:r>
        <w:rPr/>
        <w:t>og</w:t>
      </w:r>
      <w:r>
        <w:rPr>
          <w:spacing w:val="-5"/>
        </w:rPr>
        <w:t> </w:t>
      </w:r>
      <w:r>
        <w:rPr/>
        <w:t>91.</w:t>
      </w:r>
    </w:p>
    <w:p>
      <w:pPr>
        <w:spacing w:after="0" w:line="288" w:lineRule="auto"/>
        <w:jc w:val="both"/>
        <w:sectPr>
          <w:pgSz w:w="11910" w:h="16850"/>
          <w:pgMar w:header="0" w:footer="937" w:top="1480" w:bottom="1120" w:left="1460" w:right="680"/>
        </w:sectPr>
      </w:pPr>
    </w:p>
    <w:p>
      <w:pPr>
        <w:pStyle w:val="BodyText"/>
        <w:ind w:left="583"/>
        <w:rPr>
          <w:sz w:val="20"/>
        </w:rPr>
      </w:pPr>
      <w:r>
        <w:rPr>
          <w:sz w:val="20"/>
        </w:rPr>
        <w:drawing>
          <wp:inline distT="0" distB="0" distL="0" distR="0">
            <wp:extent cx="5374997" cy="3164204"/>
            <wp:effectExtent l="0" t="0" r="0" b="0"/>
            <wp:docPr id="187" name="image109.jpeg" descr=""/>
            <wp:cNvGraphicFramePr>
              <a:graphicFrameLocks noChangeAspect="1"/>
            </wp:cNvGraphicFramePr>
            <a:graphic>
              <a:graphicData uri="http://schemas.openxmlformats.org/drawingml/2006/picture">
                <pic:pic>
                  <pic:nvPicPr>
                    <pic:cNvPr id="188" name="image109.jpeg"/>
                    <pic:cNvPicPr/>
                  </pic:nvPicPr>
                  <pic:blipFill>
                    <a:blip r:embed="rId117" cstate="print"/>
                    <a:stretch>
                      <a:fillRect/>
                    </a:stretch>
                  </pic:blipFill>
                  <pic:spPr>
                    <a:xfrm>
                      <a:off x="0" y="0"/>
                      <a:ext cx="5374997" cy="3164204"/>
                    </a:xfrm>
                    <a:prstGeom prst="rect">
                      <a:avLst/>
                    </a:prstGeom>
                  </pic:spPr>
                </pic:pic>
              </a:graphicData>
            </a:graphic>
          </wp:inline>
        </w:drawing>
      </w:r>
      <w:r>
        <w:rPr>
          <w:sz w:val="20"/>
        </w:rPr>
      </w:r>
    </w:p>
    <w:p>
      <w:pPr>
        <w:spacing w:before="74"/>
        <w:ind w:left="525" w:right="807" w:firstLine="0"/>
        <w:jc w:val="both"/>
        <w:rPr>
          <w:rFonts w:ascii="Calibri" w:hAnsi="Calibri"/>
          <w:i/>
          <w:sz w:val="18"/>
        </w:rPr>
      </w:pPr>
      <w:bookmarkStart w:name="_bookmark125" w:id="156"/>
      <w:bookmarkEnd w:id="156"/>
      <w:r>
        <w:rPr/>
      </w:r>
      <w:r>
        <w:rPr>
          <w:rFonts w:ascii="Calibri" w:hAnsi="Calibri"/>
          <w:i/>
          <w:color w:val="44536A"/>
          <w:sz w:val="18"/>
        </w:rPr>
        <w:t>Figur 90 ZOOM 3. Simuleret afstand til grundvandsspejl med 100 m model (venstre) og nedskaleret fra 100 m model </w:t>
      </w:r>
      <w:r>
        <w:rPr>
          <w:rFonts w:ascii="Calibri" w:hAnsi="Calibri"/>
          <w:i/>
          <w:color w:val="44536A"/>
          <w:sz w:val="18"/>
        </w:rPr>
        <w:t>(højre) og sammenlignet med observationer af DHI GRAS for 26. december 2015 hændelse. Lindved Å midt.</w:t>
      </w:r>
    </w:p>
    <w:p>
      <w:pPr>
        <w:pStyle w:val="BodyText"/>
        <w:rPr>
          <w:rFonts w:ascii="Calibri"/>
          <w:i/>
          <w:sz w:val="20"/>
        </w:rPr>
      </w:pPr>
    </w:p>
    <w:p>
      <w:pPr>
        <w:pStyle w:val="BodyText"/>
        <w:spacing w:before="9"/>
        <w:rPr>
          <w:rFonts w:ascii="Calibri"/>
          <w:i/>
          <w:sz w:val="22"/>
        </w:rPr>
      </w:pPr>
      <w:r>
        <w:rPr/>
        <w:drawing>
          <wp:anchor distT="0" distB="0" distL="0" distR="0" allowOverlap="1" layoutInCell="1" locked="0" behindDoc="0" simplePos="0" relativeHeight="71">
            <wp:simplePos x="0" y="0"/>
            <wp:positionH relativeFrom="page">
              <wp:posOffset>1297859</wp:posOffset>
            </wp:positionH>
            <wp:positionV relativeFrom="paragraph">
              <wp:posOffset>201267</wp:posOffset>
            </wp:positionV>
            <wp:extent cx="5373383" cy="3164205"/>
            <wp:effectExtent l="0" t="0" r="0" b="0"/>
            <wp:wrapTopAndBottom/>
            <wp:docPr id="189" name="image110.jpeg" descr=""/>
            <wp:cNvGraphicFramePr>
              <a:graphicFrameLocks noChangeAspect="1"/>
            </wp:cNvGraphicFramePr>
            <a:graphic>
              <a:graphicData uri="http://schemas.openxmlformats.org/drawingml/2006/picture">
                <pic:pic>
                  <pic:nvPicPr>
                    <pic:cNvPr id="190" name="image110.jpeg"/>
                    <pic:cNvPicPr/>
                  </pic:nvPicPr>
                  <pic:blipFill>
                    <a:blip r:embed="rId118" cstate="print"/>
                    <a:stretch>
                      <a:fillRect/>
                    </a:stretch>
                  </pic:blipFill>
                  <pic:spPr>
                    <a:xfrm>
                      <a:off x="0" y="0"/>
                      <a:ext cx="5373383" cy="3164205"/>
                    </a:xfrm>
                    <a:prstGeom prst="rect">
                      <a:avLst/>
                    </a:prstGeom>
                  </pic:spPr>
                </pic:pic>
              </a:graphicData>
            </a:graphic>
          </wp:anchor>
        </w:drawing>
      </w:r>
    </w:p>
    <w:p>
      <w:pPr>
        <w:spacing w:before="36"/>
        <w:ind w:left="525" w:right="807" w:firstLine="0"/>
        <w:jc w:val="both"/>
        <w:rPr>
          <w:rFonts w:ascii="Calibri" w:hAnsi="Calibri"/>
          <w:i/>
          <w:sz w:val="18"/>
        </w:rPr>
      </w:pPr>
      <w:r>
        <w:rPr>
          <w:rFonts w:ascii="Calibri" w:hAnsi="Calibri"/>
          <w:i/>
          <w:color w:val="44536A"/>
          <w:sz w:val="18"/>
        </w:rPr>
        <w:t>Figur 91 ZOOM 4. Simuleret afstand til grundvandsspejl med 100 m model (venstre) og nedskaleret fra 100 m model </w:t>
      </w:r>
      <w:r>
        <w:rPr>
          <w:rFonts w:ascii="Calibri" w:hAnsi="Calibri"/>
          <w:i/>
          <w:color w:val="44536A"/>
          <w:sz w:val="18"/>
        </w:rPr>
        <w:t>(højre) og sammenlignet med observationer af DHI GRAS for 26. december 2015 hændelse. Kraholm.</w:t>
      </w:r>
    </w:p>
    <w:p>
      <w:pPr>
        <w:pStyle w:val="BodyText"/>
        <w:spacing w:before="2"/>
        <w:rPr>
          <w:rFonts w:ascii="Calibri"/>
          <w:i/>
          <w:sz w:val="16"/>
        </w:rPr>
      </w:pPr>
    </w:p>
    <w:p>
      <w:pPr>
        <w:pStyle w:val="BodyText"/>
        <w:spacing w:line="288" w:lineRule="auto"/>
        <w:ind w:left="525" w:right="732"/>
        <w:jc w:val="both"/>
      </w:pPr>
      <w:hyperlink w:history="true" w:anchor="_bookmark126">
        <w:r>
          <w:rPr/>
          <w:t>Figur 92</w:t>
        </w:r>
      </w:hyperlink>
      <w:r>
        <w:rPr/>
        <w:t> viser tilsvarende kort for udsnit nord for Nr. Broby for en opstrøms strækning i Odense</w:t>
      </w:r>
      <w:r>
        <w:rPr>
          <w:spacing w:val="-8"/>
        </w:rPr>
        <w:t> </w:t>
      </w:r>
      <w:r>
        <w:rPr/>
        <w:t>Å.</w:t>
      </w:r>
      <w:r>
        <w:rPr>
          <w:spacing w:val="-8"/>
        </w:rPr>
        <w:t> </w:t>
      </w:r>
      <w:r>
        <w:rPr/>
        <w:t>Igen</w:t>
      </w:r>
      <w:r>
        <w:rPr>
          <w:spacing w:val="-7"/>
        </w:rPr>
        <w:t> </w:t>
      </w:r>
      <w:r>
        <w:rPr/>
        <w:t>giver</w:t>
      </w:r>
      <w:r>
        <w:rPr>
          <w:spacing w:val="-8"/>
        </w:rPr>
        <w:t> </w:t>
      </w:r>
      <w:r>
        <w:rPr/>
        <w:t>modellen</w:t>
      </w:r>
      <w:r>
        <w:rPr>
          <w:spacing w:val="-7"/>
        </w:rPr>
        <w:t> </w:t>
      </w:r>
      <w:r>
        <w:rPr/>
        <w:t>et</w:t>
      </w:r>
      <w:r>
        <w:rPr>
          <w:spacing w:val="-8"/>
        </w:rPr>
        <w:t> </w:t>
      </w:r>
      <w:r>
        <w:rPr/>
        <w:t>langt</w:t>
      </w:r>
      <w:r>
        <w:rPr>
          <w:spacing w:val="-8"/>
        </w:rPr>
        <w:t> </w:t>
      </w:r>
      <w:r>
        <w:rPr/>
        <w:t>mere</w:t>
      </w:r>
      <w:r>
        <w:rPr>
          <w:spacing w:val="-8"/>
        </w:rPr>
        <w:t> </w:t>
      </w:r>
      <w:r>
        <w:rPr/>
        <w:t>detaljeret</w:t>
      </w:r>
      <w:r>
        <w:rPr>
          <w:spacing w:val="-8"/>
        </w:rPr>
        <w:t> </w:t>
      </w:r>
      <w:r>
        <w:rPr/>
        <w:t>billede</w:t>
      </w:r>
      <w:r>
        <w:rPr>
          <w:spacing w:val="-7"/>
        </w:rPr>
        <w:t> </w:t>
      </w:r>
      <w:r>
        <w:rPr/>
        <w:t>specielt</w:t>
      </w:r>
      <w:r>
        <w:rPr>
          <w:spacing w:val="-8"/>
        </w:rPr>
        <w:t> </w:t>
      </w:r>
      <w:r>
        <w:rPr/>
        <w:t>for</w:t>
      </w:r>
      <w:r>
        <w:rPr>
          <w:spacing w:val="-8"/>
        </w:rPr>
        <w:t> </w:t>
      </w:r>
      <w:r>
        <w:rPr/>
        <w:t>smalle</w:t>
      </w:r>
      <w:r>
        <w:rPr>
          <w:spacing w:val="-7"/>
        </w:rPr>
        <w:t> </w:t>
      </w:r>
      <w:r>
        <w:rPr/>
        <w:t>ådale</w:t>
      </w:r>
      <w:r>
        <w:rPr>
          <w:spacing w:val="-7"/>
        </w:rPr>
        <w:t> </w:t>
      </w:r>
      <w:r>
        <w:rPr/>
        <w:t>sam- menlignet</w:t>
      </w:r>
      <w:r>
        <w:rPr>
          <w:spacing w:val="-6"/>
        </w:rPr>
        <w:t> </w:t>
      </w:r>
      <w:r>
        <w:rPr/>
        <w:t>med</w:t>
      </w:r>
      <w:r>
        <w:rPr>
          <w:spacing w:val="-4"/>
        </w:rPr>
        <w:t> </w:t>
      </w:r>
      <w:r>
        <w:rPr/>
        <w:t>satellitdata.</w:t>
      </w:r>
      <w:r>
        <w:rPr>
          <w:spacing w:val="-6"/>
        </w:rPr>
        <w:t> </w:t>
      </w:r>
      <w:r>
        <w:rPr/>
        <w:t>Den</w:t>
      </w:r>
      <w:r>
        <w:rPr>
          <w:spacing w:val="-3"/>
        </w:rPr>
        <w:t> </w:t>
      </w:r>
      <w:r>
        <w:rPr/>
        <w:t>nedskalerede</w:t>
      </w:r>
      <w:r>
        <w:rPr>
          <w:spacing w:val="-5"/>
        </w:rPr>
        <w:t> </w:t>
      </w:r>
      <w:r>
        <w:rPr/>
        <w:t>version</w:t>
      </w:r>
      <w:r>
        <w:rPr>
          <w:spacing w:val="-4"/>
        </w:rPr>
        <w:t> </w:t>
      </w:r>
      <w:r>
        <w:rPr/>
        <w:t>illustrere</w:t>
      </w:r>
      <w:r>
        <w:rPr>
          <w:spacing w:val="-4"/>
        </w:rPr>
        <w:t> </w:t>
      </w:r>
      <w:r>
        <w:rPr/>
        <w:t>den</w:t>
      </w:r>
      <w:r>
        <w:rPr>
          <w:spacing w:val="-3"/>
        </w:rPr>
        <w:t> </w:t>
      </w:r>
      <w:r>
        <w:rPr/>
        <w:t>rumlige</w:t>
      </w:r>
      <w:r>
        <w:rPr>
          <w:spacing w:val="-5"/>
        </w:rPr>
        <w:t> </w:t>
      </w:r>
      <w:r>
        <w:rPr/>
        <w:t>variation,</w:t>
      </w:r>
      <w:r>
        <w:rPr>
          <w:spacing w:val="-5"/>
        </w:rPr>
        <w:t> </w:t>
      </w:r>
      <w:r>
        <w:rPr/>
        <w:t>der</w:t>
      </w:r>
      <w:r>
        <w:rPr>
          <w:spacing w:val="-5"/>
        </w:rPr>
        <w:t> </w:t>
      </w:r>
      <w:r>
        <w:rPr/>
        <w:t>er i området bedre, selvom det i grove træk er de samme 100 m grid der slår ud med dybde til terrænnært grundvand under 0.5-1</w:t>
      </w:r>
      <w:r>
        <w:rPr>
          <w:spacing w:val="-8"/>
        </w:rPr>
        <w:t> </w:t>
      </w:r>
      <w:r>
        <w:rPr/>
        <w:t>m.</w:t>
      </w:r>
    </w:p>
    <w:p>
      <w:pPr>
        <w:spacing w:after="0" w:line="288" w:lineRule="auto"/>
        <w:jc w:val="both"/>
        <w:sectPr>
          <w:pgSz w:w="11910" w:h="16850"/>
          <w:pgMar w:header="0" w:footer="937" w:top="1480" w:bottom="1120" w:left="1460" w:right="680"/>
        </w:sectPr>
      </w:pPr>
    </w:p>
    <w:p>
      <w:pPr>
        <w:pStyle w:val="BodyText"/>
        <w:ind w:left="583"/>
        <w:rPr>
          <w:sz w:val="20"/>
        </w:rPr>
      </w:pPr>
      <w:r>
        <w:rPr>
          <w:sz w:val="20"/>
        </w:rPr>
        <w:drawing>
          <wp:inline distT="0" distB="0" distL="0" distR="0">
            <wp:extent cx="5374997" cy="3164204"/>
            <wp:effectExtent l="0" t="0" r="0" b="0"/>
            <wp:docPr id="191" name="image111.jpeg" descr=""/>
            <wp:cNvGraphicFramePr>
              <a:graphicFrameLocks noChangeAspect="1"/>
            </wp:cNvGraphicFramePr>
            <a:graphic>
              <a:graphicData uri="http://schemas.openxmlformats.org/drawingml/2006/picture">
                <pic:pic>
                  <pic:nvPicPr>
                    <pic:cNvPr id="192" name="image111.jpeg"/>
                    <pic:cNvPicPr/>
                  </pic:nvPicPr>
                  <pic:blipFill>
                    <a:blip r:embed="rId119" cstate="print"/>
                    <a:stretch>
                      <a:fillRect/>
                    </a:stretch>
                  </pic:blipFill>
                  <pic:spPr>
                    <a:xfrm>
                      <a:off x="0" y="0"/>
                      <a:ext cx="5374997" cy="3164204"/>
                    </a:xfrm>
                    <a:prstGeom prst="rect">
                      <a:avLst/>
                    </a:prstGeom>
                  </pic:spPr>
                </pic:pic>
              </a:graphicData>
            </a:graphic>
          </wp:inline>
        </w:drawing>
      </w:r>
      <w:r>
        <w:rPr>
          <w:sz w:val="20"/>
        </w:rPr>
      </w:r>
    </w:p>
    <w:p>
      <w:pPr>
        <w:spacing w:before="74"/>
        <w:ind w:left="525" w:right="825" w:firstLine="0"/>
        <w:jc w:val="left"/>
        <w:rPr>
          <w:rFonts w:ascii="Calibri" w:hAnsi="Calibri"/>
          <w:i/>
          <w:sz w:val="18"/>
        </w:rPr>
      </w:pPr>
      <w:bookmarkStart w:name="_bookmark126" w:id="157"/>
      <w:bookmarkEnd w:id="157"/>
      <w:r>
        <w:rPr/>
      </w:r>
      <w:r>
        <w:rPr>
          <w:rFonts w:ascii="Calibri" w:hAnsi="Calibri"/>
          <w:i/>
          <w:color w:val="44536A"/>
          <w:sz w:val="18"/>
        </w:rPr>
        <w:t>Figur 92 ZOOM 5. Simuleret afstand til grundvandsspejl med 100 m model (venstre) og nedskaleret til 100 m (højre) </w:t>
      </w:r>
      <w:r>
        <w:rPr>
          <w:rFonts w:ascii="Calibri" w:hAnsi="Calibri"/>
          <w:i/>
          <w:color w:val="44536A"/>
          <w:sz w:val="18"/>
        </w:rPr>
        <w:t>og sammenlignet med observationer af DHI GRAS for 26. december 2015 hændelse. Odense Å opstrøms ved Nr.</w:t>
      </w:r>
    </w:p>
    <w:p>
      <w:pPr>
        <w:spacing w:before="2"/>
        <w:ind w:left="525" w:right="0" w:firstLine="0"/>
        <w:jc w:val="left"/>
        <w:rPr>
          <w:rFonts w:ascii="Calibri"/>
          <w:i/>
          <w:sz w:val="18"/>
        </w:rPr>
      </w:pPr>
      <w:r>
        <w:rPr>
          <w:rFonts w:ascii="Calibri"/>
          <w:i/>
          <w:color w:val="44536A"/>
          <w:sz w:val="18"/>
        </w:rPr>
        <w:t>Broby.</w:t>
      </w:r>
    </w:p>
    <w:p>
      <w:pPr>
        <w:pStyle w:val="BodyText"/>
        <w:rPr>
          <w:rFonts w:ascii="Calibri"/>
          <w:i/>
          <w:sz w:val="18"/>
        </w:rPr>
      </w:pPr>
    </w:p>
    <w:p>
      <w:pPr>
        <w:pStyle w:val="BodyText"/>
        <w:spacing w:before="4"/>
        <w:rPr>
          <w:rFonts w:ascii="Calibri"/>
          <w:i/>
          <w:sz w:val="24"/>
        </w:rPr>
      </w:pPr>
    </w:p>
    <w:p>
      <w:pPr>
        <w:pStyle w:val="Heading2"/>
        <w:numPr>
          <w:ilvl w:val="1"/>
          <w:numId w:val="15"/>
        </w:numPr>
        <w:tabs>
          <w:tab w:pos="1141" w:val="left" w:leader="none"/>
          <w:tab w:pos="1142" w:val="left" w:leader="none"/>
        </w:tabs>
        <w:spacing w:line="240" w:lineRule="auto" w:before="0" w:after="0"/>
        <w:ind w:left="525" w:right="888" w:firstLine="0"/>
        <w:jc w:val="left"/>
      </w:pPr>
      <w:bookmarkStart w:name="_bookmark127" w:id="158"/>
      <w:bookmarkEnd w:id="158"/>
      <w:r>
        <w:rPr>
          <w:b w:val="0"/>
        </w:rPr>
      </w:r>
      <w:bookmarkStart w:name="_bookmark127" w:id="159"/>
      <w:bookmarkEnd w:id="159"/>
      <w:r>
        <w:rPr/>
        <w:t>Si</w:t>
      </w:r>
      <w:r>
        <w:rPr/>
        <w:t>muleret vandstand i vandløb udbredt på terræn, Odense Å</w:t>
      </w:r>
    </w:p>
    <w:p>
      <w:pPr>
        <w:pStyle w:val="BodyText"/>
        <w:spacing w:line="288" w:lineRule="auto" w:before="240"/>
        <w:ind w:left="525" w:right="843"/>
      </w:pPr>
      <w:hyperlink w:history="true" w:anchor="_bookmark128">
        <w:r>
          <w:rPr/>
          <w:t>Figur 93</w:t>
        </w:r>
      </w:hyperlink>
      <w:r>
        <w:rPr/>
        <w:t> viser simulerede vandstande ved målestationer for kalibrering (2007-2008) og validering (2009- 2015).</w:t>
      </w:r>
    </w:p>
    <w:p>
      <w:pPr>
        <w:pStyle w:val="BodyText"/>
        <w:rPr>
          <w:sz w:val="24"/>
        </w:rPr>
      </w:pPr>
    </w:p>
    <w:p>
      <w:pPr>
        <w:pStyle w:val="BodyText"/>
        <w:spacing w:before="1"/>
        <w:rPr>
          <w:sz w:val="22"/>
        </w:rPr>
      </w:pPr>
    </w:p>
    <w:p>
      <w:pPr>
        <w:pStyle w:val="BodyText"/>
        <w:spacing w:line="288" w:lineRule="auto"/>
        <w:ind w:left="525" w:right="730"/>
        <w:jc w:val="both"/>
      </w:pPr>
      <w:r>
        <w:rPr/>
        <w:t>Kalibreringsresultater</w:t>
      </w:r>
      <w:r>
        <w:rPr>
          <w:spacing w:val="-12"/>
        </w:rPr>
        <w:t> </w:t>
      </w:r>
      <w:r>
        <w:rPr/>
        <w:t>for</w:t>
      </w:r>
      <w:r>
        <w:rPr>
          <w:spacing w:val="-10"/>
        </w:rPr>
        <w:t> </w:t>
      </w:r>
      <w:r>
        <w:rPr/>
        <w:t>Odense</w:t>
      </w:r>
      <w:r>
        <w:rPr>
          <w:spacing w:val="-11"/>
        </w:rPr>
        <w:t> </w:t>
      </w:r>
      <w:r>
        <w:rPr/>
        <w:t>Å</w:t>
      </w:r>
      <w:r>
        <w:rPr>
          <w:spacing w:val="-11"/>
        </w:rPr>
        <w:t> </w:t>
      </w:r>
      <w:r>
        <w:rPr/>
        <w:t>for</w:t>
      </w:r>
      <w:r>
        <w:rPr>
          <w:spacing w:val="-11"/>
        </w:rPr>
        <w:t> </w:t>
      </w:r>
      <w:r>
        <w:rPr/>
        <w:t>vandstanden</w:t>
      </w:r>
      <w:r>
        <w:rPr>
          <w:spacing w:val="-11"/>
        </w:rPr>
        <w:t> </w:t>
      </w:r>
      <w:r>
        <w:rPr/>
        <w:t>ved</w:t>
      </w:r>
      <w:r>
        <w:rPr>
          <w:spacing w:val="-11"/>
        </w:rPr>
        <w:t> </w:t>
      </w:r>
      <w:r>
        <w:rPr/>
        <w:t>de</w:t>
      </w:r>
      <w:r>
        <w:rPr>
          <w:spacing w:val="-10"/>
        </w:rPr>
        <w:t> </w:t>
      </w:r>
      <w:r>
        <w:rPr/>
        <w:t>6</w:t>
      </w:r>
      <w:r>
        <w:rPr>
          <w:spacing w:val="-11"/>
        </w:rPr>
        <w:t> </w:t>
      </w:r>
      <w:r>
        <w:rPr/>
        <w:t>målestationer</w:t>
      </w:r>
      <w:r>
        <w:rPr>
          <w:spacing w:val="-12"/>
        </w:rPr>
        <w:t> </w:t>
      </w:r>
      <w:r>
        <w:rPr/>
        <w:t>viser</w:t>
      </w:r>
      <w:r>
        <w:rPr>
          <w:spacing w:val="-11"/>
        </w:rPr>
        <w:t> </w:t>
      </w:r>
      <w:r>
        <w:rPr/>
        <w:t>rimelig</w:t>
      </w:r>
      <w:r>
        <w:rPr>
          <w:spacing w:val="-11"/>
        </w:rPr>
        <w:t> </w:t>
      </w:r>
      <w:r>
        <w:rPr/>
        <w:t>god overensstemmelse for max vandstande for 2007-2008. Efter fremkøring af modellen og plot af</w:t>
      </w:r>
      <w:r>
        <w:rPr>
          <w:spacing w:val="-2"/>
        </w:rPr>
        <w:t> </w:t>
      </w:r>
      <w:r>
        <w:rPr/>
        <w:t>resultater</w:t>
      </w:r>
      <w:r>
        <w:rPr>
          <w:spacing w:val="-4"/>
        </w:rPr>
        <w:t> </w:t>
      </w:r>
      <w:r>
        <w:rPr/>
        <w:t>for</w:t>
      </w:r>
      <w:r>
        <w:rPr>
          <w:spacing w:val="-4"/>
        </w:rPr>
        <w:t> </w:t>
      </w:r>
      <w:r>
        <w:rPr/>
        <w:t>valideringsperioden</w:t>
      </w:r>
      <w:r>
        <w:rPr>
          <w:spacing w:val="-4"/>
        </w:rPr>
        <w:t> </w:t>
      </w:r>
      <w:r>
        <w:rPr/>
        <w:t>fremgår</w:t>
      </w:r>
      <w:r>
        <w:rPr>
          <w:spacing w:val="-4"/>
        </w:rPr>
        <w:t> </w:t>
      </w:r>
      <w:r>
        <w:rPr/>
        <w:t>det,</w:t>
      </w:r>
      <w:r>
        <w:rPr>
          <w:spacing w:val="-5"/>
        </w:rPr>
        <w:t> </w:t>
      </w:r>
      <w:r>
        <w:rPr/>
        <w:t>at</w:t>
      </w:r>
      <w:r>
        <w:rPr>
          <w:spacing w:val="-4"/>
        </w:rPr>
        <w:t> </w:t>
      </w:r>
      <w:r>
        <w:rPr/>
        <w:t>observerede</w:t>
      </w:r>
      <w:r>
        <w:rPr>
          <w:spacing w:val="-4"/>
        </w:rPr>
        <w:t> </w:t>
      </w:r>
      <w:r>
        <w:rPr/>
        <w:t>vandstande</w:t>
      </w:r>
      <w:r>
        <w:rPr>
          <w:spacing w:val="-4"/>
        </w:rPr>
        <w:t> </w:t>
      </w:r>
      <w:r>
        <w:rPr/>
        <w:t>er</w:t>
      </w:r>
      <w:r>
        <w:rPr>
          <w:spacing w:val="-4"/>
        </w:rPr>
        <w:t> </w:t>
      </w:r>
      <w:r>
        <w:rPr/>
        <w:t>højere</w:t>
      </w:r>
      <w:r>
        <w:rPr>
          <w:spacing w:val="-4"/>
        </w:rPr>
        <w:t> </w:t>
      </w:r>
      <w:r>
        <w:rPr/>
        <w:t>i</w:t>
      </w:r>
      <w:r>
        <w:rPr>
          <w:spacing w:val="-3"/>
        </w:rPr>
        <w:t> </w:t>
      </w:r>
      <w:r>
        <w:rPr/>
        <w:t>vali- deringsperioden end i kalibreringsperioden ved de to stationer i nedre del af Odense Å. I Stavis</w:t>
      </w:r>
      <w:r>
        <w:rPr>
          <w:spacing w:val="-10"/>
        </w:rPr>
        <w:t> </w:t>
      </w:r>
      <w:r>
        <w:rPr/>
        <w:t>å</w:t>
      </w:r>
      <w:r>
        <w:rPr>
          <w:spacing w:val="-9"/>
        </w:rPr>
        <w:t> </w:t>
      </w:r>
      <w:r>
        <w:rPr/>
        <w:t>ses</w:t>
      </w:r>
      <w:r>
        <w:rPr>
          <w:spacing w:val="-9"/>
        </w:rPr>
        <w:t> </w:t>
      </w:r>
      <w:r>
        <w:rPr/>
        <w:t>et</w:t>
      </w:r>
      <w:r>
        <w:rPr>
          <w:spacing w:val="-12"/>
        </w:rPr>
        <w:t> </w:t>
      </w:r>
      <w:r>
        <w:rPr/>
        <w:t>’niveauskifte’</w:t>
      </w:r>
      <w:r>
        <w:rPr>
          <w:spacing w:val="-10"/>
        </w:rPr>
        <w:t> </w:t>
      </w:r>
      <w:r>
        <w:rPr/>
        <w:t>muligvis</w:t>
      </w:r>
      <w:r>
        <w:rPr>
          <w:spacing w:val="-9"/>
        </w:rPr>
        <w:t> </w:t>
      </w:r>
      <w:r>
        <w:rPr/>
        <w:t>relateret</w:t>
      </w:r>
      <w:r>
        <w:rPr>
          <w:spacing w:val="-11"/>
        </w:rPr>
        <w:t> </w:t>
      </w:r>
      <w:r>
        <w:rPr/>
        <w:t>til</w:t>
      </w:r>
      <w:r>
        <w:rPr>
          <w:spacing w:val="-8"/>
        </w:rPr>
        <w:t> </w:t>
      </w:r>
      <w:r>
        <w:rPr/>
        <w:t>restaurering</w:t>
      </w:r>
      <w:r>
        <w:rPr>
          <w:spacing w:val="-9"/>
        </w:rPr>
        <w:t> </w:t>
      </w:r>
      <w:r>
        <w:rPr/>
        <w:t>af</w:t>
      </w:r>
      <w:r>
        <w:rPr>
          <w:spacing w:val="-8"/>
        </w:rPr>
        <w:t> </w:t>
      </w:r>
      <w:r>
        <w:rPr/>
        <w:t>nedre</w:t>
      </w:r>
      <w:r>
        <w:rPr>
          <w:spacing w:val="-12"/>
        </w:rPr>
        <w:t> </w:t>
      </w:r>
      <w:r>
        <w:rPr/>
        <w:t>del</w:t>
      </w:r>
      <w:r>
        <w:rPr>
          <w:spacing w:val="-8"/>
        </w:rPr>
        <w:t> </w:t>
      </w:r>
      <w:r>
        <w:rPr/>
        <w:t>af</w:t>
      </w:r>
      <w:r>
        <w:rPr>
          <w:spacing w:val="-8"/>
        </w:rPr>
        <w:t> </w:t>
      </w:r>
      <w:r>
        <w:rPr/>
        <w:t>Stavis</w:t>
      </w:r>
      <w:r>
        <w:rPr>
          <w:spacing w:val="-9"/>
        </w:rPr>
        <w:t> </w:t>
      </w:r>
      <w:r>
        <w:rPr/>
        <w:t>å.</w:t>
      </w:r>
      <w:r>
        <w:rPr>
          <w:spacing w:val="-10"/>
        </w:rPr>
        <w:t> </w:t>
      </w:r>
      <w:r>
        <w:rPr/>
        <w:t>Resul- taterne indikerer, at det Manningtal, der gjalt for 2007-2008, muligvis ikke gælder for 2009- 2015. En rekalibrering i forhold til de senere år kunne derfor være relevant for nærmere at teste</w:t>
      </w:r>
      <w:r>
        <w:rPr>
          <w:spacing w:val="-4"/>
        </w:rPr>
        <w:t> </w:t>
      </w:r>
      <w:r>
        <w:rPr/>
        <w:t>denne</w:t>
      </w:r>
      <w:r>
        <w:rPr>
          <w:spacing w:val="-4"/>
        </w:rPr>
        <w:t> </w:t>
      </w:r>
      <w:r>
        <w:rPr/>
        <w:t>denne</w:t>
      </w:r>
      <w:r>
        <w:rPr>
          <w:spacing w:val="-2"/>
        </w:rPr>
        <w:t> </w:t>
      </w:r>
      <w:r>
        <w:rPr/>
        <w:t>udvikling,</w:t>
      </w:r>
      <w:r>
        <w:rPr>
          <w:spacing w:val="-5"/>
        </w:rPr>
        <w:t> </w:t>
      </w:r>
      <w:r>
        <w:rPr/>
        <w:t>som</w:t>
      </w:r>
      <w:r>
        <w:rPr>
          <w:spacing w:val="-1"/>
        </w:rPr>
        <w:t> </w:t>
      </w:r>
      <w:r>
        <w:rPr/>
        <w:t>altså</w:t>
      </w:r>
      <w:r>
        <w:rPr>
          <w:spacing w:val="-6"/>
        </w:rPr>
        <w:t> </w:t>
      </w:r>
      <w:r>
        <w:rPr/>
        <w:t>ikke</w:t>
      </w:r>
      <w:r>
        <w:rPr>
          <w:spacing w:val="-3"/>
        </w:rPr>
        <w:t> </w:t>
      </w:r>
      <w:r>
        <w:rPr/>
        <w:t>umiddelbart</w:t>
      </w:r>
      <w:r>
        <w:rPr>
          <w:spacing w:val="-8"/>
        </w:rPr>
        <w:t> </w:t>
      </w:r>
      <w:r>
        <w:rPr/>
        <w:t>kan</w:t>
      </w:r>
      <w:r>
        <w:rPr>
          <w:spacing w:val="-6"/>
        </w:rPr>
        <w:t> </w:t>
      </w:r>
      <w:r>
        <w:rPr/>
        <w:t>forklares</w:t>
      </w:r>
      <w:r>
        <w:rPr>
          <w:spacing w:val="-3"/>
        </w:rPr>
        <w:t> </w:t>
      </w:r>
      <w:r>
        <w:rPr/>
        <w:t>af</w:t>
      </w:r>
      <w:r>
        <w:rPr>
          <w:spacing w:val="-5"/>
        </w:rPr>
        <w:t> </w:t>
      </w:r>
      <w:r>
        <w:rPr/>
        <w:t>modellen.</w:t>
      </w:r>
      <w:r>
        <w:rPr>
          <w:spacing w:val="-4"/>
        </w:rPr>
        <w:t> </w:t>
      </w:r>
      <w:r>
        <w:rPr/>
        <w:t>Er</w:t>
      </w:r>
      <w:r>
        <w:rPr>
          <w:spacing w:val="-4"/>
        </w:rPr>
        <w:t> </w:t>
      </w:r>
      <w:r>
        <w:rPr/>
        <w:t>vand- føringsevnen reduceret gennem perioden, og hvad kunne det i givet fald skyldes (vedlige- holdelse, grøde, bygværker?). I så fald vil man ikke kunne arbejde med den anvendte kali- breringsmetodik,</w:t>
      </w:r>
      <w:r>
        <w:rPr>
          <w:spacing w:val="-9"/>
        </w:rPr>
        <w:t> </w:t>
      </w:r>
      <w:r>
        <w:rPr/>
        <w:t>men</w:t>
      </w:r>
      <w:r>
        <w:rPr>
          <w:spacing w:val="-8"/>
        </w:rPr>
        <w:t> </w:t>
      </w:r>
      <w:r>
        <w:rPr/>
        <w:t>må</w:t>
      </w:r>
      <w:r>
        <w:rPr>
          <w:spacing w:val="-8"/>
        </w:rPr>
        <w:t> </w:t>
      </w:r>
      <w:r>
        <w:rPr/>
        <w:t>i</w:t>
      </w:r>
      <w:r>
        <w:rPr>
          <w:spacing w:val="-5"/>
        </w:rPr>
        <w:t> </w:t>
      </w:r>
      <w:r>
        <w:rPr/>
        <w:t>stedet</w:t>
      </w:r>
      <w:r>
        <w:rPr>
          <w:spacing w:val="-7"/>
        </w:rPr>
        <w:t> </w:t>
      </w:r>
      <w:r>
        <w:rPr/>
        <w:t>kalibrere</w:t>
      </w:r>
      <w:r>
        <w:rPr>
          <w:spacing w:val="-6"/>
        </w:rPr>
        <w:t> </w:t>
      </w:r>
      <w:r>
        <w:rPr/>
        <w:t>Manningtallet</w:t>
      </w:r>
      <w:r>
        <w:rPr>
          <w:spacing w:val="-7"/>
        </w:rPr>
        <w:t> </w:t>
      </w:r>
      <w:r>
        <w:rPr/>
        <w:t>inkl.</w:t>
      </w:r>
      <w:r>
        <w:rPr>
          <w:spacing w:val="-7"/>
        </w:rPr>
        <w:t> </w:t>
      </w:r>
      <w:r>
        <w:rPr/>
        <w:t>den</w:t>
      </w:r>
      <w:r>
        <w:rPr>
          <w:spacing w:val="-6"/>
        </w:rPr>
        <w:t> </w:t>
      </w:r>
      <w:r>
        <w:rPr/>
        <w:t>evt.</w:t>
      </w:r>
      <w:r>
        <w:rPr>
          <w:spacing w:val="-5"/>
        </w:rPr>
        <w:t> </w:t>
      </w:r>
      <w:r>
        <w:rPr/>
        <w:t>trend</w:t>
      </w:r>
      <w:r>
        <w:rPr>
          <w:spacing w:val="-6"/>
        </w:rPr>
        <w:t> </w:t>
      </w:r>
      <w:r>
        <w:rPr/>
        <w:t>i</w:t>
      </w:r>
      <w:r>
        <w:rPr>
          <w:spacing w:val="-5"/>
        </w:rPr>
        <w:t> </w:t>
      </w:r>
      <w:r>
        <w:rPr/>
        <w:t>vandløbsruhe- den. Omvendt må man konstatere, at det er en styrke ved modellen, at den er i stand til at identificere denne problemstilling og således rejse</w:t>
      </w:r>
      <w:r>
        <w:rPr>
          <w:spacing w:val="-11"/>
        </w:rPr>
        <w:t> </w:t>
      </w:r>
      <w:r>
        <w:rPr/>
        <w:t>spørgsmålet.</w:t>
      </w:r>
    </w:p>
    <w:p>
      <w:pPr>
        <w:spacing w:after="0" w:line="288" w:lineRule="auto"/>
        <w:jc w:val="both"/>
        <w:sectPr>
          <w:pgSz w:w="11910" w:h="16850"/>
          <w:pgMar w:header="0" w:footer="937" w:top="1480" w:bottom="1120" w:left="1460" w:right="680"/>
        </w:sectPr>
      </w:pPr>
    </w:p>
    <w:p>
      <w:pPr>
        <w:pStyle w:val="BodyText"/>
        <w:ind w:left="1230"/>
        <w:rPr>
          <w:sz w:val="20"/>
        </w:rPr>
      </w:pPr>
      <w:r>
        <w:rPr>
          <w:sz w:val="20"/>
        </w:rPr>
        <w:drawing>
          <wp:inline distT="0" distB="0" distL="0" distR="0">
            <wp:extent cx="4447145" cy="3838479"/>
            <wp:effectExtent l="0" t="0" r="0" b="0"/>
            <wp:docPr id="193" name="image73.jpeg" descr=""/>
            <wp:cNvGraphicFramePr>
              <a:graphicFrameLocks noChangeAspect="1"/>
            </wp:cNvGraphicFramePr>
            <a:graphic>
              <a:graphicData uri="http://schemas.openxmlformats.org/drawingml/2006/picture">
                <pic:pic>
                  <pic:nvPicPr>
                    <pic:cNvPr id="194" name="image73.jpeg"/>
                    <pic:cNvPicPr/>
                  </pic:nvPicPr>
                  <pic:blipFill>
                    <a:blip r:embed="rId79" cstate="print"/>
                    <a:stretch>
                      <a:fillRect/>
                    </a:stretch>
                  </pic:blipFill>
                  <pic:spPr>
                    <a:xfrm>
                      <a:off x="0" y="0"/>
                      <a:ext cx="4447145" cy="3838479"/>
                    </a:xfrm>
                    <a:prstGeom prst="rect">
                      <a:avLst/>
                    </a:prstGeom>
                  </pic:spPr>
                </pic:pic>
              </a:graphicData>
            </a:graphic>
          </wp:inline>
        </w:drawing>
      </w:r>
      <w:r>
        <w:rPr>
          <w:sz w:val="20"/>
        </w:rPr>
      </w:r>
    </w:p>
    <w:p>
      <w:pPr>
        <w:pStyle w:val="BodyText"/>
        <w:spacing w:before="1"/>
        <w:rPr>
          <w:sz w:val="15"/>
        </w:rPr>
      </w:pPr>
      <w:r>
        <w:rPr/>
        <w:drawing>
          <wp:anchor distT="0" distB="0" distL="0" distR="0" allowOverlap="1" layoutInCell="1" locked="0" behindDoc="0" simplePos="0" relativeHeight="72">
            <wp:simplePos x="0" y="0"/>
            <wp:positionH relativeFrom="page">
              <wp:posOffset>1708678</wp:posOffset>
            </wp:positionH>
            <wp:positionV relativeFrom="paragraph">
              <wp:posOffset>135087</wp:posOffset>
            </wp:positionV>
            <wp:extent cx="4525586" cy="3838479"/>
            <wp:effectExtent l="0" t="0" r="0" b="0"/>
            <wp:wrapTopAndBottom/>
            <wp:docPr id="195" name="image112.jpeg" descr=""/>
            <wp:cNvGraphicFramePr>
              <a:graphicFrameLocks noChangeAspect="1"/>
            </wp:cNvGraphicFramePr>
            <a:graphic>
              <a:graphicData uri="http://schemas.openxmlformats.org/drawingml/2006/picture">
                <pic:pic>
                  <pic:nvPicPr>
                    <pic:cNvPr id="196" name="image112.jpeg"/>
                    <pic:cNvPicPr/>
                  </pic:nvPicPr>
                  <pic:blipFill>
                    <a:blip r:embed="rId120" cstate="print"/>
                    <a:stretch>
                      <a:fillRect/>
                    </a:stretch>
                  </pic:blipFill>
                  <pic:spPr>
                    <a:xfrm>
                      <a:off x="0" y="0"/>
                      <a:ext cx="4525586" cy="3838479"/>
                    </a:xfrm>
                    <a:prstGeom prst="rect">
                      <a:avLst/>
                    </a:prstGeom>
                  </pic:spPr>
                </pic:pic>
              </a:graphicData>
            </a:graphic>
          </wp:anchor>
        </w:drawing>
      </w:r>
    </w:p>
    <w:p>
      <w:pPr>
        <w:pStyle w:val="BodyText"/>
        <w:spacing w:before="8"/>
        <w:rPr>
          <w:sz w:val="6"/>
        </w:rPr>
      </w:pPr>
    </w:p>
    <w:p>
      <w:pPr>
        <w:spacing w:before="64"/>
        <w:ind w:left="525" w:right="772" w:firstLine="0"/>
        <w:jc w:val="left"/>
        <w:rPr>
          <w:rFonts w:ascii="Calibri" w:hAnsi="Calibri"/>
          <w:i/>
          <w:sz w:val="18"/>
        </w:rPr>
      </w:pPr>
      <w:bookmarkStart w:name="_bookmark128" w:id="160"/>
      <w:bookmarkEnd w:id="160"/>
      <w:r>
        <w:rPr/>
      </w:r>
      <w:r>
        <w:rPr>
          <w:rFonts w:ascii="Calibri" w:hAnsi="Calibri"/>
          <w:i/>
          <w:color w:val="44536A"/>
          <w:sz w:val="18"/>
        </w:rPr>
        <w:t>Figur 93 Sammenligning af simuleret vandspejl (m) med MIKE HYDRO River og målte vandspejl for kalibreringsperio- </w:t>
      </w:r>
      <w:r>
        <w:rPr>
          <w:rFonts w:ascii="Calibri" w:hAnsi="Calibri"/>
          <w:i/>
          <w:color w:val="44536A"/>
          <w:sz w:val="18"/>
        </w:rPr>
        <w:t>den (2007-2008 øverst) og valideringsperioden (2009-2015 nederst). Vandstand I kote DNN.</w:t>
      </w:r>
    </w:p>
    <w:p>
      <w:pPr>
        <w:spacing w:after="0"/>
        <w:jc w:val="left"/>
        <w:rPr>
          <w:rFonts w:ascii="Calibri" w:hAnsi="Calibri"/>
          <w:sz w:val="18"/>
        </w:rPr>
        <w:sectPr>
          <w:pgSz w:w="11910" w:h="16850"/>
          <w:pgMar w:header="0" w:footer="937" w:top="1560" w:bottom="1120" w:left="1460" w:right="680"/>
        </w:sectPr>
      </w:pPr>
    </w:p>
    <w:p>
      <w:pPr>
        <w:pStyle w:val="BodyText"/>
        <w:spacing w:line="288" w:lineRule="auto" w:before="75"/>
        <w:ind w:left="525" w:right="732"/>
        <w:jc w:val="both"/>
      </w:pPr>
      <w:r>
        <w:rPr/>
        <w:t>I </w:t>
      </w:r>
      <w:hyperlink w:history="true" w:anchor="_bookmark129">
        <w:r>
          <w:rPr/>
          <w:t>figur 94 </w:t>
        </w:r>
      </w:hyperlink>
      <w:r>
        <w:rPr/>
        <w:t>er vist resultatet af sammenligning af forskellige kørsler for Odense Å med time og daglige værdier af nedbøren. Det fremgår, at der ikke er nævneværdige forskelle for de 6 vandløb</w:t>
      </w:r>
      <w:r>
        <w:rPr>
          <w:spacing w:val="-6"/>
        </w:rPr>
        <w:t> </w:t>
      </w:r>
      <w:r>
        <w:rPr/>
        <w:t>ved</w:t>
      </w:r>
      <w:r>
        <w:rPr>
          <w:spacing w:val="-5"/>
        </w:rPr>
        <w:t> </w:t>
      </w:r>
      <w:r>
        <w:rPr/>
        <w:t>anvendelse</w:t>
      </w:r>
      <w:r>
        <w:rPr>
          <w:spacing w:val="-6"/>
        </w:rPr>
        <w:t> </w:t>
      </w:r>
      <w:r>
        <w:rPr/>
        <w:t>af</w:t>
      </w:r>
      <w:r>
        <w:rPr>
          <w:spacing w:val="-3"/>
        </w:rPr>
        <w:t> </w:t>
      </w:r>
      <w:r>
        <w:rPr/>
        <w:t>timeværdier</w:t>
      </w:r>
      <w:r>
        <w:rPr>
          <w:spacing w:val="-7"/>
        </w:rPr>
        <w:t> </w:t>
      </w:r>
      <w:r>
        <w:rPr/>
        <w:t>og</w:t>
      </w:r>
      <w:r>
        <w:rPr>
          <w:spacing w:val="-5"/>
        </w:rPr>
        <w:t> </w:t>
      </w:r>
      <w:r>
        <w:rPr/>
        <w:t>daglige</w:t>
      </w:r>
      <w:r>
        <w:rPr>
          <w:spacing w:val="-6"/>
        </w:rPr>
        <w:t> </w:t>
      </w:r>
      <w:r>
        <w:rPr/>
        <w:t>værdier</w:t>
      </w:r>
      <w:r>
        <w:rPr>
          <w:spacing w:val="-6"/>
        </w:rPr>
        <w:t> </w:t>
      </w:r>
      <w:r>
        <w:rPr/>
        <w:t>for</w:t>
      </w:r>
      <w:r>
        <w:rPr>
          <w:spacing w:val="-7"/>
        </w:rPr>
        <w:t> </w:t>
      </w:r>
      <w:r>
        <w:rPr/>
        <w:t>nedbør</w:t>
      </w:r>
      <w:r>
        <w:rPr>
          <w:spacing w:val="-5"/>
        </w:rPr>
        <w:t> </w:t>
      </w:r>
      <w:r>
        <w:rPr/>
        <w:t>hverken</w:t>
      </w:r>
      <w:r>
        <w:rPr>
          <w:spacing w:val="-8"/>
        </w:rPr>
        <w:t> </w:t>
      </w:r>
      <w:r>
        <w:rPr/>
        <w:t>for</w:t>
      </w:r>
      <w:r>
        <w:rPr>
          <w:spacing w:val="-6"/>
        </w:rPr>
        <w:t> </w:t>
      </w:r>
      <w:r>
        <w:rPr/>
        <w:t>max</w:t>
      </w:r>
      <w:r>
        <w:rPr>
          <w:spacing w:val="-6"/>
        </w:rPr>
        <w:t> </w:t>
      </w:r>
      <w:r>
        <w:rPr/>
        <w:t>vær- dier eller for den generelle</w:t>
      </w:r>
      <w:r>
        <w:rPr>
          <w:spacing w:val="-11"/>
        </w:rPr>
        <w:t> </w:t>
      </w:r>
      <w:r>
        <w:rPr/>
        <w:t>variation.</w:t>
      </w:r>
    </w:p>
    <w:p>
      <w:pPr>
        <w:pStyle w:val="BodyText"/>
        <w:rPr>
          <w:sz w:val="20"/>
        </w:rPr>
      </w:pPr>
    </w:p>
    <w:p>
      <w:pPr>
        <w:pStyle w:val="BodyText"/>
        <w:spacing w:before="4"/>
        <w:rPr>
          <w:sz w:val="15"/>
        </w:rPr>
      </w:pPr>
      <w:r>
        <w:rPr/>
        <w:drawing>
          <wp:anchor distT="0" distB="0" distL="0" distR="0" allowOverlap="1" layoutInCell="1" locked="0" behindDoc="0" simplePos="0" relativeHeight="73">
            <wp:simplePos x="0" y="0"/>
            <wp:positionH relativeFrom="page">
              <wp:posOffset>1676278</wp:posOffset>
            </wp:positionH>
            <wp:positionV relativeFrom="paragraph">
              <wp:posOffset>137316</wp:posOffset>
            </wp:positionV>
            <wp:extent cx="4477461" cy="3838479"/>
            <wp:effectExtent l="0" t="0" r="0" b="0"/>
            <wp:wrapTopAndBottom/>
            <wp:docPr id="197" name="image113.jpeg" descr=""/>
            <wp:cNvGraphicFramePr>
              <a:graphicFrameLocks noChangeAspect="1"/>
            </wp:cNvGraphicFramePr>
            <a:graphic>
              <a:graphicData uri="http://schemas.openxmlformats.org/drawingml/2006/picture">
                <pic:pic>
                  <pic:nvPicPr>
                    <pic:cNvPr id="198" name="image113.jpeg"/>
                    <pic:cNvPicPr/>
                  </pic:nvPicPr>
                  <pic:blipFill>
                    <a:blip r:embed="rId122" cstate="print"/>
                    <a:stretch>
                      <a:fillRect/>
                    </a:stretch>
                  </pic:blipFill>
                  <pic:spPr>
                    <a:xfrm>
                      <a:off x="0" y="0"/>
                      <a:ext cx="4477461" cy="3838479"/>
                    </a:xfrm>
                    <a:prstGeom prst="rect">
                      <a:avLst/>
                    </a:prstGeom>
                  </pic:spPr>
                </pic:pic>
              </a:graphicData>
            </a:graphic>
          </wp:anchor>
        </w:drawing>
      </w:r>
    </w:p>
    <w:p>
      <w:pPr>
        <w:spacing w:before="124"/>
        <w:ind w:left="525" w:right="0" w:firstLine="0"/>
        <w:jc w:val="both"/>
        <w:rPr>
          <w:rFonts w:ascii="Calibri" w:hAnsi="Calibri"/>
          <w:i/>
          <w:sz w:val="18"/>
        </w:rPr>
      </w:pPr>
      <w:bookmarkStart w:name="_bookmark129" w:id="161"/>
      <w:bookmarkEnd w:id="161"/>
      <w:r>
        <w:rPr/>
      </w:r>
      <w:r>
        <w:rPr>
          <w:rFonts w:ascii="Calibri" w:hAnsi="Calibri"/>
          <w:i/>
          <w:color w:val="44536A"/>
          <w:sz w:val="18"/>
        </w:rPr>
        <w:t>Figur 94 Sammenligning af simulering af vandspejl med daglige og time værdi input for nedbør for Odense Å</w:t>
      </w:r>
    </w:p>
    <w:p>
      <w:pPr>
        <w:spacing w:after="0"/>
        <w:jc w:val="both"/>
        <w:rPr>
          <w:rFonts w:ascii="Calibri" w:hAnsi="Calibri"/>
          <w:sz w:val="18"/>
        </w:rPr>
        <w:sectPr>
          <w:footerReference w:type="default" r:id="rId121"/>
          <w:pgSz w:w="11910" w:h="16850"/>
          <w:pgMar w:footer="937" w:header="0" w:top="1340" w:bottom="1120" w:left="1460" w:right="680"/>
        </w:sectPr>
      </w:pPr>
    </w:p>
    <w:p>
      <w:pPr>
        <w:pStyle w:val="Heading5"/>
        <w:spacing w:before="75"/>
        <w:rPr>
          <w:i/>
        </w:rPr>
      </w:pPr>
      <w:r>
        <w:rPr>
          <w:i/>
        </w:rPr>
        <w:t>Simuleret vandstand udbredt på terræn med COWI GIS tool</w:t>
      </w:r>
    </w:p>
    <w:p>
      <w:pPr>
        <w:pStyle w:val="BodyText"/>
        <w:spacing w:line="288" w:lineRule="auto" w:before="49"/>
        <w:ind w:left="525" w:right="732"/>
        <w:jc w:val="both"/>
      </w:pPr>
      <w:r>
        <w:rPr/>
        <w:drawing>
          <wp:anchor distT="0" distB="0" distL="0" distR="0" allowOverlap="1" layoutInCell="1" locked="0" behindDoc="0" simplePos="0" relativeHeight="74">
            <wp:simplePos x="0" y="0"/>
            <wp:positionH relativeFrom="page">
              <wp:posOffset>1326706</wp:posOffset>
            </wp:positionH>
            <wp:positionV relativeFrom="paragraph">
              <wp:posOffset>650414</wp:posOffset>
            </wp:positionV>
            <wp:extent cx="4849560" cy="3407664"/>
            <wp:effectExtent l="0" t="0" r="0" b="0"/>
            <wp:wrapTopAndBottom/>
            <wp:docPr id="199" name="image114.jpeg" descr=""/>
            <wp:cNvGraphicFramePr>
              <a:graphicFrameLocks noChangeAspect="1"/>
            </wp:cNvGraphicFramePr>
            <a:graphic>
              <a:graphicData uri="http://schemas.openxmlformats.org/drawingml/2006/picture">
                <pic:pic>
                  <pic:nvPicPr>
                    <pic:cNvPr id="200" name="image114.jpeg"/>
                    <pic:cNvPicPr/>
                  </pic:nvPicPr>
                  <pic:blipFill>
                    <a:blip r:embed="rId124" cstate="print"/>
                    <a:stretch>
                      <a:fillRect/>
                    </a:stretch>
                  </pic:blipFill>
                  <pic:spPr>
                    <a:xfrm>
                      <a:off x="0" y="0"/>
                      <a:ext cx="4849560" cy="3407664"/>
                    </a:xfrm>
                    <a:prstGeom prst="rect">
                      <a:avLst/>
                    </a:prstGeom>
                  </pic:spPr>
                </pic:pic>
              </a:graphicData>
            </a:graphic>
          </wp:anchor>
        </w:drawing>
      </w:r>
      <w:hyperlink w:history="true" w:anchor="_bookmark130">
        <w:r>
          <w:rPr/>
          <w:t>Figur</w:t>
        </w:r>
        <w:r>
          <w:rPr>
            <w:spacing w:val="-5"/>
          </w:rPr>
          <w:t> </w:t>
        </w:r>
        <w:r>
          <w:rPr/>
          <w:t>95</w:t>
        </w:r>
        <w:r>
          <w:rPr>
            <w:spacing w:val="-6"/>
          </w:rPr>
          <w:t> </w:t>
        </w:r>
      </w:hyperlink>
      <w:r>
        <w:rPr/>
        <w:t>og</w:t>
      </w:r>
      <w:r>
        <w:rPr>
          <w:spacing w:val="-3"/>
        </w:rPr>
        <w:t> </w:t>
      </w:r>
      <w:r>
        <w:rPr/>
        <w:t>96</w:t>
      </w:r>
      <w:r>
        <w:rPr>
          <w:spacing w:val="-3"/>
        </w:rPr>
        <w:t> </w:t>
      </w:r>
      <w:r>
        <w:rPr/>
        <w:t>viser</w:t>
      </w:r>
      <w:r>
        <w:rPr>
          <w:spacing w:val="-4"/>
        </w:rPr>
        <w:t> </w:t>
      </w:r>
      <w:r>
        <w:rPr/>
        <w:t>vand</w:t>
      </w:r>
      <w:r>
        <w:rPr>
          <w:spacing w:val="-6"/>
        </w:rPr>
        <w:t> </w:t>
      </w:r>
      <w:r>
        <w:rPr/>
        <w:t>på</w:t>
      </w:r>
      <w:r>
        <w:rPr>
          <w:spacing w:val="-3"/>
        </w:rPr>
        <w:t> </w:t>
      </w:r>
      <w:r>
        <w:rPr/>
        <w:t>terræn</w:t>
      </w:r>
      <w:r>
        <w:rPr>
          <w:spacing w:val="-4"/>
        </w:rPr>
        <w:t> </w:t>
      </w:r>
      <w:r>
        <w:rPr/>
        <w:t>ved</w:t>
      </w:r>
      <w:r>
        <w:rPr>
          <w:spacing w:val="-3"/>
        </w:rPr>
        <w:t> </w:t>
      </w:r>
      <w:r>
        <w:rPr/>
        <w:t>brug</w:t>
      </w:r>
      <w:r>
        <w:rPr>
          <w:spacing w:val="-4"/>
        </w:rPr>
        <w:t> </w:t>
      </w:r>
      <w:r>
        <w:rPr/>
        <w:t>af</w:t>
      </w:r>
      <w:r>
        <w:rPr>
          <w:spacing w:val="-4"/>
        </w:rPr>
        <w:t> </w:t>
      </w:r>
      <w:r>
        <w:rPr/>
        <w:t>COWI</w:t>
      </w:r>
      <w:r>
        <w:rPr>
          <w:spacing w:val="-7"/>
        </w:rPr>
        <w:t> </w:t>
      </w:r>
      <w:r>
        <w:rPr/>
        <w:t>GIS</w:t>
      </w:r>
      <w:r>
        <w:rPr>
          <w:spacing w:val="-3"/>
        </w:rPr>
        <w:t> </w:t>
      </w:r>
      <w:r>
        <w:rPr/>
        <w:t>tool,</w:t>
      </w:r>
      <w:r>
        <w:rPr>
          <w:spacing w:val="-7"/>
        </w:rPr>
        <w:t> </w:t>
      </w:r>
      <w:r>
        <w:rPr/>
        <w:t>for</w:t>
      </w:r>
      <w:r>
        <w:rPr>
          <w:spacing w:val="-4"/>
        </w:rPr>
        <w:t> </w:t>
      </w:r>
      <w:r>
        <w:rPr/>
        <w:t>hele</w:t>
      </w:r>
      <w:r>
        <w:rPr>
          <w:spacing w:val="-6"/>
        </w:rPr>
        <w:t> </w:t>
      </w:r>
      <w:r>
        <w:rPr/>
        <w:t>modelområdet.</w:t>
      </w:r>
      <w:r>
        <w:rPr>
          <w:spacing w:val="-5"/>
        </w:rPr>
        <w:t> </w:t>
      </w:r>
      <w:r>
        <w:rPr/>
        <w:t>Det simulerede vandstand kommer fra de to løsningsmoduler, MikeHydroRiver og det eksterne vandstandsmodul udviklet af</w:t>
      </w:r>
      <w:r>
        <w:rPr>
          <w:spacing w:val="-6"/>
        </w:rPr>
        <w:t> </w:t>
      </w:r>
      <w:r>
        <w:rPr/>
        <w:t>HydroInform.</w:t>
      </w:r>
    </w:p>
    <w:p>
      <w:pPr>
        <w:spacing w:before="135"/>
        <w:ind w:left="525" w:right="790" w:firstLine="0"/>
        <w:jc w:val="left"/>
        <w:rPr>
          <w:rFonts w:ascii="Calibri" w:hAnsi="Calibri"/>
          <w:i/>
          <w:sz w:val="18"/>
        </w:rPr>
      </w:pPr>
      <w:bookmarkStart w:name="_bookmark130" w:id="162"/>
      <w:bookmarkEnd w:id="162"/>
      <w:r>
        <w:rPr/>
      </w:r>
      <w:r>
        <w:rPr>
          <w:rFonts w:ascii="Calibri" w:hAnsi="Calibri"/>
          <w:i/>
          <w:color w:val="44536A"/>
          <w:sz w:val="18"/>
        </w:rPr>
        <w:t>Figur 95 Simuleret vand på terræn med MIKE HYDRO River og COWI GIS tool til udbredelse af vand på terræn for 26. </w:t>
      </w:r>
      <w:r>
        <w:rPr>
          <w:rFonts w:ascii="Calibri" w:hAnsi="Calibri"/>
          <w:i/>
          <w:color w:val="44536A"/>
          <w:sz w:val="18"/>
        </w:rPr>
        <w:t>december 2015.</w:t>
      </w:r>
    </w:p>
    <w:p>
      <w:pPr>
        <w:pStyle w:val="BodyText"/>
        <w:spacing w:before="9"/>
        <w:rPr>
          <w:rFonts w:ascii="Calibri"/>
          <w:i/>
        </w:rPr>
      </w:pPr>
      <w:r>
        <w:rPr/>
        <w:drawing>
          <wp:anchor distT="0" distB="0" distL="0" distR="0" allowOverlap="1" layoutInCell="1" locked="0" behindDoc="0" simplePos="0" relativeHeight="75">
            <wp:simplePos x="0" y="0"/>
            <wp:positionH relativeFrom="page">
              <wp:posOffset>1327002</wp:posOffset>
            </wp:positionH>
            <wp:positionV relativeFrom="paragraph">
              <wp:posOffset>193563</wp:posOffset>
            </wp:positionV>
            <wp:extent cx="4961837" cy="3486912"/>
            <wp:effectExtent l="0" t="0" r="0" b="0"/>
            <wp:wrapTopAndBottom/>
            <wp:docPr id="201" name="image115.jpeg" descr=""/>
            <wp:cNvGraphicFramePr>
              <a:graphicFrameLocks noChangeAspect="1"/>
            </wp:cNvGraphicFramePr>
            <a:graphic>
              <a:graphicData uri="http://schemas.openxmlformats.org/drawingml/2006/picture">
                <pic:pic>
                  <pic:nvPicPr>
                    <pic:cNvPr id="202" name="image115.jpeg"/>
                    <pic:cNvPicPr/>
                  </pic:nvPicPr>
                  <pic:blipFill>
                    <a:blip r:embed="rId125" cstate="print"/>
                    <a:stretch>
                      <a:fillRect/>
                    </a:stretch>
                  </pic:blipFill>
                  <pic:spPr>
                    <a:xfrm>
                      <a:off x="0" y="0"/>
                      <a:ext cx="4961837" cy="3486912"/>
                    </a:xfrm>
                    <a:prstGeom prst="rect">
                      <a:avLst/>
                    </a:prstGeom>
                  </pic:spPr>
                </pic:pic>
              </a:graphicData>
            </a:graphic>
          </wp:anchor>
        </w:drawing>
      </w:r>
    </w:p>
    <w:p>
      <w:pPr>
        <w:spacing w:before="37"/>
        <w:ind w:left="525" w:right="963" w:firstLine="0"/>
        <w:jc w:val="left"/>
        <w:rPr>
          <w:rFonts w:ascii="Calibri" w:hAnsi="Calibri"/>
          <w:i/>
          <w:sz w:val="18"/>
        </w:rPr>
      </w:pPr>
      <w:r>
        <w:rPr>
          <w:rFonts w:ascii="Calibri" w:hAnsi="Calibri"/>
          <w:i/>
          <w:color w:val="44536A"/>
          <w:sz w:val="18"/>
        </w:rPr>
        <w:t>Figur 96 Simuleret vand på terræn med ekstern Hydroinform Vandstandsmodul og COWI GIS tool til udbredelse af </w:t>
      </w:r>
      <w:r>
        <w:rPr>
          <w:rFonts w:ascii="Calibri" w:hAnsi="Calibri"/>
          <w:i/>
          <w:color w:val="44536A"/>
          <w:sz w:val="18"/>
        </w:rPr>
        <w:t>vand på terræn for 26. december 2015.</w:t>
      </w:r>
    </w:p>
    <w:p>
      <w:pPr>
        <w:spacing w:after="0"/>
        <w:jc w:val="left"/>
        <w:rPr>
          <w:rFonts w:ascii="Calibri" w:hAnsi="Calibri"/>
          <w:sz w:val="18"/>
        </w:rPr>
        <w:sectPr>
          <w:footerReference w:type="default" r:id="rId123"/>
          <w:pgSz w:w="11910" w:h="16850"/>
          <w:pgMar w:footer="937" w:header="0" w:top="1340" w:bottom="1120" w:left="1460" w:right="680"/>
          <w:pgNumType w:start="121"/>
        </w:sectPr>
      </w:pPr>
    </w:p>
    <w:p>
      <w:pPr>
        <w:pStyle w:val="Heading5"/>
        <w:spacing w:before="75"/>
        <w:rPr>
          <w:i/>
        </w:rPr>
      </w:pPr>
      <w:r>
        <w:rPr>
          <w:i/>
        </w:rPr>
        <w:t>Udsnit for 5 delområder i Odense Å</w:t>
      </w:r>
    </w:p>
    <w:p>
      <w:pPr>
        <w:pStyle w:val="BodyText"/>
        <w:spacing w:line="288" w:lineRule="auto" w:before="49"/>
        <w:ind w:left="525" w:right="730"/>
        <w:jc w:val="both"/>
      </w:pPr>
      <w:hyperlink w:history="true" w:anchor="_bookmark131">
        <w:r>
          <w:rPr/>
          <w:t>Figur 97 </w:t>
        </w:r>
      </w:hyperlink>
      <w:r>
        <w:rPr/>
        <w:t>– 101 viser udbredelse på terræn med COWI GIS tool i sammenligning med satel- litdata for hændelse 26. dec 2015. For Odense er anvendt DHM i grid 1.6m i modsætning til Storå, hvor der er aggregeret til 10 m grid.</w:t>
      </w:r>
    </w:p>
    <w:p>
      <w:pPr>
        <w:pStyle w:val="BodyText"/>
        <w:rPr>
          <w:sz w:val="22"/>
        </w:rPr>
      </w:pPr>
      <w:r>
        <w:rPr/>
        <w:drawing>
          <wp:anchor distT="0" distB="0" distL="0" distR="0" allowOverlap="1" layoutInCell="1" locked="0" behindDoc="0" simplePos="0" relativeHeight="76">
            <wp:simplePos x="0" y="0"/>
            <wp:positionH relativeFrom="page">
              <wp:posOffset>1260475</wp:posOffset>
            </wp:positionH>
            <wp:positionV relativeFrom="paragraph">
              <wp:posOffset>185670</wp:posOffset>
            </wp:positionV>
            <wp:extent cx="5434945" cy="3285744"/>
            <wp:effectExtent l="0" t="0" r="0" b="0"/>
            <wp:wrapTopAndBottom/>
            <wp:docPr id="203" name="image116.jpeg" descr=""/>
            <wp:cNvGraphicFramePr>
              <a:graphicFrameLocks noChangeAspect="1"/>
            </wp:cNvGraphicFramePr>
            <a:graphic>
              <a:graphicData uri="http://schemas.openxmlformats.org/drawingml/2006/picture">
                <pic:pic>
                  <pic:nvPicPr>
                    <pic:cNvPr id="204" name="image116.jpeg"/>
                    <pic:cNvPicPr/>
                  </pic:nvPicPr>
                  <pic:blipFill>
                    <a:blip r:embed="rId126" cstate="print"/>
                    <a:stretch>
                      <a:fillRect/>
                    </a:stretch>
                  </pic:blipFill>
                  <pic:spPr>
                    <a:xfrm>
                      <a:off x="0" y="0"/>
                      <a:ext cx="5434945" cy="3285744"/>
                    </a:xfrm>
                    <a:prstGeom prst="rect">
                      <a:avLst/>
                    </a:prstGeom>
                  </pic:spPr>
                </pic:pic>
              </a:graphicData>
            </a:graphic>
          </wp:anchor>
        </w:drawing>
      </w:r>
    </w:p>
    <w:p>
      <w:pPr>
        <w:spacing w:before="0"/>
        <w:ind w:left="525" w:right="1032" w:firstLine="0"/>
        <w:jc w:val="left"/>
        <w:rPr>
          <w:rFonts w:ascii="Calibri" w:hAnsi="Calibri"/>
          <w:i/>
          <w:sz w:val="18"/>
        </w:rPr>
      </w:pPr>
      <w:bookmarkStart w:name="_bookmark131" w:id="163"/>
      <w:bookmarkEnd w:id="163"/>
      <w:r>
        <w:rPr/>
      </w:r>
      <w:r>
        <w:rPr>
          <w:rFonts w:ascii="Calibri" w:hAnsi="Calibri"/>
          <w:i/>
          <w:color w:val="44536A"/>
          <w:sz w:val="18"/>
        </w:rPr>
        <w:t>Figur 97 ZOOM 1. Sammenligning af udbredelse af vand på terræn (DHM grid = 1.6m) vha. COWI GIS tool af hhv. </w:t>
      </w:r>
      <w:r>
        <w:rPr>
          <w:rFonts w:ascii="Calibri" w:hAnsi="Calibri"/>
          <w:i/>
          <w:color w:val="44536A"/>
          <w:sz w:val="18"/>
        </w:rPr>
        <w:t>MIKE HYDRO og HYMOD for 26. december 2018, Stavis Å.</w:t>
      </w:r>
    </w:p>
    <w:p>
      <w:pPr>
        <w:pStyle w:val="BodyText"/>
        <w:spacing w:before="12"/>
        <w:rPr>
          <w:rFonts w:ascii="Calibri"/>
          <w:i/>
          <w:sz w:val="12"/>
        </w:rPr>
      </w:pPr>
      <w:r>
        <w:rPr/>
        <w:drawing>
          <wp:anchor distT="0" distB="0" distL="0" distR="0" allowOverlap="1" layoutInCell="1" locked="0" behindDoc="0" simplePos="0" relativeHeight="77">
            <wp:simplePos x="0" y="0"/>
            <wp:positionH relativeFrom="page">
              <wp:posOffset>1260475</wp:posOffset>
            </wp:positionH>
            <wp:positionV relativeFrom="paragraph">
              <wp:posOffset>125433</wp:posOffset>
            </wp:positionV>
            <wp:extent cx="5434680" cy="3285744"/>
            <wp:effectExtent l="0" t="0" r="0" b="0"/>
            <wp:wrapTopAndBottom/>
            <wp:docPr id="205" name="image117.jpeg" descr=""/>
            <wp:cNvGraphicFramePr>
              <a:graphicFrameLocks noChangeAspect="1"/>
            </wp:cNvGraphicFramePr>
            <a:graphic>
              <a:graphicData uri="http://schemas.openxmlformats.org/drawingml/2006/picture">
                <pic:pic>
                  <pic:nvPicPr>
                    <pic:cNvPr id="206" name="image117.jpeg"/>
                    <pic:cNvPicPr/>
                  </pic:nvPicPr>
                  <pic:blipFill>
                    <a:blip r:embed="rId127" cstate="print"/>
                    <a:stretch>
                      <a:fillRect/>
                    </a:stretch>
                  </pic:blipFill>
                  <pic:spPr>
                    <a:xfrm>
                      <a:off x="0" y="0"/>
                      <a:ext cx="5434680" cy="3285744"/>
                    </a:xfrm>
                    <a:prstGeom prst="rect">
                      <a:avLst/>
                    </a:prstGeom>
                  </pic:spPr>
                </pic:pic>
              </a:graphicData>
            </a:graphic>
          </wp:anchor>
        </w:drawing>
      </w:r>
    </w:p>
    <w:p>
      <w:pPr>
        <w:spacing w:before="38"/>
        <w:ind w:left="525" w:right="1032" w:firstLine="0"/>
        <w:jc w:val="left"/>
        <w:rPr>
          <w:rFonts w:ascii="Calibri" w:hAnsi="Calibri"/>
          <w:i/>
          <w:sz w:val="18"/>
        </w:rPr>
      </w:pPr>
      <w:bookmarkStart w:name="_bookmark132" w:id="164"/>
      <w:bookmarkEnd w:id="164"/>
      <w:r>
        <w:rPr/>
      </w:r>
      <w:r>
        <w:rPr>
          <w:rFonts w:ascii="Calibri" w:hAnsi="Calibri"/>
          <w:i/>
          <w:color w:val="44536A"/>
          <w:sz w:val="18"/>
        </w:rPr>
        <w:t>Figur 98 ZOOM 2. Sammenligning af udbredelse af vand på terræn (DHM grid = 1.6m) vha. COWI GIS tool af hhv. </w:t>
      </w:r>
      <w:r>
        <w:rPr>
          <w:rFonts w:ascii="Calibri" w:hAnsi="Calibri"/>
          <w:i/>
          <w:color w:val="44536A"/>
          <w:sz w:val="18"/>
        </w:rPr>
        <w:t>MIKE HYDRO og HYMOD for 26. december 2018, Odense Å ved Lindved Å.</w:t>
      </w:r>
    </w:p>
    <w:p>
      <w:pPr>
        <w:spacing w:after="0"/>
        <w:jc w:val="left"/>
        <w:rPr>
          <w:rFonts w:ascii="Calibri" w:hAnsi="Calibri"/>
          <w:sz w:val="18"/>
        </w:rPr>
        <w:sectPr>
          <w:pgSz w:w="11910" w:h="16850"/>
          <w:pgMar w:header="0" w:footer="937" w:top="1340" w:bottom="1120" w:left="1460" w:right="680"/>
        </w:sectPr>
      </w:pPr>
    </w:p>
    <w:p>
      <w:pPr>
        <w:pStyle w:val="BodyText"/>
        <w:ind w:left="525"/>
        <w:rPr>
          <w:rFonts w:ascii="Calibri"/>
          <w:sz w:val="20"/>
        </w:rPr>
      </w:pPr>
      <w:r>
        <w:rPr>
          <w:rFonts w:ascii="Calibri"/>
          <w:sz w:val="20"/>
        </w:rPr>
        <w:drawing>
          <wp:inline distT="0" distB="0" distL="0" distR="0">
            <wp:extent cx="5435098" cy="3285744"/>
            <wp:effectExtent l="0" t="0" r="0" b="0"/>
            <wp:docPr id="207" name="image118.jpeg" descr=""/>
            <wp:cNvGraphicFramePr>
              <a:graphicFrameLocks noChangeAspect="1"/>
            </wp:cNvGraphicFramePr>
            <a:graphic>
              <a:graphicData uri="http://schemas.openxmlformats.org/drawingml/2006/picture">
                <pic:pic>
                  <pic:nvPicPr>
                    <pic:cNvPr id="208" name="image118.jpeg"/>
                    <pic:cNvPicPr/>
                  </pic:nvPicPr>
                  <pic:blipFill>
                    <a:blip r:embed="rId128" cstate="print"/>
                    <a:stretch>
                      <a:fillRect/>
                    </a:stretch>
                  </pic:blipFill>
                  <pic:spPr>
                    <a:xfrm>
                      <a:off x="0" y="0"/>
                      <a:ext cx="5435098" cy="3285744"/>
                    </a:xfrm>
                    <a:prstGeom prst="rect">
                      <a:avLst/>
                    </a:prstGeom>
                  </pic:spPr>
                </pic:pic>
              </a:graphicData>
            </a:graphic>
          </wp:inline>
        </w:drawing>
      </w:r>
      <w:r>
        <w:rPr>
          <w:rFonts w:ascii="Calibri"/>
          <w:sz w:val="20"/>
        </w:rPr>
      </w:r>
    </w:p>
    <w:p>
      <w:pPr>
        <w:spacing w:before="62"/>
        <w:ind w:left="525" w:right="1032" w:firstLine="0"/>
        <w:jc w:val="left"/>
        <w:rPr>
          <w:rFonts w:ascii="Calibri" w:hAnsi="Calibri"/>
          <w:i/>
          <w:sz w:val="18"/>
        </w:rPr>
      </w:pPr>
      <w:bookmarkStart w:name="_bookmark133" w:id="165"/>
      <w:bookmarkEnd w:id="165"/>
      <w:r>
        <w:rPr/>
      </w:r>
      <w:r>
        <w:rPr>
          <w:rFonts w:ascii="Calibri" w:hAnsi="Calibri"/>
          <w:i/>
          <w:color w:val="44536A"/>
          <w:sz w:val="18"/>
        </w:rPr>
        <w:t>Figur 99 ZOOM 3. Sammenligning af udbredelse af vand på terræn (DHM grid = 1.6m) vha. COWI GIS tool af hhv. </w:t>
      </w:r>
      <w:r>
        <w:rPr>
          <w:rFonts w:ascii="Calibri" w:hAnsi="Calibri"/>
          <w:i/>
          <w:color w:val="44536A"/>
          <w:sz w:val="18"/>
        </w:rPr>
        <w:t>MIKE HYDRO og HYMOD for 26. december 2018, Lindved Å midt.</w:t>
      </w:r>
    </w:p>
    <w:p>
      <w:pPr>
        <w:pStyle w:val="BodyText"/>
        <w:spacing w:before="1"/>
        <w:rPr>
          <w:rFonts w:ascii="Calibri"/>
          <w:i/>
          <w:sz w:val="13"/>
        </w:rPr>
      </w:pPr>
      <w:r>
        <w:rPr/>
        <w:drawing>
          <wp:anchor distT="0" distB="0" distL="0" distR="0" allowOverlap="1" layoutInCell="1" locked="0" behindDoc="0" simplePos="0" relativeHeight="78">
            <wp:simplePos x="0" y="0"/>
            <wp:positionH relativeFrom="page">
              <wp:posOffset>1293705</wp:posOffset>
            </wp:positionH>
            <wp:positionV relativeFrom="paragraph">
              <wp:posOffset>126204</wp:posOffset>
            </wp:positionV>
            <wp:extent cx="5396763" cy="3285744"/>
            <wp:effectExtent l="0" t="0" r="0" b="0"/>
            <wp:wrapTopAndBottom/>
            <wp:docPr id="209" name="image119.jpeg" descr=""/>
            <wp:cNvGraphicFramePr>
              <a:graphicFrameLocks noChangeAspect="1"/>
            </wp:cNvGraphicFramePr>
            <a:graphic>
              <a:graphicData uri="http://schemas.openxmlformats.org/drawingml/2006/picture">
                <pic:pic>
                  <pic:nvPicPr>
                    <pic:cNvPr id="210" name="image119.jpeg"/>
                    <pic:cNvPicPr/>
                  </pic:nvPicPr>
                  <pic:blipFill>
                    <a:blip r:embed="rId129" cstate="print"/>
                    <a:stretch>
                      <a:fillRect/>
                    </a:stretch>
                  </pic:blipFill>
                  <pic:spPr>
                    <a:xfrm>
                      <a:off x="0" y="0"/>
                      <a:ext cx="5396763" cy="3285744"/>
                    </a:xfrm>
                    <a:prstGeom prst="rect">
                      <a:avLst/>
                    </a:prstGeom>
                  </pic:spPr>
                </pic:pic>
              </a:graphicData>
            </a:graphic>
          </wp:anchor>
        </w:drawing>
      </w:r>
    </w:p>
    <w:p>
      <w:pPr>
        <w:spacing w:before="8"/>
        <w:ind w:left="525" w:right="940" w:firstLine="0"/>
        <w:jc w:val="left"/>
        <w:rPr>
          <w:rFonts w:ascii="Calibri" w:hAnsi="Calibri"/>
          <w:i/>
          <w:sz w:val="18"/>
        </w:rPr>
      </w:pPr>
      <w:bookmarkStart w:name="_bookmark134" w:id="166"/>
      <w:bookmarkEnd w:id="166"/>
      <w:r>
        <w:rPr/>
      </w:r>
      <w:r>
        <w:rPr>
          <w:rFonts w:ascii="Calibri" w:hAnsi="Calibri"/>
          <w:i/>
          <w:color w:val="44536A"/>
          <w:sz w:val="18"/>
        </w:rPr>
        <w:t>Figur 100 ZOOM 4. Sammenligning af udbredelse af vand på terræn (DHM grid = 1.6m) vha. COWI GIS tool af hhv. </w:t>
      </w:r>
      <w:r>
        <w:rPr>
          <w:rFonts w:ascii="Calibri" w:hAnsi="Calibri"/>
          <w:i/>
          <w:color w:val="44536A"/>
          <w:sz w:val="18"/>
        </w:rPr>
        <w:t>MIKE HYDRO og HYMOD for 26. december 2018, Kratholm.</w:t>
      </w:r>
    </w:p>
    <w:p>
      <w:pPr>
        <w:spacing w:after="0"/>
        <w:jc w:val="left"/>
        <w:rPr>
          <w:rFonts w:ascii="Calibri" w:hAnsi="Calibri"/>
          <w:sz w:val="18"/>
        </w:rPr>
        <w:sectPr>
          <w:pgSz w:w="11910" w:h="16850"/>
          <w:pgMar w:header="0" w:footer="937" w:top="1420" w:bottom="1120" w:left="1460" w:right="680"/>
        </w:sectPr>
      </w:pPr>
    </w:p>
    <w:p>
      <w:pPr>
        <w:pStyle w:val="BodyText"/>
        <w:ind w:left="525"/>
        <w:rPr>
          <w:rFonts w:ascii="Calibri"/>
          <w:sz w:val="20"/>
        </w:rPr>
      </w:pPr>
      <w:r>
        <w:rPr>
          <w:rFonts w:ascii="Calibri"/>
          <w:sz w:val="20"/>
        </w:rPr>
        <w:drawing>
          <wp:inline distT="0" distB="0" distL="0" distR="0">
            <wp:extent cx="5093023" cy="3084576"/>
            <wp:effectExtent l="0" t="0" r="0" b="0"/>
            <wp:docPr id="211" name="image120.jpeg" descr=""/>
            <wp:cNvGraphicFramePr>
              <a:graphicFrameLocks noChangeAspect="1"/>
            </wp:cNvGraphicFramePr>
            <a:graphic>
              <a:graphicData uri="http://schemas.openxmlformats.org/drawingml/2006/picture">
                <pic:pic>
                  <pic:nvPicPr>
                    <pic:cNvPr id="212" name="image120.jpeg"/>
                    <pic:cNvPicPr/>
                  </pic:nvPicPr>
                  <pic:blipFill>
                    <a:blip r:embed="rId130" cstate="print"/>
                    <a:stretch>
                      <a:fillRect/>
                    </a:stretch>
                  </pic:blipFill>
                  <pic:spPr>
                    <a:xfrm>
                      <a:off x="0" y="0"/>
                      <a:ext cx="5093023" cy="3084576"/>
                    </a:xfrm>
                    <a:prstGeom prst="rect">
                      <a:avLst/>
                    </a:prstGeom>
                  </pic:spPr>
                </pic:pic>
              </a:graphicData>
            </a:graphic>
          </wp:inline>
        </w:drawing>
      </w:r>
      <w:r>
        <w:rPr>
          <w:rFonts w:ascii="Calibri"/>
          <w:sz w:val="20"/>
        </w:rPr>
      </w:r>
    </w:p>
    <w:p>
      <w:pPr>
        <w:spacing w:before="52"/>
        <w:ind w:left="525" w:right="828" w:firstLine="0"/>
        <w:jc w:val="left"/>
        <w:rPr>
          <w:rFonts w:ascii="Calibri" w:hAnsi="Calibri"/>
          <w:i/>
          <w:sz w:val="18"/>
        </w:rPr>
      </w:pPr>
      <w:bookmarkStart w:name="_bookmark135" w:id="167"/>
      <w:bookmarkEnd w:id="167"/>
      <w:r>
        <w:rPr/>
      </w:r>
      <w:r>
        <w:rPr>
          <w:rFonts w:ascii="Calibri" w:hAnsi="Calibri"/>
          <w:i/>
          <w:color w:val="44536A"/>
          <w:sz w:val="18"/>
        </w:rPr>
        <w:t>Figur 101 ZOOM 5. Sammenligning af udbredelse af vand på terræn vha. COWI GIS tool af hhv. MIKE HYDRO og HY- </w:t>
      </w:r>
      <w:r>
        <w:rPr>
          <w:rFonts w:ascii="Calibri" w:hAnsi="Calibri"/>
          <w:i/>
          <w:color w:val="44536A"/>
          <w:sz w:val="18"/>
        </w:rPr>
        <w:t>MOD for 26. december 2018, Odense Å opstrøms ved Nr. Broby.</w:t>
      </w:r>
    </w:p>
    <w:p>
      <w:pPr>
        <w:pStyle w:val="BodyText"/>
        <w:spacing w:before="2"/>
        <w:rPr>
          <w:rFonts w:ascii="Calibri"/>
          <w:i/>
          <w:sz w:val="16"/>
        </w:rPr>
      </w:pPr>
    </w:p>
    <w:p>
      <w:pPr>
        <w:pStyle w:val="BodyText"/>
        <w:spacing w:line="288" w:lineRule="auto"/>
        <w:ind w:left="525" w:right="730"/>
        <w:jc w:val="both"/>
      </w:pPr>
      <w:r>
        <w:rPr/>
        <w:t>De beregnede udbredelser af vand på terræn viser rimelig god overensstemmelse med sa- tellitkortlægning for Stavis Å, </w:t>
      </w:r>
      <w:hyperlink w:history="true" w:anchor="_bookmark131">
        <w:r>
          <w:rPr/>
          <w:t>figur 97</w:t>
        </w:r>
      </w:hyperlink>
      <w:r>
        <w:rPr/>
        <w:t>, nedre del af Odense Å, </w:t>
      </w:r>
      <w:hyperlink w:history="true" w:anchor="_bookmark132">
        <w:r>
          <w:rPr/>
          <w:t>figur 98</w:t>
        </w:r>
      </w:hyperlink>
      <w:r>
        <w:rPr/>
        <w:t>, og Storå Kratholm, </w:t>
      </w:r>
      <w:hyperlink w:history="true" w:anchor="_bookmark134">
        <w:r>
          <w:rPr/>
          <w:t>figur</w:t>
        </w:r>
        <w:r>
          <w:rPr>
            <w:spacing w:val="-6"/>
          </w:rPr>
          <w:t> </w:t>
        </w:r>
        <w:r>
          <w:rPr/>
          <w:t>100</w:t>
        </w:r>
      </w:hyperlink>
      <w:r>
        <w:rPr/>
        <w:t>.</w:t>
      </w:r>
      <w:r>
        <w:rPr>
          <w:spacing w:val="-7"/>
        </w:rPr>
        <w:t> </w:t>
      </w:r>
      <w:r>
        <w:rPr/>
        <w:t>For</w:t>
      </w:r>
      <w:r>
        <w:rPr>
          <w:spacing w:val="-7"/>
        </w:rPr>
        <w:t> </w:t>
      </w:r>
      <w:r>
        <w:rPr/>
        <w:t>Lindved</w:t>
      </w:r>
      <w:r>
        <w:rPr>
          <w:spacing w:val="-8"/>
        </w:rPr>
        <w:t> </w:t>
      </w:r>
      <w:r>
        <w:rPr/>
        <w:t>Å,</w:t>
      </w:r>
      <w:r>
        <w:rPr>
          <w:spacing w:val="-8"/>
        </w:rPr>
        <w:t> </w:t>
      </w:r>
      <w:hyperlink w:history="true" w:anchor="_bookmark133">
        <w:r>
          <w:rPr/>
          <w:t>figur</w:t>
        </w:r>
        <w:r>
          <w:rPr>
            <w:spacing w:val="-6"/>
          </w:rPr>
          <w:t> </w:t>
        </w:r>
        <w:r>
          <w:rPr/>
          <w:t>99</w:t>
        </w:r>
      </w:hyperlink>
      <w:r>
        <w:rPr/>
        <w:t>,</w:t>
      </w:r>
      <w:r>
        <w:rPr>
          <w:spacing w:val="-7"/>
        </w:rPr>
        <w:t> </w:t>
      </w:r>
      <w:r>
        <w:rPr/>
        <w:t>er</w:t>
      </w:r>
      <w:r>
        <w:rPr>
          <w:spacing w:val="-9"/>
        </w:rPr>
        <w:t> </w:t>
      </w:r>
      <w:r>
        <w:rPr/>
        <w:t>overensstemmelsen</w:t>
      </w:r>
      <w:r>
        <w:rPr>
          <w:spacing w:val="-8"/>
        </w:rPr>
        <w:t> </w:t>
      </w:r>
      <w:r>
        <w:rPr/>
        <w:t>relativ</w:t>
      </w:r>
      <w:r>
        <w:rPr>
          <w:spacing w:val="-8"/>
        </w:rPr>
        <w:t> </w:t>
      </w:r>
      <w:r>
        <w:rPr/>
        <w:t>dårlig,</w:t>
      </w:r>
      <w:r>
        <w:rPr>
          <w:spacing w:val="-7"/>
        </w:rPr>
        <w:t> </w:t>
      </w:r>
      <w:r>
        <w:rPr/>
        <w:t>det</w:t>
      </w:r>
      <w:r>
        <w:rPr>
          <w:spacing w:val="-9"/>
        </w:rPr>
        <w:t> </w:t>
      </w:r>
      <w:r>
        <w:rPr/>
        <w:t>kan</w:t>
      </w:r>
      <w:r>
        <w:rPr>
          <w:spacing w:val="-8"/>
        </w:rPr>
        <w:t> </w:t>
      </w:r>
      <w:r>
        <w:rPr/>
        <w:t>dog</w:t>
      </w:r>
      <w:r>
        <w:rPr>
          <w:spacing w:val="-6"/>
        </w:rPr>
        <w:t> </w:t>
      </w:r>
      <w:r>
        <w:rPr/>
        <w:t>evt.</w:t>
      </w:r>
      <w:r>
        <w:rPr>
          <w:spacing w:val="-7"/>
        </w:rPr>
        <w:t> </w:t>
      </w:r>
      <w:r>
        <w:rPr/>
        <w:t>skyl- des</w:t>
      </w:r>
      <w:r>
        <w:rPr>
          <w:spacing w:val="-6"/>
        </w:rPr>
        <w:t> </w:t>
      </w:r>
      <w:r>
        <w:rPr/>
        <w:t>vandløbsrestaurering</w:t>
      </w:r>
      <w:r>
        <w:rPr>
          <w:spacing w:val="-7"/>
        </w:rPr>
        <w:t> </w:t>
      </w:r>
      <w:r>
        <w:rPr/>
        <w:t>på</w:t>
      </w:r>
      <w:r>
        <w:rPr>
          <w:spacing w:val="-5"/>
        </w:rPr>
        <w:t> </w:t>
      </w:r>
      <w:r>
        <w:rPr/>
        <w:t>denne</w:t>
      </w:r>
      <w:r>
        <w:rPr>
          <w:spacing w:val="-5"/>
        </w:rPr>
        <w:t> </w:t>
      </w:r>
      <w:r>
        <w:rPr/>
        <w:t>strækning.</w:t>
      </w:r>
      <w:r>
        <w:rPr>
          <w:spacing w:val="-7"/>
        </w:rPr>
        <w:t> </w:t>
      </w:r>
      <w:r>
        <w:rPr/>
        <w:t>For</w:t>
      </w:r>
      <w:r>
        <w:rPr>
          <w:spacing w:val="-6"/>
        </w:rPr>
        <w:t> </w:t>
      </w:r>
      <w:r>
        <w:rPr/>
        <w:t>Odense</w:t>
      </w:r>
      <w:r>
        <w:rPr>
          <w:spacing w:val="-5"/>
        </w:rPr>
        <w:t> </w:t>
      </w:r>
      <w:r>
        <w:rPr/>
        <w:t>å</w:t>
      </w:r>
      <w:r>
        <w:rPr>
          <w:spacing w:val="-5"/>
        </w:rPr>
        <w:t> </w:t>
      </w:r>
      <w:r>
        <w:rPr/>
        <w:t>Nr.</w:t>
      </w:r>
      <w:r>
        <w:rPr>
          <w:spacing w:val="-7"/>
        </w:rPr>
        <w:t> </w:t>
      </w:r>
      <w:r>
        <w:rPr/>
        <w:t>Broby</w:t>
      </w:r>
      <w:r>
        <w:rPr>
          <w:spacing w:val="-7"/>
        </w:rPr>
        <w:t> </w:t>
      </w:r>
      <w:r>
        <w:rPr/>
        <w:t>er</w:t>
      </w:r>
      <w:r>
        <w:rPr>
          <w:spacing w:val="-6"/>
        </w:rPr>
        <w:t> </w:t>
      </w:r>
      <w:r>
        <w:rPr/>
        <w:t>der</w:t>
      </w:r>
      <w:r>
        <w:rPr>
          <w:spacing w:val="-3"/>
        </w:rPr>
        <w:t> </w:t>
      </w:r>
      <w:r>
        <w:rPr/>
        <w:t>ligeledes</w:t>
      </w:r>
      <w:r>
        <w:rPr>
          <w:spacing w:val="-6"/>
        </w:rPr>
        <w:t> </w:t>
      </w:r>
      <w:r>
        <w:rPr/>
        <w:t>dår- lig overensstemmelse, </w:t>
      </w:r>
      <w:hyperlink w:history="true" w:anchor="_bookmark135">
        <w:r>
          <w:rPr/>
          <w:t>figur 101</w:t>
        </w:r>
      </w:hyperlink>
      <w:r>
        <w:rPr/>
        <w:t>. Det kan skyldes højtliggende grundvand, se </w:t>
      </w:r>
      <w:hyperlink w:history="true" w:anchor="_bookmark126">
        <w:r>
          <w:rPr/>
          <w:t>figur</w:t>
        </w:r>
        <w:r>
          <w:rPr>
            <w:spacing w:val="-20"/>
          </w:rPr>
          <w:t> </w:t>
        </w:r>
        <w:r>
          <w:rPr/>
          <w:t>92</w:t>
        </w:r>
      </w:hyperlink>
      <w:r>
        <w:rPr/>
        <w:t>.</w:t>
      </w:r>
    </w:p>
    <w:p>
      <w:pPr>
        <w:pStyle w:val="BodyText"/>
        <w:spacing w:before="2"/>
        <w:rPr>
          <w:sz w:val="25"/>
        </w:rPr>
      </w:pPr>
    </w:p>
    <w:p>
      <w:pPr>
        <w:pStyle w:val="BodyText"/>
        <w:spacing w:line="288" w:lineRule="auto"/>
        <w:ind w:left="525" w:right="734"/>
        <w:jc w:val="both"/>
      </w:pPr>
      <w:r>
        <w:rPr/>
        <w:t>Der ses rimeligt god overensstemmelse med MIKE HYDRO HD og HYMOD for de fleste </w:t>
      </w:r>
      <w:r>
        <w:rPr>
          <w:spacing w:val="-3"/>
        </w:rPr>
        <w:t>af </w:t>
      </w:r>
      <w:r>
        <w:rPr/>
        <w:t>de</w:t>
      </w:r>
      <w:r>
        <w:rPr>
          <w:spacing w:val="-4"/>
        </w:rPr>
        <w:t> </w:t>
      </w:r>
      <w:r>
        <w:rPr/>
        <w:t>fem</w:t>
      </w:r>
      <w:r>
        <w:rPr>
          <w:spacing w:val="-2"/>
        </w:rPr>
        <w:t> </w:t>
      </w:r>
      <w:r>
        <w:rPr/>
        <w:t>udsnit.</w:t>
      </w:r>
      <w:r>
        <w:rPr>
          <w:spacing w:val="-5"/>
        </w:rPr>
        <w:t> </w:t>
      </w:r>
      <w:r>
        <w:rPr/>
        <w:t>For</w:t>
      </w:r>
      <w:r>
        <w:rPr>
          <w:spacing w:val="-4"/>
        </w:rPr>
        <w:t> </w:t>
      </w:r>
      <w:r>
        <w:rPr/>
        <w:t>Odense</w:t>
      </w:r>
      <w:r>
        <w:rPr>
          <w:spacing w:val="-4"/>
        </w:rPr>
        <w:t> </w:t>
      </w:r>
      <w:r>
        <w:rPr/>
        <w:t>å</w:t>
      </w:r>
      <w:r>
        <w:rPr>
          <w:spacing w:val="-4"/>
        </w:rPr>
        <w:t> </w:t>
      </w:r>
      <w:r>
        <w:rPr/>
        <w:t>ved</w:t>
      </w:r>
      <w:r>
        <w:rPr>
          <w:spacing w:val="-3"/>
        </w:rPr>
        <w:t> </w:t>
      </w:r>
      <w:r>
        <w:rPr/>
        <w:t>Lindved</w:t>
      </w:r>
      <w:r>
        <w:rPr>
          <w:spacing w:val="-3"/>
        </w:rPr>
        <w:t> </w:t>
      </w:r>
      <w:r>
        <w:rPr/>
        <w:t>å,</w:t>
      </w:r>
      <w:r>
        <w:rPr>
          <w:spacing w:val="-5"/>
        </w:rPr>
        <w:t> </w:t>
      </w:r>
      <w:hyperlink w:history="true" w:anchor="_bookmark133">
        <w:r>
          <w:rPr/>
          <w:t>figur</w:t>
        </w:r>
        <w:r>
          <w:rPr>
            <w:spacing w:val="-4"/>
          </w:rPr>
          <w:t> </w:t>
        </w:r>
        <w:r>
          <w:rPr/>
          <w:t>99</w:t>
        </w:r>
      </w:hyperlink>
      <w:r>
        <w:rPr/>
        <w:t>,</w:t>
      </w:r>
      <w:r>
        <w:rPr>
          <w:spacing w:val="-5"/>
        </w:rPr>
        <w:t> </w:t>
      </w:r>
      <w:r>
        <w:rPr/>
        <w:t>giver</w:t>
      </w:r>
      <w:r>
        <w:rPr>
          <w:spacing w:val="-4"/>
        </w:rPr>
        <w:t> </w:t>
      </w:r>
      <w:r>
        <w:rPr/>
        <w:t>MIKE</w:t>
      </w:r>
      <w:r>
        <w:rPr>
          <w:spacing w:val="-3"/>
        </w:rPr>
        <w:t> </w:t>
      </w:r>
      <w:r>
        <w:rPr/>
        <w:t>HYDRO</w:t>
      </w:r>
      <w:r>
        <w:rPr>
          <w:spacing w:val="-7"/>
        </w:rPr>
        <w:t> </w:t>
      </w:r>
      <w:r>
        <w:rPr/>
        <w:t>HD</w:t>
      </w:r>
      <w:r>
        <w:rPr>
          <w:spacing w:val="-5"/>
        </w:rPr>
        <w:t> </w:t>
      </w:r>
      <w:r>
        <w:rPr/>
        <w:t>et</w:t>
      </w:r>
      <w:r>
        <w:rPr>
          <w:spacing w:val="-5"/>
        </w:rPr>
        <w:t> </w:t>
      </w:r>
      <w:r>
        <w:rPr/>
        <w:t>større</w:t>
      </w:r>
      <w:r>
        <w:rPr>
          <w:spacing w:val="-4"/>
        </w:rPr>
        <w:t> </w:t>
      </w:r>
      <w:r>
        <w:rPr/>
        <w:t>over- svømmet område end HYMOD mest tydeligt i den mest nedstrøms, nordligste del. Det kan skyldes</w:t>
      </w:r>
      <w:r>
        <w:rPr>
          <w:spacing w:val="-13"/>
        </w:rPr>
        <w:t> </w:t>
      </w:r>
      <w:r>
        <w:rPr/>
        <w:t>forskelle</w:t>
      </w:r>
      <w:r>
        <w:rPr>
          <w:spacing w:val="-11"/>
        </w:rPr>
        <w:t> </w:t>
      </w:r>
      <w:r>
        <w:rPr/>
        <w:t>i</w:t>
      </w:r>
      <w:r>
        <w:rPr>
          <w:spacing w:val="-12"/>
        </w:rPr>
        <w:t> </w:t>
      </w:r>
      <w:r>
        <w:rPr/>
        <w:t>den</w:t>
      </w:r>
      <w:r>
        <w:rPr>
          <w:spacing w:val="-12"/>
        </w:rPr>
        <w:t> </w:t>
      </w:r>
      <w:r>
        <w:rPr/>
        <w:t>dynamiske</w:t>
      </w:r>
      <w:r>
        <w:rPr>
          <w:spacing w:val="-11"/>
        </w:rPr>
        <w:t> </w:t>
      </w:r>
      <w:r>
        <w:rPr/>
        <w:t>MIKE</w:t>
      </w:r>
      <w:r>
        <w:rPr>
          <w:spacing w:val="-12"/>
        </w:rPr>
        <w:t> </w:t>
      </w:r>
      <w:r>
        <w:rPr/>
        <w:t>HYDRO</w:t>
      </w:r>
      <w:r>
        <w:rPr>
          <w:spacing w:val="-12"/>
        </w:rPr>
        <w:t> </w:t>
      </w:r>
      <w:r>
        <w:rPr/>
        <w:t>river’s</w:t>
      </w:r>
      <w:r>
        <w:rPr>
          <w:spacing w:val="-11"/>
        </w:rPr>
        <w:t> </w:t>
      </w:r>
      <w:r>
        <w:rPr/>
        <w:t>simulering</w:t>
      </w:r>
      <w:r>
        <w:rPr>
          <w:spacing w:val="-13"/>
        </w:rPr>
        <w:t> </w:t>
      </w:r>
      <w:r>
        <w:rPr/>
        <w:t>i</w:t>
      </w:r>
      <w:r>
        <w:rPr>
          <w:spacing w:val="-12"/>
        </w:rPr>
        <w:t> </w:t>
      </w:r>
      <w:r>
        <w:rPr/>
        <w:t>forhold</w:t>
      </w:r>
      <w:r>
        <w:rPr>
          <w:spacing w:val="-14"/>
        </w:rPr>
        <w:t> </w:t>
      </w:r>
      <w:r>
        <w:rPr/>
        <w:t>til</w:t>
      </w:r>
      <w:r>
        <w:rPr>
          <w:spacing w:val="-12"/>
        </w:rPr>
        <w:t> </w:t>
      </w:r>
      <w:r>
        <w:rPr/>
        <w:t>den</w:t>
      </w:r>
      <w:r>
        <w:rPr>
          <w:spacing w:val="-11"/>
        </w:rPr>
        <w:t> </w:t>
      </w:r>
      <w:r>
        <w:rPr/>
        <w:t>stationære antagelse i HYMOD. På denne strækning kan der evt. forekomme opstuvning fra Odense fjord.</w:t>
      </w:r>
    </w:p>
    <w:p>
      <w:pPr>
        <w:pStyle w:val="BodyText"/>
        <w:rPr>
          <w:sz w:val="28"/>
        </w:rPr>
      </w:pPr>
    </w:p>
    <w:p>
      <w:pPr>
        <w:pStyle w:val="Heading2"/>
        <w:numPr>
          <w:ilvl w:val="1"/>
          <w:numId w:val="15"/>
        </w:numPr>
        <w:tabs>
          <w:tab w:pos="1141" w:val="left" w:leader="none"/>
          <w:tab w:pos="1142" w:val="left" w:leader="none"/>
        </w:tabs>
        <w:spacing w:line="240" w:lineRule="auto" w:before="0" w:after="0"/>
        <w:ind w:left="525" w:right="863" w:firstLine="0"/>
        <w:jc w:val="left"/>
      </w:pPr>
      <w:bookmarkStart w:name="_bookmark136" w:id="168"/>
      <w:bookmarkEnd w:id="168"/>
      <w:r>
        <w:rPr>
          <w:b w:val="0"/>
        </w:rPr>
      </w:r>
      <w:bookmarkStart w:name="_bookmark136" w:id="169"/>
      <w:bookmarkEnd w:id="169"/>
      <w:r>
        <w:rPr/>
        <w:t>U</w:t>
      </w:r>
      <w:r>
        <w:rPr/>
        <w:t>dbredelse af vand på terræn med forskellige</w:t>
      </w:r>
      <w:r>
        <w:rPr>
          <w:spacing w:val="-30"/>
        </w:rPr>
        <w:t> </w:t>
      </w:r>
      <w:r>
        <w:rPr/>
        <w:t>opløsninger DHM</w:t>
      </w:r>
    </w:p>
    <w:p>
      <w:pPr>
        <w:pStyle w:val="BodyText"/>
        <w:spacing w:line="288" w:lineRule="auto" w:before="240"/>
        <w:ind w:left="525" w:right="731"/>
        <w:jc w:val="both"/>
      </w:pPr>
      <w:r>
        <w:rPr/>
        <w:t>Anvendelse af forskellige højdemodeller til oversvømmelseskortlægning giver ret forskellige resultater</w:t>
      </w:r>
      <w:r>
        <w:rPr>
          <w:spacing w:val="-10"/>
        </w:rPr>
        <w:t> </w:t>
      </w:r>
      <w:r>
        <w:rPr/>
        <w:t>som</w:t>
      </w:r>
      <w:r>
        <w:rPr>
          <w:spacing w:val="-7"/>
        </w:rPr>
        <w:t> </w:t>
      </w:r>
      <w:r>
        <w:rPr/>
        <w:t>vist</w:t>
      </w:r>
      <w:r>
        <w:rPr>
          <w:spacing w:val="-10"/>
        </w:rPr>
        <w:t> </w:t>
      </w:r>
      <w:r>
        <w:rPr/>
        <w:t>i</w:t>
      </w:r>
      <w:r>
        <w:rPr>
          <w:spacing w:val="-8"/>
        </w:rPr>
        <w:t> </w:t>
      </w:r>
      <w:r>
        <w:rPr/>
        <w:t>to</w:t>
      </w:r>
      <w:r>
        <w:rPr>
          <w:spacing w:val="-9"/>
        </w:rPr>
        <w:t> </w:t>
      </w:r>
      <w:r>
        <w:rPr/>
        <w:t>eksempler</w:t>
      </w:r>
      <w:r>
        <w:rPr>
          <w:spacing w:val="-9"/>
        </w:rPr>
        <w:t> </w:t>
      </w:r>
      <w:r>
        <w:rPr/>
        <w:t>for</w:t>
      </w:r>
      <w:r>
        <w:rPr>
          <w:spacing w:val="-10"/>
        </w:rPr>
        <w:t> </w:t>
      </w:r>
      <w:r>
        <w:rPr/>
        <w:t>den</w:t>
      </w:r>
      <w:r>
        <w:rPr>
          <w:spacing w:val="-8"/>
        </w:rPr>
        <w:t> </w:t>
      </w:r>
      <w:r>
        <w:rPr/>
        <w:t>nedre</w:t>
      </w:r>
      <w:r>
        <w:rPr>
          <w:spacing w:val="-10"/>
        </w:rPr>
        <w:t> </w:t>
      </w:r>
      <w:r>
        <w:rPr/>
        <w:t>del</w:t>
      </w:r>
      <w:r>
        <w:rPr>
          <w:spacing w:val="-8"/>
        </w:rPr>
        <w:t> </w:t>
      </w:r>
      <w:r>
        <w:rPr/>
        <w:t>af</w:t>
      </w:r>
      <w:r>
        <w:rPr>
          <w:spacing w:val="-6"/>
        </w:rPr>
        <w:t> </w:t>
      </w:r>
      <w:r>
        <w:rPr/>
        <w:t>Storå,</w:t>
      </w:r>
      <w:r>
        <w:rPr>
          <w:spacing w:val="-10"/>
        </w:rPr>
        <w:t> </w:t>
      </w:r>
      <w:hyperlink w:history="true" w:anchor="_bookmark137">
        <w:r>
          <w:rPr/>
          <w:t>figur</w:t>
        </w:r>
        <w:r>
          <w:rPr>
            <w:spacing w:val="-10"/>
          </w:rPr>
          <w:t> </w:t>
        </w:r>
        <w:r>
          <w:rPr/>
          <w:t>102</w:t>
        </w:r>
        <w:r>
          <w:rPr>
            <w:spacing w:val="-8"/>
          </w:rPr>
          <w:t> </w:t>
        </w:r>
      </w:hyperlink>
      <w:r>
        <w:rPr/>
        <w:t>og</w:t>
      </w:r>
      <w:r>
        <w:rPr>
          <w:spacing w:val="-9"/>
        </w:rPr>
        <w:t> </w:t>
      </w:r>
      <w:r>
        <w:rPr/>
        <w:t>103.</w:t>
      </w:r>
      <w:r>
        <w:rPr>
          <w:spacing w:val="-9"/>
        </w:rPr>
        <w:t> </w:t>
      </w:r>
      <w:r>
        <w:rPr/>
        <w:t>Det</w:t>
      </w:r>
      <w:r>
        <w:rPr>
          <w:spacing w:val="-9"/>
        </w:rPr>
        <w:t> </w:t>
      </w:r>
      <w:r>
        <w:rPr/>
        <w:t>er</w:t>
      </w:r>
      <w:r>
        <w:rPr>
          <w:spacing w:val="-10"/>
        </w:rPr>
        <w:t> </w:t>
      </w:r>
      <w:r>
        <w:rPr/>
        <w:t>anvendt en hydrologisk tilpasset højdemodel i 0.4 m grid, som er aggregeret til hhv. 1.6 m og 10 m, og vandstand simuleret med MIKE HYDRO River den 9. dec 2015 er udbredt på de forskel- lige DHM. I figurerne er også vist satellitdata fra DHI GRAS</w:t>
      </w:r>
      <w:r>
        <w:rPr>
          <w:spacing w:val="-19"/>
        </w:rPr>
        <w:t> </w:t>
      </w:r>
      <w:r>
        <w:rPr/>
        <w:t>(Sentinel-1).</w:t>
      </w:r>
    </w:p>
    <w:p>
      <w:pPr>
        <w:pStyle w:val="BodyText"/>
      </w:pPr>
    </w:p>
    <w:p>
      <w:pPr>
        <w:pStyle w:val="BodyText"/>
        <w:spacing w:line="288" w:lineRule="auto"/>
        <w:ind w:left="525" w:right="729"/>
        <w:jc w:val="both"/>
      </w:pPr>
      <w:r>
        <w:rPr/>
        <w:t>Det fremgår i </w:t>
      </w:r>
      <w:hyperlink w:history="true" w:anchor="_bookmark137">
        <w:r>
          <w:rPr/>
          <w:t>figur 102 </w:t>
        </w:r>
      </w:hyperlink>
      <w:r>
        <w:rPr/>
        <w:t>at den mest detaljerede højdemodel er i bedst overensstemmelse med</w:t>
      </w:r>
      <w:r>
        <w:rPr>
          <w:spacing w:val="-17"/>
        </w:rPr>
        <w:t> </w:t>
      </w:r>
      <w:r>
        <w:rPr/>
        <w:t>kortlægning</w:t>
      </w:r>
      <w:r>
        <w:rPr>
          <w:spacing w:val="-13"/>
        </w:rPr>
        <w:t> </w:t>
      </w:r>
      <w:r>
        <w:rPr/>
        <w:t>ved</w:t>
      </w:r>
      <w:r>
        <w:rPr>
          <w:spacing w:val="-14"/>
        </w:rPr>
        <w:t> </w:t>
      </w:r>
      <w:r>
        <w:rPr/>
        <w:t>hjælp</w:t>
      </w:r>
      <w:r>
        <w:rPr>
          <w:spacing w:val="-13"/>
        </w:rPr>
        <w:t> </w:t>
      </w:r>
      <w:r>
        <w:rPr/>
        <w:t>af</w:t>
      </w:r>
      <w:r>
        <w:rPr>
          <w:spacing w:val="-13"/>
        </w:rPr>
        <w:t> </w:t>
      </w:r>
      <w:r>
        <w:rPr/>
        <w:t>satellitdata.</w:t>
      </w:r>
      <w:r>
        <w:rPr>
          <w:spacing w:val="-16"/>
        </w:rPr>
        <w:t> </w:t>
      </w:r>
      <w:r>
        <w:rPr/>
        <w:t>Resultatet</w:t>
      </w:r>
      <w:r>
        <w:rPr>
          <w:spacing w:val="-18"/>
        </w:rPr>
        <w:t> </w:t>
      </w:r>
      <w:r>
        <w:rPr/>
        <w:t>for</w:t>
      </w:r>
      <w:r>
        <w:rPr>
          <w:spacing w:val="-14"/>
        </w:rPr>
        <w:t> </w:t>
      </w:r>
      <w:r>
        <w:rPr/>
        <w:t>1.6</w:t>
      </w:r>
      <w:r>
        <w:rPr>
          <w:spacing w:val="-17"/>
        </w:rPr>
        <w:t> </w:t>
      </w:r>
      <w:r>
        <w:rPr/>
        <w:t>m</w:t>
      </w:r>
      <w:r>
        <w:rPr>
          <w:spacing w:val="-12"/>
        </w:rPr>
        <w:t> </w:t>
      </w:r>
      <w:r>
        <w:rPr/>
        <w:t>højdemodellen</w:t>
      </w:r>
      <w:r>
        <w:rPr>
          <w:spacing w:val="-13"/>
        </w:rPr>
        <w:t> </w:t>
      </w:r>
      <w:r>
        <w:rPr/>
        <w:t>har</w:t>
      </w:r>
      <w:r>
        <w:rPr>
          <w:spacing w:val="-15"/>
        </w:rPr>
        <w:t> </w:t>
      </w:r>
      <w:r>
        <w:rPr/>
        <w:t>dog</w:t>
      </w:r>
      <w:r>
        <w:rPr>
          <w:spacing w:val="-13"/>
        </w:rPr>
        <w:t> </w:t>
      </w:r>
      <w:r>
        <w:rPr/>
        <w:t>rimelig god</w:t>
      </w:r>
      <w:r>
        <w:rPr>
          <w:spacing w:val="-7"/>
        </w:rPr>
        <w:t> </w:t>
      </w:r>
      <w:r>
        <w:rPr/>
        <w:t>overensstemmelse</w:t>
      </w:r>
      <w:r>
        <w:rPr>
          <w:spacing w:val="-5"/>
        </w:rPr>
        <w:t> </w:t>
      </w:r>
      <w:r>
        <w:rPr/>
        <w:t>også.</w:t>
      </w:r>
      <w:r>
        <w:rPr>
          <w:spacing w:val="-6"/>
        </w:rPr>
        <w:t> </w:t>
      </w:r>
      <w:r>
        <w:rPr/>
        <w:t>Derimod</w:t>
      </w:r>
      <w:r>
        <w:rPr>
          <w:spacing w:val="-5"/>
        </w:rPr>
        <w:t> </w:t>
      </w:r>
      <w:r>
        <w:rPr/>
        <w:t>giver</w:t>
      </w:r>
      <w:r>
        <w:rPr>
          <w:spacing w:val="-4"/>
        </w:rPr>
        <w:t> </w:t>
      </w:r>
      <w:r>
        <w:rPr/>
        <w:t>10</w:t>
      </w:r>
      <w:r>
        <w:rPr>
          <w:spacing w:val="-7"/>
        </w:rPr>
        <w:t> </w:t>
      </w:r>
      <w:r>
        <w:rPr/>
        <w:t>m</w:t>
      </w:r>
      <w:r>
        <w:rPr>
          <w:spacing w:val="-5"/>
        </w:rPr>
        <w:t> </w:t>
      </w:r>
      <w:r>
        <w:rPr/>
        <w:t>højdemodel</w:t>
      </w:r>
      <w:r>
        <w:rPr>
          <w:spacing w:val="-6"/>
        </w:rPr>
        <w:t> </w:t>
      </w:r>
      <w:r>
        <w:rPr/>
        <w:t>et</w:t>
      </w:r>
      <w:r>
        <w:rPr>
          <w:spacing w:val="-5"/>
        </w:rPr>
        <w:t> </w:t>
      </w:r>
      <w:r>
        <w:rPr/>
        <w:t>noget</w:t>
      </w:r>
      <w:r>
        <w:rPr>
          <w:spacing w:val="-6"/>
        </w:rPr>
        <w:t> </w:t>
      </w:r>
      <w:r>
        <w:rPr/>
        <w:t>større</w:t>
      </w:r>
      <w:r>
        <w:rPr>
          <w:spacing w:val="-7"/>
        </w:rPr>
        <w:t> </w:t>
      </w:r>
      <w:r>
        <w:rPr/>
        <w:t>oversvømmet område. Brug af en detaljeret højdemodel (0.4 m eller aggregeret til 1.6 m) er derfor af stor betydning</w:t>
      </w:r>
      <w:r>
        <w:rPr>
          <w:spacing w:val="-15"/>
        </w:rPr>
        <w:t> </w:t>
      </w:r>
      <w:r>
        <w:rPr/>
        <w:t>for</w:t>
      </w:r>
      <w:r>
        <w:rPr>
          <w:spacing w:val="-14"/>
        </w:rPr>
        <w:t> </w:t>
      </w:r>
      <w:r>
        <w:rPr/>
        <w:t>en</w:t>
      </w:r>
      <w:r>
        <w:rPr>
          <w:spacing w:val="-13"/>
        </w:rPr>
        <w:t> </w:t>
      </w:r>
      <w:r>
        <w:rPr/>
        <w:t>rimelig</w:t>
      </w:r>
      <w:r>
        <w:rPr>
          <w:spacing w:val="-16"/>
        </w:rPr>
        <w:t> </w:t>
      </w:r>
      <w:r>
        <w:rPr/>
        <w:t>præcis</w:t>
      </w:r>
      <w:r>
        <w:rPr>
          <w:spacing w:val="-16"/>
        </w:rPr>
        <w:t> </w:t>
      </w:r>
      <w:r>
        <w:rPr/>
        <w:t>kortlægning</w:t>
      </w:r>
      <w:r>
        <w:rPr>
          <w:spacing w:val="-13"/>
        </w:rPr>
        <w:t> </w:t>
      </w:r>
      <w:r>
        <w:rPr/>
        <w:t>af</w:t>
      </w:r>
      <w:r>
        <w:rPr>
          <w:spacing w:val="-14"/>
        </w:rPr>
        <w:t> </w:t>
      </w:r>
      <w:r>
        <w:rPr/>
        <w:t>udbredelse</w:t>
      </w:r>
      <w:r>
        <w:rPr>
          <w:spacing w:val="-13"/>
        </w:rPr>
        <w:t> </w:t>
      </w:r>
      <w:r>
        <w:rPr/>
        <w:t>af</w:t>
      </w:r>
      <w:r>
        <w:rPr>
          <w:spacing w:val="-12"/>
        </w:rPr>
        <w:t> </w:t>
      </w:r>
      <w:r>
        <w:rPr/>
        <w:t>vand</w:t>
      </w:r>
      <w:r>
        <w:rPr>
          <w:spacing w:val="-13"/>
        </w:rPr>
        <w:t> </w:t>
      </w:r>
      <w:r>
        <w:rPr/>
        <w:t>på</w:t>
      </w:r>
      <w:r>
        <w:rPr>
          <w:spacing w:val="-13"/>
        </w:rPr>
        <w:t> </w:t>
      </w:r>
      <w:r>
        <w:rPr/>
        <w:t>terræn</w:t>
      </w:r>
      <w:r>
        <w:rPr>
          <w:spacing w:val="-11"/>
        </w:rPr>
        <w:t> </w:t>
      </w:r>
      <w:r>
        <w:rPr/>
        <w:t>for</w:t>
      </w:r>
      <w:r>
        <w:rPr>
          <w:spacing w:val="-14"/>
        </w:rPr>
        <w:t> </w:t>
      </w:r>
      <w:r>
        <w:rPr/>
        <w:t>denne</w:t>
      </w:r>
      <w:r>
        <w:rPr>
          <w:spacing w:val="-13"/>
        </w:rPr>
        <w:t> </w:t>
      </w:r>
      <w:r>
        <w:rPr/>
        <w:t>stræk- ning.</w:t>
      </w:r>
    </w:p>
    <w:p>
      <w:pPr>
        <w:spacing w:after="0" w:line="288" w:lineRule="auto"/>
        <w:jc w:val="both"/>
        <w:sectPr>
          <w:pgSz w:w="11910" w:h="16850"/>
          <w:pgMar w:header="0" w:footer="937" w:top="1420" w:bottom="1120" w:left="1460" w:right="680"/>
        </w:sectPr>
      </w:pPr>
    </w:p>
    <w:p>
      <w:pPr>
        <w:pStyle w:val="BodyText"/>
        <w:ind w:left="525"/>
        <w:rPr>
          <w:sz w:val="20"/>
        </w:rPr>
      </w:pPr>
      <w:r>
        <w:rPr>
          <w:sz w:val="20"/>
        </w:rPr>
        <w:drawing>
          <wp:inline distT="0" distB="0" distL="0" distR="0">
            <wp:extent cx="5301120" cy="3645408"/>
            <wp:effectExtent l="0" t="0" r="0" b="0"/>
            <wp:docPr id="213" name="image121.jpeg" descr=""/>
            <wp:cNvGraphicFramePr>
              <a:graphicFrameLocks noChangeAspect="1"/>
            </wp:cNvGraphicFramePr>
            <a:graphic>
              <a:graphicData uri="http://schemas.openxmlformats.org/drawingml/2006/picture">
                <pic:pic>
                  <pic:nvPicPr>
                    <pic:cNvPr id="214" name="image121.jpeg"/>
                    <pic:cNvPicPr/>
                  </pic:nvPicPr>
                  <pic:blipFill>
                    <a:blip r:embed="rId131" cstate="print"/>
                    <a:stretch>
                      <a:fillRect/>
                    </a:stretch>
                  </pic:blipFill>
                  <pic:spPr>
                    <a:xfrm>
                      <a:off x="0" y="0"/>
                      <a:ext cx="5301120" cy="3645408"/>
                    </a:xfrm>
                    <a:prstGeom prst="rect">
                      <a:avLst/>
                    </a:prstGeom>
                  </pic:spPr>
                </pic:pic>
              </a:graphicData>
            </a:graphic>
          </wp:inline>
        </w:drawing>
      </w:r>
      <w:r>
        <w:rPr>
          <w:sz w:val="20"/>
        </w:rPr>
      </w:r>
    </w:p>
    <w:p>
      <w:pPr>
        <w:spacing w:before="74"/>
        <w:ind w:left="525" w:right="784" w:firstLine="0"/>
        <w:jc w:val="left"/>
        <w:rPr>
          <w:rFonts w:ascii="Calibri" w:hAnsi="Calibri"/>
          <w:i/>
          <w:sz w:val="18"/>
        </w:rPr>
      </w:pPr>
      <w:bookmarkStart w:name="_bookmark137" w:id="170"/>
      <w:bookmarkEnd w:id="170"/>
      <w:r>
        <w:rPr/>
      </w:r>
      <w:r>
        <w:rPr>
          <w:rFonts w:ascii="Calibri" w:hAnsi="Calibri"/>
          <w:i/>
          <w:color w:val="44536A"/>
          <w:sz w:val="18"/>
        </w:rPr>
        <w:t>Figur 102 Simuleret vandstand beregnet med MIKE HYDRO River udbredt på terræn med COWI’s GIS tool for forskel- </w:t>
      </w:r>
      <w:r>
        <w:rPr>
          <w:rFonts w:ascii="Calibri" w:hAnsi="Calibri"/>
          <w:i/>
          <w:color w:val="44536A"/>
          <w:sz w:val="18"/>
        </w:rPr>
        <w:t>lige DHM grid, Storå nedstrøms.</w:t>
      </w:r>
    </w:p>
    <w:p>
      <w:pPr>
        <w:pStyle w:val="BodyText"/>
        <w:spacing w:before="8"/>
        <w:rPr>
          <w:rFonts w:ascii="Calibri"/>
          <w:i/>
          <w:sz w:val="23"/>
        </w:rPr>
      </w:pPr>
      <w:r>
        <w:rPr/>
        <w:drawing>
          <wp:anchor distT="0" distB="0" distL="0" distR="0" allowOverlap="1" layoutInCell="1" locked="0" behindDoc="0" simplePos="0" relativeHeight="79">
            <wp:simplePos x="0" y="0"/>
            <wp:positionH relativeFrom="page">
              <wp:posOffset>1260475</wp:posOffset>
            </wp:positionH>
            <wp:positionV relativeFrom="paragraph">
              <wp:posOffset>208411</wp:posOffset>
            </wp:positionV>
            <wp:extent cx="5268714" cy="3657028"/>
            <wp:effectExtent l="0" t="0" r="0" b="0"/>
            <wp:wrapTopAndBottom/>
            <wp:docPr id="215" name="image122.jpeg" descr=""/>
            <wp:cNvGraphicFramePr>
              <a:graphicFrameLocks noChangeAspect="1"/>
            </wp:cNvGraphicFramePr>
            <a:graphic>
              <a:graphicData uri="http://schemas.openxmlformats.org/drawingml/2006/picture">
                <pic:pic>
                  <pic:nvPicPr>
                    <pic:cNvPr id="216" name="image122.jpeg"/>
                    <pic:cNvPicPr/>
                  </pic:nvPicPr>
                  <pic:blipFill>
                    <a:blip r:embed="rId132" cstate="print"/>
                    <a:stretch>
                      <a:fillRect/>
                    </a:stretch>
                  </pic:blipFill>
                  <pic:spPr>
                    <a:xfrm>
                      <a:off x="0" y="0"/>
                      <a:ext cx="5268714" cy="3657028"/>
                    </a:xfrm>
                    <a:prstGeom prst="rect">
                      <a:avLst/>
                    </a:prstGeom>
                  </pic:spPr>
                </pic:pic>
              </a:graphicData>
            </a:graphic>
          </wp:anchor>
        </w:drawing>
      </w:r>
    </w:p>
    <w:p>
      <w:pPr>
        <w:spacing w:before="0"/>
        <w:ind w:left="525" w:right="784" w:firstLine="0"/>
        <w:jc w:val="left"/>
        <w:rPr>
          <w:rFonts w:ascii="Calibri" w:hAnsi="Calibri"/>
          <w:i/>
          <w:sz w:val="18"/>
        </w:rPr>
      </w:pPr>
      <w:bookmarkStart w:name="_bookmark138" w:id="171"/>
      <w:bookmarkEnd w:id="171"/>
      <w:r>
        <w:rPr/>
      </w:r>
      <w:r>
        <w:rPr>
          <w:rFonts w:ascii="Calibri" w:hAnsi="Calibri"/>
          <w:i/>
          <w:color w:val="44536A"/>
          <w:sz w:val="18"/>
        </w:rPr>
        <w:t>Figur 103 Simuleret vandstand beregnet med MIKE HYDRO River udbredt på terræn med COWI’s GIS tool for forskel- </w:t>
      </w:r>
      <w:r>
        <w:rPr>
          <w:rFonts w:ascii="Calibri" w:hAnsi="Calibri"/>
          <w:i/>
          <w:color w:val="44536A"/>
          <w:sz w:val="18"/>
        </w:rPr>
        <w:t>lige DHM grid, Storå ved holstebro.</w:t>
      </w:r>
    </w:p>
    <w:p>
      <w:pPr>
        <w:pStyle w:val="BodyText"/>
        <w:spacing w:before="2"/>
        <w:rPr>
          <w:rFonts w:ascii="Calibri"/>
          <w:i/>
          <w:sz w:val="16"/>
        </w:rPr>
      </w:pPr>
    </w:p>
    <w:p>
      <w:pPr>
        <w:pStyle w:val="BodyText"/>
        <w:spacing w:line="288" w:lineRule="auto"/>
        <w:ind w:left="525" w:right="740"/>
      </w:pPr>
      <w:r>
        <w:rPr/>
        <w:t>For udbredelse omkring Holstebro, </w:t>
      </w:r>
      <w:hyperlink w:history="true" w:anchor="_bookmark138">
        <w:r>
          <w:rPr/>
          <w:t>figur 103</w:t>
        </w:r>
      </w:hyperlink>
      <w:r>
        <w:rPr/>
        <w:t>, er forskelle på udbredelse mindre afhængige af valg af detaljeringsgrad for højdemodel.</w:t>
      </w:r>
    </w:p>
    <w:p>
      <w:pPr>
        <w:spacing w:after="0" w:line="288" w:lineRule="auto"/>
        <w:sectPr>
          <w:pgSz w:w="11910" w:h="16850"/>
          <w:pgMar w:header="0" w:footer="937" w:top="1540" w:bottom="1120" w:left="1460" w:right="680"/>
        </w:sectPr>
      </w:pPr>
    </w:p>
    <w:p>
      <w:pPr>
        <w:pStyle w:val="Heading2"/>
        <w:numPr>
          <w:ilvl w:val="1"/>
          <w:numId w:val="15"/>
        </w:numPr>
        <w:tabs>
          <w:tab w:pos="1141" w:val="left" w:leader="none"/>
          <w:tab w:pos="1142" w:val="left" w:leader="none"/>
        </w:tabs>
        <w:spacing w:line="242" w:lineRule="auto" w:before="73" w:after="0"/>
        <w:ind w:left="525" w:right="1337" w:firstLine="0"/>
        <w:jc w:val="left"/>
      </w:pPr>
      <w:bookmarkStart w:name="_bookmark139" w:id="172"/>
      <w:bookmarkEnd w:id="172"/>
      <w:r>
        <w:rPr>
          <w:b w:val="0"/>
        </w:rPr>
      </w:r>
      <w:bookmarkStart w:name="_bookmark139" w:id="173"/>
      <w:bookmarkEnd w:id="173"/>
      <w:r>
        <w:rPr/>
        <w:t>Si</w:t>
      </w:r>
      <w:r>
        <w:rPr/>
        <w:t>mpel sensitivitetsanalyse af simuleret vandstand ud- bredt på</w:t>
      </w:r>
      <w:r>
        <w:rPr>
          <w:spacing w:val="1"/>
        </w:rPr>
        <w:t> </w:t>
      </w:r>
      <w:r>
        <w:rPr/>
        <w:t>terræn</w:t>
      </w:r>
    </w:p>
    <w:p>
      <w:pPr>
        <w:pStyle w:val="BodyText"/>
        <w:spacing w:line="288" w:lineRule="auto" w:before="236"/>
        <w:ind w:left="525" w:right="728"/>
        <w:jc w:val="both"/>
      </w:pPr>
      <w:r>
        <w:rPr/>
        <w:t>Udbredelse af simuleret vandstand med MIKE HYDRO River den 9. dec 2015 er undersøgt for den beregnede vandstand plus 0.2 m og 0.5 m. Dette er gjort ved en simpel GIS øvelse og kun for Storå. Baggrund er at modellen generelt simulerer lavere vandstand end obser- veret både for Odense og Storå opland, se </w:t>
      </w:r>
      <w:hyperlink w:history="true" w:anchor="_bookmark140">
        <w:r>
          <w:rPr/>
          <w:t>tabel 23</w:t>
        </w:r>
      </w:hyperlink>
      <w:r>
        <w:rPr/>
        <w:t>, hvor de simulerede og observerede vandstande præsenteres. Formålet er at vurdere betydning af en fejl på f.eks. 20 cm sva- rende til nøjagtighedskriteriet og større fejl, som kan forekomme for hændelser.</w:t>
      </w:r>
      <w:r>
        <w:rPr>
          <w:spacing w:val="-41"/>
        </w:rPr>
        <w:t> </w:t>
      </w:r>
      <w:r>
        <w:rPr/>
        <w:t>Placeringen af stationerne fremgår af </w:t>
      </w:r>
      <w:hyperlink w:history="true" w:anchor="_bookmark141">
        <w:r>
          <w:rPr/>
          <w:t>figur 104 </w:t>
        </w:r>
      </w:hyperlink>
      <w:r>
        <w:rPr/>
        <w:t>og 105, og resultatet ses i </w:t>
      </w:r>
      <w:hyperlink w:history="true" w:anchor="_bookmark142">
        <w:r>
          <w:rPr/>
          <w:t>figur</w:t>
        </w:r>
        <w:r>
          <w:rPr>
            <w:spacing w:val="-14"/>
          </w:rPr>
          <w:t> </w:t>
        </w:r>
        <w:r>
          <w:rPr/>
          <w:t>106</w:t>
        </w:r>
      </w:hyperlink>
      <w:r>
        <w:rPr/>
        <w:t>.</w:t>
      </w:r>
    </w:p>
    <w:p>
      <w:pPr>
        <w:pStyle w:val="BodyText"/>
        <w:spacing w:before="6"/>
        <w:rPr>
          <w:sz w:val="25"/>
        </w:rPr>
      </w:pPr>
    </w:p>
    <w:p>
      <w:pPr>
        <w:spacing w:before="0"/>
        <w:ind w:left="525" w:right="0" w:firstLine="0"/>
        <w:jc w:val="both"/>
        <w:rPr>
          <w:rFonts w:ascii="Calibri" w:hAnsi="Calibri"/>
          <w:i/>
          <w:sz w:val="18"/>
        </w:rPr>
      </w:pPr>
      <w:bookmarkStart w:name="_bookmark140" w:id="174"/>
      <w:bookmarkEnd w:id="174"/>
      <w:r>
        <w:rPr/>
      </w:r>
      <w:r>
        <w:rPr>
          <w:rFonts w:ascii="Calibri" w:hAnsi="Calibri"/>
          <w:i/>
          <w:color w:val="44536A"/>
          <w:sz w:val="18"/>
        </w:rPr>
        <w:t>Tabel 23 Observeret og simuleret vandstand (m) i Storå og Odense Å, 09 dec. 2015 respektive 26 dec. 2015.</w:t>
      </w:r>
    </w:p>
    <w:p>
      <w:pPr>
        <w:pStyle w:val="BodyText"/>
        <w:spacing w:before="2"/>
        <w:rPr>
          <w:rFonts w:ascii="Calibri"/>
          <w:i/>
          <w:sz w:val="16"/>
        </w:rPr>
      </w:pPr>
    </w:p>
    <w:tbl>
      <w:tblPr>
        <w:tblW w:w="0" w:type="auto"/>
        <w:jc w:val="left"/>
        <w:tblInd w:w="5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465"/>
        <w:gridCol w:w="1348"/>
        <w:gridCol w:w="1204"/>
        <w:gridCol w:w="1292"/>
        <w:gridCol w:w="1204"/>
      </w:tblGrid>
      <w:tr>
        <w:trPr>
          <w:trHeight w:val="232" w:hRule="atLeast"/>
        </w:trPr>
        <w:tc>
          <w:tcPr>
            <w:tcW w:w="2465" w:type="dxa"/>
            <w:tcBorders>
              <w:bottom w:val="nil"/>
            </w:tcBorders>
          </w:tcPr>
          <w:p>
            <w:pPr>
              <w:pStyle w:val="TableParagraph"/>
              <w:spacing w:before="11"/>
              <w:ind w:left="25"/>
              <w:jc w:val="left"/>
              <w:rPr>
                <w:rFonts w:ascii="Calibri" w:hAnsi="Calibri"/>
                <w:b/>
                <w:sz w:val="16"/>
              </w:rPr>
            </w:pPr>
            <w:r>
              <w:rPr>
                <w:rFonts w:ascii="Calibri" w:hAnsi="Calibri"/>
                <w:b/>
                <w:w w:val="105"/>
                <w:sz w:val="16"/>
              </w:rPr>
              <w:t>STORÅ</w:t>
            </w:r>
          </w:p>
        </w:tc>
        <w:tc>
          <w:tcPr>
            <w:tcW w:w="1348" w:type="dxa"/>
            <w:tcBorders>
              <w:bottom w:val="nil"/>
            </w:tcBorders>
          </w:tcPr>
          <w:p>
            <w:pPr>
              <w:pStyle w:val="TableParagraph"/>
              <w:spacing w:before="11"/>
              <w:ind w:left="25"/>
              <w:jc w:val="left"/>
              <w:rPr>
                <w:rFonts w:ascii="Calibri"/>
                <w:b/>
                <w:sz w:val="16"/>
              </w:rPr>
            </w:pPr>
            <w:r>
              <w:rPr>
                <w:rFonts w:ascii="Calibri"/>
                <w:b/>
                <w:w w:val="105"/>
                <w:sz w:val="16"/>
              </w:rPr>
              <w:t>DMU stnr.</w:t>
            </w:r>
          </w:p>
        </w:tc>
        <w:tc>
          <w:tcPr>
            <w:tcW w:w="1204" w:type="dxa"/>
            <w:tcBorders>
              <w:bottom w:val="nil"/>
            </w:tcBorders>
          </w:tcPr>
          <w:p>
            <w:pPr>
              <w:pStyle w:val="TableParagraph"/>
              <w:spacing w:before="11"/>
              <w:ind w:left="214"/>
              <w:jc w:val="left"/>
              <w:rPr>
                <w:rFonts w:ascii="Calibri"/>
                <w:b/>
                <w:sz w:val="16"/>
              </w:rPr>
            </w:pPr>
            <w:r>
              <w:rPr>
                <w:rFonts w:ascii="Calibri"/>
                <w:b/>
                <w:w w:val="105"/>
                <w:sz w:val="16"/>
              </w:rPr>
              <w:t>Observeret</w:t>
            </w:r>
          </w:p>
        </w:tc>
        <w:tc>
          <w:tcPr>
            <w:tcW w:w="1292" w:type="dxa"/>
            <w:tcBorders>
              <w:bottom w:val="nil"/>
            </w:tcBorders>
          </w:tcPr>
          <w:p>
            <w:pPr>
              <w:pStyle w:val="TableParagraph"/>
              <w:spacing w:before="11"/>
              <w:ind w:left="27"/>
              <w:jc w:val="left"/>
              <w:rPr>
                <w:rFonts w:ascii="Calibri"/>
                <w:b/>
                <w:sz w:val="16"/>
              </w:rPr>
            </w:pPr>
            <w:r>
              <w:rPr>
                <w:rFonts w:ascii="Calibri"/>
                <w:b/>
                <w:w w:val="105"/>
                <w:sz w:val="16"/>
              </w:rPr>
              <w:t>Simuleret</w:t>
            </w:r>
          </w:p>
        </w:tc>
        <w:tc>
          <w:tcPr>
            <w:tcW w:w="1204" w:type="dxa"/>
            <w:tcBorders>
              <w:bottom w:val="nil"/>
            </w:tcBorders>
          </w:tcPr>
          <w:p>
            <w:pPr>
              <w:pStyle w:val="TableParagraph"/>
              <w:spacing w:before="11"/>
              <w:ind w:left="28"/>
              <w:jc w:val="left"/>
              <w:rPr>
                <w:rFonts w:ascii="Calibri"/>
                <w:b/>
                <w:sz w:val="16"/>
              </w:rPr>
            </w:pPr>
            <w:r>
              <w:rPr>
                <w:rFonts w:ascii="Calibri"/>
                <w:b/>
                <w:w w:val="105"/>
                <w:sz w:val="16"/>
              </w:rPr>
              <w:t>Simuleret</w:t>
            </w:r>
          </w:p>
        </w:tc>
      </w:tr>
      <w:tr>
        <w:trPr>
          <w:trHeight w:val="220" w:hRule="atLeast"/>
        </w:trPr>
        <w:tc>
          <w:tcPr>
            <w:tcW w:w="2465" w:type="dxa"/>
            <w:tcBorders>
              <w:top w:val="nil"/>
              <w:bottom w:val="nil"/>
            </w:tcBorders>
          </w:tcPr>
          <w:p>
            <w:pPr>
              <w:pStyle w:val="TableParagraph"/>
              <w:spacing w:line="195" w:lineRule="exact"/>
              <w:ind w:left="25"/>
              <w:jc w:val="left"/>
              <w:rPr>
                <w:rFonts w:ascii="Calibri"/>
                <w:b/>
                <w:sz w:val="16"/>
              </w:rPr>
            </w:pPr>
            <w:r>
              <w:rPr>
                <w:rFonts w:ascii="Calibri"/>
                <w:b/>
                <w:w w:val="105"/>
                <w:sz w:val="16"/>
              </w:rPr>
              <w:t>Stations navn</w:t>
            </w:r>
          </w:p>
        </w:tc>
        <w:tc>
          <w:tcPr>
            <w:tcW w:w="1348" w:type="dxa"/>
            <w:tcBorders>
              <w:top w:val="nil"/>
              <w:bottom w:val="nil"/>
            </w:tcBorders>
          </w:tcPr>
          <w:p>
            <w:pPr>
              <w:pStyle w:val="TableParagraph"/>
              <w:jc w:val="left"/>
              <w:rPr>
                <w:rFonts w:ascii="Times New Roman"/>
                <w:sz w:val="14"/>
              </w:rPr>
            </w:pPr>
          </w:p>
        </w:tc>
        <w:tc>
          <w:tcPr>
            <w:tcW w:w="1204" w:type="dxa"/>
            <w:tcBorders>
              <w:top w:val="nil"/>
              <w:bottom w:val="nil"/>
            </w:tcBorders>
          </w:tcPr>
          <w:p>
            <w:pPr>
              <w:pStyle w:val="TableParagraph"/>
              <w:spacing w:line="195" w:lineRule="exact"/>
              <w:ind w:left="236"/>
              <w:jc w:val="left"/>
              <w:rPr>
                <w:rFonts w:ascii="Calibri"/>
                <w:b/>
                <w:sz w:val="16"/>
              </w:rPr>
            </w:pPr>
            <w:r>
              <w:rPr>
                <w:rFonts w:ascii="Calibri"/>
                <w:b/>
                <w:w w:val="105"/>
                <w:sz w:val="16"/>
              </w:rPr>
              <w:t>Vandstand</w:t>
            </w:r>
          </w:p>
        </w:tc>
        <w:tc>
          <w:tcPr>
            <w:tcW w:w="1292" w:type="dxa"/>
            <w:tcBorders>
              <w:top w:val="nil"/>
              <w:bottom w:val="nil"/>
            </w:tcBorders>
          </w:tcPr>
          <w:p>
            <w:pPr>
              <w:pStyle w:val="TableParagraph"/>
              <w:spacing w:line="195" w:lineRule="exact"/>
              <w:ind w:left="27"/>
              <w:jc w:val="left"/>
              <w:rPr>
                <w:rFonts w:ascii="Calibri"/>
                <w:b/>
                <w:sz w:val="16"/>
              </w:rPr>
            </w:pPr>
            <w:r>
              <w:rPr>
                <w:rFonts w:ascii="Calibri"/>
                <w:b/>
                <w:w w:val="105"/>
                <w:sz w:val="16"/>
              </w:rPr>
              <w:t>vandstand</w:t>
            </w:r>
          </w:p>
        </w:tc>
        <w:tc>
          <w:tcPr>
            <w:tcW w:w="1204" w:type="dxa"/>
            <w:tcBorders>
              <w:top w:val="nil"/>
              <w:bottom w:val="nil"/>
            </w:tcBorders>
          </w:tcPr>
          <w:p>
            <w:pPr>
              <w:pStyle w:val="TableParagraph"/>
              <w:spacing w:line="195" w:lineRule="exact"/>
              <w:ind w:left="28"/>
              <w:jc w:val="left"/>
              <w:rPr>
                <w:rFonts w:ascii="Calibri"/>
                <w:b/>
                <w:sz w:val="16"/>
              </w:rPr>
            </w:pPr>
            <w:r>
              <w:rPr>
                <w:rFonts w:ascii="Calibri"/>
                <w:b/>
                <w:w w:val="105"/>
                <w:sz w:val="16"/>
              </w:rPr>
              <w:t>vandstand</w:t>
            </w:r>
          </w:p>
        </w:tc>
      </w:tr>
      <w:tr>
        <w:trPr>
          <w:trHeight w:val="220" w:hRule="atLeast"/>
        </w:trPr>
        <w:tc>
          <w:tcPr>
            <w:tcW w:w="2465" w:type="dxa"/>
            <w:tcBorders>
              <w:top w:val="nil"/>
              <w:bottom w:val="nil"/>
            </w:tcBorders>
          </w:tcPr>
          <w:p>
            <w:pPr>
              <w:pStyle w:val="TableParagraph"/>
              <w:jc w:val="left"/>
              <w:rPr>
                <w:rFonts w:ascii="Times New Roman"/>
                <w:sz w:val="14"/>
              </w:rPr>
            </w:pPr>
          </w:p>
        </w:tc>
        <w:tc>
          <w:tcPr>
            <w:tcW w:w="1348" w:type="dxa"/>
            <w:tcBorders>
              <w:top w:val="nil"/>
              <w:bottom w:val="nil"/>
            </w:tcBorders>
          </w:tcPr>
          <w:p>
            <w:pPr>
              <w:pStyle w:val="TableParagraph"/>
              <w:jc w:val="left"/>
              <w:rPr>
                <w:rFonts w:ascii="Times New Roman"/>
                <w:sz w:val="14"/>
              </w:rPr>
            </w:pPr>
          </w:p>
        </w:tc>
        <w:tc>
          <w:tcPr>
            <w:tcW w:w="1204" w:type="dxa"/>
            <w:tcBorders>
              <w:top w:val="nil"/>
              <w:bottom w:val="nil"/>
            </w:tcBorders>
          </w:tcPr>
          <w:p>
            <w:pPr>
              <w:pStyle w:val="TableParagraph"/>
              <w:spacing w:line="195" w:lineRule="exact"/>
              <w:ind w:right="27"/>
              <w:jc w:val="right"/>
              <w:rPr>
                <w:rFonts w:ascii="Calibri"/>
                <w:b/>
                <w:sz w:val="16"/>
              </w:rPr>
            </w:pPr>
            <w:r>
              <w:rPr>
                <w:rFonts w:ascii="Calibri"/>
                <w:b/>
                <w:spacing w:val="-5"/>
                <w:w w:val="105"/>
                <w:sz w:val="16"/>
              </w:rPr>
              <w:t>9/12 </w:t>
            </w:r>
            <w:r>
              <w:rPr>
                <w:rFonts w:ascii="Calibri"/>
                <w:b/>
                <w:w w:val="105"/>
                <w:sz w:val="16"/>
              </w:rPr>
              <w:t>- </w:t>
            </w:r>
            <w:r>
              <w:rPr>
                <w:rFonts w:ascii="Calibri"/>
                <w:b/>
                <w:spacing w:val="-6"/>
                <w:w w:val="105"/>
                <w:sz w:val="16"/>
              </w:rPr>
              <w:t>2015 </w:t>
            </w:r>
            <w:r>
              <w:rPr>
                <w:rFonts w:ascii="Calibri"/>
                <w:b/>
                <w:w w:val="105"/>
                <w:sz w:val="16"/>
              </w:rPr>
              <w:t>kl. </w:t>
            </w:r>
            <w:r>
              <w:rPr>
                <w:rFonts w:ascii="Calibri"/>
                <w:b/>
                <w:spacing w:val="-4"/>
                <w:w w:val="105"/>
                <w:sz w:val="16"/>
              </w:rPr>
              <w:t>11</w:t>
            </w:r>
          </w:p>
        </w:tc>
        <w:tc>
          <w:tcPr>
            <w:tcW w:w="1292" w:type="dxa"/>
            <w:tcBorders>
              <w:top w:val="nil"/>
              <w:bottom w:val="nil"/>
            </w:tcBorders>
          </w:tcPr>
          <w:p>
            <w:pPr>
              <w:pStyle w:val="TableParagraph"/>
              <w:spacing w:line="195" w:lineRule="exact"/>
              <w:ind w:left="27"/>
              <w:jc w:val="left"/>
              <w:rPr>
                <w:rFonts w:ascii="Calibri"/>
                <w:b/>
                <w:sz w:val="16"/>
              </w:rPr>
            </w:pPr>
            <w:r>
              <w:rPr>
                <w:rFonts w:ascii="Calibri"/>
                <w:b/>
                <w:w w:val="105"/>
                <w:sz w:val="16"/>
              </w:rPr>
              <w:t>MIKEHYDRORiver</w:t>
            </w:r>
          </w:p>
        </w:tc>
        <w:tc>
          <w:tcPr>
            <w:tcW w:w="1204" w:type="dxa"/>
            <w:tcBorders>
              <w:top w:val="nil"/>
              <w:bottom w:val="nil"/>
            </w:tcBorders>
          </w:tcPr>
          <w:p>
            <w:pPr>
              <w:pStyle w:val="TableParagraph"/>
              <w:spacing w:line="195" w:lineRule="exact"/>
              <w:ind w:left="28"/>
              <w:jc w:val="left"/>
              <w:rPr>
                <w:rFonts w:ascii="Calibri"/>
                <w:b/>
                <w:sz w:val="16"/>
              </w:rPr>
            </w:pPr>
            <w:r>
              <w:rPr>
                <w:rFonts w:ascii="Calibri"/>
                <w:b/>
                <w:w w:val="105"/>
                <w:sz w:val="16"/>
              </w:rPr>
              <w:t>HYMOD</w:t>
            </w:r>
          </w:p>
        </w:tc>
      </w:tr>
      <w:tr>
        <w:trPr>
          <w:trHeight w:val="414" w:hRule="atLeast"/>
        </w:trPr>
        <w:tc>
          <w:tcPr>
            <w:tcW w:w="2465" w:type="dxa"/>
            <w:tcBorders>
              <w:top w:val="nil"/>
            </w:tcBorders>
          </w:tcPr>
          <w:p>
            <w:pPr>
              <w:pStyle w:val="TableParagraph"/>
              <w:jc w:val="left"/>
              <w:rPr>
                <w:rFonts w:ascii="Times New Roman"/>
                <w:sz w:val="18"/>
              </w:rPr>
            </w:pPr>
          </w:p>
        </w:tc>
        <w:tc>
          <w:tcPr>
            <w:tcW w:w="1348" w:type="dxa"/>
            <w:tcBorders>
              <w:top w:val="nil"/>
            </w:tcBorders>
          </w:tcPr>
          <w:p>
            <w:pPr>
              <w:pStyle w:val="TableParagraph"/>
              <w:jc w:val="left"/>
              <w:rPr>
                <w:rFonts w:ascii="Times New Roman"/>
                <w:sz w:val="18"/>
              </w:rPr>
            </w:pPr>
          </w:p>
        </w:tc>
        <w:tc>
          <w:tcPr>
            <w:tcW w:w="1204" w:type="dxa"/>
            <w:tcBorders>
              <w:top w:val="nil"/>
            </w:tcBorders>
          </w:tcPr>
          <w:p>
            <w:pPr>
              <w:pStyle w:val="TableParagraph"/>
              <w:jc w:val="left"/>
              <w:rPr>
                <w:rFonts w:ascii="Times New Roman"/>
                <w:sz w:val="18"/>
              </w:rPr>
            </w:pPr>
          </w:p>
        </w:tc>
        <w:tc>
          <w:tcPr>
            <w:tcW w:w="1292" w:type="dxa"/>
            <w:tcBorders>
              <w:top w:val="nil"/>
            </w:tcBorders>
          </w:tcPr>
          <w:p>
            <w:pPr>
              <w:pStyle w:val="TableParagraph"/>
              <w:spacing w:line="195" w:lineRule="exact"/>
              <w:ind w:left="27"/>
              <w:jc w:val="left"/>
              <w:rPr>
                <w:rFonts w:ascii="Calibri"/>
                <w:b/>
                <w:sz w:val="16"/>
              </w:rPr>
            </w:pPr>
            <w:r>
              <w:rPr>
                <w:rFonts w:ascii="Calibri"/>
                <w:b/>
                <w:w w:val="105"/>
                <w:sz w:val="16"/>
              </w:rPr>
              <w:t>9/12 - 2015 kl. 11</w:t>
            </w:r>
          </w:p>
        </w:tc>
        <w:tc>
          <w:tcPr>
            <w:tcW w:w="1204" w:type="dxa"/>
            <w:tcBorders>
              <w:top w:val="nil"/>
            </w:tcBorders>
          </w:tcPr>
          <w:p>
            <w:pPr>
              <w:pStyle w:val="TableParagraph"/>
              <w:spacing w:line="195" w:lineRule="exact"/>
              <w:ind w:left="28"/>
              <w:jc w:val="left"/>
              <w:rPr>
                <w:rFonts w:ascii="Calibri"/>
                <w:b/>
                <w:sz w:val="16"/>
              </w:rPr>
            </w:pPr>
            <w:r>
              <w:rPr>
                <w:rFonts w:ascii="Calibri"/>
                <w:b/>
                <w:spacing w:val="-5"/>
                <w:w w:val="105"/>
                <w:sz w:val="16"/>
              </w:rPr>
              <w:t>9/12 </w:t>
            </w:r>
            <w:r>
              <w:rPr>
                <w:rFonts w:ascii="Calibri"/>
                <w:b/>
                <w:w w:val="105"/>
                <w:sz w:val="16"/>
              </w:rPr>
              <w:t>- </w:t>
            </w:r>
            <w:r>
              <w:rPr>
                <w:rFonts w:ascii="Calibri"/>
                <w:b/>
                <w:spacing w:val="-6"/>
                <w:w w:val="105"/>
                <w:sz w:val="16"/>
              </w:rPr>
              <w:t>2015 </w:t>
            </w:r>
            <w:r>
              <w:rPr>
                <w:rFonts w:ascii="Calibri"/>
                <w:b/>
                <w:w w:val="105"/>
                <w:sz w:val="16"/>
              </w:rPr>
              <w:t>kl. </w:t>
            </w:r>
            <w:r>
              <w:rPr>
                <w:rFonts w:ascii="Calibri"/>
                <w:b/>
                <w:spacing w:val="-4"/>
                <w:w w:val="105"/>
                <w:sz w:val="16"/>
              </w:rPr>
              <w:t>11</w:t>
            </w:r>
          </w:p>
        </w:tc>
      </w:tr>
      <w:tr>
        <w:trPr>
          <w:trHeight w:val="206" w:hRule="atLeast"/>
        </w:trPr>
        <w:tc>
          <w:tcPr>
            <w:tcW w:w="2465" w:type="dxa"/>
          </w:tcPr>
          <w:p>
            <w:pPr>
              <w:pStyle w:val="TableParagraph"/>
              <w:spacing w:line="175" w:lineRule="exact" w:before="11"/>
              <w:ind w:left="25"/>
              <w:jc w:val="left"/>
              <w:rPr>
                <w:rFonts w:ascii="Calibri"/>
                <w:sz w:val="16"/>
              </w:rPr>
            </w:pPr>
            <w:r>
              <w:rPr>
                <w:rFonts w:ascii="Calibri"/>
                <w:w w:val="105"/>
                <w:sz w:val="16"/>
              </w:rPr>
              <w:t>Gammel Sunds, Sunds Moellebaek</w:t>
            </w:r>
          </w:p>
        </w:tc>
        <w:tc>
          <w:tcPr>
            <w:tcW w:w="1348" w:type="dxa"/>
          </w:tcPr>
          <w:p>
            <w:pPr>
              <w:pStyle w:val="TableParagraph"/>
              <w:spacing w:line="175" w:lineRule="exact" w:before="11"/>
              <w:ind w:right="12"/>
              <w:jc w:val="right"/>
              <w:rPr>
                <w:rFonts w:ascii="Calibri"/>
                <w:sz w:val="16"/>
              </w:rPr>
            </w:pPr>
            <w:r>
              <w:rPr>
                <w:rFonts w:ascii="Calibri"/>
                <w:sz w:val="16"/>
              </w:rPr>
              <w:t>220053</w:t>
            </w:r>
          </w:p>
        </w:tc>
        <w:tc>
          <w:tcPr>
            <w:tcW w:w="1204" w:type="dxa"/>
          </w:tcPr>
          <w:p>
            <w:pPr>
              <w:pStyle w:val="TableParagraph"/>
              <w:spacing w:line="175" w:lineRule="exact" w:before="11"/>
              <w:ind w:right="4"/>
              <w:jc w:val="right"/>
              <w:rPr>
                <w:rFonts w:ascii="Calibri"/>
                <w:sz w:val="16"/>
              </w:rPr>
            </w:pPr>
            <w:r>
              <w:rPr>
                <w:rFonts w:ascii="Calibri"/>
                <w:sz w:val="16"/>
              </w:rPr>
              <w:t>45.26</w:t>
            </w:r>
          </w:p>
        </w:tc>
        <w:tc>
          <w:tcPr>
            <w:tcW w:w="1292" w:type="dxa"/>
          </w:tcPr>
          <w:p>
            <w:pPr>
              <w:pStyle w:val="TableParagraph"/>
              <w:spacing w:line="175" w:lineRule="exact" w:before="11"/>
              <w:ind w:right="3"/>
              <w:jc w:val="right"/>
              <w:rPr>
                <w:rFonts w:ascii="Calibri"/>
                <w:sz w:val="16"/>
              </w:rPr>
            </w:pPr>
            <w:r>
              <w:rPr>
                <w:rFonts w:ascii="Calibri"/>
                <w:sz w:val="16"/>
              </w:rPr>
              <w:t>45.05</w:t>
            </w:r>
          </w:p>
        </w:tc>
        <w:tc>
          <w:tcPr>
            <w:tcW w:w="1204" w:type="dxa"/>
          </w:tcPr>
          <w:p>
            <w:pPr>
              <w:pStyle w:val="TableParagraph"/>
              <w:spacing w:line="175" w:lineRule="exact" w:before="11"/>
              <w:ind w:right="2"/>
              <w:jc w:val="right"/>
              <w:rPr>
                <w:rFonts w:ascii="Calibri"/>
                <w:sz w:val="16"/>
              </w:rPr>
            </w:pPr>
            <w:r>
              <w:rPr>
                <w:rFonts w:ascii="Calibri"/>
                <w:sz w:val="16"/>
              </w:rPr>
              <w:t>45.12</w:t>
            </w:r>
          </w:p>
        </w:tc>
      </w:tr>
      <w:tr>
        <w:trPr>
          <w:trHeight w:val="205" w:hRule="atLeast"/>
        </w:trPr>
        <w:tc>
          <w:tcPr>
            <w:tcW w:w="2465" w:type="dxa"/>
          </w:tcPr>
          <w:p>
            <w:pPr>
              <w:pStyle w:val="TableParagraph"/>
              <w:spacing w:line="174" w:lineRule="exact" w:before="11"/>
              <w:ind w:left="25"/>
              <w:jc w:val="left"/>
              <w:rPr>
                <w:rFonts w:ascii="Calibri"/>
                <w:sz w:val="16"/>
              </w:rPr>
            </w:pPr>
            <w:r>
              <w:rPr>
                <w:rFonts w:ascii="Calibri"/>
                <w:w w:val="105"/>
                <w:sz w:val="16"/>
              </w:rPr>
              <w:t>Skaerum Bro, Storaa</w:t>
            </w:r>
          </w:p>
        </w:tc>
        <w:tc>
          <w:tcPr>
            <w:tcW w:w="1348" w:type="dxa"/>
          </w:tcPr>
          <w:p>
            <w:pPr>
              <w:pStyle w:val="TableParagraph"/>
              <w:spacing w:line="174" w:lineRule="exact" w:before="11"/>
              <w:ind w:right="12"/>
              <w:jc w:val="right"/>
              <w:rPr>
                <w:rFonts w:ascii="Calibri"/>
                <w:sz w:val="16"/>
              </w:rPr>
            </w:pPr>
            <w:r>
              <w:rPr>
                <w:rFonts w:ascii="Calibri"/>
                <w:sz w:val="16"/>
              </w:rPr>
              <w:t>220062</w:t>
            </w:r>
          </w:p>
        </w:tc>
        <w:tc>
          <w:tcPr>
            <w:tcW w:w="1204" w:type="dxa"/>
          </w:tcPr>
          <w:p>
            <w:pPr>
              <w:pStyle w:val="TableParagraph"/>
              <w:spacing w:line="174" w:lineRule="exact" w:before="11"/>
              <w:ind w:right="4"/>
              <w:jc w:val="right"/>
              <w:rPr>
                <w:rFonts w:ascii="Calibri"/>
                <w:sz w:val="16"/>
              </w:rPr>
            </w:pPr>
            <w:r>
              <w:rPr>
                <w:rFonts w:ascii="Calibri"/>
                <w:sz w:val="16"/>
              </w:rPr>
              <w:t>2.10</w:t>
            </w:r>
          </w:p>
        </w:tc>
        <w:tc>
          <w:tcPr>
            <w:tcW w:w="1292" w:type="dxa"/>
          </w:tcPr>
          <w:p>
            <w:pPr>
              <w:pStyle w:val="TableParagraph"/>
              <w:spacing w:line="174" w:lineRule="exact" w:before="11"/>
              <w:ind w:right="2"/>
              <w:jc w:val="right"/>
              <w:rPr>
                <w:rFonts w:ascii="Calibri"/>
                <w:sz w:val="16"/>
              </w:rPr>
            </w:pPr>
            <w:r>
              <w:rPr>
                <w:rFonts w:ascii="Calibri"/>
                <w:w w:val="105"/>
                <w:sz w:val="16"/>
              </w:rPr>
              <w:t>1.85</w:t>
            </w:r>
          </w:p>
        </w:tc>
        <w:tc>
          <w:tcPr>
            <w:tcW w:w="1204" w:type="dxa"/>
          </w:tcPr>
          <w:p>
            <w:pPr>
              <w:pStyle w:val="TableParagraph"/>
              <w:spacing w:line="174" w:lineRule="exact" w:before="11"/>
              <w:ind w:right="2"/>
              <w:jc w:val="right"/>
              <w:rPr>
                <w:rFonts w:ascii="Calibri"/>
                <w:sz w:val="16"/>
              </w:rPr>
            </w:pPr>
            <w:r>
              <w:rPr>
                <w:rFonts w:ascii="Calibri"/>
                <w:w w:val="105"/>
                <w:sz w:val="16"/>
              </w:rPr>
              <w:t>1.83</w:t>
            </w:r>
          </w:p>
        </w:tc>
      </w:tr>
      <w:tr>
        <w:trPr>
          <w:trHeight w:val="206" w:hRule="atLeast"/>
        </w:trPr>
        <w:tc>
          <w:tcPr>
            <w:tcW w:w="2465" w:type="dxa"/>
          </w:tcPr>
          <w:p>
            <w:pPr>
              <w:pStyle w:val="TableParagraph"/>
              <w:spacing w:line="175" w:lineRule="exact" w:before="11"/>
              <w:ind w:left="25"/>
              <w:jc w:val="left"/>
              <w:rPr>
                <w:rFonts w:ascii="Calibri"/>
                <w:sz w:val="16"/>
              </w:rPr>
            </w:pPr>
            <w:r>
              <w:rPr>
                <w:rFonts w:ascii="Calibri"/>
                <w:w w:val="105"/>
                <w:sz w:val="16"/>
              </w:rPr>
              <w:t>Storaa, ved Gl. Grydholt</w:t>
            </w:r>
          </w:p>
        </w:tc>
        <w:tc>
          <w:tcPr>
            <w:tcW w:w="1348" w:type="dxa"/>
          </w:tcPr>
          <w:p>
            <w:pPr>
              <w:pStyle w:val="TableParagraph"/>
              <w:spacing w:line="175" w:lineRule="exact" w:before="11"/>
              <w:ind w:right="12"/>
              <w:jc w:val="right"/>
              <w:rPr>
                <w:rFonts w:ascii="Calibri"/>
                <w:sz w:val="16"/>
              </w:rPr>
            </w:pPr>
            <w:r>
              <w:rPr>
                <w:rFonts w:ascii="Calibri"/>
                <w:sz w:val="16"/>
              </w:rPr>
              <w:t>220225</w:t>
            </w:r>
          </w:p>
        </w:tc>
        <w:tc>
          <w:tcPr>
            <w:tcW w:w="1204" w:type="dxa"/>
          </w:tcPr>
          <w:p>
            <w:pPr>
              <w:pStyle w:val="TableParagraph"/>
              <w:spacing w:line="175" w:lineRule="exact" w:before="11"/>
              <w:ind w:right="4"/>
              <w:jc w:val="right"/>
              <w:rPr>
                <w:rFonts w:ascii="Calibri"/>
                <w:sz w:val="16"/>
              </w:rPr>
            </w:pPr>
            <w:r>
              <w:rPr>
                <w:rFonts w:ascii="Calibri"/>
                <w:sz w:val="16"/>
              </w:rPr>
              <w:t>16.56</w:t>
            </w:r>
          </w:p>
        </w:tc>
        <w:tc>
          <w:tcPr>
            <w:tcW w:w="1292" w:type="dxa"/>
          </w:tcPr>
          <w:p>
            <w:pPr>
              <w:pStyle w:val="TableParagraph"/>
              <w:spacing w:line="175" w:lineRule="exact" w:before="11"/>
              <w:ind w:right="3"/>
              <w:jc w:val="right"/>
              <w:rPr>
                <w:rFonts w:ascii="Calibri"/>
                <w:sz w:val="16"/>
              </w:rPr>
            </w:pPr>
            <w:r>
              <w:rPr>
                <w:rFonts w:ascii="Calibri"/>
                <w:sz w:val="16"/>
              </w:rPr>
              <w:t>16.24</w:t>
            </w:r>
          </w:p>
        </w:tc>
        <w:tc>
          <w:tcPr>
            <w:tcW w:w="1204" w:type="dxa"/>
          </w:tcPr>
          <w:p>
            <w:pPr>
              <w:pStyle w:val="TableParagraph"/>
              <w:spacing w:line="175" w:lineRule="exact" w:before="11"/>
              <w:ind w:right="2"/>
              <w:jc w:val="right"/>
              <w:rPr>
                <w:rFonts w:ascii="Calibri"/>
                <w:sz w:val="16"/>
              </w:rPr>
            </w:pPr>
            <w:r>
              <w:rPr>
                <w:rFonts w:ascii="Calibri"/>
                <w:sz w:val="16"/>
              </w:rPr>
              <w:t>16.37</w:t>
            </w:r>
          </w:p>
        </w:tc>
      </w:tr>
      <w:tr>
        <w:trPr>
          <w:trHeight w:val="205" w:hRule="atLeast"/>
        </w:trPr>
        <w:tc>
          <w:tcPr>
            <w:tcW w:w="2465" w:type="dxa"/>
          </w:tcPr>
          <w:p>
            <w:pPr>
              <w:pStyle w:val="TableParagraph"/>
              <w:spacing w:line="174" w:lineRule="exact" w:before="11"/>
              <w:ind w:left="25" w:right="-44"/>
              <w:jc w:val="left"/>
              <w:rPr>
                <w:rFonts w:ascii="Calibri"/>
                <w:sz w:val="16"/>
              </w:rPr>
            </w:pPr>
            <w:r>
              <w:rPr>
                <w:rFonts w:ascii="Calibri"/>
                <w:w w:val="105"/>
                <w:sz w:val="16"/>
              </w:rPr>
              <w:t>Opstr. Holstebro Renseanlaeg,</w:t>
            </w:r>
            <w:r>
              <w:rPr>
                <w:rFonts w:ascii="Calibri"/>
                <w:spacing w:val="-26"/>
                <w:w w:val="105"/>
                <w:sz w:val="16"/>
              </w:rPr>
              <w:t> </w:t>
            </w:r>
            <w:r>
              <w:rPr>
                <w:rFonts w:ascii="Calibri"/>
                <w:w w:val="105"/>
                <w:sz w:val="16"/>
              </w:rPr>
              <w:t>Stora</w:t>
            </w:r>
          </w:p>
        </w:tc>
        <w:tc>
          <w:tcPr>
            <w:tcW w:w="1348" w:type="dxa"/>
          </w:tcPr>
          <w:p>
            <w:pPr>
              <w:pStyle w:val="TableParagraph"/>
              <w:spacing w:line="174" w:lineRule="exact" w:before="11"/>
              <w:ind w:right="12"/>
              <w:jc w:val="right"/>
              <w:rPr>
                <w:rFonts w:ascii="Calibri"/>
                <w:sz w:val="16"/>
              </w:rPr>
            </w:pPr>
            <w:r>
              <w:rPr>
                <w:rFonts w:ascii="Calibri"/>
                <w:sz w:val="16"/>
              </w:rPr>
              <w:t>220059</w:t>
            </w:r>
          </w:p>
        </w:tc>
        <w:tc>
          <w:tcPr>
            <w:tcW w:w="1204" w:type="dxa"/>
          </w:tcPr>
          <w:p>
            <w:pPr>
              <w:pStyle w:val="TableParagraph"/>
              <w:spacing w:line="174" w:lineRule="exact" w:before="11"/>
              <w:ind w:right="4"/>
              <w:jc w:val="right"/>
              <w:rPr>
                <w:rFonts w:ascii="Calibri"/>
                <w:sz w:val="16"/>
              </w:rPr>
            </w:pPr>
            <w:r>
              <w:rPr>
                <w:rFonts w:ascii="Calibri"/>
                <w:sz w:val="16"/>
              </w:rPr>
              <w:t>8.83</w:t>
            </w:r>
          </w:p>
        </w:tc>
        <w:tc>
          <w:tcPr>
            <w:tcW w:w="1292" w:type="dxa"/>
          </w:tcPr>
          <w:p>
            <w:pPr>
              <w:pStyle w:val="TableParagraph"/>
              <w:spacing w:line="174" w:lineRule="exact" w:before="11"/>
              <w:ind w:right="2"/>
              <w:jc w:val="right"/>
              <w:rPr>
                <w:rFonts w:ascii="Calibri"/>
                <w:sz w:val="16"/>
              </w:rPr>
            </w:pPr>
            <w:r>
              <w:rPr>
                <w:rFonts w:ascii="Calibri"/>
                <w:w w:val="105"/>
                <w:sz w:val="16"/>
              </w:rPr>
              <w:t>8.42</w:t>
            </w:r>
          </w:p>
        </w:tc>
        <w:tc>
          <w:tcPr>
            <w:tcW w:w="1204" w:type="dxa"/>
          </w:tcPr>
          <w:p>
            <w:pPr>
              <w:pStyle w:val="TableParagraph"/>
              <w:spacing w:line="174" w:lineRule="exact" w:before="11"/>
              <w:ind w:right="2"/>
              <w:jc w:val="right"/>
              <w:rPr>
                <w:rFonts w:ascii="Calibri"/>
                <w:sz w:val="16"/>
              </w:rPr>
            </w:pPr>
            <w:r>
              <w:rPr>
                <w:rFonts w:ascii="Calibri"/>
                <w:w w:val="105"/>
                <w:sz w:val="16"/>
              </w:rPr>
              <w:t>8.45</w:t>
            </w:r>
          </w:p>
        </w:tc>
      </w:tr>
      <w:tr>
        <w:trPr>
          <w:trHeight w:val="206" w:hRule="atLeast"/>
        </w:trPr>
        <w:tc>
          <w:tcPr>
            <w:tcW w:w="2465" w:type="dxa"/>
          </w:tcPr>
          <w:p>
            <w:pPr>
              <w:pStyle w:val="TableParagraph"/>
              <w:spacing w:line="174" w:lineRule="exact" w:before="11"/>
              <w:ind w:left="25"/>
              <w:jc w:val="left"/>
              <w:rPr>
                <w:rFonts w:ascii="Calibri"/>
                <w:sz w:val="16"/>
              </w:rPr>
            </w:pPr>
            <w:r>
              <w:rPr>
                <w:rFonts w:ascii="Calibri"/>
                <w:w w:val="105"/>
                <w:sz w:val="16"/>
              </w:rPr>
              <w:t>Storaa, Rotvig Bro</w:t>
            </w:r>
          </w:p>
        </w:tc>
        <w:tc>
          <w:tcPr>
            <w:tcW w:w="1348" w:type="dxa"/>
          </w:tcPr>
          <w:p>
            <w:pPr>
              <w:pStyle w:val="TableParagraph"/>
              <w:spacing w:line="174" w:lineRule="exact" w:before="11"/>
              <w:ind w:right="12"/>
              <w:jc w:val="right"/>
              <w:rPr>
                <w:rFonts w:ascii="Calibri"/>
                <w:sz w:val="16"/>
              </w:rPr>
            </w:pPr>
            <w:r>
              <w:rPr>
                <w:rFonts w:ascii="Calibri"/>
                <w:sz w:val="16"/>
              </w:rPr>
              <w:t>220205</w:t>
            </w:r>
          </w:p>
        </w:tc>
        <w:tc>
          <w:tcPr>
            <w:tcW w:w="1204" w:type="dxa"/>
          </w:tcPr>
          <w:p>
            <w:pPr>
              <w:pStyle w:val="TableParagraph"/>
              <w:spacing w:line="174" w:lineRule="exact" w:before="11"/>
              <w:ind w:right="4"/>
              <w:jc w:val="right"/>
              <w:rPr>
                <w:rFonts w:ascii="Calibri"/>
                <w:sz w:val="16"/>
              </w:rPr>
            </w:pPr>
            <w:r>
              <w:rPr>
                <w:rFonts w:ascii="Calibri"/>
                <w:sz w:val="16"/>
              </w:rPr>
              <w:t>21.88</w:t>
            </w:r>
          </w:p>
        </w:tc>
        <w:tc>
          <w:tcPr>
            <w:tcW w:w="1292" w:type="dxa"/>
          </w:tcPr>
          <w:p>
            <w:pPr>
              <w:pStyle w:val="TableParagraph"/>
              <w:spacing w:line="174" w:lineRule="exact" w:before="11"/>
              <w:ind w:right="3"/>
              <w:jc w:val="right"/>
              <w:rPr>
                <w:rFonts w:ascii="Calibri"/>
                <w:sz w:val="16"/>
              </w:rPr>
            </w:pPr>
            <w:r>
              <w:rPr>
                <w:rFonts w:ascii="Calibri"/>
                <w:sz w:val="16"/>
              </w:rPr>
              <w:t>21.37</w:t>
            </w:r>
          </w:p>
        </w:tc>
        <w:tc>
          <w:tcPr>
            <w:tcW w:w="1204" w:type="dxa"/>
          </w:tcPr>
          <w:p>
            <w:pPr>
              <w:pStyle w:val="TableParagraph"/>
              <w:spacing w:line="174" w:lineRule="exact" w:before="11"/>
              <w:ind w:right="2"/>
              <w:jc w:val="right"/>
              <w:rPr>
                <w:rFonts w:ascii="Calibri"/>
                <w:sz w:val="16"/>
              </w:rPr>
            </w:pPr>
            <w:r>
              <w:rPr>
                <w:rFonts w:ascii="Calibri"/>
                <w:sz w:val="16"/>
              </w:rPr>
              <w:t>21.31</w:t>
            </w:r>
          </w:p>
        </w:tc>
      </w:tr>
      <w:tr>
        <w:trPr>
          <w:trHeight w:val="232" w:hRule="atLeast"/>
        </w:trPr>
        <w:tc>
          <w:tcPr>
            <w:tcW w:w="2465" w:type="dxa"/>
            <w:tcBorders>
              <w:bottom w:val="nil"/>
            </w:tcBorders>
          </w:tcPr>
          <w:p>
            <w:pPr>
              <w:pStyle w:val="TableParagraph"/>
              <w:spacing w:before="11"/>
              <w:ind w:left="25"/>
              <w:jc w:val="left"/>
              <w:rPr>
                <w:rFonts w:ascii="Calibri" w:hAnsi="Calibri"/>
                <w:b/>
                <w:sz w:val="16"/>
              </w:rPr>
            </w:pPr>
            <w:r>
              <w:rPr>
                <w:rFonts w:ascii="Calibri" w:hAnsi="Calibri"/>
                <w:b/>
                <w:w w:val="105"/>
                <w:sz w:val="16"/>
              </w:rPr>
              <w:t>ODENSE Å</w:t>
            </w:r>
          </w:p>
        </w:tc>
        <w:tc>
          <w:tcPr>
            <w:tcW w:w="1348" w:type="dxa"/>
            <w:tcBorders>
              <w:bottom w:val="nil"/>
            </w:tcBorders>
          </w:tcPr>
          <w:p>
            <w:pPr>
              <w:pStyle w:val="TableParagraph"/>
              <w:spacing w:before="11"/>
              <w:ind w:left="25"/>
              <w:jc w:val="left"/>
              <w:rPr>
                <w:rFonts w:ascii="Calibri"/>
                <w:b/>
                <w:sz w:val="16"/>
              </w:rPr>
            </w:pPr>
            <w:r>
              <w:rPr>
                <w:rFonts w:ascii="Calibri"/>
                <w:b/>
                <w:w w:val="105"/>
                <w:sz w:val="16"/>
              </w:rPr>
              <w:t>DMU stnr.</w:t>
            </w:r>
          </w:p>
        </w:tc>
        <w:tc>
          <w:tcPr>
            <w:tcW w:w="1204" w:type="dxa"/>
            <w:tcBorders>
              <w:bottom w:val="nil"/>
            </w:tcBorders>
          </w:tcPr>
          <w:p>
            <w:pPr>
              <w:pStyle w:val="TableParagraph"/>
              <w:spacing w:before="11"/>
              <w:ind w:left="214"/>
              <w:jc w:val="left"/>
              <w:rPr>
                <w:rFonts w:ascii="Calibri"/>
                <w:b/>
                <w:sz w:val="16"/>
              </w:rPr>
            </w:pPr>
            <w:r>
              <w:rPr>
                <w:rFonts w:ascii="Calibri"/>
                <w:b/>
                <w:w w:val="105"/>
                <w:sz w:val="16"/>
              </w:rPr>
              <w:t>Observeret</w:t>
            </w:r>
          </w:p>
        </w:tc>
        <w:tc>
          <w:tcPr>
            <w:tcW w:w="1292" w:type="dxa"/>
            <w:tcBorders>
              <w:bottom w:val="nil"/>
            </w:tcBorders>
          </w:tcPr>
          <w:p>
            <w:pPr>
              <w:pStyle w:val="TableParagraph"/>
              <w:spacing w:before="11"/>
              <w:ind w:left="27"/>
              <w:jc w:val="left"/>
              <w:rPr>
                <w:rFonts w:ascii="Calibri"/>
                <w:b/>
                <w:sz w:val="16"/>
              </w:rPr>
            </w:pPr>
            <w:r>
              <w:rPr>
                <w:rFonts w:ascii="Calibri"/>
                <w:b/>
                <w:w w:val="105"/>
                <w:sz w:val="16"/>
              </w:rPr>
              <w:t>Simuleret</w:t>
            </w:r>
          </w:p>
        </w:tc>
        <w:tc>
          <w:tcPr>
            <w:tcW w:w="1204" w:type="dxa"/>
            <w:tcBorders>
              <w:bottom w:val="nil"/>
            </w:tcBorders>
          </w:tcPr>
          <w:p>
            <w:pPr>
              <w:pStyle w:val="TableParagraph"/>
              <w:spacing w:before="11"/>
              <w:ind w:left="28"/>
              <w:jc w:val="left"/>
              <w:rPr>
                <w:rFonts w:ascii="Calibri"/>
                <w:b/>
                <w:sz w:val="16"/>
              </w:rPr>
            </w:pPr>
            <w:r>
              <w:rPr>
                <w:rFonts w:ascii="Calibri"/>
                <w:b/>
                <w:w w:val="105"/>
                <w:sz w:val="16"/>
              </w:rPr>
              <w:t>Simuleret</w:t>
            </w:r>
          </w:p>
        </w:tc>
      </w:tr>
      <w:tr>
        <w:trPr>
          <w:trHeight w:val="220" w:hRule="atLeast"/>
        </w:trPr>
        <w:tc>
          <w:tcPr>
            <w:tcW w:w="2465" w:type="dxa"/>
            <w:tcBorders>
              <w:top w:val="nil"/>
              <w:bottom w:val="nil"/>
            </w:tcBorders>
          </w:tcPr>
          <w:p>
            <w:pPr>
              <w:pStyle w:val="TableParagraph"/>
              <w:spacing w:line="195" w:lineRule="exact"/>
              <w:ind w:left="25"/>
              <w:jc w:val="left"/>
              <w:rPr>
                <w:rFonts w:ascii="Calibri"/>
                <w:b/>
                <w:sz w:val="16"/>
              </w:rPr>
            </w:pPr>
            <w:r>
              <w:rPr>
                <w:rFonts w:ascii="Calibri"/>
                <w:b/>
                <w:w w:val="105"/>
                <w:sz w:val="16"/>
              </w:rPr>
              <w:t>Stations Navn</w:t>
            </w:r>
          </w:p>
        </w:tc>
        <w:tc>
          <w:tcPr>
            <w:tcW w:w="1348" w:type="dxa"/>
            <w:tcBorders>
              <w:top w:val="nil"/>
              <w:bottom w:val="nil"/>
            </w:tcBorders>
          </w:tcPr>
          <w:p>
            <w:pPr>
              <w:pStyle w:val="TableParagraph"/>
              <w:jc w:val="left"/>
              <w:rPr>
                <w:rFonts w:ascii="Times New Roman"/>
                <w:sz w:val="14"/>
              </w:rPr>
            </w:pPr>
          </w:p>
        </w:tc>
        <w:tc>
          <w:tcPr>
            <w:tcW w:w="1204" w:type="dxa"/>
            <w:tcBorders>
              <w:top w:val="nil"/>
              <w:bottom w:val="nil"/>
            </w:tcBorders>
          </w:tcPr>
          <w:p>
            <w:pPr>
              <w:pStyle w:val="TableParagraph"/>
              <w:spacing w:line="195" w:lineRule="exact"/>
              <w:ind w:left="236"/>
              <w:jc w:val="left"/>
              <w:rPr>
                <w:rFonts w:ascii="Calibri"/>
                <w:b/>
                <w:sz w:val="16"/>
              </w:rPr>
            </w:pPr>
            <w:r>
              <w:rPr>
                <w:rFonts w:ascii="Calibri"/>
                <w:b/>
                <w:w w:val="105"/>
                <w:sz w:val="16"/>
              </w:rPr>
              <w:t>Vandstand</w:t>
            </w:r>
          </w:p>
        </w:tc>
        <w:tc>
          <w:tcPr>
            <w:tcW w:w="1292" w:type="dxa"/>
            <w:tcBorders>
              <w:top w:val="nil"/>
              <w:bottom w:val="nil"/>
            </w:tcBorders>
          </w:tcPr>
          <w:p>
            <w:pPr>
              <w:pStyle w:val="TableParagraph"/>
              <w:spacing w:line="195" w:lineRule="exact"/>
              <w:ind w:left="27"/>
              <w:jc w:val="left"/>
              <w:rPr>
                <w:rFonts w:ascii="Calibri"/>
                <w:b/>
                <w:sz w:val="16"/>
              </w:rPr>
            </w:pPr>
            <w:r>
              <w:rPr>
                <w:rFonts w:ascii="Calibri"/>
                <w:b/>
                <w:w w:val="105"/>
                <w:sz w:val="16"/>
              </w:rPr>
              <w:t>vandstand</w:t>
            </w:r>
          </w:p>
        </w:tc>
        <w:tc>
          <w:tcPr>
            <w:tcW w:w="1204" w:type="dxa"/>
            <w:tcBorders>
              <w:top w:val="nil"/>
              <w:bottom w:val="nil"/>
            </w:tcBorders>
          </w:tcPr>
          <w:p>
            <w:pPr>
              <w:pStyle w:val="TableParagraph"/>
              <w:spacing w:line="195" w:lineRule="exact"/>
              <w:ind w:left="28"/>
              <w:jc w:val="left"/>
              <w:rPr>
                <w:rFonts w:ascii="Calibri"/>
                <w:b/>
                <w:sz w:val="16"/>
              </w:rPr>
            </w:pPr>
            <w:r>
              <w:rPr>
                <w:rFonts w:ascii="Calibri"/>
                <w:b/>
                <w:w w:val="105"/>
                <w:sz w:val="16"/>
              </w:rPr>
              <w:t>vandstand</w:t>
            </w:r>
          </w:p>
        </w:tc>
      </w:tr>
      <w:tr>
        <w:trPr>
          <w:trHeight w:val="220" w:hRule="atLeast"/>
        </w:trPr>
        <w:tc>
          <w:tcPr>
            <w:tcW w:w="2465" w:type="dxa"/>
            <w:tcBorders>
              <w:top w:val="nil"/>
              <w:bottom w:val="nil"/>
            </w:tcBorders>
          </w:tcPr>
          <w:p>
            <w:pPr>
              <w:pStyle w:val="TableParagraph"/>
              <w:jc w:val="left"/>
              <w:rPr>
                <w:rFonts w:ascii="Times New Roman"/>
                <w:sz w:val="14"/>
              </w:rPr>
            </w:pPr>
          </w:p>
        </w:tc>
        <w:tc>
          <w:tcPr>
            <w:tcW w:w="1348" w:type="dxa"/>
            <w:tcBorders>
              <w:top w:val="nil"/>
              <w:bottom w:val="nil"/>
            </w:tcBorders>
          </w:tcPr>
          <w:p>
            <w:pPr>
              <w:pStyle w:val="TableParagraph"/>
              <w:jc w:val="left"/>
              <w:rPr>
                <w:rFonts w:ascii="Times New Roman"/>
                <w:sz w:val="14"/>
              </w:rPr>
            </w:pPr>
          </w:p>
        </w:tc>
        <w:tc>
          <w:tcPr>
            <w:tcW w:w="1204" w:type="dxa"/>
            <w:tcBorders>
              <w:top w:val="nil"/>
              <w:bottom w:val="nil"/>
            </w:tcBorders>
          </w:tcPr>
          <w:p>
            <w:pPr>
              <w:pStyle w:val="TableParagraph"/>
              <w:spacing w:line="195" w:lineRule="exact"/>
              <w:ind w:left="247"/>
              <w:jc w:val="left"/>
              <w:rPr>
                <w:rFonts w:ascii="Calibri"/>
                <w:b/>
                <w:sz w:val="16"/>
              </w:rPr>
            </w:pPr>
            <w:r>
              <w:rPr>
                <w:rFonts w:ascii="Calibri"/>
                <w:b/>
                <w:w w:val="105"/>
                <w:sz w:val="16"/>
              </w:rPr>
              <w:t>26/12 2015</w:t>
            </w:r>
          </w:p>
        </w:tc>
        <w:tc>
          <w:tcPr>
            <w:tcW w:w="1292" w:type="dxa"/>
            <w:tcBorders>
              <w:top w:val="nil"/>
              <w:bottom w:val="nil"/>
            </w:tcBorders>
          </w:tcPr>
          <w:p>
            <w:pPr>
              <w:pStyle w:val="TableParagraph"/>
              <w:spacing w:line="195" w:lineRule="exact"/>
              <w:ind w:left="27"/>
              <w:jc w:val="left"/>
              <w:rPr>
                <w:rFonts w:ascii="Calibri"/>
                <w:b/>
                <w:sz w:val="16"/>
              </w:rPr>
            </w:pPr>
            <w:r>
              <w:rPr>
                <w:rFonts w:ascii="Calibri"/>
                <w:b/>
                <w:w w:val="105"/>
                <w:sz w:val="16"/>
              </w:rPr>
              <w:t>MIKEHYDRORiver</w:t>
            </w:r>
          </w:p>
        </w:tc>
        <w:tc>
          <w:tcPr>
            <w:tcW w:w="1204" w:type="dxa"/>
            <w:tcBorders>
              <w:top w:val="nil"/>
              <w:bottom w:val="nil"/>
            </w:tcBorders>
          </w:tcPr>
          <w:p>
            <w:pPr>
              <w:pStyle w:val="TableParagraph"/>
              <w:spacing w:line="195" w:lineRule="exact"/>
              <w:ind w:left="28"/>
              <w:jc w:val="left"/>
              <w:rPr>
                <w:rFonts w:ascii="Calibri"/>
                <w:b/>
                <w:sz w:val="16"/>
              </w:rPr>
            </w:pPr>
            <w:r>
              <w:rPr>
                <w:rFonts w:ascii="Calibri"/>
                <w:b/>
                <w:w w:val="105"/>
                <w:sz w:val="16"/>
              </w:rPr>
              <w:t>HYMOD</w:t>
            </w:r>
          </w:p>
        </w:tc>
      </w:tr>
      <w:tr>
        <w:trPr>
          <w:trHeight w:val="193" w:hRule="atLeast"/>
        </w:trPr>
        <w:tc>
          <w:tcPr>
            <w:tcW w:w="2465" w:type="dxa"/>
            <w:tcBorders>
              <w:top w:val="nil"/>
            </w:tcBorders>
          </w:tcPr>
          <w:p>
            <w:pPr>
              <w:pStyle w:val="TableParagraph"/>
              <w:jc w:val="left"/>
              <w:rPr>
                <w:rFonts w:ascii="Times New Roman"/>
                <w:sz w:val="12"/>
              </w:rPr>
            </w:pPr>
          </w:p>
        </w:tc>
        <w:tc>
          <w:tcPr>
            <w:tcW w:w="1348" w:type="dxa"/>
            <w:tcBorders>
              <w:top w:val="nil"/>
            </w:tcBorders>
          </w:tcPr>
          <w:p>
            <w:pPr>
              <w:pStyle w:val="TableParagraph"/>
              <w:jc w:val="left"/>
              <w:rPr>
                <w:rFonts w:ascii="Times New Roman"/>
                <w:sz w:val="12"/>
              </w:rPr>
            </w:pPr>
          </w:p>
        </w:tc>
        <w:tc>
          <w:tcPr>
            <w:tcW w:w="1204" w:type="dxa"/>
            <w:tcBorders>
              <w:top w:val="nil"/>
            </w:tcBorders>
          </w:tcPr>
          <w:p>
            <w:pPr>
              <w:pStyle w:val="TableParagraph"/>
              <w:jc w:val="left"/>
              <w:rPr>
                <w:rFonts w:ascii="Times New Roman"/>
                <w:sz w:val="12"/>
              </w:rPr>
            </w:pPr>
          </w:p>
        </w:tc>
        <w:tc>
          <w:tcPr>
            <w:tcW w:w="1292" w:type="dxa"/>
            <w:tcBorders>
              <w:top w:val="nil"/>
            </w:tcBorders>
          </w:tcPr>
          <w:p>
            <w:pPr>
              <w:pStyle w:val="TableParagraph"/>
              <w:spacing w:line="174" w:lineRule="exact"/>
              <w:ind w:left="27"/>
              <w:jc w:val="left"/>
              <w:rPr>
                <w:rFonts w:ascii="Calibri"/>
                <w:b/>
                <w:sz w:val="16"/>
              </w:rPr>
            </w:pPr>
            <w:r>
              <w:rPr>
                <w:rFonts w:ascii="Calibri"/>
                <w:b/>
                <w:w w:val="105"/>
                <w:sz w:val="16"/>
              </w:rPr>
              <w:t>26/12 2015</w:t>
            </w:r>
          </w:p>
        </w:tc>
        <w:tc>
          <w:tcPr>
            <w:tcW w:w="1204" w:type="dxa"/>
            <w:tcBorders>
              <w:top w:val="nil"/>
            </w:tcBorders>
          </w:tcPr>
          <w:p>
            <w:pPr>
              <w:pStyle w:val="TableParagraph"/>
              <w:spacing w:line="174" w:lineRule="exact"/>
              <w:ind w:left="28"/>
              <w:jc w:val="left"/>
              <w:rPr>
                <w:rFonts w:ascii="Calibri"/>
                <w:b/>
                <w:sz w:val="16"/>
              </w:rPr>
            </w:pPr>
            <w:r>
              <w:rPr>
                <w:rFonts w:ascii="Calibri"/>
                <w:b/>
                <w:w w:val="105"/>
                <w:sz w:val="16"/>
              </w:rPr>
              <w:t>26/12 2015</w:t>
            </w:r>
          </w:p>
        </w:tc>
      </w:tr>
      <w:tr>
        <w:trPr>
          <w:trHeight w:val="206" w:hRule="atLeast"/>
        </w:trPr>
        <w:tc>
          <w:tcPr>
            <w:tcW w:w="2465" w:type="dxa"/>
          </w:tcPr>
          <w:p>
            <w:pPr>
              <w:pStyle w:val="TableParagraph"/>
              <w:spacing w:line="174" w:lineRule="exact" w:before="11"/>
              <w:ind w:left="25"/>
              <w:jc w:val="left"/>
              <w:rPr>
                <w:rFonts w:ascii="Calibri"/>
                <w:sz w:val="16"/>
              </w:rPr>
            </w:pPr>
            <w:r>
              <w:rPr>
                <w:rFonts w:ascii="Calibri"/>
                <w:w w:val="105"/>
                <w:sz w:val="16"/>
              </w:rPr>
              <w:t>Stavis Aa, Stavis Bro (St 8.25)</w:t>
            </w:r>
          </w:p>
        </w:tc>
        <w:tc>
          <w:tcPr>
            <w:tcW w:w="1348" w:type="dxa"/>
          </w:tcPr>
          <w:p>
            <w:pPr>
              <w:pStyle w:val="TableParagraph"/>
              <w:spacing w:line="174" w:lineRule="exact" w:before="11"/>
              <w:ind w:right="12"/>
              <w:jc w:val="right"/>
              <w:rPr>
                <w:rFonts w:ascii="Calibri"/>
                <w:sz w:val="16"/>
              </w:rPr>
            </w:pPr>
            <w:r>
              <w:rPr>
                <w:rFonts w:ascii="Calibri"/>
                <w:sz w:val="16"/>
              </w:rPr>
              <w:t>450005</w:t>
            </w:r>
          </w:p>
        </w:tc>
        <w:tc>
          <w:tcPr>
            <w:tcW w:w="1204" w:type="dxa"/>
          </w:tcPr>
          <w:p>
            <w:pPr>
              <w:pStyle w:val="TableParagraph"/>
              <w:spacing w:line="174" w:lineRule="exact" w:before="11"/>
              <w:ind w:right="4"/>
              <w:jc w:val="right"/>
              <w:rPr>
                <w:rFonts w:ascii="Calibri"/>
                <w:sz w:val="16"/>
              </w:rPr>
            </w:pPr>
            <w:r>
              <w:rPr>
                <w:rFonts w:ascii="Calibri"/>
                <w:sz w:val="16"/>
              </w:rPr>
              <w:t>3.34</w:t>
            </w:r>
          </w:p>
        </w:tc>
        <w:tc>
          <w:tcPr>
            <w:tcW w:w="1292" w:type="dxa"/>
          </w:tcPr>
          <w:p>
            <w:pPr>
              <w:pStyle w:val="TableParagraph"/>
              <w:spacing w:line="174" w:lineRule="exact" w:before="11"/>
              <w:ind w:right="2"/>
              <w:jc w:val="right"/>
              <w:rPr>
                <w:rFonts w:ascii="Calibri"/>
                <w:sz w:val="16"/>
              </w:rPr>
            </w:pPr>
            <w:r>
              <w:rPr>
                <w:rFonts w:ascii="Calibri"/>
                <w:w w:val="105"/>
                <w:sz w:val="16"/>
              </w:rPr>
              <w:t>2.92</w:t>
            </w:r>
          </w:p>
        </w:tc>
        <w:tc>
          <w:tcPr>
            <w:tcW w:w="1204" w:type="dxa"/>
          </w:tcPr>
          <w:p>
            <w:pPr>
              <w:pStyle w:val="TableParagraph"/>
              <w:spacing w:line="174" w:lineRule="exact" w:before="11"/>
              <w:ind w:right="2"/>
              <w:jc w:val="right"/>
              <w:rPr>
                <w:rFonts w:ascii="Calibri"/>
                <w:sz w:val="16"/>
              </w:rPr>
            </w:pPr>
            <w:r>
              <w:rPr>
                <w:rFonts w:ascii="Calibri"/>
                <w:w w:val="105"/>
                <w:sz w:val="16"/>
              </w:rPr>
              <w:t>2.94</w:t>
            </w:r>
          </w:p>
        </w:tc>
      </w:tr>
      <w:tr>
        <w:trPr>
          <w:trHeight w:val="206" w:hRule="atLeast"/>
        </w:trPr>
        <w:tc>
          <w:tcPr>
            <w:tcW w:w="2465" w:type="dxa"/>
          </w:tcPr>
          <w:p>
            <w:pPr>
              <w:pStyle w:val="TableParagraph"/>
              <w:spacing w:line="175" w:lineRule="exact" w:before="11"/>
              <w:ind w:left="25"/>
              <w:jc w:val="left"/>
              <w:rPr>
                <w:rFonts w:ascii="Calibri"/>
                <w:sz w:val="16"/>
              </w:rPr>
            </w:pPr>
            <w:r>
              <w:rPr>
                <w:rFonts w:ascii="Calibri"/>
                <w:w w:val="105"/>
                <w:sz w:val="16"/>
              </w:rPr>
              <w:t>Lindved Aa, 1.20</w:t>
            </w:r>
          </w:p>
        </w:tc>
        <w:tc>
          <w:tcPr>
            <w:tcW w:w="1348" w:type="dxa"/>
          </w:tcPr>
          <w:p>
            <w:pPr>
              <w:pStyle w:val="TableParagraph"/>
              <w:spacing w:line="175" w:lineRule="exact" w:before="11"/>
              <w:ind w:right="12"/>
              <w:jc w:val="right"/>
              <w:rPr>
                <w:rFonts w:ascii="Calibri"/>
                <w:sz w:val="16"/>
              </w:rPr>
            </w:pPr>
            <w:r>
              <w:rPr>
                <w:rFonts w:ascii="Calibri"/>
                <w:sz w:val="16"/>
              </w:rPr>
              <w:t>450043</w:t>
            </w:r>
          </w:p>
        </w:tc>
        <w:tc>
          <w:tcPr>
            <w:tcW w:w="1204" w:type="dxa"/>
          </w:tcPr>
          <w:p>
            <w:pPr>
              <w:pStyle w:val="TableParagraph"/>
              <w:spacing w:line="175" w:lineRule="exact" w:before="11"/>
              <w:ind w:right="4"/>
              <w:jc w:val="right"/>
              <w:rPr>
                <w:rFonts w:ascii="Calibri"/>
                <w:sz w:val="16"/>
              </w:rPr>
            </w:pPr>
            <w:r>
              <w:rPr>
                <w:rFonts w:ascii="Calibri"/>
                <w:sz w:val="16"/>
              </w:rPr>
              <w:t>3.79</w:t>
            </w:r>
          </w:p>
        </w:tc>
        <w:tc>
          <w:tcPr>
            <w:tcW w:w="1292" w:type="dxa"/>
          </w:tcPr>
          <w:p>
            <w:pPr>
              <w:pStyle w:val="TableParagraph"/>
              <w:spacing w:line="175" w:lineRule="exact" w:before="11"/>
              <w:ind w:right="2"/>
              <w:jc w:val="right"/>
              <w:rPr>
                <w:rFonts w:ascii="Calibri"/>
                <w:sz w:val="16"/>
              </w:rPr>
            </w:pPr>
            <w:r>
              <w:rPr>
                <w:rFonts w:ascii="Calibri"/>
                <w:w w:val="105"/>
                <w:sz w:val="16"/>
              </w:rPr>
              <w:t>3.36</w:t>
            </w:r>
          </w:p>
        </w:tc>
        <w:tc>
          <w:tcPr>
            <w:tcW w:w="1204" w:type="dxa"/>
          </w:tcPr>
          <w:p>
            <w:pPr>
              <w:pStyle w:val="TableParagraph"/>
              <w:spacing w:line="175" w:lineRule="exact" w:before="11"/>
              <w:ind w:right="2"/>
              <w:jc w:val="right"/>
              <w:rPr>
                <w:rFonts w:ascii="Calibri"/>
                <w:sz w:val="16"/>
              </w:rPr>
            </w:pPr>
            <w:r>
              <w:rPr>
                <w:rFonts w:ascii="Calibri"/>
                <w:w w:val="105"/>
                <w:sz w:val="16"/>
              </w:rPr>
              <w:t>3.39</w:t>
            </w:r>
          </w:p>
        </w:tc>
      </w:tr>
      <w:tr>
        <w:trPr>
          <w:trHeight w:val="205" w:hRule="atLeast"/>
        </w:trPr>
        <w:tc>
          <w:tcPr>
            <w:tcW w:w="2465" w:type="dxa"/>
          </w:tcPr>
          <w:p>
            <w:pPr>
              <w:pStyle w:val="TableParagraph"/>
              <w:spacing w:line="174" w:lineRule="exact" w:before="11"/>
              <w:ind w:left="25"/>
              <w:jc w:val="left"/>
              <w:rPr>
                <w:rFonts w:ascii="Calibri"/>
                <w:sz w:val="16"/>
              </w:rPr>
            </w:pPr>
            <w:r>
              <w:rPr>
                <w:rFonts w:ascii="Calibri"/>
                <w:w w:val="105"/>
                <w:sz w:val="16"/>
              </w:rPr>
              <w:t>Odense Aa, Afloeb Arreskov Soe</w:t>
            </w:r>
          </w:p>
        </w:tc>
        <w:tc>
          <w:tcPr>
            <w:tcW w:w="1348" w:type="dxa"/>
          </w:tcPr>
          <w:p>
            <w:pPr>
              <w:pStyle w:val="TableParagraph"/>
              <w:spacing w:line="174" w:lineRule="exact" w:before="11"/>
              <w:ind w:right="12"/>
              <w:jc w:val="right"/>
              <w:rPr>
                <w:rFonts w:ascii="Calibri"/>
                <w:sz w:val="16"/>
              </w:rPr>
            </w:pPr>
            <w:r>
              <w:rPr>
                <w:rFonts w:ascii="Calibri"/>
                <w:sz w:val="16"/>
              </w:rPr>
              <w:t>450045</w:t>
            </w:r>
          </w:p>
        </w:tc>
        <w:tc>
          <w:tcPr>
            <w:tcW w:w="1204" w:type="dxa"/>
          </w:tcPr>
          <w:p>
            <w:pPr>
              <w:pStyle w:val="TableParagraph"/>
              <w:spacing w:line="174" w:lineRule="exact" w:before="11"/>
              <w:ind w:right="4"/>
              <w:jc w:val="right"/>
              <w:rPr>
                <w:rFonts w:ascii="Calibri"/>
                <w:sz w:val="16"/>
              </w:rPr>
            </w:pPr>
            <w:r>
              <w:rPr>
                <w:rFonts w:ascii="Calibri"/>
                <w:sz w:val="16"/>
              </w:rPr>
              <w:t>30.75</w:t>
            </w:r>
          </w:p>
        </w:tc>
        <w:tc>
          <w:tcPr>
            <w:tcW w:w="1292" w:type="dxa"/>
          </w:tcPr>
          <w:p>
            <w:pPr>
              <w:pStyle w:val="TableParagraph"/>
              <w:spacing w:line="174" w:lineRule="exact" w:before="11"/>
              <w:ind w:right="3"/>
              <w:jc w:val="right"/>
              <w:rPr>
                <w:rFonts w:ascii="Calibri"/>
                <w:sz w:val="16"/>
              </w:rPr>
            </w:pPr>
            <w:r>
              <w:rPr>
                <w:rFonts w:ascii="Calibri"/>
                <w:sz w:val="16"/>
              </w:rPr>
              <w:t>30.48</w:t>
            </w:r>
          </w:p>
        </w:tc>
        <w:tc>
          <w:tcPr>
            <w:tcW w:w="1204" w:type="dxa"/>
          </w:tcPr>
          <w:p>
            <w:pPr>
              <w:pStyle w:val="TableParagraph"/>
              <w:spacing w:line="174" w:lineRule="exact" w:before="11"/>
              <w:ind w:right="2"/>
              <w:jc w:val="right"/>
              <w:rPr>
                <w:rFonts w:ascii="Calibri"/>
                <w:sz w:val="16"/>
              </w:rPr>
            </w:pPr>
            <w:r>
              <w:rPr>
                <w:rFonts w:ascii="Calibri"/>
                <w:sz w:val="16"/>
              </w:rPr>
              <w:t>30.61</w:t>
            </w:r>
          </w:p>
        </w:tc>
      </w:tr>
      <w:tr>
        <w:trPr>
          <w:trHeight w:val="206" w:hRule="atLeast"/>
        </w:trPr>
        <w:tc>
          <w:tcPr>
            <w:tcW w:w="2465" w:type="dxa"/>
          </w:tcPr>
          <w:p>
            <w:pPr>
              <w:pStyle w:val="TableParagraph"/>
              <w:spacing w:line="174" w:lineRule="exact" w:before="11"/>
              <w:ind w:left="25"/>
              <w:jc w:val="left"/>
              <w:rPr>
                <w:rFonts w:ascii="Calibri"/>
                <w:sz w:val="16"/>
              </w:rPr>
            </w:pPr>
            <w:r>
              <w:rPr>
                <w:rFonts w:ascii="Calibri"/>
                <w:w w:val="105"/>
                <w:sz w:val="16"/>
              </w:rPr>
              <w:t>Kratholm (22.35)</w:t>
            </w:r>
          </w:p>
        </w:tc>
        <w:tc>
          <w:tcPr>
            <w:tcW w:w="1348" w:type="dxa"/>
          </w:tcPr>
          <w:p>
            <w:pPr>
              <w:pStyle w:val="TableParagraph"/>
              <w:spacing w:line="174" w:lineRule="exact" w:before="11"/>
              <w:ind w:right="12"/>
              <w:jc w:val="right"/>
              <w:rPr>
                <w:rFonts w:ascii="Calibri"/>
                <w:sz w:val="16"/>
              </w:rPr>
            </w:pPr>
            <w:r>
              <w:rPr>
                <w:rFonts w:ascii="Calibri"/>
                <w:sz w:val="16"/>
              </w:rPr>
              <w:t>450003</w:t>
            </w:r>
          </w:p>
        </w:tc>
        <w:tc>
          <w:tcPr>
            <w:tcW w:w="1204" w:type="dxa"/>
          </w:tcPr>
          <w:p>
            <w:pPr>
              <w:pStyle w:val="TableParagraph"/>
              <w:spacing w:line="174" w:lineRule="exact" w:before="11"/>
              <w:ind w:right="4"/>
              <w:jc w:val="right"/>
              <w:rPr>
                <w:rFonts w:ascii="Calibri"/>
                <w:sz w:val="16"/>
              </w:rPr>
            </w:pPr>
            <w:r>
              <w:rPr>
                <w:rFonts w:ascii="Calibri"/>
                <w:sz w:val="16"/>
              </w:rPr>
              <w:t>12.08</w:t>
            </w:r>
          </w:p>
        </w:tc>
        <w:tc>
          <w:tcPr>
            <w:tcW w:w="1292" w:type="dxa"/>
          </w:tcPr>
          <w:p>
            <w:pPr>
              <w:pStyle w:val="TableParagraph"/>
              <w:spacing w:line="174" w:lineRule="exact" w:before="11"/>
              <w:ind w:right="3"/>
              <w:jc w:val="right"/>
              <w:rPr>
                <w:rFonts w:ascii="Calibri"/>
                <w:sz w:val="16"/>
              </w:rPr>
            </w:pPr>
            <w:r>
              <w:rPr>
                <w:rFonts w:ascii="Calibri"/>
                <w:sz w:val="16"/>
              </w:rPr>
              <w:t>12.02</w:t>
            </w:r>
          </w:p>
        </w:tc>
        <w:tc>
          <w:tcPr>
            <w:tcW w:w="1204" w:type="dxa"/>
          </w:tcPr>
          <w:p>
            <w:pPr>
              <w:pStyle w:val="TableParagraph"/>
              <w:spacing w:line="174" w:lineRule="exact" w:before="11"/>
              <w:ind w:right="2"/>
              <w:jc w:val="right"/>
              <w:rPr>
                <w:rFonts w:ascii="Calibri"/>
                <w:sz w:val="16"/>
              </w:rPr>
            </w:pPr>
            <w:r>
              <w:rPr>
                <w:rFonts w:ascii="Calibri"/>
                <w:sz w:val="16"/>
              </w:rPr>
              <w:t>12.04</w:t>
            </w:r>
          </w:p>
        </w:tc>
      </w:tr>
      <w:tr>
        <w:trPr>
          <w:trHeight w:val="205" w:hRule="atLeast"/>
        </w:trPr>
        <w:tc>
          <w:tcPr>
            <w:tcW w:w="2465" w:type="dxa"/>
          </w:tcPr>
          <w:p>
            <w:pPr>
              <w:pStyle w:val="TableParagraph"/>
              <w:spacing w:line="175" w:lineRule="exact" w:before="11"/>
              <w:ind w:left="25"/>
              <w:jc w:val="left"/>
              <w:rPr>
                <w:rFonts w:ascii="Calibri"/>
                <w:sz w:val="16"/>
              </w:rPr>
            </w:pPr>
            <w:r>
              <w:rPr>
                <w:rFonts w:ascii="Calibri"/>
                <w:w w:val="105"/>
                <w:sz w:val="16"/>
              </w:rPr>
              <w:t>Ejby Moelle, ns. rens (ST 8.45)</w:t>
            </w:r>
          </w:p>
        </w:tc>
        <w:tc>
          <w:tcPr>
            <w:tcW w:w="1348" w:type="dxa"/>
          </w:tcPr>
          <w:p>
            <w:pPr>
              <w:pStyle w:val="TableParagraph"/>
              <w:spacing w:line="175" w:lineRule="exact" w:before="11"/>
              <w:ind w:right="12"/>
              <w:jc w:val="right"/>
              <w:rPr>
                <w:rFonts w:ascii="Calibri"/>
                <w:sz w:val="16"/>
              </w:rPr>
            </w:pPr>
            <w:r>
              <w:rPr>
                <w:rFonts w:ascii="Calibri"/>
                <w:sz w:val="16"/>
              </w:rPr>
              <w:t>450001</w:t>
            </w:r>
          </w:p>
        </w:tc>
        <w:tc>
          <w:tcPr>
            <w:tcW w:w="1204" w:type="dxa"/>
          </w:tcPr>
          <w:p>
            <w:pPr>
              <w:pStyle w:val="TableParagraph"/>
              <w:spacing w:line="175" w:lineRule="exact" w:before="11"/>
              <w:ind w:right="4"/>
              <w:jc w:val="right"/>
              <w:rPr>
                <w:rFonts w:ascii="Calibri"/>
                <w:sz w:val="16"/>
              </w:rPr>
            </w:pPr>
            <w:r>
              <w:rPr>
                <w:rFonts w:ascii="Calibri"/>
                <w:sz w:val="16"/>
              </w:rPr>
              <w:t>2.60</w:t>
            </w:r>
          </w:p>
        </w:tc>
        <w:tc>
          <w:tcPr>
            <w:tcW w:w="1292" w:type="dxa"/>
          </w:tcPr>
          <w:p>
            <w:pPr>
              <w:pStyle w:val="TableParagraph"/>
              <w:spacing w:line="175" w:lineRule="exact" w:before="11"/>
              <w:ind w:right="2"/>
              <w:jc w:val="right"/>
              <w:rPr>
                <w:rFonts w:ascii="Calibri"/>
                <w:sz w:val="16"/>
              </w:rPr>
            </w:pPr>
            <w:r>
              <w:rPr>
                <w:rFonts w:ascii="Calibri"/>
                <w:w w:val="105"/>
                <w:sz w:val="16"/>
              </w:rPr>
              <w:t>2.48</w:t>
            </w:r>
          </w:p>
        </w:tc>
        <w:tc>
          <w:tcPr>
            <w:tcW w:w="1204" w:type="dxa"/>
          </w:tcPr>
          <w:p>
            <w:pPr>
              <w:pStyle w:val="TableParagraph"/>
              <w:spacing w:line="175" w:lineRule="exact" w:before="11"/>
              <w:ind w:right="2"/>
              <w:jc w:val="right"/>
              <w:rPr>
                <w:rFonts w:ascii="Calibri"/>
                <w:sz w:val="16"/>
              </w:rPr>
            </w:pPr>
            <w:r>
              <w:rPr>
                <w:rFonts w:ascii="Calibri"/>
                <w:w w:val="105"/>
                <w:sz w:val="16"/>
              </w:rPr>
              <w:t>2.43</w:t>
            </w:r>
          </w:p>
        </w:tc>
      </w:tr>
    </w:tbl>
    <w:p>
      <w:pPr>
        <w:spacing w:after="0" w:line="175" w:lineRule="exact"/>
        <w:jc w:val="right"/>
        <w:rPr>
          <w:rFonts w:ascii="Calibri"/>
          <w:sz w:val="16"/>
        </w:rPr>
        <w:sectPr>
          <w:pgSz w:w="11910" w:h="16850"/>
          <w:pgMar w:header="0" w:footer="937" w:top="1560" w:bottom="1120" w:left="1460" w:right="680"/>
        </w:sectPr>
      </w:pPr>
    </w:p>
    <w:p>
      <w:pPr>
        <w:pStyle w:val="BodyText"/>
        <w:ind w:left="639"/>
        <w:rPr>
          <w:rFonts w:ascii="Calibri"/>
          <w:sz w:val="20"/>
        </w:rPr>
      </w:pPr>
      <w:r>
        <w:rPr>
          <w:rFonts w:ascii="Calibri"/>
          <w:sz w:val="20"/>
        </w:rPr>
        <w:drawing>
          <wp:inline distT="0" distB="0" distL="0" distR="0">
            <wp:extent cx="5264113" cy="3657600"/>
            <wp:effectExtent l="0" t="0" r="0" b="0"/>
            <wp:docPr id="217" name="image123.jpeg" descr=""/>
            <wp:cNvGraphicFramePr>
              <a:graphicFrameLocks noChangeAspect="1"/>
            </wp:cNvGraphicFramePr>
            <a:graphic>
              <a:graphicData uri="http://schemas.openxmlformats.org/drawingml/2006/picture">
                <pic:pic>
                  <pic:nvPicPr>
                    <pic:cNvPr id="218" name="image123.jpeg"/>
                    <pic:cNvPicPr/>
                  </pic:nvPicPr>
                  <pic:blipFill>
                    <a:blip r:embed="rId133" cstate="print"/>
                    <a:stretch>
                      <a:fillRect/>
                    </a:stretch>
                  </pic:blipFill>
                  <pic:spPr>
                    <a:xfrm>
                      <a:off x="0" y="0"/>
                      <a:ext cx="5264113" cy="3657600"/>
                    </a:xfrm>
                    <a:prstGeom prst="rect">
                      <a:avLst/>
                    </a:prstGeom>
                  </pic:spPr>
                </pic:pic>
              </a:graphicData>
            </a:graphic>
          </wp:inline>
        </w:drawing>
      </w:r>
      <w:r>
        <w:rPr>
          <w:rFonts w:ascii="Calibri"/>
          <w:sz w:val="20"/>
        </w:rPr>
      </w:r>
    </w:p>
    <w:p>
      <w:pPr>
        <w:pStyle w:val="BodyText"/>
        <w:spacing w:before="4"/>
        <w:rPr>
          <w:rFonts w:ascii="Calibri"/>
          <w:i/>
          <w:sz w:val="7"/>
        </w:rPr>
      </w:pPr>
    </w:p>
    <w:p>
      <w:pPr>
        <w:spacing w:before="64"/>
        <w:ind w:left="525" w:right="0" w:firstLine="0"/>
        <w:jc w:val="left"/>
        <w:rPr>
          <w:rFonts w:ascii="Calibri" w:hAnsi="Calibri"/>
          <w:i/>
          <w:sz w:val="18"/>
        </w:rPr>
      </w:pPr>
      <w:bookmarkStart w:name="_bookmark141" w:id="175"/>
      <w:bookmarkEnd w:id="175"/>
      <w:r>
        <w:rPr/>
      </w:r>
      <w:r>
        <w:rPr>
          <w:rFonts w:ascii="Calibri" w:hAnsi="Calibri"/>
          <w:i/>
          <w:color w:val="44536A"/>
          <w:sz w:val="18"/>
        </w:rPr>
        <w:t>Figur 104 Placering af vandstandsobservationer den 09 dec. 2015, Storå</w:t>
      </w:r>
    </w:p>
    <w:p>
      <w:pPr>
        <w:pStyle w:val="BodyText"/>
        <w:spacing w:before="7"/>
        <w:rPr>
          <w:rFonts w:ascii="Calibri"/>
          <w:i/>
        </w:rPr>
      </w:pPr>
      <w:r>
        <w:rPr/>
        <w:drawing>
          <wp:anchor distT="0" distB="0" distL="0" distR="0" allowOverlap="1" layoutInCell="1" locked="0" behindDoc="0" simplePos="0" relativeHeight="80">
            <wp:simplePos x="0" y="0"/>
            <wp:positionH relativeFrom="page">
              <wp:posOffset>1326937</wp:posOffset>
            </wp:positionH>
            <wp:positionV relativeFrom="paragraph">
              <wp:posOffset>192199</wp:posOffset>
            </wp:positionV>
            <wp:extent cx="5331549" cy="3755136"/>
            <wp:effectExtent l="0" t="0" r="0" b="0"/>
            <wp:wrapTopAndBottom/>
            <wp:docPr id="219" name="image124.jpeg" descr=""/>
            <wp:cNvGraphicFramePr>
              <a:graphicFrameLocks noChangeAspect="1"/>
            </wp:cNvGraphicFramePr>
            <a:graphic>
              <a:graphicData uri="http://schemas.openxmlformats.org/drawingml/2006/picture">
                <pic:pic>
                  <pic:nvPicPr>
                    <pic:cNvPr id="220" name="image124.jpeg"/>
                    <pic:cNvPicPr/>
                  </pic:nvPicPr>
                  <pic:blipFill>
                    <a:blip r:embed="rId134" cstate="print"/>
                    <a:stretch>
                      <a:fillRect/>
                    </a:stretch>
                  </pic:blipFill>
                  <pic:spPr>
                    <a:xfrm>
                      <a:off x="0" y="0"/>
                      <a:ext cx="5331549" cy="3755136"/>
                    </a:xfrm>
                    <a:prstGeom prst="rect">
                      <a:avLst/>
                    </a:prstGeom>
                  </pic:spPr>
                </pic:pic>
              </a:graphicData>
            </a:graphic>
          </wp:anchor>
        </w:drawing>
      </w:r>
    </w:p>
    <w:p>
      <w:pPr>
        <w:spacing w:before="16"/>
        <w:ind w:left="525" w:right="0" w:firstLine="0"/>
        <w:jc w:val="left"/>
        <w:rPr>
          <w:rFonts w:ascii="Calibri" w:hAnsi="Calibri"/>
          <w:i/>
          <w:sz w:val="18"/>
        </w:rPr>
      </w:pPr>
      <w:r>
        <w:rPr>
          <w:rFonts w:ascii="Calibri" w:hAnsi="Calibri"/>
          <w:i/>
          <w:color w:val="44536A"/>
          <w:sz w:val="18"/>
        </w:rPr>
        <w:t>Figur 105 Placering af vandstandsobservationer den 26 dec. 2015, Odense Å</w:t>
      </w:r>
    </w:p>
    <w:p>
      <w:pPr>
        <w:spacing w:after="0"/>
        <w:jc w:val="left"/>
        <w:rPr>
          <w:rFonts w:ascii="Calibri" w:hAnsi="Calibri"/>
          <w:sz w:val="18"/>
        </w:rPr>
        <w:sectPr>
          <w:pgSz w:w="11910" w:h="16850"/>
          <w:pgMar w:header="0" w:footer="937" w:top="1540" w:bottom="1120" w:left="1460" w:right="680"/>
        </w:sectPr>
      </w:pPr>
    </w:p>
    <w:p>
      <w:pPr>
        <w:pStyle w:val="BodyText"/>
        <w:spacing w:before="2"/>
        <w:rPr>
          <w:rFonts w:ascii="Calibri"/>
          <w:i/>
          <w:sz w:val="2"/>
        </w:rPr>
      </w:pPr>
    </w:p>
    <w:p>
      <w:pPr>
        <w:pStyle w:val="BodyText"/>
        <w:ind w:left="525"/>
        <w:rPr>
          <w:rFonts w:ascii="Calibri"/>
          <w:sz w:val="20"/>
        </w:rPr>
      </w:pPr>
      <w:r>
        <w:rPr>
          <w:rFonts w:ascii="Calibri"/>
          <w:sz w:val="20"/>
        </w:rPr>
        <w:drawing>
          <wp:inline distT="0" distB="0" distL="0" distR="0">
            <wp:extent cx="5431602" cy="3688079"/>
            <wp:effectExtent l="0" t="0" r="0" b="0"/>
            <wp:docPr id="221" name="image125.jpeg" descr=""/>
            <wp:cNvGraphicFramePr>
              <a:graphicFrameLocks noChangeAspect="1"/>
            </wp:cNvGraphicFramePr>
            <a:graphic>
              <a:graphicData uri="http://schemas.openxmlformats.org/drawingml/2006/picture">
                <pic:pic>
                  <pic:nvPicPr>
                    <pic:cNvPr id="222" name="image125.jpeg"/>
                    <pic:cNvPicPr/>
                  </pic:nvPicPr>
                  <pic:blipFill>
                    <a:blip r:embed="rId135" cstate="print"/>
                    <a:stretch>
                      <a:fillRect/>
                    </a:stretch>
                  </pic:blipFill>
                  <pic:spPr>
                    <a:xfrm>
                      <a:off x="0" y="0"/>
                      <a:ext cx="5431602" cy="3688079"/>
                    </a:xfrm>
                    <a:prstGeom prst="rect">
                      <a:avLst/>
                    </a:prstGeom>
                  </pic:spPr>
                </pic:pic>
              </a:graphicData>
            </a:graphic>
          </wp:inline>
        </w:drawing>
      </w:r>
      <w:r>
        <w:rPr>
          <w:rFonts w:ascii="Calibri"/>
          <w:sz w:val="20"/>
        </w:rPr>
      </w:r>
    </w:p>
    <w:p>
      <w:pPr>
        <w:spacing w:before="45"/>
        <w:ind w:left="525" w:right="767" w:firstLine="0"/>
        <w:jc w:val="both"/>
        <w:rPr>
          <w:rFonts w:ascii="Calibri" w:hAnsi="Calibri"/>
          <w:i/>
          <w:sz w:val="18"/>
        </w:rPr>
      </w:pPr>
      <w:bookmarkStart w:name="_bookmark142" w:id="176"/>
      <w:bookmarkEnd w:id="176"/>
      <w:r>
        <w:rPr/>
      </w:r>
      <w:r>
        <w:rPr>
          <w:rFonts w:ascii="Calibri" w:hAnsi="Calibri"/>
          <w:i/>
          <w:color w:val="44536A"/>
          <w:sz w:val="18"/>
        </w:rPr>
        <w:t>Figur 106 Simuleret vandstand med DK-model og MIKE HYDRO River, hvor 0.2 og 0.5m er lagt til og udbredt på DHM </w:t>
      </w:r>
      <w:r>
        <w:rPr>
          <w:rFonts w:ascii="Calibri" w:hAnsi="Calibri"/>
          <w:i/>
          <w:color w:val="44536A"/>
          <w:sz w:val="18"/>
        </w:rPr>
        <w:t>1.6m grid.</w:t>
      </w:r>
    </w:p>
    <w:p>
      <w:pPr>
        <w:pStyle w:val="BodyText"/>
        <w:rPr>
          <w:rFonts w:ascii="Calibri"/>
          <w:i/>
          <w:sz w:val="16"/>
        </w:rPr>
      </w:pPr>
    </w:p>
    <w:p>
      <w:pPr>
        <w:pStyle w:val="BodyText"/>
        <w:spacing w:line="288" w:lineRule="auto"/>
        <w:ind w:left="525" w:right="736"/>
        <w:jc w:val="both"/>
      </w:pPr>
      <w:r>
        <w:rPr/>
        <w:t>Det fremgår af </w:t>
      </w:r>
      <w:hyperlink w:history="true" w:anchor="_bookmark142">
        <w:r>
          <w:rPr/>
          <w:t>figur 106 </w:t>
        </w:r>
      </w:hyperlink>
      <w:r>
        <w:rPr/>
        <w:t>at en 20 cm øget vandstand (midterste figur) giver et lidt større oversvømmet areal i forhold til den kalibrerede vandstandsmodel (figur til venstre). Øges vandstanden</w:t>
      </w:r>
      <w:r>
        <w:rPr>
          <w:spacing w:val="-15"/>
        </w:rPr>
        <w:t> </w:t>
      </w:r>
      <w:r>
        <w:rPr/>
        <w:t>50</w:t>
      </w:r>
      <w:r>
        <w:rPr>
          <w:spacing w:val="-14"/>
        </w:rPr>
        <w:t> </w:t>
      </w:r>
      <w:r>
        <w:rPr/>
        <w:t>cm,</w:t>
      </w:r>
      <w:r>
        <w:rPr>
          <w:spacing w:val="-17"/>
        </w:rPr>
        <w:t> </w:t>
      </w:r>
      <w:r>
        <w:rPr/>
        <w:t>en</w:t>
      </w:r>
      <w:r>
        <w:rPr>
          <w:spacing w:val="-14"/>
        </w:rPr>
        <w:t> </w:t>
      </w:r>
      <w:r>
        <w:rPr/>
        <w:t>afvigelse</w:t>
      </w:r>
      <w:r>
        <w:rPr>
          <w:spacing w:val="-16"/>
        </w:rPr>
        <w:t> </w:t>
      </w:r>
      <w:r>
        <w:rPr/>
        <w:t>der</w:t>
      </w:r>
      <w:r>
        <w:rPr>
          <w:spacing w:val="-15"/>
        </w:rPr>
        <w:t> </w:t>
      </w:r>
      <w:r>
        <w:rPr/>
        <w:t>forekommer</w:t>
      </w:r>
      <w:r>
        <w:rPr>
          <w:spacing w:val="-15"/>
        </w:rPr>
        <w:t> </w:t>
      </w:r>
      <w:r>
        <w:rPr/>
        <w:t>for</w:t>
      </w:r>
      <w:r>
        <w:rPr>
          <w:spacing w:val="-18"/>
        </w:rPr>
        <w:t> </w:t>
      </w:r>
      <w:r>
        <w:rPr/>
        <w:t>hændelsen</w:t>
      </w:r>
      <w:r>
        <w:rPr>
          <w:spacing w:val="-17"/>
        </w:rPr>
        <w:t> </w:t>
      </w:r>
      <w:r>
        <w:rPr/>
        <w:t>i</w:t>
      </w:r>
      <w:r>
        <w:rPr>
          <w:spacing w:val="-15"/>
        </w:rPr>
        <w:t> </w:t>
      </w:r>
      <w:r>
        <w:rPr/>
        <w:t>december</w:t>
      </w:r>
      <w:r>
        <w:rPr>
          <w:spacing w:val="-15"/>
        </w:rPr>
        <w:t> </w:t>
      </w:r>
      <w:r>
        <w:rPr/>
        <w:t>2015</w:t>
      </w:r>
      <w:r>
        <w:rPr>
          <w:spacing w:val="-15"/>
        </w:rPr>
        <w:t> </w:t>
      </w:r>
      <w:r>
        <w:rPr/>
        <w:t>hvor</w:t>
      </w:r>
      <w:r>
        <w:rPr>
          <w:spacing w:val="-15"/>
        </w:rPr>
        <w:t> </w:t>
      </w:r>
      <w:r>
        <w:rPr/>
        <w:t>vand- standen ”topper”, giver et yderligere øget oversvømmet</w:t>
      </w:r>
      <w:r>
        <w:rPr>
          <w:spacing w:val="-16"/>
        </w:rPr>
        <w:t> </w:t>
      </w:r>
      <w:r>
        <w:rPr/>
        <w:t>areal.</w:t>
      </w:r>
    </w:p>
    <w:p>
      <w:pPr>
        <w:pStyle w:val="BodyText"/>
        <w:spacing w:before="2"/>
        <w:rPr>
          <w:sz w:val="25"/>
        </w:rPr>
      </w:pPr>
    </w:p>
    <w:p>
      <w:pPr>
        <w:pStyle w:val="Heading2"/>
        <w:numPr>
          <w:ilvl w:val="1"/>
          <w:numId w:val="15"/>
        </w:numPr>
        <w:tabs>
          <w:tab w:pos="1141" w:val="left" w:leader="none"/>
          <w:tab w:pos="1142" w:val="left" w:leader="none"/>
        </w:tabs>
        <w:spacing w:line="240" w:lineRule="auto" w:before="1" w:after="0"/>
        <w:ind w:left="1142" w:right="0" w:hanging="617"/>
        <w:jc w:val="left"/>
      </w:pPr>
      <w:bookmarkStart w:name="_bookmark143" w:id="177"/>
      <w:bookmarkEnd w:id="177"/>
      <w:r>
        <w:rPr>
          <w:b w:val="0"/>
        </w:rPr>
      </w:r>
      <w:bookmarkStart w:name="_bookmark143" w:id="178"/>
      <w:bookmarkEnd w:id="178"/>
      <w:r>
        <w:rPr/>
        <w:t>N</w:t>
      </w:r>
      <w:r>
        <w:rPr/>
        <w:t>edbør med timeværdier eller døgnværdier,</w:t>
      </w:r>
      <w:r>
        <w:rPr>
          <w:spacing w:val="-6"/>
        </w:rPr>
        <w:t> </w:t>
      </w:r>
      <w:r>
        <w:rPr/>
        <w:t>Storå</w:t>
      </w:r>
    </w:p>
    <w:p>
      <w:pPr>
        <w:pStyle w:val="BodyText"/>
        <w:spacing w:line="288" w:lineRule="auto" w:before="240"/>
        <w:ind w:left="525" w:right="729"/>
        <w:jc w:val="both"/>
      </w:pPr>
      <w:r>
        <w:rPr/>
        <w:t>I</w:t>
      </w:r>
      <w:r>
        <w:rPr>
          <w:spacing w:val="-14"/>
        </w:rPr>
        <w:t> </w:t>
      </w:r>
      <w:hyperlink w:history="true" w:anchor="_bookmark144">
        <w:r>
          <w:rPr/>
          <w:t>figur</w:t>
        </w:r>
        <w:r>
          <w:rPr>
            <w:spacing w:val="-13"/>
          </w:rPr>
          <w:t> </w:t>
        </w:r>
        <w:r>
          <w:rPr/>
          <w:t>107</w:t>
        </w:r>
        <w:r>
          <w:rPr>
            <w:spacing w:val="-12"/>
          </w:rPr>
          <w:t> </w:t>
        </w:r>
      </w:hyperlink>
      <w:r>
        <w:rPr/>
        <w:t>er</w:t>
      </w:r>
      <w:r>
        <w:rPr>
          <w:spacing w:val="-14"/>
        </w:rPr>
        <w:t> </w:t>
      </w:r>
      <w:r>
        <w:rPr/>
        <w:t>vist</w:t>
      </w:r>
      <w:r>
        <w:rPr>
          <w:spacing w:val="-13"/>
        </w:rPr>
        <w:t> </w:t>
      </w:r>
      <w:r>
        <w:rPr/>
        <w:t>en</w:t>
      </w:r>
      <w:r>
        <w:rPr>
          <w:spacing w:val="-13"/>
        </w:rPr>
        <w:t> </w:t>
      </w:r>
      <w:r>
        <w:rPr/>
        <w:t>sammenligning</w:t>
      </w:r>
      <w:r>
        <w:rPr>
          <w:spacing w:val="-13"/>
        </w:rPr>
        <w:t> </w:t>
      </w:r>
      <w:r>
        <w:rPr/>
        <w:t>af</w:t>
      </w:r>
      <w:r>
        <w:rPr>
          <w:spacing w:val="-11"/>
        </w:rPr>
        <w:t> </w:t>
      </w:r>
      <w:r>
        <w:rPr/>
        <w:t>en</w:t>
      </w:r>
      <w:r>
        <w:rPr>
          <w:spacing w:val="-13"/>
        </w:rPr>
        <w:t> </w:t>
      </w:r>
      <w:r>
        <w:rPr/>
        <w:t>simulering</w:t>
      </w:r>
      <w:r>
        <w:rPr>
          <w:spacing w:val="-12"/>
        </w:rPr>
        <w:t> </w:t>
      </w:r>
      <w:r>
        <w:rPr/>
        <w:t>for</w:t>
      </w:r>
      <w:r>
        <w:rPr>
          <w:spacing w:val="-14"/>
        </w:rPr>
        <w:t> </w:t>
      </w:r>
      <w:r>
        <w:rPr/>
        <w:t>Storå</w:t>
      </w:r>
      <w:r>
        <w:rPr>
          <w:spacing w:val="-14"/>
        </w:rPr>
        <w:t> </w:t>
      </w:r>
      <w:r>
        <w:rPr/>
        <w:t>med</w:t>
      </w:r>
      <w:r>
        <w:rPr>
          <w:spacing w:val="-12"/>
        </w:rPr>
        <w:t> </w:t>
      </w:r>
      <w:r>
        <w:rPr/>
        <w:t>tre</w:t>
      </w:r>
      <w:r>
        <w:rPr>
          <w:spacing w:val="-13"/>
        </w:rPr>
        <w:t> </w:t>
      </w:r>
      <w:r>
        <w:rPr/>
        <w:t>forskellige</w:t>
      </w:r>
      <w:r>
        <w:rPr>
          <w:spacing w:val="-12"/>
        </w:rPr>
        <w:t> </w:t>
      </w:r>
      <w:r>
        <w:rPr/>
        <w:t>input:</w:t>
      </w:r>
      <w:r>
        <w:rPr>
          <w:spacing w:val="-13"/>
        </w:rPr>
        <w:t> </w:t>
      </w:r>
      <w:r>
        <w:rPr/>
        <w:t>daglig nedbør, time nedbør og aggregeret timenedbør (fra time til daglige værdier). De store afvi- gelser fra observeret vandstand i Storå, nedstrøms Holstebro (220059 og 220062) skyldes formentlig regulering af Vandkraftsøens afløb, som blev foretaget da vandstanden toppede 6-7. december</w:t>
      </w:r>
      <w:r>
        <w:rPr>
          <w:spacing w:val="-4"/>
        </w:rPr>
        <w:t> </w:t>
      </w:r>
      <w:r>
        <w:rPr/>
        <w:t>2015.</w:t>
      </w:r>
    </w:p>
    <w:p>
      <w:pPr>
        <w:spacing w:after="0" w:line="288" w:lineRule="auto"/>
        <w:jc w:val="both"/>
        <w:sectPr>
          <w:pgSz w:w="11910" w:h="16850"/>
          <w:pgMar w:header="0" w:footer="937" w:top="1600" w:bottom="1120" w:left="1460" w:right="680"/>
        </w:sectPr>
      </w:pPr>
    </w:p>
    <w:p>
      <w:pPr>
        <w:pStyle w:val="BodyText"/>
        <w:ind w:left="641"/>
        <w:rPr>
          <w:sz w:val="20"/>
        </w:rPr>
      </w:pPr>
      <w:r>
        <w:rPr>
          <w:sz w:val="20"/>
        </w:rPr>
        <w:drawing>
          <wp:inline distT="0" distB="0" distL="0" distR="0">
            <wp:extent cx="4382781" cy="2493645"/>
            <wp:effectExtent l="0" t="0" r="0" b="0"/>
            <wp:docPr id="223" name="image126.jpeg" descr=""/>
            <wp:cNvGraphicFramePr>
              <a:graphicFrameLocks noChangeAspect="1"/>
            </wp:cNvGraphicFramePr>
            <a:graphic>
              <a:graphicData uri="http://schemas.openxmlformats.org/drawingml/2006/picture">
                <pic:pic>
                  <pic:nvPicPr>
                    <pic:cNvPr id="224" name="image126.jpeg"/>
                    <pic:cNvPicPr/>
                  </pic:nvPicPr>
                  <pic:blipFill>
                    <a:blip r:embed="rId136" cstate="print"/>
                    <a:stretch>
                      <a:fillRect/>
                    </a:stretch>
                  </pic:blipFill>
                  <pic:spPr>
                    <a:xfrm>
                      <a:off x="0" y="0"/>
                      <a:ext cx="4382781" cy="2493645"/>
                    </a:xfrm>
                    <a:prstGeom prst="rect">
                      <a:avLst/>
                    </a:prstGeom>
                  </pic:spPr>
                </pic:pic>
              </a:graphicData>
            </a:graphic>
          </wp:inline>
        </w:drawing>
      </w:r>
      <w:r>
        <w:rPr>
          <w:sz w:val="20"/>
        </w:rPr>
      </w:r>
    </w:p>
    <w:p>
      <w:pPr>
        <w:pStyle w:val="BodyText"/>
        <w:spacing w:before="8"/>
        <w:rPr>
          <w:sz w:val="12"/>
        </w:rPr>
      </w:pPr>
    </w:p>
    <w:p>
      <w:pPr>
        <w:spacing w:before="64"/>
        <w:ind w:left="525" w:right="1167" w:firstLine="0"/>
        <w:jc w:val="left"/>
        <w:rPr>
          <w:rFonts w:ascii="Calibri" w:hAnsi="Calibri"/>
          <w:i/>
          <w:sz w:val="18"/>
        </w:rPr>
      </w:pPr>
      <w:bookmarkStart w:name="_bookmark144" w:id="179"/>
      <w:bookmarkEnd w:id="179"/>
      <w:r>
        <w:rPr/>
      </w:r>
      <w:r>
        <w:rPr>
          <w:rFonts w:ascii="Calibri" w:hAnsi="Calibri"/>
          <w:i/>
          <w:color w:val="44536A"/>
          <w:sz w:val="18"/>
        </w:rPr>
        <w:t>Figur 107 Betydning af nedbørsinput. Tre forskellige daglige og time værdi input og betydning for simulering af </w:t>
      </w:r>
      <w:r>
        <w:rPr>
          <w:rFonts w:ascii="Calibri" w:hAnsi="Calibri"/>
          <w:i/>
          <w:color w:val="44536A"/>
          <w:sz w:val="18"/>
        </w:rPr>
        <w:t>vandstand (m) ved 4 stationer i Storå.</w:t>
      </w:r>
    </w:p>
    <w:p>
      <w:pPr>
        <w:pStyle w:val="BodyText"/>
        <w:rPr>
          <w:rFonts w:ascii="Calibri"/>
          <w:i/>
          <w:sz w:val="18"/>
        </w:rPr>
      </w:pPr>
    </w:p>
    <w:p>
      <w:pPr>
        <w:pStyle w:val="BodyText"/>
        <w:spacing w:before="10"/>
        <w:rPr>
          <w:rFonts w:ascii="Calibri"/>
          <w:i/>
        </w:rPr>
      </w:pPr>
    </w:p>
    <w:p>
      <w:pPr>
        <w:pStyle w:val="Heading2"/>
        <w:numPr>
          <w:ilvl w:val="1"/>
          <w:numId w:val="15"/>
        </w:numPr>
        <w:tabs>
          <w:tab w:pos="1141" w:val="left" w:leader="none"/>
          <w:tab w:pos="1142" w:val="left" w:leader="none"/>
        </w:tabs>
        <w:spacing w:line="240" w:lineRule="auto" w:before="0" w:after="0"/>
        <w:ind w:left="525" w:right="1034" w:firstLine="0"/>
        <w:jc w:val="left"/>
      </w:pPr>
      <w:bookmarkStart w:name="_bookmark145" w:id="180"/>
      <w:bookmarkEnd w:id="180"/>
      <w:r>
        <w:rPr>
          <w:b w:val="0"/>
        </w:rPr>
      </w:r>
      <w:bookmarkStart w:name="_bookmark145" w:id="181"/>
      <w:bookmarkEnd w:id="181"/>
      <w:r>
        <w:rPr/>
        <w:t>R</w:t>
      </w:r>
      <w:r>
        <w:rPr/>
        <w:t>esultat af følsomhedsanalyse med distribueret</w:t>
      </w:r>
      <w:r>
        <w:rPr>
          <w:spacing w:val="-25"/>
        </w:rPr>
        <w:t> </w:t>
      </w:r>
      <w:r>
        <w:rPr/>
        <w:t>drænop- sætning for Storå og Odense</w:t>
      </w:r>
      <w:r>
        <w:rPr>
          <w:spacing w:val="-4"/>
        </w:rPr>
        <w:t> </w:t>
      </w:r>
      <w:r>
        <w:rPr/>
        <w:t>Å</w:t>
      </w:r>
    </w:p>
    <w:p>
      <w:pPr>
        <w:pStyle w:val="BodyText"/>
        <w:spacing w:line="288" w:lineRule="auto" w:before="240"/>
        <w:ind w:left="525" w:right="731"/>
        <w:jc w:val="both"/>
      </w:pPr>
      <w:r>
        <w:rPr/>
        <w:t>I </w:t>
      </w:r>
      <w:hyperlink w:history="true" w:anchor="_bookmark146">
        <w:r>
          <w:rPr/>
          <w:t>figur 108 </w:t>
        </w:r>
      </w:hyperlink>
      <w:r>
        <w:rPr/>
        <w:t>– 110 er vist tre eksempler på effekten af brug af en distribuering af</w:t>
      </w:r>
      <w:r>
        <w:rPr>
          <w:spacing w:val="-41"/>
        </w:rPr>
        <w:t> </w:t>
      </w:r>
      <w:r>
        <w:rPr/>
        <w:t>dræntidskon- stant jf. Møller et al. (2018) på de terrænnære grundvandstande. Det er ikke muligt at måle nogen signifikant forbedret performance ved distribueringen, hverken i forhold til grund- vandsstand,</w:t>
      </w:r>
      <w:r>
        <w:rPr>
          <w:spacing w:val="-8"/>
        </w:rPr>
        <w:t> </w:t>
      </w:r>
      <w:r>
        <w:rPr/>
        <w:t>i</w:t>
      </w:r>
      <w:r>
        <w:rPr>
          <w:spacing w:val="-5"/>
        </w:rPr>
        <w:t> </w:t>
      </w:r>
      <w:r>
        <w:rPr/>
        <w:t>forhold</w:t>
      </w:r>
      <w:r>
        <w:rPr>
          <w:spacing w:val="-6"/>
        </w:rPr>
        <w:t> </w:t>
      </w:r>
      <w:r>
        <w:rPr/>
        <w:t>til</w:t>
      </w:r>
      <w:r>
        <w:rPr>
          <w:spacing w:val="-6"/>
        </w:rPr>
        <w:t> </w:t>
      </w:r>
      <w:r>
        <w:rPr/>
        <w:t>observerede</w:t>
      </w:r>
      <w:r>
        <w:rPr>
          <w:spacing w:val="-6"/>
        </w:rPr>
        <w:t> </w:t>
      </w:r>
      <w:r>
        <w:rPr/>
        <w:t>pejlinger</w:t>
      </w:r>
      <w:r>
        <w:rPr>
          <w:spacing w:val="-7"/>
        </w:rPr>
        <w:t> </w:t>
      </w:r>
      <w:r>
        <w:rPr/>
        <w:t>eller</w:t>
      </w:r>
      <w:r>
        <w:rPr>
          <w:spacing w:val="-8"/>
        </w:rPr>
        <w:t> </w:t>
      </w:r>
      <w:r>
        <w:rPr/>
        <w:t>simuleret</w:t>
      </w:r>
      <w:r>
        <w:rPr>
          <w:spacing w:val="-7"/>
        </w:rPr>
        <w:t> </w:t>
      </w:r>
      <w:r>
        <w:rPr/>
        <w:t>vandføring.</w:t>
      </w:r>
      <w:r>
        <w:rPr>
          <w:spacing w:val="-7"/>
        </w:rPr>
        <w:t> </w:t>
      </w:r>
      <w:r>
        <w:rPr/>
        <w:t>Men</w:t>
      </w:r>
      <w:r>
        <w:rPr>
          <w:spacing w:val="-8"/>
        </w:rPr>
        <w:t> </w:t>
      </w:r>
      <w:r>
        <w:rPr/>
        <w:t>kigger</w:t>
      </w:r>
      <w:r>
        <w:rPr>
          <w:spacing w:val="-8"/>
        </w:rPr>
        <w:t> </w:t>
      </w:r>
      <w:r>
        <w:rPr/>
        <w:t>man</w:t>
      </w:r>
      <w:r>
        <w:rPr>
          <w:spacing w:val="-6"/>
        </w:rPr>
        <w:t> </w:t>
      </w:r>
      <w:r>
        <w:rPr/>
        <w:t>på den simulerede grundvandstand (’depth to phreatic surface’), så viser analysen efter ned- skalering</w:t>
      </w:r>
      <w:r>
        <w:rPr>
          <w:spacing w:val="-5"/>
        </w:rPr>
        <w:t> </w:t>
      </w:r>
      <w:r>
        <w:rPr/>
        <w:t>til</w:t>
      </w:r>
      <w:r>
        <w:rPr>
          <w:spacing w:val="-5"/>
        </w:rPr>
        <w:t> </w:t>
      </w:r>
      <w:r>
        <w:rPr/>
        <w:t>10</w:t>
      </w:r>
      <w:r>
        <w:rPr>
          <w:spacing w:val="-7"/>
        </w:rPr>
        <w:t> </w:t>
      </w:r>
      <w:r>
        <w:rPr/>
        <w:t>m</w:t>
      </w:r>
      <w:r>
        <w:rPr>
          <w:spacing w:val="-2"/>
        </w:rPr>
        <w:t> </w:t>
      </w:r>
      <w:r>
        <w:rPr/>
        <w:t>en</w:t>
      </w:r>
      <w:r>
        <w:rPr>
          <w:spacing w:val="-6"/>
        </w:rPr>
        <w:t> </w:t>
      </w:r>
      <w:r>
        <w:rPr/>
        <w:t>kvalitativt</w:t>
      </w:r>
      <w:r>
        <w:rPr>
          <w:spacing w:val="-6"/>
        </w:rPr>
        <w:t> </w:t>
      </w:r>
      <w:r>
        <w:rPr/>
        <w:t>set</w:t>
      </w:r>
      <w:r>
        <w:rPr>
          <w:spacing w:val="-5"/>
        </w:rPr>
        <w:t> </w:t>
      </w:r>
      <w:r>
        <w:rPr/>
        <w:t>klart</w:t>
      </w:r>
      <w:r>
        <w:rPr>
          <w:spacing w:val="-5"/>
        </w:rPr>
        <w:t> </w:t>
      </w:r>
      <w:r>
        <w:rPr/>
        <w:t>forbedret</w:t>
      </w:r>
      <w:r>
        <w:rPr>
          <w:spacing w:val="-6"/>
        </w:rPr>
        <w:t> </w:t>
      </w:r>
      <w:r>
        <w:rPr/>
        <w:t>beskrivelse</w:t>
      </w:r>
      <w:r>
        <w:rPr>
          <w:spacing w:val="-4"/>
        </w:rPr>
        <w:t> </w:t>
      </w:r>
      <w:r>
        <w:rPr/>
        <w:t>i</w:t>
      </w:r>
      <w:r>
        <w:rPr>
          <w:spacing w:val="-5"/>
        </w:rPr>
        <w:t> </w:t>
      </w:r>
      <w:r>
        <w:rPr/>
        <w:t>forhold</w:t>
      </w:r>
      <w:r>
        <w:rPr>
          <w:spacing w:val="-5"/>
        </w:rPr>
        <w:t> </w:t>
      </w:r>
      <w:r>
        <w:rPr/>
        <w:t>til</w:t>
      </w:r>
      <w:r>
        <w:rPr>
          <w:spacing w:val="-3"/>
        </w:rPr>
        <w:t> </w:t>
      </w:r>
      <w:r>
        <w:rPr/>
        <w:t>registrerede</w:t>
      </w:r>
      <w:r>
        <w:rPr>
          <w:spacing w:val="-4"/>
        </w:rPr>
        <w:t> </w:t>
      </w:r>
      <w:r>
        <w:rPr/>
        <w:t>vådom- råder. Eksemplerne viser, hvor grundvandet i gennemsnit står ved overfladen (eller over), dvs. depth to phreatic surface &lt; 0. Alle resultater er nedskaleret fra 100 m modeller til 10 m. Gul viser områder, som ”er våde” med distribueret beskrivelse af dræn (Blå) viser resultater med de oprindelige, homogen dræn. Gråt skraverede områder er vådområder og søer fra GIS kortlægning af vådområder (FOT</w:t>
      </w:r>
      <w:r>
        <w:rPr>
          <w:spacing w:val="-5"/>
        </w:rPr>
        <w:t> </w:t>
      </w:r>
      <w:r>
        <w:rPr/>
        <w:t>data).</w:t>
      </w:r>
    </w:p>
    <w:p>
      <w:pPr>
        <w:pStyle w:val="BodyText"/>
        <w:rPr>
          <w:sz w:val="28"/>
        </w:rPr>
      </w:pPr>
    </w:p>
    <w:p>
      <w:pPr>
        <w:pStyle w:val="BodyText"/>
        <w:spacing w:line="288" w:lineRule="auto"/>
        <w:ind w:left="525" w:right="731"/>
        <w:jc w:val="both"/>
      </w:pPr>
      <w:r>
        <w:rPr/>
        <w:t>Som eksempel viser </w:t>
      </w:r>
      <w:hyperlink w:history="true" w:anchor="_bookmark146">
        <w:r>
          <w:rPr/>
          <w:t>figur 108 </w:t>
        </w:r>
      </w:hyperlink>
      <w:r>
        <w:rPr/>
        <w:t>resultater af en sådan distribuering i Storå modellen fra et område vest Aulum (langs Lilleåen, et tilløb til Storå). Med den oprindelige klassiske DK- model opsætning af dræn (også anvendt for Odense Å og Storå i FODS 6.1), fanger model- len</w:t>
      </w:r>
      <w:r>
        <w:rPr>
          <w:spacing w:val="-6"/>
        </w:rPr>
        <w:t> </w:t>
      </w:r>
      <w:r>
        <w:rPr/>
        <w:t>næsten</w:t>
      </w:r>
      <w:r>
        <w:rPr>
          <w:spacing w:val="-6"/>
        </w:rPr>
        <w:t> </w:t>
      </w:r>
      <w:r>
        <w:rPr/>
        <w:t>ikke</w:t>
      </w:r>
      <w:r>
        <w:rPr>
          <w:spacing w:val="-5"/>
        </w:rPr>
        <w:t> </w:t>
      </w:r>
      <w:r>
        <w:rPr/>
        <w:t>nogen</w:t>
      </w:r>
      <w:r>
        <w:rPr>
          <w:spacing w:val="-6"/>
        </w:rPr>
        <w:t> </w:t>
      </w:r>
      <w:r>
        <w:rPr/>
        <w:t>vådområder.</w:t>
      </w:r>
      <w:r>
        <w:rPr>
          <w:spacing w:val="-7"/>
        </w:rPr>
        <w:t> </w:t>
      </w:r>
      <w:r>
        <w:rPr/>
        <w:t>Med</w:t>
      </w:r>
      <w:r>
        <w:rPr>
          <w:spacing w:val="-6"/>
        </w:rPr>
        <w:t> </w:t>
      </w:r>
      <w:r>
        <w:rPr/>
        <w:t>distribuerede</w:t>
      </w:r>
      <w:r>
        <w:rPr>
          <w:spacing w:val="-5"/>
        </w:rPr>
        <w:t> </w:t>
      </w:r>
      <w:r>
        <w:rPr/>
        <w:t>dræn</w:t>
      </w:r>
      <w:r>
        <w:rPr>
          <w:spacing w:val="-6"/>
        </w:rPr>
        <w:t> </w:t>
      </w:r>
      <w:r>
        <w:rPr/>
        <w:t>virker</w:t>
      </w:r>
      <w:r>
        <w:rPr>
          <w:spacing w:val="-6"/>
        </w:rPr>
        <w:t> </w:t>
      </w:r>
      <w:r>
        <w:rPr/>
        <w:t>det</w:t>
      </w:r>
      <w:r>
        <w:rPr>
          <w:spacing w:val="-7"/>
        </w:rPr>
        <w:t> </w:t>
      </w:r>
      <w:r>
        <w:rPr/>
        <w:t>tilsyneladende</w:t>
      </w:r>
      <w:r>
        <w:rPr>
          <w:spacing w:val="-5"/>
        </w:rPr>
        <w:t> </w:t>
      </w:r>
      <w:r>
        <w:rPr/>
        <w:t>noget bedre (bortset fra de artefakter fra modellens rand der fremgår i figurens nedre, venstre hjørne).</w:t>
      </w:r>
    </w:p>
    <w:p>
      <w:pPr>
        <w:spacing w:after="0" w:line="288" w:lineRule="auto"/>
        <w:jc w:val="both"/>
        <w:sectPr>
          <w:pgSz w:w="11910" w:h="16850"/>
          <w:pgMar w:header="0" w:footer="937" w:top="1500" w:bottom="1120" w:left="1460" w:right="680"/>
        </w:sectPr>
      </w:pPr>
    </w:p>
    <w:p>
      <w:pPr>
        <w:pStyle w:val="BodyText"/>
        <w:ind w:left="525"/>
        <w:rPr>
          <w:sz w:val="20"/>
        </w:rPr>
      </w:pPr>
      <w:r>
        <w:rPr>
          <w:sz w:val="20"/>
        </w:rPr>
        <w:drawing>
          <wp:inline distT="0" distB="0" distL="0" distR="0">
            <wp:extent cx="5401374" cy="3845528"/>
            <wp:effectExtent l="0" t="0" r="0" b="0"/>
            <wp:docPr id="225" name="image127.jpeg" descr="cid:image003.jpg@01D412BD.EC354520"/>
            <wp:cNvGraphicFramePr>
              <a:graphicFrameLocks noChangeAspect="1"/>
            </wp:cNvGraphicFramePr>
            <a:graphic>
              <a:graphicData uri="http://schemas.openxmlformats.org/drawingml/2006/picture">
                <pic:pic>
                  <pic:nvPicPr>
                    <pic:cNvPr id="226" name="image127.jpeg"/>
                    <pic:cNvPicPr/>
                  </pic:nvPicPr>
                  <pic:blipFill>
                    <a:blip r:embed="rId138" cstate="print"/>
                    <a:stretch>
                      <a:fillRect/>
                    </a:stretch>
                  </pic:blipFill>
                  <pic:spPr>
                    <a:xfrm>
                      <a:off x="0" y="0"/>
                      <a:ext cx="5401374" cy="3845528"/>
                    </a:xfrm>
                    <a:prstGeom prst="rect">
                      <a:avLst/>
                    </a:prstGeom>
                  </pic:spPr>
                </pic:pic>
              </a:graphicData>
            </a:graphic>
          </wp:inline>
        </w:drawing>
      </w:r>
      <w:r>
        <w:rPr>
          <w:sz w:val="20"/>
        </w:rPr>
      </w:r>
    </w:p>
    <w:p>
      <w:pPr>
        <w:spacing w:before="52"/>
        <w:ind w:left="525" w:right="947" w:firstLine="0"/>
        <w:jc w:val="left"/>
        <w:rPr>
          <w:rFonts w:ascii="Calibri" w:hAnsi="Calibri"/>
          <w:i/>
          <w:sz w:val="18"/>
        </w:rPr>
      </w:pPr>
      <w:bookmarkStart w:name="_bookmark146" w:id="182"/>
      <w:bookmarkEnd w:id="182"/>
      <w:r>
        <w:rPr/>
      </w:r>
      <w:r>
        <w:rPr>
          <w:rFonts w:ascii="Calibri" w:hAnsi="Calibri"/>
          <w:i/>
          <w:color w:val="44536A"/>
          <w:sz w:val="18"/>
        </w:rPr>
        <w:t>Figur 108 Storå. Tilløb fra Lilleå. Distribueret drænopsætning efter nedskalering (orange). Blå uden distribuering </w:t>
      </w:r>
      <w:r>
        <w:rPr>
          <w:rFonts w:ascii="Calibri" w:hAnsi="Calibri"/>
          <w:i/>
          <w:color w:val="44536A"/>
          <w:sz w:val="18"/>
        </w:rPr>
        <w:t>(grøn farve fremkommer som blanding af orange og blå dvs. grøn repræsenterer områder der udpeges i begge til- fælde)</w:t>
      </w:r>
    </w:p>
    <w:p>
      <w:pPr>
        <w:pStyle w:val="BodyText"/>
        <w:rPr>
          <w:rFonts w:ascii="Calibri"/>
          <w:i/>
          <w:sz w:val="16"/>
        </w:rPr>
      </w:pPr>
    </w:p>
    <w:p>
      <w:pPr>
        <w:pStyle w:val="BodyText"/>
        <w:spacing w:line="288" w:lineRule="auto"/>
        <w:ind w:left="525" w:right="733"/>
        <w:jc w:val="both"/>
      </w:pPr>
      <w:hyperlink w:history="true" w:anchor="_bookmark147">
        <w:r>
          <w:rPr/>
          <w:t>Figur</w:t>
        </w:r>
        <w:r>
          <w:rPr>
            <w:spacing w:val="-12"/>
          </w:rPr>
          <w:t> </w:t>
        </w:r>
        <w:r>
          <w:rPr/>
          <w:t>109</w:t>
        </w:r>
        <w:r>
          <w:rPr>
            <w:spacing w:val="-12"/>
          </w:rPr>
          <w:t> </w:t>
        </w:r>
      </w:hyperlink>
      <w:r>
        <w:rPr/>
        <w:t>viser</w:t>
      </w:r>
      <w:r>
        <w:rPr>
          <w:spacing w:val="-12"/>
        </w:rPr>
        <w:t> </w:t>
      </w:r>
      <w:r>
        <w:rPr/>
        <w:t>et</w:t>
      </w:r>
      <w:r>
        <w:rPr>
          <w:spacing w:val="-14"/>
        </w:rPr>
        <w:t> </w:t>
      </w:r>
      <w:r>
        <w:rPr/>
        <w:t>andet</w:t>
      </w:r>
      <w:r>
        <w:rPr>
          <w:spacing w:val="-13"/>
        </w:rPr>
        <w:t> </w:t>
      </w:r>
      <w:r>
        <w:rPr/>
        <w:t>eksempel</w:t>
      </w:r>
      <w:r>
        <w:rPr>
          <w:spacing w:val="-11"/>
        </w:rPr>
        <w:t> </w:t>
      </w:r>
      <w:r>
        <w:rPr/>
        <w:t>tæt</w:t>
      </w:r>
      <w:r>
        <w:rPr>
          <w:spacing w:val="-13"/>
        </w:rPr>
        <w:t> </w:t>
      </w:r>
      <w:r>
        <w:rPr/>
        <w:t>ved</w:t>
      </w:r>
      <w:r>
        <w:rPr>
          <w:spacing w:val="-11"/>
        </w:rPr>
        <w:t> </w:t>
      </w:r>
      <w:r>
        <w:rPr/>
        <w:t>udløbet</w:t>
      </w:r>
      <w:r>
        <w:rPr>
          <w:spacing w:val="-13"/>
        </w:rPr>
        <w:t> </w:t>
      </w:r>
      <w:r>
        <w:rPr/>
        <w:t>af</w:t>
      </w:r>
      <w:r>
        <w:rPr>
          <w:spacing w:val="-13"/>
        </w:rPr>
        <w:t> </w:t>
      </w:r>
      <w:r>
        <w:rPr/>
        <w:t>Storå,</w:t>
      </w:r>
      <w:r>
        <w:rPr>
          <w:spacing w:val="-14"/>
        </w:rPr>
        <w:t> </w:t>
      </w:r>
      <w:r>
        <w:rPr/>
        <w:t>mens</w:t>
      </w:r>
      <w:r>
        <w:rPr>
          <w:spacing w:val="-12"/>
        </w:rPr>
        <w:t> </w:t>
      </w:r>
      <w:hyperlink w:history="true" w:anchor="_bookmark148">
        <w:r>
          <w:rPr/>
          <w:t>figur</w:t>
        </w:r>
        <w:r>
          <w:rPr>
            <w:spacing w:val="-12"/>
          </w:rPr>
          <w:t> </w:t>
        </w:r>
        <w:r>
          <w:rPr/>
          <w:t>110</w:t>
        </w:r>
        <w:r>
          <w:rPr>
            <w:spacing w:val="-11"/>
          </w:rPr>
          <w:t> </w:t>
        </w:r>
      </w:hyperlink>
      <w:r>
        <w:rPr/>
        <w:t>viser</w:t>
      </w:r>
      <w:r>
        <w:rPr>
          <w:spacing w:val="-13"/>
        </w:rPr>
        <w:t> </w:t>
      </w:r>
      <w:r>
        <w:rPr/>
        <w:t>et</w:t>
      </w:r>
      <w:r>
        <w:rPr>
          <w:spacing w:val="-13"/>
        </w:rPr>
        <w:t> </w:t>
      </w:r>
      <w:r>
        <w:rPr/>
        <w:t>eksempel fra Odense Å (Stavis å), hvor det fremgår, at distribueret dræning i dette tilfælde reducerer udstrækningen af de våde områder i</w:t>
      </w:r>
      <w:r>
        <w:rPr>
          <w:spacing w:val="-11"/>
        </w:rPr>
        <w:t> </w:t>
      </w:r>
      <w:r>
        <w:rPr/>
        <w:t>modellen.</w:t>
      </w:r>
    </w:p>
    <w:p>
      <w:pPr>
        <w:pStyle w:val="BodyText"/>
        <w:rPr>
          <w:sz w:val="22"/>
        </w:rPr>
      </w:pPr>
      <w:r>
        <w:rPr/>
        <w:drawing>
          <wp:anchor distT="0" distB="0" distL="0" distR="0" allowOverlap="1" layoutInCell="1" locked="0" behindDoc="0" simplePos="0" relativeHeight="81">
            <wp:simplePos x="0" y="0"/>
            <wp:positionH relativeFrom="page">
              <wp:posOffset>1260475</wp:posOffset>
            </wp:positionH>
            <wp:positionV relativeFrom="paragraph">
              <wp:posOffset>185535</wp:posOffset>
            </wp:positionV>
            <wp:extent cx="5357891" cy="3032379"/>
            <wp:effectExtent l="0" t="0" r="0" b="0"/>
            <wp:wrapTopAndBottom/>
            <wp:docPr id="227" name="image128.jpeg" descr="cid:image005.jpg@01D412BD.EC354520"/>
            <wp:cNvGraphicFramePr>
              <a:graphicFrameLocks noChangeAspect="1"/>
            </wp:cNvGraphicFramePr>
            <a:graphic>
              <a:graphicData uri="http://schemas.openxmlformats.org/drawingml/2006/picture">
                <pic:pic>
                  <pic:nvPicPr>
                    <pic:cNvPr id="228" name="image128.jpeg"/>
                    <pic:cNvPicPr/>
                  </pic:nvPicPr>
                  <pic:blipFill>
                    <a:blip r:embed="rId139" cstate="print"/>
                    <a:stretch>
                      <a:fillRect/>
                    </a:stretch>
                  </pic:blipFill>
                  <pic:spPr>
                    <a:xfrm>
                      <a:off x="0" y="0"/>
                      <a:ext cx="5357891" cy="3032379"/>
                    </a:xfrm>
                    <a:prstGeom prst="rect">
                      <a:avLst/>
                    </a:prstGeom>
                  </pic:spPr>
                </pic:pic>
              </a:graphicData>
            </a:graphic>
          </wp:anchor>
        </w:drawing>
      </w:r>
    </w:p>
    <w:p>
      <w:pPr>
        <w:spacing w:before="59"/>
        <w:ind w:left="525" w:right="759" w:firstLine="0"/>
        <w:jc w:val="left"/>
        <w:rPr>
          <w:rFonts w:ascii="Calibri" w:hAnsi="Calibri"/>
          <w:i/>
          <w:sz w:val="18"/>
        </w:rPr>
      </w:pPr>
      <w:bookmarkStart w:name="_bookmark147" w:id="183"/>
      <w:bookmarkEnd w:id="183"/>
      <w:r>
        <w:rPr/>
      </w:r>
      <w:r>
        <w:rPr>
          <w:rFonts w:ascii="Calibri" w:hAnsi="Calibri"/>
          <w:i/>
          <w:color w:val="44536A"/>
          <w:sz w:val="18"/>
        </w:rPr>
        <w:t>Figur 109 Storå ved udløb. Distribueret drænopsætning og nedskalering (orange). Blå uden distribuering. (grøn farve </w:t>
      </w:r>
      <w:r>
        <w:rPr>
          <w:rFonts w:ascii="Calibri" w:hAnsi="Calibri"/>
          <w:i/>
          <w:color w:val="44536A"/>
          <w:sz w:val="18"/>
        </w:rPr>
        <w:t>fremkommer som blanding af orange og blå dvs. grøn repræsenterer områder der udpeges i begge tilfælde)</w:t>
      </w:r>
    </w:p>
    <w:p>
      <w:pPr>
        <w:spacing w:after="0"/>
        <w:jc w:val="left"/>
        <w:rPr>
          <w:rFonts w:ascii="Calibri" w:hAnsi="Calibri"/>
          <w:sz w:val="18"/>
        </w:rPr>
        <w:sectPr>
          <w:footerReference w:type="default" r:id="rId137"/>
          <w:pgSz w:w="11910" w:h="16850"/>
          <w:pgMar w:footer="937" w:header="0" w:top="1420" w:bottom="1120" w:left="1460" w:right="680"/>
        </w:sectPr>
      </w:pPr>
    </w:p>
    <w:p>
      <w:pPr>
        <w:pStyle w:val="BodyText"/>
        <w:spacing w:before="11"/>
        <w:rPr>
          <w:rFonts w:ascii="Calibri"/>
          <w:i/>
          <w:sz w:val="9"/>
        </w:rPr>
      </w:pPr>
    </w:p>
    <w:p>
      <w:pPr>
        <w:pStyle w:val="BodyText"/>
        <w:ind w:left="539"/>
        <w:rPr>
          <w:rFonts w:ascii="Calibri"/>
          <w:sz w:val="20"/>
        </w:rPr>
      </w:pPr>
      <w:r>
        <w:rPr>
          <w:rFonts w:ascii="Calibri"/>
          <w:sz w:val="20"/>
        </w:rPr>
        <w:pict>
          <v:group style="width:405.15pt;height:253.5pt;mso-position-horizontal-relative:char;mso-position-vertical-relative:line" coordorigin="0,0" coordsize="8103,5070">
            <v:shape style="position:absolute;left:14;top:14;width:8073;height:5040" type="#_x0000_t75" alt="cid:image008.jpg@01D412BD.EC354520" stroked="false">
              <v:imagedata r:id="rId141" o:title=""/>
            </v:shape>
            <v:rect style="position:absolute;left:7;top:7;width:8088;height:5055" filled="false" stroked="true" strokeweight=".75pt" strokecolor="#5b9bd4">
              <v:stroke dashstyle="solid"/>
            </v:rect>
          </v:group>
        </w:pict>
      </w:r>
      <w:r>
        <w:rPr>
          <w:rFonts w:ascii="Calibri"/>
          <w:sz w:val="20"/>
        </w:rPr>
      </w:r>
    </w:p>
    <w:p>
      <w:pPr>
        <w:spacing w:before="29"/>
        <w:ind w:left="525" w:right="902" w:firstLine="0"/>
        <w:jc w:val="left"/>
        <w:rPr>
          <w:rFonts w:ascii="Calibri" w:hAnsi="Calibri"/>
          <w:i/>
          <w:sz w:val="18"/>
        </w:rPr>
      </w:pPr>
      <w:bookmarkStart w:name="_bookmark148" w:id="184"/>
      <w:bookmarkEnd w:id="184"/>
      <w:r>
        <w:rPr/>
      </w:r>
      <w:r>
        <w:rPr>
          <w:rFonts w:ascii="Calibri" w:hAnsi="Calibri"/>
          <w:i/>
          <w:color w:val="44536A"/>
          <w:sz w:val="18"/>
        </w:rPr>
        <w:t>Figur 110 Stavis å. Distribueret drænopsætning og nedskalering (orange). Blå uden distribuering. (grøn farve frem- </w:t>
      </w:r>
      <w:r>
        <w:rPr>
          <w:rFonts w:ascii="Calibri" w:hAnsi="Calibri"/>
          <w:i/>
          <w:color w:val="44536A"/>
          <w:sz w:val="18"/>
        </w:rPr>
        <w:t>kommer som blanding af orange og blå dvs. grøn repræsenterer områder der udpeges i begge tilfælde)</w:t>
      </w:r>
    </w:p>
    <w:p>
      <w:pPr>
        <w:pStyle w:val="BodyText"/>
        <w:spacing w:before="2"/>
        <w:rPr>
          <w:rFonts w:ascii="Calibri"/>
          <w:i/>
          <w:sz w:val="16"/>
        </w:rPr>
      </w:pPr>
    </w:p>
    <w:p>
      <w:pPr>
        <w:pStyle w:val="BodyText"/>
        <w:spacing w:line="288" w:lineRule="auto"/>
        <w:ind w:left="525" w:right="730"/>
        <w:jc w:val="both"/>
      </w:pPr>
      <w:r>
        <w:rPr/>
        <w:t>Problemstillingen med distribueret drænopsætning er et eksempel på problematikken med, at modelstrukturen ikke kan kvantificeres i forhold til observationsdata, at de nedskalerede resultater (her dybde til grundvandsspejl) i forhold til FOT GIS tema for vådområder giver mere plausible resultater, i forhold til den klassiske beskrivelse af dræn tidskonstant (uden distribuering). Et andet eksempel på noget tilsvarende er ’nedskaleringen’ af resultater fra 100</w:t>
      </w:r>
      <w:r>
        <w:rPr>
          <w:spacing w:val="-14"/>
        </w:rPr>
        <w:t> </w:t>
      </w:r>
      <w:r>
        <w:rPr/>
        <w:t>m</w:t>
      </w:r>
      <w:r>
        <w:rPr>
          <w:spacing w:val="-9"/>
        </w:rPr>
        <w:t> </w:t>
      </w:r>
      <w:r>
        <w:rPr/>
        <w:t>til</w:t>
      </w:r>
      <w:r>
        <w:rPr>
          <w:spacing w:val="-10"/>
        </w:rPr>
        <w:t> </w:t>
      </w:r>
      <w:r>
        <w:rPr/>
        <w:t>10</w:t>
      </w:r>
      <w:r>
        <w:rPr>
          <w:spacing w:val="-13"/>
        </w:rPr>
        <w:t> </w:t>
      </w:r>
      <w:r>
        <w:rPr/>
        <w:t>m</w:t>
      </w:r>
      <w:r>
        <w:rPr>
          <w:spacing w:val="-10"/>
        </w:rPr>
        <w:t> </w:t>
      </w:r>
      <w:r>
        <w:rPr/>
        <w:t>grid</w:t>
      </w:r>
      <w:r>
        <w:rPr>
          <w:spacing w:val="-10"/>
        </w:rPr>
        <w:t> </w:t>
      </w:r>
      <w:r>
        <w:rPr/>
        <w:t>ud</w:t>
      </w:r>
      <w:r>
        <w:rPr>
          <w:spacing w:val="-11"/>
        </w:rPr>
        <w:t> </w:t>
      </w:r>
      <w:r>
        <w:rPr/>
        <w:t>fra</w:t>
      </w:r>
      <w:r>
        <w:rPr>
          <w:spacing w:val="-12"/>
        </w:rPr>
        <w:t> </w:t>
      </w:r>
      <w:r>
        <w:rPr/>
        <w:t>detaljeret</w:t>
      </w:r>
      <w:r>
        <w:rPr>
          <w:spacing w:val="-12"/>
        </w:rPr>
        <w:t> </w:t>
      </w:r>
      <w:r>
        <w:rPr/>
        <w:t>højdemodel.</w:t>
      </w:r>
      <w:r>
        <w:rPr>
          <w:spacing w:val="-12"/>
        </w:rPr>
        <w:t> </w:t>
      </w:r>
      <w:r>
        <w:rPr/>
        <w:t>Heller</w:t>
      </w:r>
      <w:r>
        <w:rPr>
          <w:spacing w:val="-11"/>
        </w:rPr>
        <w:t> </w:t>
      </w:r>
      <w:r>
        <w:rPr/>
        <w:t>ikke</w:t>
      </w:r>
      <w:r>
        <w:rPr>
          <w:spacing w:val="-11"/>
        </w:rPr>
        <w:t> </w:t>
      </w:r>
      <w:r>
        <w:rPr/>
        <w:t>her</w:t>
      </w:r>
      <w:r>
        <w:rPr>
          <w:spacing w:val="-15"/>
        </w:rPr>
        <w:t> </w:t>
      </w:r>
      <w:r>
        <w:rPr/>
        <w:t>kan</w:t>
      </w:r>
      <w:r>
        <w:rPr>
          <w:spacing w:val="-10"/>
        </w:rPr>
        <w:t> </w:t>
      </w:r>
      <w:r>
        <w:rPr/>
        <w:t>resultaterne</w:t>
      </w:r>
      <w:r>
        <w:rPr>
          <w:spacing w:val="-11"/>
        </w:rPr>
        <w:t> </w:t>
      </w:r>
      <w:r>
        <w:rPr/>
        <w:t>kvantificeres i</w:t>
      </w:r>
      <w:r>
        <w:rPr>
          <w:spacing w:val="-4"/>
        </w:rPr>
        <w:t> </w:t>
      </w:r>
      <w:r>
        <w:rPr/>
        <w:t>forhold</w:t>
      </w:r>
      <w:r>
        <w:rPr>
          <w:spacing w:val="-5"/>
        </w:rPr>
        <w:t> </w:t>
      </w:r>
      <w:r>
        <w:rPr/>
        <w:t>til</w:t>
      </w:r>
      <w:r>
        <w:rPr>
          <w:spacing w:val="-3"/>
        </w:rPr>
        <w:t> </w:t>
      </w:r>
      <w:r>
        <w:rPr/>
        <w:t>observationsdata,</w:t>
      </w:r>
      <w:r>
        <w:rPr>
          <w:spacing w:val="-6"/>
        </w:rPr>
        <w:t> </w:t>
      </w:r>
      <w:r>
        <w:rPr/>
        <w:t>men</w:t>
      </w:r>
      <w:r>
        <w:rPr>
          <w:spacing w:val="-4"/>
        </w:rPr>
        <w:t> </w:t>
      </w:r>
      <w:r>
        <w:rPr/>
        <w:t>intuitivt</w:t>
      </w:r>
      <w:r>
        <w:rPr>
          <w:spacing w:val="-3"/>
        </w:rPr>
        <w:t> </w:t>
      </w:r>
      <w:r>
        <w:rPr/>
        <w:t>ser</w:t>
      </w:r>
      <w:r>
        <w:rPr>
          <w:spacing w:val="-5"/>
        </w:rPr>
        <w:t> </w:t>
      </w:r>
      <w:r>
        <w:rPr/>
        <w:t>resultaterne</w:t>
      </w:r>
      <w:r>
        <w:rPr>
          <w:spacing w:val="-3"/>
        </w:rPr>
        <w:t> </w:t>
      </w:r>
      <w:r>
        <w:rPr/>
        <w:t>mere</w:t>
      </w:r>
      <w:r>
        <w:rPr>
          <w:spacing w:val="-5"/>
        </w:rPr>
        <w:t> </w:t>
      </w:r>
      <w:r>
        <w:rPr/>
        <w:t>plausible</w:t>
      </w:r>
      <w:r>
        <w:rPr>
          <w:spacing w:val="-5"/>
        </w:rPr>
        <w:t> </w:t>
      </w:r>
      <w:r>
        <w:rPr/>
        <w:t>ud</w:t>
      </w:r>
      <w:r>
        <w:rPr>
          <w:spacing w:val="-6"/>
        </w:rPr>
        <w:t> </w:t>
      </w:r>
      <w:r>
        <w:rPr/>
        <w:t>efter</w:t>
      </w:r>
      <w:r>
        <w:rPr>
          <w:spacing w:val="-5"/>
        </w:rPr>
        <w:t> </w:t>
      </w:r>
      <w:r>
        <w:rPr/>
        <w:t>nedskale- ring, fordi det færdige kortprodukt kan udpege områder med flere</w:t>
      </w:r>
      <w:r>
        <w:rPr>
          <w:spacing w:val="-18"/>
        </w:rPr>
        <w:t> </w:t>
      </w:r>
      <w:r>
        <w:rPr/>
        <w:t>detaljer.</w:t>
      </w:r>
    </w:p>
    <w:p>
      <w:pPr>
        <w:pStyle w:val="BodyText"/>
        <w:rPr>
          <w:sz w:val="24"/>
        </w:rPr>
      </w:pPr>
    </w:p>
    <w:p>
      <w:pPr>
        <w:pStyle w:val="BodyText"/>
        <w:spacing w:before="6"/>
        <w:rPr>
          <w:sz w:val="26"/>
        </w:rPr>
      </w:pPr>
    </w:p>
    <w:p>
      <w:pPr>
        <w:pStyle w:val="Heading2"/>
        <w:numPr>
          <w:ilvl w:val="1"/>
          <w:numId w:val="15"/>
        </w:numPr>
        <w:tabs>
          <w:tab w:pos="1142" w:val="left" w:leader="none"/>
        </w:tabs>
        <w:spacing w:line="240" w:lineRule="auto" w:before="0" w:after="0"/>
        <w:ind w:left="525" w:right="775" w:firstLine="0"/>
        <w:jc w:val="both"/>
      </w:pPr>
      <w:bookmarkStart w:name="_bookmark149" w:id="185"/>
      <w:bookmarkEnd w:id="185"/>
      <w:r>
        <w:rPr>
          <w:b w:val="0"/>
        </w:rPr>
      </w:r>
      <w:bookmarkStart w:name="_bookmark149" w:id="186"/>
      <w:bookmarkEnd w:id="186"/>
      <w:r>
        <w:rPr/>
        <w:t>E</w:t>
      </w:r>
      <w:r>
        <w:rPr/>
        <w:t>valuering af mulighed for anvendelse af 500 m kalibrering til parametrisering af 100 m</w:t>
      </w:r>
      <w:r>
        <w:rPr>
          <w:spacing w:val="-5"/>
        </w:rPr>
        <w:t> </w:t>
      </w:r>
      <w:r>
        <w:rPr/>
        <w:t>modeller.</w:t>
      </w:r>
    </w:p>
    <w:p>
      <w:pPr>
        <w:pStyle w:val="BodyText"/>
        <w:spacing w:line="288" w:lineRule="auto" w:before="240"/>
        <w:ind w:left="525" w:right="732"/>
        <w:jc w:val="both"/>
      </w:pPr>
      <w:r>
        <w:rPr/>
        <w:t>I</w:t>
      </w:r>
      <w:r>
        <w:rPr>
          <w:spacing w:val="-8"/>
        </w:rPr>
        <w:t> </w:t>
      </w:r>
      <w:r>
        <w:rPr/>
        <w:t>forhold</w:t>
      </w:r>
      <w:r>
        <w:rPr>
          <w:spacing w:val="-6"/>
        </w:rPr>
        <w:t> </w:t>
      </w:r>
      <w:r>
        <w:rPr/>
        <w:t>til</w:t>
      </w:r>
      <w:r>
        <w:rPr>
          <w:spacing w:val="-9"/>
        </w:rPr>
        <w:t> </w:t>
      </w:r>
      <w:r>
        <w:rPr/>
        <w:t>det</w:t>
      </w:r>
      <w:r>
        <w:rPr>
          <w:spacing w:val="-7"/>
        </w:rPr>
        <w:t> </w:t>
      </w:r>
      <w:r>
        <w:rPr/>
        <w:t>fremadrettede</w:t>
      </w:r>
      <w:r>
        <w:rPr>
          <w:spacing w:val="-7"/>
        </w:rPr>
        <w:t> </w:t>
      </w:r>
      <w:r>
        <w:rPr/>
        <w:t>arbejde</w:t>
      </w:r>
      <w:r>
        <w:rPr>
          <w:spacing w:val="-8"/>
        </w:rPr>
        <w:t> </w:t>
      </w:r>
      <w:r>
        <w:rPr/>
        <w:t>med</w:t>
      </w:r>
      <w:r>
        <w:rPr>
          <w:spacing w:val="-7"/>
        </w:rPr>
        <w:t> </w:t>
      </w:r>
      <w:r>
        <w:rPr/>
        <w:t>en</w:t>
      </w:r>
      <w:r>
        <w:rPr>
          <w:spacing w:val="-8"/>
        </w:rPr>
        <w:t> </w:t>
      </w:r>
      <w:r>
        <w:rPr/>
        <w:t>mulig</w:t>
      </w:r>
      <w:r>
        <w:rPr>
          <w:spacing w:val="-6"/>
        </w:rPr>
        <w:t> </w:t>
      </w:r>
      <w:r>
        <w:rPr/>
        <w:t>landsdækkende</w:t>
      </w:r>
      <w:r>
        <w:rPr>
          <w:spacing w:val="-7"/>
        </w:rPr>
        <w:t> </w:t>
      </w:r>
      <w:r>
        <w:rPr/>
        <w:t>hydrologisk</w:t>
      </w:r>
      <w:r>
        <w:rPr>
          <w:spacing w:val="-6"/>
        </w:rPr>
        <w:t> </w:t>
      </w:r>
      <w:r>
        <w:rPr/>
        <w:t>model</w:t>
      </w:r>
      <w:r>
        <w:rPr>
          <w:spacing w:val="-6"/>
        </w:rPr>
        <w:t> </w:t>
      </w:r>
      <w:r>
        <w:rPr/>
        <w:t>i</w:t>
      </w:r>
      <w:r>
        <w:rPr>
          <w:spacing w:val="-5"/>
        </w:rPr>
        <w:t> </w:t>
      </w:r>
      <w:r>
        <w:rPr/>
        <w:t>100 m grid opløsning har dette studie illustreret de store beregningsmæssige omkostninger ved dette. Samtidigt har analysen vist, at effekten på model performance er relativt begrænset samt at mange modelparametre opnår samme størrelse uafhængigt af kalibrering i 100 m eller 500 m</w:t>
      </w:r>
      <w:r>
        <w:rPr>
          <w:spacing w:val="-5"/>
        </w:rPr>
        <w:t> </w:t>
      </w:r>
      <w:r>
        <w:rPr/>
        <w:t>grid.</w:t>
      </w:r>
    </w:p>
    <w:p>
      <w:pPr>
        <w:pStyle w:val="BodyText"/>
      </w:pPr>
    </w:p>
    <w:p>
      <w:pPr>
        <w:pStyle w:val="BodyText"/>
        <w:spacing w:line="288" w:lineRule="auto"/>
        <w:ind w:left="525" w:right="732"/>
        <w:jc w:val="both"/>
      </w:pPr>
      <w:r>
        <w:rPr/>
        <w:t>Fordelene ved anvendelse af 100 m grid skal især findes i den rumlige opløsning af model- output</w:t>
      </w:r>
      <w:r>
        <w:rPr>
          <w:spacing w:val="-6"/>
        </w:rPr>
        <w:t> </w:t>
      </w:r>
      <w:r>
        <w:rPr/>
        <w:t>samt</w:t>
      </w:r>
      <w:r>
        <w:rPr>
          <w:spacing w:val="-5"/>
        </w:rPr>
        <w:t> </w:t>
      </w:r>
      <w:r>
        <w:rPr/>
        <w:t>bedre</w:t>
      </w:r>
      <w:r>
        <w:rPr>
          <w:spacing w:val="-4"/>
        </w:rPr>
        <w:t> </w:t>
      </w:r>
      <w:r>
        <w:rPr/>
        <w:t>beskrivelse</w:t>
      </w:r>
      <w:r>
        <w:rPr>
          <w:spacing w:val="-6"/>
        </w:rPr>
        <w:t> </w:t>
      </w:r>
      <w:r>
        <w:rPr/>
        <w:t>af</w:t>
      </w:r>
      <w:r>
        <w:rPr>
          <w:spacing w:val="-2"/>
        </w:rPr>
        <w:t> </w:t>
      </w:r>
      <w:r>
        <w:rPr/>
        <w:t>topografiens</w:t>
      </w:r>
      <w:r>
        <w:rPr>
          <w:spacing w:val="-5"/>
        </w:rPr>
        <w:t> </w:t>
      </w:r>
      <w:r>
        <w:rPr/>
        <w:t>betydning</w:t>
      </w:r>
      <w:r>
        <w:rPr>
          <w:spacing w:val="-4"/>
        </w:rPr>
        <w:t> </w:t>
      </w:r>
      <w:r>
        <w:rPr/>
        <w:t>på</w:t>
      </w:r>
      <w:r>
        <w:rPr>
          <w:spacing w:val="-3"/>
        </w:rPr>
        <w:t> </w:t>
      </w:r>
      <w:r>
        <w:rPr/>
        <w:t>det</w:t>
      </w:r>
      <w:r>
        <w:rPr>
          <w:spacing w:val="-5"/>
        </w:rPr>
        <w:t> </w:t>
      </w:r>
      <w:r>
        <w:rPr/>
        <w:t>terrænnære</w:t>
      </w:r>
      <w:r>
        <w:rPr>
          <w:spacing w:val="-4"/>
        </w:rPr>
        <w:t> </w:t>
      </w:r>
      <w:r>
        <w:rPr/>
        <w:t>grundvand.</w:t>
      </w:r>
      <w:r>
        <w:rPr>
          <w:spacing w:val="-8"/>
        </w:rPr>
        <w:t> </w:t>
      </w:r>
      <w:r>
        <w:rPr/>
        <w:t>Der er</w:t>
      </w:r>
      <w:r>
        <w:rPr>
          <w:spacing w:val="-12"/>
        </w:rPr>
        <w:t> </w:t>
      </w:r>
      <w:r>
        <w:rPr/>
        <w:t>derfor</w:t>
      </w:r>
      <w:r>
        <w:rPr>
          <w:spacing w:val="-11"/>
        </w:rPr>
        <w:t> </w:t>
      </w:r>
      <w:r>
        <w:rPr/>
        <w:t>lavet</w:t>
      </w:r>
      <w:r>
        <w:rPr>
          <w:spacing w:val="-12"/>
        </w:rPr>
        <w:t> </w:t>
      </w:r>
      <w:r>
        <w:rPr/>
        <w:t>en</w:t>
      </w:r>
      <w:r>
        <w:rPr>
          <w:spacing w:val="-11"/>
        </w:rPr>
        <w:t> </w:t>
      </w:r>
      <w:r>
        <w:rPr/>
        <w:t>yderligere</w:t>
      </w:r>
      <w:r>
        <w:rPr>
          <w:spacing w:val="-11"/>
        </w:rPr>
        <w:t> </w:t>
      </w:r>
      <w:r>
        <w:rPr/>
        <w:t>analyse</w:t>
      </w:r>
      <w:r>
        <w:rPr>
          <w:spacing w:val="-11"/>
        </w:rPr>
        <w:t> </w:t>
      </w:r>
      <w:r>
        <w:rPr/>
        <w:t>af</w:t>
      </w:r>
      <w:r>
        <w:rPr>
          <w:spacing w:val="-12"/>
        </w:rPr>
        <w:t> </w:t>
      </w:r>
      <w:r>
        <w:rPr/>
        <w:t>muligheden</w:t>
      </w:r>
      <w:r>
        <w:rPr>
          <w:spacing w:val="-12"/>
        </w:rPr>
        <w:t> </w:t>
      </w:r>
      <w:r>
        <w:rPr/>
        <w:t>for</w:t>
      </w:r>
      <w:r>
        <w:rPr>
          <w:spacing w:val="-11"/>
        </w:rPr>
        <w:t> </w:t>
      </w:r>
      <w:r>
        <w:rPr/>
        <w:t>at</w:t>
      </w:r>
      <w:r>
        <w:rPr>
          <w:spacing w:val="-12"/>
        </w:rPr>
        <w:t> </w:t>
      </w:r>
      <w:r>
        <w:rPr/>
        <w:t>kalibrere</w:t>
      </w:r>
      <w:r>
        <w:rPr>
          <w:spacing w:val="-13"/>
        </w:rPr>
        <w:t> </w:t>
      </w:r>
      <w:r>
        <w:rPr/>
        <w:t>modellen</w:t>
      </w:r>
      <w:r>
        <w:rPr>
          <w:spacing w:val="-11"/>
        </w:rPr>
        <w:t> </w:t>
      </w:r>
      <w:r>
        <w:rPr/>
        <w:t>i</w:t>
      </w:r>
      <w:r>
        <w:rPr>
          <w:spacing w:val="-10"/>
        </w:rPr>
        <w:t> </w:t>
      </w:r>
      <w:r>
        <w:rPr/>
        <w:t>500</w:t>
      </w:r>
      <w:r>
        <w:rPr>
          <w:spacing w:val="-9"/>
        </w:rPr>
        <w:t> </w:t>
      </w:r>
      <w:r>
        <w:rPr/>
        <w:t>m</w:t>
      </w:r>
      <w:r>
        <w:rPr>
          <w:spacing w:val="-10"/>
        </w:rPr>
        <w:t> </w:t>
      </w:r>
      <w:r>
        <w:rPr/>
        <w:t>grid</w:t>
      </w:r>
      <w:r>
        <w:rPr>
          <w:spacing w:val="-13"/>
        </w:rPr>
        <w:t> </w:t>
      </w:r>
      <w:r>
        <w:rPr/>
        <w:t>med store beregningsmæssige besparelser til følge (faktor 40-45 for hhv. Storå og Odense Å)</w:t>
      </w:r>
      <w:r>
        <w:rPr>
          <w:spacing w:val="-42"/>
        </w:rPr>
        <w:t> </w:t>
      </w:r>
      <w:r>
        <w:rPr/>
        <w:t>og efterfølgende overføre 500 m parametriseringen til en 100 m</w:t>
      </w:r>
      <w:r>
        <w:rPr>
          <w:spacing w:val="-14"/>
        </w:rPr>
        <w:t> </w:t>
      </w:r>
      <w:r>
        <w:rPr/>
        <w:t>modelopsætning.</w:t>
      </w:r>
    </w:p>
    <w:p>
      <w:pPr>
        <w:spacing w:after="0" w:line="288" w:lineRule="auto"/>
        <w:jc w:val="both"/>
        <w:sectPr>
          <w:footerReference w:type="default" r:id="rId140"/>
          <w:pgSz w:w="11910" w:h="16850"/>
          <w:pgMar w:footer="937" w:header="0" w:top="1600" w:bottom="1120" w:left="1460" w:right="680"/>
          <w:pgNumType w:start="131"/>
        </w:sectPr>
      </w:pPr>
    </w:p>
    <w:p>
      <w:pPr>
        <w:pStyle w:val="BodyText"/>
        <w:spacing w:line="288" w:lineRule="auto" w:before="75"/>
        <w:ind w:left="525" w:right="729"/>
        <w:jc w:val="both"/>
      </w:pPr>
      <w:r>
        <w:rPr/>
        <w:t>Denne analyse er udført for både Storå og Odense Å ved at overføre de kalibrerede para- metre</w:t>
      </w:r>
      <w:r>
        <w:rPr>
          <w:spacing w:val="-11"/>
        </w:rPr>
        <w:t> </w:t>
      </w:r>
      <w:r>
        <w:rPr/>
        <w:t>opnået</w:t>
      </w:r>
      <w:r>
        <w:rPr>
          <w:spacing w:val="-13"/>
        </w:rPr>
        <w:t> </w:t>
      </w:r>
      <w:r>
        <w:rPr/>
        <w:t>ved</w:t>
      </w:r>
      <w:r>
        <w:rPr>
          <w:spacing w:val="-10"/>
        </w:rPr>
        <w:t> </w:t>
      </w:r>
      <w:r>
        <w:rPr/>
        <w:t>500_Jup+Reg</w:t>
      </w:r>
      <w:r>
        <w:rPr>
          <w:spacing w:val="-11"/>
        </w:rPr>
        <w:t> </w:t>
      </w:r>
      <w:r>
        <w:rPr/>
        <w:t>kalibreringerne</w:t>
      </w:r>
      <w:r>
        <w:rPr>
          <w:spacing w:val="-11"/>
        </w:rPr>
        <w:t> </w:t>
      </w:r>
      <w:r>
        <w:rPr/>
        <w:t>til</w:t>
      </w:r>
      <w:r>
        <w:rPr>
          <w:spacing w:val="-10"/>
        </w:rPr>
        <w:t> </w:t>
      </w:r>
      <w:r>
        <w:rPr/>
        <w:t>100</w:t>
      </w:r>
      <w:r>
        <w:rPr>
          <w:spacing w:val="-7"/>
        </w:rPr>
        <w:t> </w:t>
      </w:r>
      <w:r>
        <w:rPr/>
        <w:t>m</w:t>
      </w:r>
      <w:r>
        <w:rPr>
          <w:spacing w:val="-9"/>
        </w:rPr>
        <w:t> </w:t>
      </w:r>
      <w:r>
        <w:rPr/>
        <w:t>modellerne.</w:t>
      </w:r>
      <w:r>
        <w:rPr>
          <w:spacing w:val="-12"/>
        </w:rPr>
        <w:t> </w:t>
      </w:r>
      <w:r>
        <w:rPr/>
        <w:t>Performance</w:t>
      </w:r>
      <w:r>
        <w:rPr>
          <w:spacing w:val="-10"/>
        </w:rPr>
        <w:t> </w:t>
      </w:r>
      <w:r>
        <w:rPr/>
        <w:t>af</w:t>
      </w:r>
      <w:r>
        <w:rPr>
          <w:spacing w:val="-10"/>
        </w:rPr>
        <w:t> </w:t>
      </w:r>
      <w:r>
        <w:rPr/>
        <w:t>denne model (100m_Par500m) som kun kræver en enkelt forward kørsel i 100 m opløsning og dermed</w:t>
      </w:r>
      <w:r>
        <w:rPr>
          <w:spacing w:val="-7"/>
        </w:rPr>
        <w:t> </w:t>
      </w:r>
      <w:r>
        <w:rPr/>
        <w:t>ingen</w:t>
      </w:r>
      <w:r>
        <w:rPr>
          <w:spacing w:val="-6"/>
        </w:rPr>
        <w:t> </w:t>
      </w:r>
      <w:r>
        <w:rPr/>
        <w:t>kalibrering</w:t>
      </w:r>
      <w:r>
        <w:rPr>
          <w:spacing w:val="-7"/>
        </w:rPr>
        <w:t> </w:t>
      </w:r>
      <w:r>
        <w:rPr/>
        <w:t>i</w:t>
      </w:r>
      <w:r>
        <w:rPr>
          <w:spacing w:val="-7"/>
        </w:rPr>
        <w:t> </w:t>
      </w:r>
      <w:r>
        <w:rPr/>
        <w:t>100</w:t>
      </w:r>
      <w:r>
        <w:rPr>
          <w:spacing w:val="-5"/>
        </w:rPr>
        <w:t> </w:t>
      </w:r>
      <w:r>
        <w:rPr/>
        <w:t>m</w:t>
      </w:r>
      <w:r>
        <w:rPr>
          <w:spacing w:val="-5"/>
        </w:rPr>
        <w:t> </w:t>
      </w:r>
      <w:r>
        <w:rPr/>
        <w:t>er</w:t>
      </w:r>
      <w:r>
        <w:rPr>
          <w:spacing w:val="-8"/>
        </w:rPr>
        <w:t> </w:t>
      </w:r>
      <w:r>
        <w:rPr/>
        <w:t>sammenlignet</w:t>
      </w:r>
      <w:r>
        <w:rPr>
          <w:spacing w:val="-7"/>
        </w:rPr>
        <w:t> </w:t>
      </w:r>
      <w:r>
        <w:rPr/>
        <w:t>med</w:t>
      </w:r>
      <w:r>
        <w:rPr>
          <w:spacing w:val="-7"/>
        </w:rPr>
        <w:t> </w:t>
      </w:r>
      <w:r>
        <w:rPr/>
        <w:t>den</w:t>
      </w:r>
      <w:r>
        <w:rPr>
          <w:spacing w:val="-6"/>
        </w:rPr>
        <w:t> </w:t>
      </w:r>
      <w:r>
        <w:rPr/>
        <w:t>tilsvarende</w:t>
      </w:r>
      <w:r>
        <w:rPr>
          <w:spacing w:val="-6"/>
        </w:rPr>
        <w:t> </w:t>
      </w:r>
      <w:r>
        <w:rPr/>
        <w:t>performance</w:t>
      </w:r>
      <w:r>
        <w:rPr>
          <w:spacing w:val="-7"/>
        </w:rPr>
        <w:t> </w:t>
      </w:r>
      <w:r>
        <w:rPr/>
        <w:t>opnået ved kalibrering af hhv. 100 m modellen og 500 m</w:t>
      </w:r>
      <w:r>
        <w:rPr>
          <w:spacing w:val="-11"/>
        </w:rPr>
        <w:t> </w:t>
      </w:r>
      <w:r>
        <w:rPr/>
        <w:t>modellen.</w:t>
      </w:r>
    </w:p>
    <w:p>
      <w:pPr>
        <w:pStyle w:val="BodyText"/>
        <w:spacing w:before="11"/>
        <w:rPr>
          <w:sz w:val="20"/>
        </w:rPr>
      </w:pPr>
    </w:p>
    <w:p>
      <w:pPr>
        <w:pStyle w:val="BodyText"/>
        <w:spacing w:line="288" w:lineRule="auto"/>
        <w:ind w:left="525" w:right="730"/>
        <w:jc w:val="both"/>
      </w:pPr>
      <w:r>
        <w:rPr/>
        <w:t>Resultaterne for Storå er angivet i </w:t>
      </w:r>
      <w:hyperlink w:history="true" w:anchor="_bookmark150">
        <w:r>
          <w:rPr/>
          <w:t>tabel 24 </w:t>
        </w:r>
      </w:hyperlink>
      <w:r>
        <w:rPr/>
        <w:t>og 25 for hhv. vandføring og trykniveau, og viser at performance er sammenlignelig for de nedstrøms stationer mens to af de opstrøms stati- oner opnår dårligere vandbalance og NSE ved overførsel af parameterset. For trykniveau, se</w:t>
      </w:r>
    </w:p>
    <w:p>
      <w:pPr>
        <w:pStyle w:val="BodyText"/>
        <w:spacing w:before="7"/>
        <w:rPr>
          <w:sz w:val="20"/>
        </w:rPr>
      </w:pPr>
    </w:p>
    <w:p>
      <w:pPr>
        <w:pStyle w:val="BodyText"/>
        <w:spacing w:line="288" w:lineRule="auto" w:before="1"/>
        <w:ind w:left="525" w:right="733"/>
        <w:jc w:val="both"/>
      </w:pPr>
      <w:hyperlink w:history="true" w:anchor="_bookmark151">
        <w:r>
          <w:rPr/>
          <w:t>tabel</w:t>
        </w:r>
        <w:r>
          <w:rPr>
            <w:spacing w:val="-15"/>
          </w:rPr>
          <w:t> </w:t>
        </w:r>
        <w:r>
          <w:rPr/>
          <w:t>25</w:t>
        </w:r>
      </w:hyperlink>
      <w:r>
        <w:rPr/>
        <w:t>,</w:t>
      </w:r>
      <w:r>
        <w:rPr>
          <w:spacing w:val="-18"/>
        </w:rPr>
        <w:t> </w:t>
      </w:r>
      <w:r>
        <w:rPr/>
        <w:t>er</w:t>
      </w:r>
      <w:r>
        <w:rPr>
          <w:spacing w:val="-17"/>
        </w:rPr>
        <w:t> </w:t>
      </w:r>
      <w:r>
        <w:rPr/>
        <w:t>resultaterne</w:t>
      </w:r>
      <w:r>
        <w:rPr>
          <w:spacing w:val="-17"/>
        </w:rPr>
        <w:t> </w:t>
      </w:r>
      <w:r>
        <w:rPr/>
        <w:t>ligeledes</w:t>
      </w:r>
      <w:r>
        <w:rPr>
          <w:spacing w:val="-16"/>
        </w:rPr>
        <w:t> </w:t>
      </w:r>
      <w:r>
        <w:rPr/>
        <w:t>sammenlignelige</w:t>
      </w:r>
      <w:r>
        <w:rPr>
          <w:spacing w:val="-16"/>
        </w:rPr>
        <w:t> </w:t>
      </w:r>
      <w:r>
        <w:rPr/>
        <w:t>mellem</w:t>
      </w:r>
      <w:r>
        <w:rPr>
          <w:spacing w:val="-14"/>
        </w:rPr>
        <w:t> </w:t>
      </w:r>
      <w:r>
        <w:rPr/>
        <w:t>kalibrerede</w:t>
      </w:r>
      <w:r>
        <w:rPr>
          <w:spacing w:val="-18"/>
        </w:rPr>
        <w:t> </w:t>
      </w:r>
      <w:r>
        <w:rPr/>
        <w:t>modeller</w:t>
      </w:r>
      <w:r>
        <w:rPr>
          <w:spacing w:val="-17"/>
        </w:rPr>
        <w:t> </w:t>
      </w:r>
      <w:r>
        <w:rPr/>
        <w:t>og</w:t>
      </w:r>
      <w:r>
        <w:rPr>
          <w:spacing w:val="-16"/>
        </w:rPr>
        <w:t> </w:t>
      </w:r>
      <w:r>
        <w:rPr/>
        <w:t>modellen med overførsel af parametre fra 500 m kalibreringen. Særligt for de 90% bedste grids er</w:t>
      </w:r>
      <w:r>
        <w:rPr>
          <w:spacing w:val="-40"/>
        </w:rPr>
        <w:t> </w:t>
      </w:r>
      <w:r>
        <w:rPr/>
        <w:t>der ingen væsentlig forskel i model</w:t>
      </w:r>
      <w:r>
        <w:rPr>
          <w:spacing w:val="-6"/>
        </w:rPr>
        <w:t> </w:t>
      </w:r>
      <w:r>
        <w:rPr/>
        <w:t>performance.</w:t>
      </w:r>
    </w:p>
    <w:p>
      <w:pPr>
        <w:pStyle w:val="BodyText"/>
        <w:spacing w:before="6"/>
        <w:rPr>
          <w:sz w:val="25"/>
        </w:rPr>
      </w:pPr>
    </w:p>
    <w:p>
      <w:pPr>
        <w:spacing w:before="1"/>
        <w:ind w:left="525" w:right="0" w:firstLine="0"/>
        <w:jc w:val="both"/>
        <w:rPr>
          <w:rFonts w:ascii="Calibri" w:hAnsi="Calibri"/>
          <w:i/>
          <w:sz w:val="18"/>
        </w:rPr>
      </w:pPr>
      <w:bookmarkStart w:name="_bookmark150" w:id="187"/>
      <w:bookmarkEnd w:id="187"/>
      <w:r>
        <w:rPr/>
      </w:r>
      <w:r>
        <w:rPr>
          <w:rFonts w:ascii="Calibri" w:hAnsi="Calibri"/>
          <w:i/>
          <w:color w:val="44536A"/>
          <w:sz w:val="18"/>
        </w:rPr>
        <w:t>Tabel 24 Vandføring Storeå</w:t>
      </w:r>
    </w:p>
    <w:p>
      <w:pPr>
        <w:pStyle w:val="BodyText"/>
        <w:spacing w:before="6"/>
        <w:rPr>
          <w:rFonts w:ascii="Calibri"/>
          <w:i/>
          <w:sz w:val="16"/>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92"/>
        <w:gridCol w:w="553"/>
        <w:gridCol w:w="1022"/>
        <w:gridCol w:w="741"/>
        <w:gridCol w:w="709"/>
        <w:gridCol w:w="974"/>
        <w:gridCol w:w="562"/>
        <w:gridCol w:w="767"/>
        <w:gridCol w:w="963"/>
        <w:gridCol w:w="519"/>
      </w:tblGrid>
      <w:tr>
        <w:trPr>
          <w:trHeight w:val="287" w:hRule="atLeast"/>
        </w:trPr>
        <w:tc>
          <w:tcPr>
            <w:tcW w:w="1292" w:type="dxa"/>
          </w:tcPr>
          <w:p>
            <w:pPr>
              <w:pStyle w:val="TableParagraph"/>
              <w:spacing w:line="236" w:lineRule="exact"/>
              <w:ind w:left="69"/>
              <w:jc w:val="left"/>
              <w:rPr>
                <w:b/>
                <w:sz w:val="21"/>
              </w:rPr>
            </w:pPr>
            <w:r>
              <w:rPr>
                <w:b/>
                <w:sz w:val="21"/>
              </w:rPr>
              <w:t>Kalibrering</w:t>
            </w:r>
          </w:p>
        </w:tc>
        <w:tc>
          <w:tcPr>
            <w:tcW w:w="2316" w:type="dxa"/>
            <w:gridSpan w:val="3"/>
          </w:tcPr>
          <w:p>
            <w:pPr>
              <w:pStyle w:val="TableParagraph"/>
              <w:spacing w:line="236" w:lineRule="exact"/>
              <w:ind w:left="375"/>
              <w:jc w:val="left"/>
              <w:rPr>
                <w:b/>
                <w:sz w:val="21"/>
              </w:rPr>
            </w:pPr>
            <w:r>
              <w:rPr>
                <w:b/>
                <w:sz w:val="21"/>
              </w:rPr>
              <w:t>100m_Jup+Reg</w:t>
            </w:r>
          </w:p>
        </w:tc>
        <w:tc>
          <w:tcPr>
            <w:tcW w:w="2245" w:type="dxa"/>
            <w:gridSpan w:val="3"/>
          </w:tcPr>
          <w:p>
            <w:pPr>
              <w:pStyle w:val="TableParagraph"/>
              <w:spacing w:line="236" w:lineRule="exact"/>
              <w:ind w:left="350"/>
              <w:jc w:val="left"/>
              <w:rPr>
                <w:b/>
                <w:sz w:val="21"/>
              </w:rPr>
            </w:pPr>
            <w:r>
              <w:rPr>
                <w:b/>
                <w:sz w:val="21"/>
              </w:rPr>
              <w:t>500m_Jup+Reg</w:t>
            </w:r>
          </w:p>
        </w:tc>
        <w:tc>
          <w:tcPr>
            <w:tcW w:w="2249" w:type="dxa"/>
            <w:gridSpan w:val="3"/>
          </w:tcPr>
          <w:p>
            <w:pPr>
              <w:pStyle w:val="TableParagraph"/>
              <w:spacing w:line="236" w:lineRule="exact"/>
              <w:ind w:left="359"/>
              <w:jc w:val="left"/>
              <w:rPr>
                <w:b/>
                <w:sz w:val="21"/>
              </w:rPr>
            </w:pPr>
            <w:r>
              <w:rPr>
                <w:b/>
                <w:sz w:val="21"/>
              </w:rPr>
              <w:t>100m_Par500m</w:t>
            </w:r>
          </w:p>
        </w:tc>
      </w:tr>
      <w:tr>
        <w:trPr>
          <w:trHeight w:val="246" w:hRule="atLeast"/>
        </w:trPr>
        <w:tc>
          <w:tcPr>
            <w:tcW w:w="1292" w:type="dxa"/>
            <w:vMerge w:val="restart"/>
            <w:tcBorders>
              <w:bottom w:val="single" w:sz="8" w:space="0" w:color="000000"/>
            </w:tcBorders>
          </w:tcPr>
          <w:p>
            <w:pPr>
              <w:pStyle w:val="TableParagraph"/>
              <w:spacing w:before="132"/>
              <w:ind w:left="69"/>
              <w:jc w:val="left"/>
              <w:rPr>
                <w:sz w:val="21"/>
              </w:rPr>
            </w:pPr>
            <w:r>
              <w:rPr>
                <w:sz w:val="21"/>
              </w:rPr>
              <w:t>Station</w:t>
            </w:r>
          </w:p>
        </w:tc>
        <w:tc>
          <w:tcPr>
            <w:tcW w:w="553" w:type="dxa"/>
          </w:tcPr>
          <w:p>
            <w:pPr>
              <w:pStyle w:val="TableParagraph"/>
              <w:spacing w:before="6"/>
              <w:ind w:left="121"/>
              <w:jc w:val="left"/>
              <w:rPr>
                <w:sz w:val="18"/>
              </w:rPr>
            </w:pPr>
            <w:r>
              <w:rPr>
                <w:sz w:val="18"/>
              </w:rPr>
              <w:t>fbal</w:t>
            </w:r>
          </w:p>
        </w:tc>
        <w:tc>
          <w:tcPr>
            <w:tcW w:w="1022" w:type="dxa"/>
          </w:tcPr>
          <w:p>
            <w:pPr>
              <w:pStyle w:val="TableParagraph"/>
              <w:spacing w:before="6"/>
              <w:ind w:left="110" w:right="147"/>
              <w:rPr>
                <w:sz w:val="12"/>
              </w:rPr>
            </w:pPr>
            <w:r>
              <w:rPr>
                <w:position w:val="1"/>
                <w:sz w:val="18"/>
              </w:rPr>
              <w:t>fbal</w:t>
            </w:r>
            <w:r>
              <w:rPr>
                <w:sz w:val="12"/>
              </w:rPr>
              <w:t>sommer</w:t>
            </w:r>
          </w:p>
        </w:tc>
        <w:tc>
          <w:tcPr>
            <w:tcW w:w="741" w:type="dxa"/>
            <w:tcBorders>
              <w:right w:val="single" w:sz="8" w:space="0" w:color="000000"/>
            </w:tcBorders>
          </w:tcPr>
          <w:p>
            <w:pPr>
              <w:pStyle w:val="TableParagraph"/>
              <w:spacing w:before="6"/>
              <w:ind w:left="150" w:right="169"/>
              <w:rPr>
                <w:sz w:val="18"/>
              </w:rPr>
            </w:pPr>
            <w:r>
              <w:rPr>
                <w:sz w:val="18"/>
              </w:rPr>
              <w:t>NSE</w:t>
            </w:r>
          </w:p>
        </w:tc>
        <w:tc>
          <w:tcPr>
            <w:tcW w:w="709" w:type="dxa"/>
            <w:tcBorders>
              <w:left w:val="single" w:sz="8" w:space="0" w:color="000000"/>
            </w:tcBorders>
          </w:tcPr>
          <w:p>
            <w:pPr>
              <w:pStyle w:val="TableParagraph"/>
              <w:spacing w:before="6"/>
              <w:ind w:left="207" w:right="141"/>
              <w:rPr>
                <w:sz w:val="18"/>
              </w:rPr>
            </w:pPr>
            <w:r>
              <w:rPr>
                <w:sz w:val="18"/>
              </w:rPr>
              <w:t>fbal</w:t>
            </w:r>
          </w:p>
        </w:tc>
        <w:tc>
          <w:tcPr>
            <w:tcW w:w="974" w:type="dxa"/>
          </w:tcPr>
          <w:p>
            <w:pPr>
              <w:pStyle w:val="TableParagraph"/>
              <w:spacing w:before="6"/>
              <w:ind w:left="138" w:right="72"/>
              <w:rPr>
                <w:sz w:val="12"/>
              </w:rPr>
            </w:pPr>
            <w:r>
              <w:rPr>
                <w:position w:val="1"/>
                <w:sz w:val="18"/>
              </w:rPr>
              <w:t>fbal</w:t>
            </w:r>
            <w:r>
              <w:rPr>
                <w:sz w:val="12"/>
              </w:rPr>
              <w:t>sommer</w:t>
            </w:r>
          </w:p>
        </w:tc>
        <w:tc>
          <w:tcPr>
            <w:tcW w:w="562" w:type="dxa"/>
            <w:tcBorders>
              <w:right w:val="single" w:sz="8" w:space="0" w:color="000000"/>
            </w:tcBorders>
          </w:tcPr>
          <w:p>
            <w:pPr>
              <w:pStyle w:val="TableParagraph"/>
              <w:spacing w:before="6"/>
              <w:ind w:left="70" w:right="70"/>
              <w:rPr>
                <w:sz w:val="18"/>
              </w:rPr>
            </w:pPr>
            <w:r>
              <w:rPr>
                <w:sz w:val="18"/>
              </w:rPr>
              <w:t>NSE</w:t>
            </w:r>
          </w:p>
        </w:tc>
        <w:tc>
          <w:tcPr>
            <w:tcW w:w="767" w:type="dxa"/>
            <w:tcBorders>
              <w:left w:val="single" w:sz="8" w:space="0" w:color="000000"/>
            </w:tcBorders>
          </w:tcPr>
          <w:p>
            <w:pPr>
              <w:pStyle w:val="TableParagraph"/>
              <w:spacing w:before="6"/>
              <w:ind w:left="219" w:right="145"/>
              <w:rPr>
                <w:sz w:val="18"/>
              </w:rPr>
            </w:pPr>
            <w:r>
              <w:rPr>
                <w:sz w:val="18"/>
              </w:rPr>
              <w:t>fbal</w:t>
            </w:r>
          </w:p>
        </w:tc>
        <w:tc>
          <w:tcPr>
            <w:tcW w:w="963" w:type="dxa"/>
          </w:tcPr>
          <w:p>
            <w:pPr>
              <w:pStyle w:val="TableParagraph"/>
              <w:spacing w:before="6"/>
              <w:ind w:left="141" w:right="57"/>
              <w:rPr>
                <w:sz w:val="12"/>
              </w:rPr>
            </w:pPr>
            <w:r>
              <w:rPr>
                <w:position w:val="1"/>
                <w:sz w:val="18"/>
              </w:rPr>
              <w:t>fbal</w:t>
            </w:r>
            <w:r>
              <w:rPr>
                <w:sz w:val="12"/>
              </w:rPr>
              <w:t>sommer</w:t>
            </w:r>
          </w:p>
        </w:tc>
        <w:tc>
          <w:tcPr>
            <w:tcW w:w="519" w:type="dxa"/>
          </w:tcPr>
          <w:p>
            <w:pPr>
              <w:pStyle w:val="TableParagraph"/>
              <w:spacing w:before="6"/>
              <w:ind w:left="56" w:right="52"/>
              <w:rPr>
                <w:sz w:val="18"/>
              </w:rPr>
            </w:pPr>
            <w:r>
              <w:rPr>
                <w:sz w:val="18"/>
              </w:rPr>
              <w:t>NSE</w:t>
            </w:r>
          </w:p>
        </w:tc>
      </w:tr>
      <w:tr>
        <w:trPr>
          <w:trHeight w:val="289" w:hRule="atLeast"/>
        </w:trPr>
        <w:tc>
          <w:tcPr>
            <w:tcW w:w="1292" w:type="dxa"/>
            <w:vMerge/>
            <w:tcBorders>
              <w:top w:val="nil"/>
              <w:bottom w:val="single" w:sz="8" w:space="0" w:color="000000"/>
            </w:tcBorders>
          </w:tcPr>
          <w:p>
            <w:pPr>
              <w:rPr>
                <w:sz w:val="2"/>
                <w:szCs w:val="2"/>
              </w:rPr>
            </w:pPr>
          </w:p>
        </w:tc>
        <w:tc>
          <w:tcPr>
            <w:tcW w:w="553" w:type="dxa"/>
            <w:tcBorders>
              <w:bottom w:val="single" w:sz="8" w:space="0" w:color="000000"/>
            </w:tcBorders>
          </w:tcPr>
          <w:p>
            <w:pPr>
              <w:pStyle w:val="TableParagraph"/>
              <w:spacing w:before="27"/>
              <w:ind w:left="138"/>
              <w:jc w:val="left"/>
              <w:rPr>
                <w:sz w:val="18"/>
              </w:rPr>
            </w:pPr>
            <w:r>
              <w:rPr>
                <w:sz w:val="18"/>
              </w:rPr>
              <w:t>[%]</w:t>
            </w:r>
          </w:p>
        </w:tc>
        <w:tc>
          <w:tcPr>
            <w:tcW w:w="1022" w:type="dxa"/>
            <w:tcBorders>
              <w:bottom w:val="single" w:sz="8" w:space="0" w:color="000000"/>
            </w:tcBorders>
          </w:tcPr>
          <w:p>
            <w:pPr>
              <w:pStyle w:val="TableParagraph"/>
              <w:spacing w:before="27"/>
              <w:ind w:left="110" w:right="141"/>
              <w:rPr>
                <w:sz w:val="18"/>
              </w:rPr>
            </w:pPr>
            <w:r>
              <w:rPr>
                <w:sz w:val="18"/>
              </w:rPr>
              <w:t>[%]</w:t>
            </w:r>
          </w:p>
        </w:tc>
        <w:tc>
          <w:tcPr>
            <w:tcW w:w="741" w:type="dxa"/>
            <w:tcBorders>
              <w:bottom w:val="single" w:sz="8" w:space="0" w:color="000000"/>
              <w:right w:val="single" w:sz="8" w:space="0" w:color="000000"/>
            </w:tcBorders>
          </w:tcPr>
          <w:p>
            <w:pPr>
              <w:pStyle w:val="TableParagraph"/>
              <w:spacing w:before="27"/>
              <w:ind w:left="150" w:right="168"/>
              <w:rPr>
                <w:sz w:val="18"/>
              </w:rPr>
            </w:pPr>
            <w:r>
              <w:rPr>
                <w:sz w:val="18"/>
              </w:rPr>
              <w:t>[-]</w:t>
            </w:r>
          </w:p>
        </w:tc>
        <w:tc>
          <w:tcPr>
            <w:tcW w:w="709" w:type="dxa"/>
            <w:tcBorders>
              <w:left w:val="single" w:sz="8" w:space="0" w:color="000000"/>
              <w:bottom w:val="single" w:sz="8" w:space="0" w:color="000000"/>
            </w:tcBorders>
          </w:tcPr>
          <w:p>
            <w:pPr>
              <w:pStyle w:val="TableParagraph"/>
              <w:spacing w:before="27"/>
              <w:ind w:left="207" w:right="138"/>
              <w:rPr>
                <w:sz w:val="18"/>
              </w:rPr>
            </w:pPr>
            <w:r>
              <w:rPr>
                <w:sz w:val="18"/>
              </w:rPr>
              <w:t>[%]</w:t>
            </w:r>
          </w:p>
        </w:tc>
        <w:tc>
          <w:tcPr>
            <w:tcW w:w="974" w:type="dxa"/>
            <w:tcBorders>
              <w:bottom w:val="single" w:sz="8" w:space="0" w:color="000000"/>
            </w:tcBorders>
          </w:tcPr>
          <w:p>
            <w:pPr>
              <w:pStyle w:val="TableParagraph"/>
              <w:spacing w:before="27"/>
              <w:ind w:left="138" w:right="66"/>
              <w:rPr>
                <w:sz w:val="18"/>
              </w:rPr>
            </w:pPr>
            <w:r>
              <w:rPr>
                <w:sz w:val="18"/>
              </w:rPr>
              <w:t>[%]</w:t>
            </w:r>
          </w:p>
        </w:tc>
        <w:tc>
          <w:tcPr>
            <w:tcW w:w="562" w:type="dxa"/>
            <w:tcBorders>
              <w:bottom w:val="single" w:sz="8" w:space="0" w:color="000000"/>
              <w:right w:val="single" w:sz="8" w:space="0" w:color="000000"/>
            </w:tcBorders>
          </w:tcPr>
          <w:p>
            <w:pPr>
              <w:pStyle w:val="TableParagraph"/>
              <w:spacing w:before="27"/>
              <w:ind w:left="69" w:right="70"/>
              <w:rPr>
                <w:sz w:val="18"/>
              </w:rPr>
            </w:pPr>
            <w:r>
              <w:rPr>
                <w:sz w:val="18"/>
              </w:rPr>
              <w:t>[-]</w:t>
            </w:r>
          </w:p>
        </w:tc>
        <w:tc>
          <w:tcPr>
            <w:tcW w:w="767" w:type="dxa"/>
            <w:tcBorders>
              <w:left w:val="single" w:sz="8" w:space="0" w:color="000000"/>
              <w:bottom w:val="single" w:sz="8" w:space="0" w:color="000000"/>
            </w:tcBorders>
          </w:tcPr>
          <w:p>
            <w:pPr>
              <w:pStyle w:val="TableParagraph"/>
              <w:spacing w:before="27"/>
              <w:ind w:left="221" w:right="144"/>
              <w:rPr>
                <w:sz w:val="18"/>
              </w:rPr>
            </w:pPr>
            <w:r>
              <w:rPr>
                <w:sz w:val="18"/>
              </w:rPr>
              <w:t>[%]</w:t>
            </w:r>
          </w:p>
        </w:tc>
        <w:tc>
          <w:tcPr>
            <w:tcW w:w="963" w:type="dxa"/>
            <w:tcBorders>
              <w:bottom w:val="single" w:sz="8" w:space="0" w:color="000000"/>
            </w:tcBorders>
          </w:tcPr>
          <w:p>
            <w:pPr>
              <w:pStyle w:val="TableParagraph"/>
              <w:spacing w:before="27"/>
              <w:ind w:left="141" w:right="51"/>
              <w:rPr>
                <w:sz w:val="18"/>
              </w:rPr>
            </w:pPr>
            <w:r>
              <w:rPr>
                <w:sz w:val="18"/>
              </w:rPr>
              <w:t>[%]</w:t>
            </w:r>
          </w:p>
        </w:tc>
        <w:tc>
          <w:tcPr>
            <w:tcW w:w="519" w:type="dxa"/>
            <w:tcBorders>
              <w:bottom w:val="single" w:sz="8" w:space="0" w:color="000000"/>
            </w:tcBorders>
          </w:tcPr>
          <w:p>
            <w:pPr>
              <w:pStyle w:val="TableParagraph"/>
              <w:spacing w:before="27"/>
              <w:ind w:left="56" w:right="50"/>
              <w:rPr>
                <w:sz w:val="18"/>
              </w:rPr>
            </w:pPr>
            <w:r>
              <w:rPr>
                <w:sz w:val="18"/>
              </w:rPr>
              <w:t>[-]</w:t>
            </w:r>
          </w:p>
        </w:tc>
      </w:tr>
      <w:tr>
        <w:trPr>
          <w:trHeight w:val="265" w:hRule="atLeast"/>
        </w:trPr>
        <w:tc>
          <w:tcPr>
            <w:tcW w:w="1292" w:type="dxa"/>
            <w:tcBorders>
              <w:top w:val="single" w:sz="8" w:space="0" w:color="000000"/>
            </w:tcBorders>
          </w:tcPr>
          <w:p>
            <w:pPr>
              <w:pStyle w:val="TableParagraph"/>
              <w:spacing w:line="239" w:lineRule="exact"/>
              <w:ind w:left="69"/>
              <w:jc w:val="left"/>
              <w:rPr>
                <w:sz w:val="21"/>
              </w:rPr>
            </w:pPr>
            <w:r>
              <w:rPr>
                <w:sz w:val="21"/>
              </w:rPr>
              <w:t>220048</w:t>
            </w:r>
          </w:p>
        </w:tc>
        <w:tc>
          <w:tcPr>
            <w:tcW w:w="553" w:type="dxa"/>
            <w:tcBorders>
              <w:top w:val="single" w:sz="8" w:space="0" w:color="000000"/>
            </w:tcBorders>
          </w:tcPr>
          <w:p>
            <w:pPr>
              <w:pStyle w:val="TableParagraph"/>
              <w:spacing w:before="20"/>
              <w:ind w:left="143"/>
              <w:jc w:val="left"/>
              <w:rPr>
                <w:sz w:val="18"/>
              </w:rPr>
            </w:pPr>
            <w:r>
              <w:rPr>
                <w:sz w:val="18"/>
              </w:rPr>
              <w:t>2.9</w:t>
            </w:r>
          </w:p>
        </w:tc>
        <w:tc>
          <w:tcPr>
            <w:tcW w:w="1022" w:type="dxa"/>
            <w:tcBorders>
              <w:top w:val="single" w:sz="8" w:space="0" w:color="000000"/>
            </w:tcBorders>
          </w:tcPr>
          <w:p>
            <w:pPr>
              <w:pStyle w:val="TableParagraph"/>
              <w:spacing w:before="20"/>
              <w:ind w:left="110" w:right="142"/>
              <w:rPr>
                <w:sz w:val="18"/>
              </w:rPr>
            </w:pPr>
            <w:r>
              <w:rPr>
                <w:sz w:val="18"/>
              </w:rPr>
              <w:t>2.9</w:t>
            </w:r>
          </w:p>
        </w:tc>
        <w:tc>
          <w:tcPr>
            <w:tcW w:w="741" w:type="dxa"/>
            <w:tcBorders>
              <w:top w:val="single" w:sz="8" w:space="0" w:color="000000"/>
              <w:right w:val="single" w:sz="8" w:space="0" w:color="000000"/>
            </w:tcBorders>
          </w:tcPr>
          <w:p>
            <w:pPr>
              <w:pStyle w:val="TableParagraph"/>
              <w:spacing w:before="20"/>
              <w:ind w:left="150" w:right="169"/>
              <w:rPr>
                <w:sz w:val="18"/>
              </w:rPr>
            </w:pPr>
            <w:r>
              <w:rPr>
                <w:sz w:val="18"/>
              </w:rPr>
              <w:t>0.62</w:t>
            </w:r>
          </w:p>
        </w:tc>
        <w:tc>
          <w:tcPr>
            <w:tcW w:w="709" w:type="dxa"/>
            <w:tcBorders>
              <w:top w:val="single" w:sz="8" w:space="0" w:color="000000"/>
              <w:left w:val="single" w:sz="8" w:space="0" w:color="000000"/>
            </w:tcBorders>
          </w:tcPr>
          <w:p>
            <w:pPr>
              <w:pStyle w:val="TableParagraph"/>
              <w:spacing w:before="20"/>
              <w:ind w:left="207" w:right="139"/>
              <w:rPr>
                <w:sz w:val="18"/>
              </w:rPr>
            </w:pPr>
            <w:r>
              <w:rPr>
                <w:sz w:val="18"/>
              </w:rPr>
              <w:t>3.9</w:t>
            </w:r>
          </w:p>
        </w:tc>
        <w:tc>
          <w:tcPr>
            <w:tcW w:w="974" w:type="dxa"/>
            <w:tcBorders>
              <w:top w:val="single" w:sz="8" w:space="0" w:color="000000"/>
            </w:tcBorders>
          </w:tcPr>
          <w:p>
            <w:pPr>
              <w:pStyle w:val="TableParagraph"/>
              <w:spacing w:before="20"/>
              <w:ind w:left="138" w:right="68"/>
              <w:rPr>
                <w:sz w:val="18"/>
              </w:rPr>
            </w:pPr>
            <w:r>
              <w:rPr>
                <w:sz w:val="18"/>
              </w:rPr>
              <w:t>19.2</w:t>
            </w:r>
          </w:p>
        </w:tc>
        <w:tc>
          <w:tcPr>
            <w:tcW w:w="562" w:type="dxa"/>
            <w:tcBorders>
              <w:top w:val="single" w:sz="8" w:space="0" w:color="000000"/>
              <w:right w:val="single" w:sz="8" w:space="0" w:color="000000"/>
            </w:tcBorders>
          </w:tcPr>
          <w:p>
            <w:pPr>
              <w:pStyle w:val="TableParagraph"/>
              <w:spacing w:before="20"/>
              <w:ind w:left="70" w:right="70"/>
              <w:rPr>
                <w:sz w:val="18"/>
              </w:rPr>
            </w:pPr>
            <w:r>
              <w:rPr>
                <w:sz w:val="18"/>
              </w:rPr>
              <w:t>0.39</w:t>
            </w:r>
          </w:p>
        </w:tc>
        <w:tc>
          <w:tcPr>
            <w:tcW w:w="767" w:type="dxa"/>
            <w:tcBorders>
              <w:top w:val="single" w:sz="8" w:space="0" w:color="000000"/>
              <w:left w:val="single" w:sz="8" w:space="0" w:color="000000"/>
            </w:tcBorders>
          </w:tcPr>
          <w:p>
            <w:pPr>
              <w:pStyle w:val="TableParagraph"/>
              <w:spacing w:before="20"/>
              <w:ind w:left="221" w:right="145"/>
              <w:rPr>
                <w:sz w:val="18"/>
              </w:rPr>
            </w:pPr>
            <w:r>
              <w:rPr>
                <w:sz w:val="18"/>
              </w:rPr>
              <w:t>11.1</w:t>
            </w:r>
          </w:p>
        </w:tc>
        <w:tc>
          <w:tcPr>
            <w:tcW w:w="963" w:type="dxa"/>
            <w:tcBorders>
              <w:top w:val="single" w:sz="8" w:space="0" w:color="000000"/>
            </w:tcBorders>
          </w:tcPr>
          <w:p>
            <w:pPr>
              <w:pStyle w:val="TableParagraph"/>
              <w:spacing w:before="20"/>
              <w:ind w:left="141" w:right="52"/>
              <w:rPr>
                <w:sz w:val="18"/>
              </w:rPr>
            </w:pPr>
            <w:r>
              <w:rPr>
                <w:sz w:val="18"/>
              </w:rPr>
              <w:t>30.6</w:t>
            </w:r>
          </w:p>
        </w:tc>
        <w:tc>
          <w:tcPr>
            <w:tcW w:w="519" w:type="dxa"/>
            <w:tcBorders>
              <w:top w:val="single" w:sz="8" w:space="0" w:color="000000"/>
            </w:tcBorders>
          </w:tcPr>
          <w:p>
            <w:pPr>
              <w:pStyle w:val="TableParagraph"/>
              <w:spacing w:before="20"/>
              <w:ind w:left="56" w:right="51"/>
              <w:rPr>
                <w:sz w:val="18"/>
              </w:rPr>
            </w:pPr>
            <w:r>
              <w:rPr>
                <w:sz w:val="18"/>
              </w:rPr>
              <w:t>0.30</w:t>
            </w:r>
          </w:p>
        </w:tc>
      </w:tr>
      <w:tr>
        <w:trPr>
          <w:trHeight w:val="290" w:hRule="atLeast"/>
        </w:trPr>
        <w:tc>
          <w:tcPr>
            <w:tcW w:w="1292" w:type="dxa"/>
          </w:tcPr>
          <w:p>
            <w:pPr>
              <w:pStyle w:val="TableParagraph"/>
              <w:spacing w:before="21"/>
              <w:ind w:left="69"/>
              <w:jc w:val="left"/>
              <w:rPr>
                <w:sz w:val="21"/>
              </w:rPr>
            </w:pPr>
            <w:r>
              <w:rPr>
                <w:sz w:val="21"/>
              </w:rPr>
              <w:t>220050</w:t>
            </w:r>
          </w:p>
        </w:tc>
        <w:tc>
          <w:tcPr>
            <w:tcW w:w="553" w:type="dxa"/>
          </w:tcPr>
          <w:p>
            <w:pPr>
              <w:pStyle w:val="TableParagraph"/>
              <w:spacing w:before="44"/>
              <w:ind w:left="111"/>
              <w:jc w:val="left"/>
              <w:rPr>
                <w:sz w:val="18"/>
              </w:rPr>
            </w:pPr>
            <w:r>
              <w:rPr>
                <w:sz w:val="18"/>
              </w:rPr>
              <w:t>-1.3</w:t>
            </w:r>
          </w:p>
        </w:tc>
        <w:tc>
          <w:tcPr>
            <w:tcW w:w="1022" w:type="dxa"/>
          </w:tcPr>
          <w:p>
            <w:pPr>
              <w:pStyle w:val="TableParagraph"/>
              <w:spacing w:before="44"/>
              <w:ind w:left="110" w:right="142"/>
              <w:rPr>
                <w:sz w:val="18"/>
              </w:rPr>
            </w:pPr>
            <w:r>
              <w:rPr>
                <w:sz w:val="18"/>
              </w:rPr>
              <w:t>1.8</w:t>
            </w:r>
          </w:p>
        </w:tc>
        <w:tc>
          <w:tcPr>
            <w:tcW w:w="741" w:type="dxa"/>
            <w:tcBorders>
              <w:right w:val="single" w:sz="8" w:space="0" w:color="000000"/>
            </w:tcBorders>
          </w:tcPr>
          <w:p>
            <w:pPr>
              <w:pStyle w:val="TableParagraph"/>
              <w:spacing w:before="44"/>
              <w:ind w:left="150" w:right="169"/>
              <w:rPr>
                <w:sz w:val="18"/>
              </w:rPr>
            </w:pPr>
            <w:r>
              <w:rPr>
                <w:sz w:val="18"/>
              </w:rPr>
              <w:t>0.59</w:t>
            </w:r>
          </w:p>
        </w:tc>
        <w:tc>
          <w:tcPr>
            <w:tcW w:w="709" w:type="dxa"/>
            <w:tcBorders>
              <w:left w:val="single" w:sz="8" w:space="0" w:color="000000"/>
            </w:tcBorders>
          </w:tcPr>
          <w:p>
            <w:pPr>
              <w:pStyle w:val="TableParagraph"/>
              <w:spacing w:before="44"/>
              <w:ind w:left="207" w:right="141"/>
              <w:rPr>
                <w:sz w:val="18"/>
              </w:rPr>
            </w:pPr>
            <w:r>
              <w:rPr>
                <w:sz w:val="18"/>
              </w:rPr>
              <w:t>-4.9</w:t>
            </w:r>
          </w:p>
        </w:tc>
        <w:tc>
          <w:tcPr>
            <w:tcW w:w="974" w:type="dxa"/>
          </w:tcPr>
          <w:p>
            <w:pPr>
              <w:pStyle w:val="TableParagraph"/>
              <w:spacing w:before="44"/>
              <w:ind w:left="138" w:right="67"/>
              <w:rPr>
                <w:sz w:val="18"/>
              </w:rPr>
            </w:pPr>
            <w:r>
              <w:rPr>
                <w:sz w:val="18"/>
              </w:rPr>
              <w:t>2.7</w:t>
            </w:r>
          </w:p>
        </w:tc>
        <w:tc>
          <w:tcPr>
            <w:tcW w:w="562" w:type="dxa"/>
            <w:tcBorders>
              <w:right w:val="single" w:sz="8" w:space="0" w:color="000000"/>
            </w:tcBorders>
          </w:tcPr>
          <w:p>
            <w:pPr>
              <w:pStyle w:val="TableParagraph"/>
              <w:spacing w:before="44"/>
              <w:ind w:left="70" w:right="70"/>
              <w:rPr>
                <w:sz w:val="18"/>
              </w:rPr>
            </w:pPr>
            <w:r>
              <w:rPr>
                <w:sz w:val="18"/>
              </w:rPr>
              <w:t>0.33</w:t>
            </w:r>
          </w:p>
        </w:tc>
        <w:tc>
          <w:tcPr>
            <w:tcW w:w="767" w:type="dxa"/>
            <w:tcBorders>
              <w:left w:val="single" w:sz="8" w:space="0" w:color="000000"/>
            </w:tcBorders>
          </w:tcPr>
          <w:p>
            <w:pPr>
              <w:pStyle w:val="TableParagraph"/>
              <w:spacing w:before="44"/>
              <w:ind w:left="219" w:right="145"/>
              <w:rPr>
                <w:sz w:val="18"/>
              </w:rPr>
            </w:pPr>
            <w:r>
              <w:rPr>
                <w:sz w:val="18"/>
              </w:rPr>
              <w:t>-5.0</w:t>
            </w:r>
          </w:p>
        </w:tc>
        <w:tc>
          <w:tcPr>
            <w:tcW w:w="963" w:type="dxa"/>
          </w:tcPr>
          <w:p>
            <w:pPr>
              <w:pStyle w:val="TableParagraph"/>
              <w:spacing w:before="44"/>
              <w:ind w:left="141" w:right="52"/>
              <w:rPr>
                <w:sz w:val="18"/>
              </w:rPr>
            </w:pPr>
            <w:r>
              <w:rPr>
                <w:sz w:val="18"/>
              </w:rPr>
              <w:t>2.5</w:t>
            </w:r>
          </w:p>
        </w:tc>
        <w:tc>
          <w:tcPr>
            <w:tcW w:w="519" w:type="dxa"/>
          </w:tcPr>
          <w:p>
            <w:pPr>
              <w:pStyle w:val="TableParagraph"/>
              <w:spacing w:before="44"/>
              <w:ind w:left="56" w:right="51"/>
              <w:rPr>
                <w:sz w:val="18"/>
              </w:rPr>
            </w:pPr>
            <w:r>
              <w:rPr>
                <w:sz w:val="18"/>
              </w:rPr>
              <w:t>0.30</w:t>
            </w:r>
          </w:p>
        </w:tc>
      </w:tr>
      <w:tr>
        <w:trPr>
          <w:trHeight w:val="290" w:hRule="atLeast"/>
        </w:trPr>
        <w:tc>
          <w:tcPr>
            <w:tcW w:w="1292" w:type="dxa"/>
          </w:tcPr>
          <w:p>
            <w:pPr>
              <w:pStyle w:val="TableParagraph"/>
              <w:spacing w:before="21"/>
              <w:ind w:left="69"/>
              <w:jc w:val="left"/>
              <w:rPr>
                <w:sz w:val="21"/>
              </w:rPr>
            </w:pPr>
            <w:r>
              <w:rPr>
                <w:sz w:val="21"/>
              </w:rPr>
              <w:t>220053</w:t>
            </w:r>
          </w:p>
        </w:tc>
        <w:tc>
          <w:tcPr>
            <w:tcW w:w="553" w:type="dxa"/>
          </w:tcPr>
          <w:p>
            <w:pPr>
              <w:pStyle w:val="TableParagraph"/>
              <w:spacing w:before="44"/>
              <w:ind w:left="143"/>
              <w:jc w:val="left"/>
              <w:rPr>
                <w:sz w:val="18"/>
              </w:rPr>
            </w:pPr>
            <w:r>
              <w:rPr>
                <w:sz w:val="18"/>
              </w:rPr>
              <w:t>2.9</w:t>
            </w:r>
          </w:p>
        </w:tc>
        <w:tc>
          <w:tcPr>
            <w:tcW w:w="1022" w:type="dxa"/>
          </w:tcPr>
          <w:p>
            <w:pPr>
              <w:pStyle w:val="TableParagraph"/>
              <w:spacing w:before="44"/>
              <w:ind w:left="110" w:right="140"/>
              <w:rPr>
                <w:sz w:val="18"/>
              </w:rPr>
            </w:pPr>
            <w:r>
              <w:rPr>
                <w:sz w:val="18"/>
              </w:rPr>
              <w:t>-25.2</w:t>
            </w:r>
          </w:p>
        </w:tc>
        <w:tc>
          <w:tcPr>
            <w:tcW w:w="741" w:type="dxa"/>
            <w:tcBorders>
              <w:right w:val="single" w:sz="8" w:space="0" w:color="000000"/>
            </w:tcBorders>
          </w:tcPr>
          <w:p>
            <w:pPr>
              <w:pStyle w:val="TableParagraph"/>
              <w:spacing w:before="44"/>
              <w:ind w:left="150" w:right="169"/>
              <w:rPr>
                <w:sz w:val="18"/>
              </w:rPr>
            </w:pPr>
            <w:r>
              <w:rPr>
                <w:sz w:val="18"/>
              </w:rPr>
              <w:t>0.88</w:t>
            </w:r>
          </w:p>
        </w:tc>
        <w:tc>
          <w:tcPr>
            <w:tcW w:w="709" w:type="dxa"/>
            <w:tcBorders>
              <w:left w:val="single" w:sz="8" w:space="0" w:color="000000"/>
            </w:tcBorders>
          </w:tcPr>
          <w:p>
            <w:pPr>
              <w:pStyle w:val="TableParagraph"/>
              <w:spacing w:before="44"/>
              <w:ind w:left="207" w:right="139"/>
              <w:rPr>
                <w:sz w:val="18"/>
              </w:rPr>
            </w:pPr>
            <w:r>
              <w:rPr>
                <w:sz w:val="18"/>
              </w:rPr>
              <w:t>4.0</w:t>
            </w:r>
          </w:p>
        </w:tc>
        <w:tc>
          <w:tcPr>
            <w:tcW w:w="974" w:type="dxa"/>
          </w:tcPr>
          <w:p>
            <w:pPr>
              <w:pStyle w:val="TableParagraph"/>
              <w:spacing w:before="44"/>
              <w:ind w:left="138" w:right="70"/>
              <w:rPr>
                <w:sz w:val="18"/>
              </w:rPr>
            </w:pPr>
            <w:r>
              <w:rPr>
                <w:sz w:val="18"/>
              </w:rPr>
              <w:t>-39.1</w:t>
            </w:r>
          </w:p>
        </w:tc>
        <w:tc>
          <w:tcPr>
            <w:tcW w:w="562" w:type="dxa"/>
            <w:tcBorders>
              <w:right w:val="single" w:sz="8" w:space="0" w:color="000000"/>
            </w:tcBorders>
          </w:tcPr>
          <w:p>
            <w:pPr>
              <w:pStyle w:val="TableParagraph"/>
              <w:spacing w:before="44"/>
              <w:ind w:left="70" w:right="70"/>
              <w:rPr>
                <w:sz w:val="18"/>
              </w:rPr>
            </w:pPr>
            <w:r>
              <w:rPr>
                <w:sz w:val="18"/>
              </w:rPr>
              <w:t>0.86</w:t>
            </w:r>
          </w:p>
        </w:tc>
        <w:tc>
          <w:tcPr>
            <w:tcW w:w="767" w:type="dxa"/>
            <w:tcBorders>
              <w:left w:val="single" w:sz="8" w:space="0" w:color="000000"/>
            </w:tcBorders>
          </w:tcPr>
          <w:p>
            <w:pPr>
              <w:pStyle w:val="TableParagraph"/>
              <w:spacing w:before="44"/>
              <w:ind w:left="221" w:right="145"/>
              <w:rPr>
                <w:sz w:val="18"/>
              </w:rPr>
            </w:pPr>
            <w:r>
              <w:rPr>
                <w:sz w:val="18"/>
              </w:rPr>
              <w:t>15.8</w:t>
            </w:r>
          </w:p>
        </w:tc>
        <w:tc>
          <w:tcPr>
            <w:tcW w:w="963" w:type="dxa"/>
          </w:tcPr>
          <w:p>
            <w:pPr>
              <w:pStyle w:val="TableParagraph"/>
              <w:spacing w:before="44"/>
              <w:ind w:left="141" w:right="54"/>
              <w:rPr>
                <w:sz w:val="18"/>
              </w:rPr>
            </w:pPr>
            <w:r>
              <w:rPr>
                <w:sz w:val="18"/>
              </w:rPr>
              <w:t>-9.5</w:t>
            </w:r>
          </w:p>
        </w:tc>
        <w:tc>
          <w:tcPr>
            <w:tcW w:w="519" w:type="dxa"/>
          </w:tcPr>
          <w:p>
            <w:pPr>
              <w:pStyle w:val="TableParagraph"/>
              <w:spacing w:before="44"/>
              <w:ind w:left="56" w:right="51"/>
              <w:rPr>
                <w:sz w:val="18"/>
              </w:rPr>
            </w:pPr>
            <w:r>
              <w:rPr>
                <w:sz w:val="18"/>
              </w:rPr>
              <w:t>0.81</w:t>
            </w:r>
          </w:p>
        </w:tc>
      </w:tr>
      <w:tr>
        <w:trPr>
          <w:trHeight w:val="289" w:hRule="atLeast"/>
        </w:trPr>
        <w:tc>
          <w:tcPr>
            <w:tcW w:w="1292" w:type="dxa"/>
          </w:tcPr>
          <w:p>
            <w:pPr>
              <w:pStyle w:val="TableParagraph"/>
              <w:spacing w:before="21"/>
              <w:ind w:left="69"/>
              <w:jc w:val="left"/>
              <w:rPr>
                <w:sz w:val="21"/>
              </w:rPr>
            </w:pPr>
            <w:r>
              <w:rPr>
                <w:sz w:val="21"/>
              </w:rPr>
              <w:t>220059</w:t>
            </w:r>
          </w:p>
        </w:tc>
        <w:tc>
          <w:tcPr>
            <w:tcW w:w="553" w:type="dxa"/>
          </w:tcPr>
          <w:p>
            <w:pPr>
              <w:pStyle w:val="TableParagraph"/>
              <w:spacing w:before="42"/>
              <w:ind w:left="111"/>
              <w:jc w:val="left"/>
              <w:rPr>
                <w:sz w:val="18"/>
              </w:rPr>
            </w:pPr>
            <w:r>
              <w:rPr>
                <w:sz w:val="18"/>
              </w:rPr>
              <w:t>-3.8</w:t>
            </w:r>
          </w:p>
        </w:tc>
        <w:tc>
          <w:tcPr>
            <w:tcW w:w="1022" w:type="dxa"/>
          </w:tcPr>
          <w:p>
            <w:pPr>
              <w:pStyle w:val="TableParagraph"/>
              <w:spacing w:before="42"/>
              <w:ind w:left="110" w:right="140"/>
              <w:rPr>
                <w:sz w:val="18"/>
              </w:rPr>
            </w:pPr>
            <w:r>
              <w:rPr>
                <w:sz w:val="18"/>
              </w:rPr>
              <w:t>-14.8</w:t>
            </w:r>
          </w:p>
        </w:tc>
        <w:tc>
          <w:tcPr>
            <w:tcW w:w="741" w:type="dxa"/>
            <w:tcBorders>
              <w:right w:val="single" w:sz="8" w:space="0" w:color="000000"/>
            </w:tcBorders>
          </w:tcPr>
          <w:p>
            <w:pPr>
              <w:pStyle w:val="TableParagraph"/>
              <w:spacing w:before="42"/>
              <w:ind w:left="150" w:right="169"/>
              <w:rPr>
                <w:sz w:val="18"/>
              </w:rPr>
            </w:pPr>
            <w:r>
              <w:rPr>
                <w:sz w:val="18"/>
              </w:rPr>
              <w:t>0.88</w:t>
            </w:r>
          </w:p>
        </w:tc>
        <w:tc>
          <w:tcPr>
            <w:tcW w:w="709" w:type="dxa"/>
            <w:tcBorders>
              <w:left w:val="single" w:sz="8" w:space="0" w:color="000000"/>
            </w:tcBorders>
          </w:tcPr>
          <w:p>
            <w:pPr>
              <w:pStyle w:val="TableParagraph"/>
              <w:spacing w:before="42"/>
              <w:ind w:left="207" w:right="141"/>
              <w:rPr>
                <w:sz w:val="18"/>
              </w:rPr>
            </w:pPr>
            <w:r>
              <w:rPr>
                <w:sz w:val="18"/>
              </w:rPr>
              <w:t>-3.3</w:t>
            </w:r>
          </w:p>
        </w:tc>
        <w:tc>
          <w:tcPr>
            <w:tcW w:w="974" w:type="dxa"/>
          </w:tcPr>
          <w:p>
            <w:pPr>
              <w:pStyle w:val="TableParagraph"/>
              <w:spacing w:before="42"/>
              <w:ind w:left="138" w:right="70"/>
              <w:rPr>
                <w:sz w:val="18"/>
              </w:rPr>
            </w:pPr>
            <w:r>
              <w:rPr>
                <w:sz w:val="18"/>
              </w:rPr>
              <w:t>-7.9</w:t>
            </w:r>
          </w:p>
        </w:tc>
        <w:tc>
          <w:tcPr>
            <w:tcW w:w="562" w:type="dxa"/>
            <w:tcBorders>
              <w:right w:val="single" w:sz="8" w:space="0" w:color="000000"/>
            </w:tcBorders>
          </w:tcPr>
          <w:p>
            <w:pPr>
              <w:pStyle w:val="TableParagraph"/>
              <w:spacing w:before="42"/>
              <w:ind w:left="70" w:right="70"/>
              <w:rPr>
                <w:sz w:val="18"/>
              </w:rPr>
            </w:pPr>
            <w:r>
              <w:rPr>
                <w:sz w:val="18"/>
              </w:rPr>
              <w:t>0.87</w:t>
            </w:r>
          </w:p>
        </w:tc>
        <w:tc>
          <w:tcPr>
            <w:tcW w:w="767" w:type="dxa"/>
            <w:tcBorders>
              <w:left w:val="single" w:sz="8" w:space="0" w:color="000000"/>
            </w:tcBorders>
          </w:tcPr>
          <w:p>
            <w:pPr>
              <w:pStyle w:val="TableParagraph"/>
              <w:spacing w:before="42"/>
              <w:ind w:left="219" w:right="145"/>
              <w:rPr>
                <w:sz w:val="18"/>
              </w:rPr>
            </w:pPr>
            <w:r>
              <w:rPr>
                <w:sz w:val="18"/>
              </w:rPr>
              <w:t>-3.7</w:t>
            </w:r>
          </w:p>
        </w:tc>
        <w:tc>
          <w:tcPr>
            <w:tcW w:w="963" w:type="dxa"/>
          </w:tcPr>
          <w:p>
            <w:pPr>
              <w:pStyle w:val="TableParagraph"/>
              <w:spacing w:before="42"/>
              <w:ind w:left="141" w:right="54"/>
              <w:rPr>
                <w:sz w:val="18"/>
              </w:rPr>
            </w:pPr>
            <w:r>
              <w:rPr>
                <w:sz w:val="18"/>
              </w:rPr>
              <w:t>-12.3</w:t>
            </w:r>
          </w:p>
        </w:tc>
        <w:tc>
          <w:tcPr>
            <w:tcW w:w="519" w:type="dxa"/>
          </w:tcPr>
          <w:p>
            <w:pPr>
              <w:pStyle w:val="TableParagraph"/>
              <w:spacing w:before="42"/>
              <w:ind w:left="56" w:right="51"/>
              <w:rPr>
                <w:sz w:val="18"/>
              </w:rPr>
            </w:pPr>
            <w:r>
              <w:rPr>
                <w:sz w:val="18"/>
              </w:rPr>
              <w:t>0.83</w:t>
            </w:r>
          </w:p>
        </w:tc>
      </w:tr>
      <w:tr>
        <w:trPr>
          <w:trHeight w:val="289" w:hRule="atLeast"/>
        </w:trPr>
        <w:tc>
          <w:tcPr>
            <w:tcW w:w="1292" w:type="dxa"/>
          </w:tcPr>
          <w:p>
            <w:pPr>
              <w:pStyle w:val="TableParagraph"/>
              <w:spacing w:before="20"/>
              <w:ind w:left="69"/>
              <w:jc w:val="left"/>
              <w:rPr>
                <w:sz w:val="21"/>
              </w:rPr>
            </w:pPr>
            <w:r>
              <w:rPr>
                <w:sz w:val="21"/>
              </w:rPr>
              <w:t>220062</w:t>
            </w:r>
          </w:p>
        </w:tc>
        <w:tc>
          <w:tcPr>
            <w:tcW w:w="553" w:type="dxa"/>
          </w:tcPr>
          <w:p>
            <w:pPr>
              <w:pStyle w:val="TableParagraph"/>
              <w:spacing w:before="43"/>
              <w:ind w:left="143"/>
              <w:jc w:val="left"/>
              <w:rPr>
                <w:sz w:val="18"/>
              </w:rPr>
            </w:pPr>
            <w:r>
              <w:rPr>
                <w:sz w:val="18"/>
              </w:rPr>
              <w:t>1.6</w:t>
            </w:r>
          </w:p>
        </w:tc>
        <w:tc>
          <w:tcPr>
            <w:tcW w:w="1022" w:type="dxa"/>
          </w:tcPr>
          <w:p>
            <w:pPr>
              <w:pStyle w:val="TableParagraph"/>
              <w:spacing w:before="43"/>
              <w:ind w:left="110" w:right="140"/>
              <w:rPr>
                <w:sz w:val="18"/>
              </w:rPr>
            </w:pPr>
            <w:r>
              <w:rPr>
                <w:sz w:val="18"/>
              </w:rPr>
              <w:t>-1.7</w:t>
            </w:r>
          </w:p>
        </w:tc>
        <w:tc>
          <w:tcPr>
            <w:tcW w:w="741" w:type="dxa"/>
            <w:tcBorders>
              <w:right w:val="single" w:sz="8" w:space="0" w:color="000000"/>
            </w:tcBorders>
          </w:tcPr>
          <w:p>
            <w:pPr>
              <w:pStyle w:val="TableParagraph"/>
              <w:spacing w:before="43"/>
              <w:ind w:left="150" w:right="169"/>
              <w:rPr>
                <w:sz w:val="18"/>
              </w:rPr>
            </w:pPr>
            <w:r>
              <w:rPr>
                <w:sz w:val="18"/>
              </w:rPr>
              <w:t>0.89</w:t>
            </w:r>
          </w:p>
        </w:tc>
        <w:tc>
          <w:tcPr>
            <w:tcW w:w="709" w:type="dxa"/>
            <w:tcBorders>
              <w:left w:val="single" w:sz="8" w:space="0" w:color="000000"/>
            </w:tcBorders>
          </w:tcPr>
          <w:p>
            <w:pPr>
              <w:pStyle w:val="TableParagraph"/>
              <w:spacing w:before="43"/>
              <w:ind w:left="207" w:right="139"/>
              <w:rPr>
                <w:sz w:val="18"/>
              </w:rPr>
            </w:pPr>
            <w:r>
              <w:rPr>
                <w:sz w:val="18"/>
              </w:rPr>
              <w:t>1.8</w:t>
            </w:r>
          </w:p>
        </w:tc>
        <w:tc>
          <w:tcPr>
            <w:tcW w:w="974" w:type="dxa"/>
          </w:tcPr>
          <w:p>
            <w:pPr>
              <w:pStyle w:val="TableParagraph"/>
              <w:spacing w:before="43"/>
              <w:ind w:left="138" w:right="67"/>
              <w:rPr>
                <w:sz w:val="18"/>
              </w:rPr>
            </w:pPr>
            <w:r>
              <w:rPr>
                <w:sz w:val="18"/>
              </w:rPr>
              <w:t>3.7</w:t>
            </w:r>
          </w:p>
        </w:tc>
        <w:tc>
          <w:tcPr>
            <w:tcW w:w="562" w:type="dxa"/>
            <w:tcBorders>
              <w:right w:val="single" w:sz="8" w:space="0" w:color="000000"/>
            </w:tcBorders>
          </w:tcPr>
          <w:p>
            <w:pPr>
              <w:pStyle w:val="TableParagraph"/>
              <w:spacing w:before="43"/>
              <w:ind w:left="70" w:right="70"/>
              <w:rPr>
                <w:sz w:val="18"/>
              </w:rPr>
            </w:pPr>
            <w:r>
              <w:rPr>
                <w:sz w:val="18"/>
              </w:rPr>
              <w:t>0.87</w:t>
            </w:r>
          </w:p>
        </w:tc>
        <w:tc>
          <w:tcPr>
            <w:tcW w:w="767" w:type="dxa"/>
            <w:tcBorders>
              <w:left w:val="single" w:sz="8" w:space="0" w:color="000000"/>
            </w:tcBorders>
          </w:tcPr>
          <w:p>
            <w:pPr>
              <w:pStyle w:val="TableParagraph"/>
              <w:spacing w:before="43"/>
              <w:ind w:left="221" w:right="145"/>
              <w:rPr>
                <w:sz w:val="18"/>
              </w:rPr>
            </w:pPr>
            <w:r>
              <w:rPr>
                <w:sz w:val="18"/>
              </w:rPr>
              <w:t>0.7</w:t>
            </w:r>
          </w:p>
        </w:tc>
        <w:tc>
          <w:tcPr>
            <w:tcW w:w="963" w:type="dxa"/>
          </w:tcPr>
          <w:p>
            <w:pPr>
              <w:pStyle w:val="TableParagraph"/>
              <w:spacing w:before="43"/>
              <w:ind w:left="141" w:right="52"/>
              <w:rPr>
                <w:sz w:val="18"/>
              </w:rPr>
            </w:pPr>
            <w:r>
              <w:rPr>
                <w:sz w:val="18"/>
              </w:rPr>
              <w:t>0.3</w:t>
            </w:r>
          </w:p>
        </w:tc>
        <w:tc>
          <w:tcPr>
            <w:tcW w:w="519" w:type="dxa"/>
          </w:tcPr>
          <w:p>
            <w:pPr>
              <w:pStyle w:val="TableParagraph"/>
              <w:spacing w:before="43"/>
              <w:ind w:left="56" w:right="51"/>
              <w:rPr>
                <w:sz w:val="18"/>
              </w:rPr>
            </w:pPr>
            <w:r>
              <w:rPr>
                <w:sz w:val="18"/>
              </w:rPr>
              <w:t>0.85</w:t>
            </w:r>
          </w:p>
        </w:tc>
      </w:tr>
      <w:tr>
        <w:trPr>
          <w:trHeight w:val="314" w:hRule="atLeast"/>
        </w:trPr>
        <w:tc>
          <w:tcPr>
            <w:tcW w:w="1292" w:type="dxa"/>
          </w:tcPr>
          <w:p>
            <w:pPr>
              <w:pStyle w:val="TableParagraph"/>
              <w:spacing w:before="21"/>
              <w:ind w:left="69"/>
              <w:jc w:val="left"/>
              <w:rPr>
                <w:sz w:val="21"/>
              </w:rPr>
            </w:pPr>
            <w:r>
              <w:rPr>
                <w:sz w:val="21"/>
              </w:rPr>
              <w:t>220068</w:t>
            </w:r>
          </w:p>
        </w:tc>
        <w:tc>
          <w:tcPr>
            <w:tcW w:w="553" w:type="dxa"/>
          </w:tcPr>
          <w:p>
            <w:pPr>
              <w:pStyle w:val="TableParagraph"/>
              <w:spacing w:before="44"/>
              <w:ind w:left="143"/>
              <w:jc w:val="left"/>
              <w:rPr>
                <w:sz w:val="18"/>
              </w:rPr>
            </w:pPr>
            <w:r>
              <w:rPr>
                <w:sz w:val="18"/>
              </w:rPr>
              <w:t>1.6</w:t>
            </w:r>
          </w:p>
        </w:tc>
        <w:tc>
          <w:tcPr>
            <w:tcW w:w="1022" w:type="dxa"/>
          </w:tcPr>
          <w:p>
            <w:pPr>
              <w:pStyle w:val="TableParagraph"/>
              <w:spacing w:before="44"/>
              <w:ind w:left="110" w:right="138"/>
              <w:rPr>
                <w:sz w:val="18"/>
              </w:rPr>
            </w:pPr>
            <w:r>
              <w:rPr>
                <w:sz w:val="18"/>
              </w:rPr>
              <w:t>17</w:t>
            </w:r>
          </w:p>
        </w:tc>
        <w:tc>
          <w:tcPr>
            <w:tcW w:w="741" w:type="dxa"/>
            <w:tcBorders>
              <w:right w:val="single" w:sz="8" w:space="0" w:color="000000"/>
            </w:tcBorders>
          </w:tcPr>
          <w:p>
            <w:pPr>
              <w:pStyle w:val="TableParagraph"/>
              <w:spacing w:before="44"/>
              <w:ind w:left="150" w:right="169"/>
              <w:rPr>
                <w:sz w:val="18"/>
              </w:rPr>
            </w:pPr>
            <w:r>
              <w:rPr>
                <w:sz w:val="18"/>
              </w:rPr>
              <w:t>0.61</w:t>
            </w:r>
          </w:p>
        </w:tc>
        <w:tc>
          <w:tcPr>
            <w:tcW w:w="709" w:type="dxa"/>
            <w:tcBorders>
              <w:left w:val="single" w:sz="8" w:space="0" w:color="000000"/>
            </w:tcBorders>
          </w:tcPr>
          <w:p>
            <w:pPr>
              <w:pStyle w:val="TableParagraph"/>
              <w:spacing w:before="44"/>
              <w:ind w:left="207" w:right="139"/>
              <w:rPr>
                <w:sz w:val="18"/>
              </w:rPr>
            </w:pPr>
            <w:r>
              <w:rPr>
                <w:sz w:val="18"/>
              </w:rPr>
              <w:t>0.4</w:t>
            </w:r>
          </w:p>
        </w:tc>
        <w:tc>
          <w:tcPr>
            <w:tcW w:w="974" w:type="dxa"/>
          </w:tcPr>
          <w:p>
            <w:pPr>
              <w:pStyle w:val="TableParagraph"/>
              <w:spacing w:before="44"/>
              <w:ind w:left="138" w:right="68"/>
              <w:rPr>
                <w:sz w:val="18"/>
              </w:rPr>
            </w:pPr>
            <w:r>
              <w:rPr>
                <w:sz w:val="18"/>
              </w:rPr>
              <w:t>24.3</w:t>
            </w:r>
          </w:p>
        </w:tc>
        <w:tc>
          <w:tcPr>
            <w:tcW w:w="562" w:type="dxa"/>
            <w:tcBorders>
              <w:right w:val="single" w:sz="8" w:space="0" w:color="000000"/>
            </w:tcBorders>
          </w:tcPr>
          <w:p>
            <w:pPr>
              <w:pStyle w:val="TableParagraph"/>
              <w:spacing w:before="44"/>
              <w:ind w:left="70" w:right="70"/>
              <w:rPr>
                <w:sz w:val="18"/>
              </w:rPr>
            </w:pPr>
            <w:r>
              <w:rPr>
                <w:sz w:val="18"/>
              </w:rPr>
              <w:t>0.49</w:t>
            </w:r>
          </w:p>
        </w:tc>
        <w:tc>
          <w:tcPr>
            <w:tcW w:w="767" w:type="dxa"/>
            <w:tcBorders>
              <w:left w:val="single" w:sz="8" w:space="0" w:color="000000"/>
            </w:tcBorders>
          </w:tcPr>
          <w:p>
            <w:pPr>
              <w:pStyle w:val="TableParagraph"/>
              <w:spacing w:before="44"/>
              <w:ind w:left="221" w:right="145"/>
              <w:rPr>
                <w:sz w:val="18"/>
              </w:rPr>
            </w:pPr>
            <w:r>
              <w:rPr>
                <w:sz w:val="18"/>
              </w:rPr>
              <w:t>9.0</w:t>
            </w:r>
          </w:p>
        </w:tc>
        <w:tc>
          <w:tcPr>
            <w:tcW w:w="963" w:type="dxa"/>
          </w:tcPr>
          <w:p>
            <w:pPr>
              <w:pStyle w:val="TableParagraph"/>
              <w:spacing w:before="44"/>
              <w:ind w:left="141" w:right="52"/>
              <w:rPr>
                <w:sz w:val="18"/>
              </w:rPr>
            </w:pPr>
            <w:r>
              <w:rPr>
                <w:sz w:val="18"/>
              </w:rPr>
              <w:t>27.9</w:t>
            </w:r>
          </w:p>
        </w:tc>
        <w:tc>
          <w:tcPr>
            <w:tcW w:w="519" w:type="dxa"/>
          </w:tcPr>
          <w:p>
            <w:pPr>
              <w:pStyle w:val="TableParagraph"/>
              <w:spacing w:before="44"/>
              <w:ind w:left="56" w:right="51"/>
              <w:rPr>
                <w:sz w:val="18"/>
              </w:rPr>
            </w:pPr>
            <w:r>
              <w:rPr>
                <w:sz w:val="18"/>
              </w:rPr>
              <w:t>0.69</w:t>
            </w:r>
          </w:p>
        </w:tc>
      </w:tr>
    </w:tbl>
    <w:p>
      <w:pPr>
        <w:pStyle w:val="BodyText"/>
        <w:rPr>
          <w:rFonts w:ascii="Calibri"/>
          <w:i/>
          <w:sz w:val="18"/>
        </w:rPr>
      </w:pPr>
    </w:p>
    <w:p>
      <w:pPr>
        <w:pStyle w:val="BodyText"/>
        <w:spacing w:before="7"/>
        <w:rPr>
          <w:rFonts w:ascii="Calibri"/>
          <w:i/>
          <w:sz w:val="25"/>
        </w:rPr>
      </w:pPr>
    </w:p>
    <w:p>
      <w:pPr>
        <w:spacing w:before="0"/>
        <w:ind w:left="525" w:right="0" w:firstLine="0"/>
        <w:jc w:val="both"/>
        <w:rPr>
          <w:rFonts w:ascii="Calibri" w:hAnsi="Calibri"/>
          <w:i/>
          <w:sz w:val="18"/>
        </w:rPr>
      </w:pPr>
      <w:bookmarkStart w:name="_bookmark151" w:id="188"/>
      <w:bookmarkEnd w:id="188"/>
      <w:r>
        <w:rPr/>
      </w:r>
      <w:r>
        <w:rPr>
          <w:rFonts w:ascii="Calibri" w:hAnsi="Calibri"/>
          <w:i/>
          <w:color w:val="44536A"/>
          <w:sz w:val="18"/>
        </w:rPr>
        <w:t>Tabel 25 Trykniveau Storeå (m)</w:t>
      </w:r>
    </w:p>
    <w:p>
      <w:pPr>
        <w:pStyle w:val="BodyText"/>
        <w:spacing w:before="3" w:after="1"/>
        <w:rPr>
          <w:rFonts w:ascii="Calibri"/>
          <w:i/>
          <w:sz w:val="16"/>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76"/>
        <w:gridCol w:w="990"/>
        <w:gridCol w:w="895"/>
        <w:gridCol w:w="1019"/>
        <w:gridCol w:w="1108"/>
        <w:gridCol w:w="948"/>
        <w:gridCol w:w="895"/>
      </w:tblGrid>
      <w:tr>
        <w:trPr>
          <w:trHeight w:val="279" w:hRule="atLeast"/>
        </w:trPr>
        <w:tc>
          <w:tcPr>
            <w:tcW w:w="1376" w:type="dxa"/>
          </w:tcPr>
          <w:p>
            <w:pPr>
              <w:pStyle w:val="TableParagraph"/>
              <w:spacing w:before="2"/>
              <w:ind w:left="69"/>
              <w:jc w:val="left"/>
              <w:rPr>
                <w:b/>
                <w:sz w:val="21"/>
              </w:rPr>
            </w:pPr>
            <w:r>
              <w:rPr>
                <w:b/>
                <w:sz w:val="21"/>
              </w:rPr>
              <w:t>Kalibrering</w:t>
            </w:r>
          </w:p>
        </w:tc>
        <w:tc>
          <w:tcPr>
            <w:tcW w:w="1885" w:type="dxa"/>
            <w:gridSpan w:val="2"/>
            <w:tcBorders>
              <w:right w:val="single" w:sz="8" w:space="0" w:color="000000"/>
            </w:tcBorders>
          </w:tcPr>
          <w:p>
            <w:pPr>
              <w:pStyle w:val="TableParagraph"/>
              <w:spacing w:before="2"/>
              <w:ind w:left="191"/>
              <w:jc w:val="left"/>
              <w:rPr>
                <w:b/>
                <w:sz w:val="21"/>
              </w:rPr>
            </w:pPr>
            <w:r>
              <w:rPr>
                <w:b/>
                <w:sz w:val="21"/>
              </w:rPr>
              <w:t>100m_Jup+Reg</w:t>
            </w:r>
          </w:p>
        </w:tc>
        <w:tc>
          <w:tcPr>
            <w:tcW w:w="2127" w:type="dxa"/>
            <w:gridSpan w:val="2"/>
            <w:tcBorders>
              <w:left w:val="single" w:sz="8" w:space="0" w:color="000000"/>
              <w:right w:val="single" w:sz="8" w:space="0" w:color="000000"/>
            </w:tcBorders>
          </w:tcPr>
          <w:p>
            <w:pPr>
              <w:pStyle w:val="TableParagraph"/>
              <w:spacing w:before="2"/>
              <w:ind w:left="281"/>
              <w:jc w:val="left"/>
              <w:rPr>
                <w:b/>
                <w:sz w:val="21"/>
              </w:rPr>
            </w:pPr>
            <w:r>
              <w:rPr>
                <w:b/>
                <w:sz w:val="21"/>
              </w:rPr>
              <w:t>500m_Jup+Reg</w:t>
            </w:r>
          </w:p>
        </w:tc>
        <w:tc>
          <w:tcPr>
            <w:tcW w:w="1843" w:type="dxa"/>
            <w:gridSpan w:val="2"/>
            <w:tcBorders>
              <w:left w:val="single" w:sz="8" w:space="0" w:color="000000"/>
            </w:tcBorders>
          </w:tcPr>
          <w:p>
            <w:pPr>
              <w:pStyle w:val="TableParagraph"/>
              <w:spacing w:before="2"/>
              <w:ind w:left="146"/>
              <w:jc w:val="left"/>
              <w:rPr>
                <w:b/>
                <w:sz w:val="21"/>
              </w:rPr>
            </w:pPr>
            <w:r>
              <w:rPr>
                <w:b/>
                <w:sz w:val="21"/>
              </w:rPr>
              <w:t>100m_Par500m</w:t>
            </w:r>
          </w:p>
        </w:tc>
      </w:tr>
      <w:tr>
        <w:trPr>
          <w:trHeight w:val="334" w:hRule="atLeast"/>
        </w:trPr>
        <w:tc>
          <w:tcPr>
            <w:tcW w:w="1376" w:type="dxa"/>
            <w:tcBorders>
              <w:bottom w:val="single" w:sz="8" w:space="0" w:color="000000"/>
            </w:tcBorders>
          </w:tcPr>
          <w:p>
            <w:pPr>
              <w:pStyle w:val="TableParagraph"/>
              <w:jc w:val="left"/>
              <w:rPr>
                <w:rFonts w:ascii="Times New Roman"/>
                <w:sz w:val="20"/>
              </w:rPr>
            </w:pPr>
          </w:p>
        </w:tc>
        <w:tc>
          <w:tcPr>
            <w:tcW w:w="990" w:type="dxa"/>
            <w:tcBorders>
              <w:bottom w:val="single" w:sz="8" w:space="0" w:color="000000"/>
            </w:tcBorders>
          </w:tcPr>
          <w:p>
            <w:pPr>
              <w:pStyle w:val="TableParagraph"/>
              <w:spacing w:before="30"/>
              <w:ind w:left="203" w:right="115"/>
              <w:rPr>
                <w:sz w:val="21"/>
              </w:rPr>
            </w:pPr>
            <w:r>
              <w:rPr>
                <w:sz w:val="21"/>
              </w:rPr>
              <w:t>Jupiter</w:t>
            </w:r>
          </w:p>
        </w:tc>
        <w:tc>
          <w:tcPr>
            <w:tcW w:w="895" w:type="dxa"/>
            <w:tcBorders>
              <w:bottom w:val="single" w:sz="8" w:space="0" w:color="000000"/>
              <w:right w:val="single" w:sz="8" w:space="0" w:color="000000"/>
            </w:tcBorders>
          </w:tcPr>
          <w:p>
            <w:pPr>
              <w:pStyle w:val="TableParagraph"/>
              <w:spacing w:before="30"/>
              <w:ind w:left="115" w:right="64"/>
              <w:rPr>
                <w:sz w:val="21"/>
              </w:rPr>
            </w:pPr>
            <w:r>
              <w:rPr>
                <w:sz w:val="21"/>
              </w:rPr>
              <w:t>Region</w:t>
            </w:r>
          </w:p>
        </w:tc>
        <w:tc>
          <w:tcPr>
            <w:tcW w:w="1019" w:type="dxa"/>
            <w:tcBorders>
              <w:left w:val="single" w:sz="8" w:space="0" w:color="000000"/>
              <w:bottom w:val="single" w:sz="8" w:space="0" w:color="000000"/>
            </w:tcBorders>
          </w:tcPr>
          <w:p>
            <w:pPr>
              <w:pStyle w:val="TableParagraph"/>
              <w:spacing w:before="30"/>
              <w:ind w:left="154" w:right="184"/>
              <w:rPr>
                <w:sz w:val="21"/>
              </w:rPr>
            </w:pPr>
            <w:r>
              <w:rPr>
                <w:sz w:val="21"/>
              </w:rPr>
              <w:t>Jupiter</w:t>
            </w:r>
          </w:p>
        </w:tc>
        <w:tc>
          <w:tcPr>
            <w:tcW w:w="1108" w:type="dxa"/>
            <w:tcBorders>
              <w:bottom w:val="single" w:sz="8" w:space="0" w:color="000000"/>
              <w:right w:val="single" w:sz="8" w:space="0" w:color="000000"/>
            </w:tcBorders>
          </w:tcPr>
          <w:p>
            <w:pPr>
              <w:pStyle w:val="TableParagraph"/>
              <w:spacing w:before="30"/>
              <w:ind w:left="187" w:right="204"/>
              <w:rPr>
                <w:sz w:val="21"/>
              </w:rPr>
            </w:pPr>
            <w:r>
              <w:rPr>
                <w:sz w:val="21"/>
              </w:rPr>
              <w:t>Region</w:t>
            </w:r>
          </w:p>
        </w:tc>
        <w:tc>
          <w:tcPr>
            <w:tcW w:w="948" w:type="dxa"/>
            <w:tcBorders>
              <w:left w:val="single" w:sz="8" w:space="0" w:color="000000"/>
              <w:bottom w:val="single" w:sz="8" w:space="0" w:color="000000"/>
            </w:tcBorders>
          </w:tcPr>
          <w:p>
            <w:pPr>
              <w:pStyle w:val="TableParagraph"/>
              <w:spacing w:before="30"/>
              <w:ind w:left="152" w:right="115"/>
              <w:rPr>
                <w:sz w:val="21"/>
              </w:rPr>
            </w:pPr>
            <w:r>
              <w:rPr>
                <w:sz w:val="21"/>
              </w:rPr>
              <w:t>Jupiter</w:t>
            </w:r>
          </w:p>
        </w:tc>
        <w:tc>
          <w:tcPr>
            <w:tcW w:w="895" w:type="dxa"/>
            <w:tcBorders>
              <w:bottom w:val="single" w:sz="8" w:space="0" w:color="000000"/>
            </w:tcBorders>
          </w:tcPr>
          <w:p>
            <w:pPr>
              <w:pStyle w:val="TableParagraph"/>
              <w:spacing w:before="30"/>
              <w:ind w:left="115" w:right="74"/>
              <w:rPr>
                <w:sz w:val="21"/>
              </w:rPr>
            </w:pPr>
            <w:r>
              <w:rPr>
                <w:sz w:val="21"/>
              </w:rPr>
              <w:t>Region</w:t>
            </w:r>
          </w:p>
        </w:tc>
      </w:tr>
      <w:tr>
        <w:trPr>
          <w:trHeight w:val="275" w:hRule="atLeast"/>
        </w:trPr>
        <w:tc>
          <w:tcPr>
            <w:tcW w:w="1376" w:type="dxa"/>
            <w:tcBorders>
              <w:top w:val="single" w:sz="8" w:space="0" w:color="000000"/>
            </w:tcBorders>
          </w:tcPr>
          <w:p>
            <w:pPr>
              <w:pStyle w:val="TableParagraph"/>
              <w:spacing w:before="2"/>
              <w:ind w:left="69"/>
              <w:jc w:val="left"/>
              <w:rPr>
                <w:sz w:val="21"/>
              </w:rPr>
            </w:pPr>
            <w:r>
              <w:rPr>
                <w:sz w:val="21"/>
              </w:rPr>
              <w:t>ME tn</w:t>
            </w:r>
          </w:p>
        </w:tc>
        <w:tc>
          <w:tcPr>
            <w:tcW w:w="990" w:type="dxa"/>
            <w:tcBorders>
              <w:top w:val="single" w:sz="8" w:space="0" w:color="000000"/>
            </w:tcBorders>
          </w:tcPr>
          <w:p>
            <w:pPr>
              <w:pStyle w:val="TableParagraph"/>
              <w:spacing w:before="2"/>
              <w:ind w:left="198" w:right="115"/>
              <w:rPr>
                <w:sz w:val="21"/>
              </w:rPr>
            </w:pPr>
            <w:r>
              <w:rPr>
                <w:sz w:val="21"/>
              </w:rPr>
              <w:t>0.1</w:t>
            </w:r>
          </w:p>
        </w:tc>
        <w:tc>
          <w:tcPr>
            <w:tcW w:w="895" w:type="dxa"/>
            <w:tcBorders>
              <w:top w:val="single" w:sz="8" w:space="0" w:color="000000"/>
              <w:right w:val="single" w:sz="8" w:space="0" w:color="000000"/>
            </w:tcBorders>
          </w:tcPr>
          <w:p>
            <w:pPr>
              <w:pStyle w:val="TableParagraph"/>
              <w:spacing w:before="2"/>
              <w:ind w:left="115" w:right="63"/>
              <w:rPr>
                <w:sz w:val="21"/>
              </w:rPr>
            </w:pPr>
            <w:r>
              <w:rPr>
                <w:sz w:val="21"/>
              </w:rPr>
              <w:t>2.1</w:t>
            </w:r>
          </w:p>
        </w:tc>
        <w:tc>
          <w:tcPr>
            <w:tcW w:w="1019" w:type="dxa"/>
            <w:tcBorders>
              <w:top w:val="single" w:sz="8" w:space="0" w:color="000000"/>
              <w:left w:val="single" w:sz="8" w:space="0" w:color="000000"/>
            </w:tcBorders>
          </w:tcPr>
          <w:p>
            <w:pPr>
              <w:pStyle w:val="TableParagraph"/>
              <w:spacing w:before="2"/>
              <w:ind w:left="148" w:right="184"/>
              <w:rPr>
                <w:sz w:val="21"/>
              </w:rPr>
            </w:pPr>
            <w:r>
              <w:rPr>
                <w:sz w:val="21"/>
              </w:rPr>
              <w:t>0.0</w:t>
            </w:r>
          </w:p>
        </w:tc>
        <w:tc>
          <w:tcPr>
            <w:tcW w:w="1108" w:type="dxa"/>
            <w:tcBorders>
              <w:top w:val="single" w:sz="8" w:space="0" w:color="000000"/>
              <w:right w:val="single" w:sz="8" w:space="0" w:color="000000"/>
            </w:tcBorders>
          </w:tcPr>
          <w:p>
            <w:pPr>
              <w:pStyle w:val="TableParagraph"/>
              <w:spacing w:before="2"/>
              <w:ind w:left="187" w:right="203"/>
              <w:rPr>
                <w:sz w:val="21"/>
              </w:rPr>
            </w:pPr>
            <w:r>
              <w:rPr>
                <w:sz w:val="21"/>
              </w:rPr>
              <w:t>2.0</w:t>
            </w:r>
          </w:p>
        </w:tc>
        <w:tc>
          <w:tcPr>
            <w:tcW w:w="948" w:type="dxa"/>
            <w:tcBorders>
              <w:top w:val="single" w:sz="8" w:space="0" w:color="000000"/>
              <w:left w:val="single" w:sz="8" w:space="0" w:color="000000"/>
            </w:tcBorders>
          </w:tcPr>
          <w:p>
            <w:pPr>
              <w:pStyle w:val="TableParagraph"/>
              <w:spacing w:before="2"/>
              <w:ind w:left="147" w:right="115"/>
              <w:rPr>
                <w:sz w:val="21"/>
              </w:rPr>
            </w:pPr>
            <w:r>
              <w:rPr>
                <w:sz w:val="21"/>
              </w:rPr>
              <w:t>1.0</w:t>
            </w:r>
          </w:p>
        </w:tc>
        <w:tc>
          <w:tcPr>
            <w:tcW w:w="895" w:type="dxa"/>
            <w:tcBorders>
              <w:top w:val="single" w:sz="8" w:space="0" w:color="000000"/>
            </w:tcBorders>
          </w:tcPr>
          <w:p>
            <w:pPr>
              <w:pStyle w:val="TableParagraph"/>
              <w:spacing w:before="2"/>
              <w:ind w:left="115" w:right="73"/>
              <w:rPr>
                <w:sz w:val="21"/>
              </w:rPr>
            </w:pPr>
            <w:r>
              <w:rPr>
                <w:sz w:val="21"/>
              </w:rPr>
              <w:t>2.7</w:t>
            </w:r>
          </w:p>
        </w:tc>
      </w:tr>
      <w:tr>
        <w:trPr>
          <w:trHeight w:val="300" w:hRule="atLeast"/>
        </w:trPr>
        <w:tc>
          <w:tcPr>
            <w:tcW w:w="1376" w:type="dxa"/>
          </w:tcPr>
          <w:p>
            <w:pPr>
              <w:pStyle w:val="TableParagraph"/>
              <w:spacing w:before="26"/>
              <w:ind w:left="69"/>
              <w:jc w:val="left"/>
              <w:rPr>
                <w:sz w:val="21"/>
              </w:rPr>
            </w:pPr>
            <w:r>
              <w:rPr>
                <w:sz w:val="21"/>
              </w:rPr>
              <w:t>MAE tn</w:t>
            </w:r>
          </w:p>
        </w:tc>
        <w:tc>
          <w:tcPr>
            <w:tcW w:w="990" w:type="dxa"/>
          </w:tcPr>
          <w:p>
            <w:pPr>
              <w:pStyle w:val="TableParagraph"/>
              <w:spacing w:before="26"/>
              <w:ind w:left="198" w:right="115"/>
              <w:rPr>
                <w:sz w:val="21"/>
              </w:rPr>
            </w:pPr>
            <w:r>
              <w:rPr>
                <w:sz w:val="21"/>
              </w:rPr>
              <w:t>1.6</w:t>
            </w:r>
          </w:p>
        </w:tc>
        <w:tc>
          <w:tcPr>
            <w:tcW w:w="895" w:type="dxa"/>
            <w:tcBorders>
              <w:right w:val="single" w:sz="8" w:space="0" w:color="000000"/>
            </w:tcBorders>
          </w:tcPr>
          <w:p>
            <w:pPr>
              <w:pStyle w:val="TableParagraph"/>
              <w:spacing w:before="26"/>
              <w:ind w:left="115" w:right="63"/>
              <w:rPr>
                <w:sz w:val="21"/>
              </w:rPr>
            </w:pPr>
            <w:r>
              <w:rPr>
                <w:sz w:val="21"/>
              </w:rPr>
              <w:t>2.5</w:t>
            </w:r>
          </w:p>
        </w:tc>
        <w:tc>
          <w:tcPr>
            <w:tcW w:w="1019" w:type="dxa"/>
            <w:tcBorders>
              <w:left w:val="single" w:sz="8" w:space="0" w:color="000000"/>
            </w:tcBorders>
          </w:tcPr>
          <w:p>
            <w:pPr>
              <w:pStyle w:val="TableParagraph"/>
              <w:spacing w:before="26"/>
              <w:ind w:left="148" w:right="184"/>
              <w:rPr>
                <w:sz w:val="21"/>
              </w:rPr>
            </w:pPr>
            <w:r>
              <w:rPr>
                <w:sz w:val="21"/>
              </w:rPr>
              <w:t>1.8</w:t>
            </w:r>
          </w:p>
        </w:tc>
        <w:tc>
          <w:tcPr>
            <w:tcW w:w="1108" w:type="dxa"/>
            <w:tcBorders>
              <w:right w:val="single" w:sz="8" w:space="0" w:color="000000"/>
            </w:tcBorders>
          </w:tcPr>
          <w:p>
            <w:pPr>
              <w:pStyle w:val="TableParagraph"/>
              <w:spacing w:before="26"/>
              <w:ind w:left="187" w:right="203"/>
              <w:rPr>
                <w:sz w:val="21"/>
              </w:rPr>
            </w:pPr>
            <w:r>
              <w:rPr>
                <w:sz w:val="21"/>
              </w:rPr>
              <w:t>3.1</w:t>
            </w:r>
          </w:p>
        </w:tc>
        <w:tc>
          <w:tcPr>
            <w:tcW w:w="948" w:type="dxa"/>
            <w:tcBorders>
              <w:left w:val="single" w:sz="8" w:space="0" w:color="000000"/>
            </w:tcBorders>
          </w:tcPr>
          <w:p>
            <w:pPr>
              <w:pStyle w:val="TableParagraph"/>
              <w:spacing w:before="26"/>
              <w:ind w:left="147" w:right="115"/>
              <w:rPr>
                <w:sz w:val="21"/>
              </w:rPr>
            </w:pPr>
            <w:r>
              <w:rPr>
                <w:sz w:val="21"/>
              </w:rPr>
              <w:t>2.0</w:t>
            </w:r>
          </w:p>
        </w:tc>
        <w:tc>
          <w:tcPr>
            <w:tcW w:w="895" w:type="dxa"/>
          </w:tcPr>
          <w:p>
            <w:pPr>
              <w:pStyle w:val="TableParagraph"/>
              <w:spacing w:before="26"/>
              <w:ind w:left="115" w:right="73"/>
              <w:rPr>
                <w:sz w:val="21"/>
              </w:rPr>
            </w:pPr>
            <w:r>
              <w:rPr>
                <w:sz w:val="21"/>
              </w:rPr>
              <w:t>3.0</w:t>
            </w:r>
          </w:p>
        </w:tc>
      </w:tr>
      <w:tr>
        <w:trPr>
          <w:trHeight w:val="300" w:hRule="atLeast"/>
        </w:trPr>
        <w:tc>
          <w:tcPr>
            <w:tcW w:w="1376" w:type="dxa"/>
          </w:tcPr>
          <w:p>
            <w:pPr>
              <w:pStyle w:val="TableParagraph"/>
              <w:spacing w:before="26"/>
              <w:ind w:left="69"/>
              <w:jc w:val="left"/>
              <w:rPr>
                <w:sz w:val="21"/>
              </w:rPr>
            </w:pPr>
            <w:r>
              <w:rPr>
                <w:sz w:val="21"/>
              </w:rPr>
              <w:t>ME dyb</w:t>
            </w:r>
          </w:p>
        </w:tc>
        <w:tc>
          <w:tcPr>
            <w:tcW w:w="990" w:type="dxa"/>
          </w:tcPr>
          <w:p>
            <w:pPr>
              <w:pStyle w:val="TableParagraph"/>
              <w:spacing w:before="26"/>
              <w:ind w:left="200" w:right="115"/>
              <w:rPr>
                <w:sz w:val="21"/>
              </w:rPr>
            </w:pPr>
            <w:r>
              <w:rPr>
                <w:sz w:val="21"/>
              </w:rPr>
              <w:t>-2.0</w:t>
            </w:r>
          </w:p>
        </w:tc>
        <w:tc>
          <w:tcPr>
            <w:tcW w:w="895" w:type="dxa"/>
            <w:tcBorders>
              <w:right w:val="single" w:sz="8" w:space="0" w:color="000000"/>
            </w:tcBorders>
          </w:tcPr>
          <w:p>
            <w:pPr>
              <w:pStyle w:val="TableParagraph"/>
              <w:spacing w:before="26"/>
              <w:ind w:left="115" w:right="63"/>
              <w:rPr>
                <w:sz w:val="21"/>
              </w:rPr>
            </w:pPr>
            <w:r>
              <w:rPr>
                <w:sz w:val="21"/>
              </w:rPr>
              <w:t>0.1</w:t>
            </w:r>
          </w:p>
        </w:tc>
        <w:tc>
          <w:tcPr>
            <w:tcW w:w="1019" w:type="dxa"/>
            <w:tcBorders>
              <w:left w:val="single" w:sz="8" w:space="0" w:color="000000"/>
            </w:tcBorders>
          </w:tcPr>
          <w:p>
            <w:pPr>
              <w:pStyle w:val="TableParagraph"/>
              <w:spacing w:before="26"/>
              <w:ind w:left="151" w:right="184"/>
              <w:rPr>
                <w:sz w:val="21"/>
              </w:rPr>
            </w:pPr>
            <w:r>
              <w:rPr>
                <w:sz w:val="21"/>
              </w:rPr>
              <w:t>-0.6</w:t>
            </w:r>
          </w:p>
        </w:tc>
        <w:tc>
          <w:tcPr>
            <w:tcW w:w="1108" w:type="dxa"/>
            <w:tcBorders>
              <w:right w:val="single" w:sz="8" w:space="0" w:color="000000"/>
            </w:tcBorders>
          </w:tcPr>
          <w:p>
            <w:pPr>
              <w:pStyle w:val="TableParagraph"/>
              <w:spacing w:before="26"/>
              <w:ind w:left="187" w:right="203"/>
              <w:rPr>
                <w:sz w:val="21"/>
              </w:rPr>
            </w:pPr>
            <w:r>
              <w:rPr>
                <w:sz w:val="21"/>
              </w:rPr>
              <w:t>1.1</w:t>
            </w:r>
          </w:p>
        </w:tc>
        <w:tc>
          <w:tcPr>
            <w:tcW w:w="948" w:type="dxa"/>
            <w:tcBorders>
              <w:left w:val="single" w:sz="8" w:space="0" w:color="000000"/>
            </w:tcBorders>
          </w:tcPr>
          <w:p>
            <w:pPr>
              <w:pStyle w:val="TableParagraph"/>
              <w:spacing w:before="26"/>
              <w:ind w:left="147" w:right="115"/>
              <w:rPr>
                <w:sz w:val="21"/>
              </w:rPr>
            </w:pPr>
            <w:r>
              <w:rPr>
                <w:sz w:val="21"/>
              </w:rPr>
              <w:t>0.5</w:t>
            </w:r>
          </w:p>
        </w:tc>
        <w:tc>
          <w:tcPr>
            <w:tcW w:w="895" w:type="dxa"/>
          </w:tcPr>
          <w:p>
            <w:pPr>
              <w:pStyle w:val="TableParagraph"/>
              <w:spacing w:before="26"/>
              <w:ind w:left="115" w:right="73"/>
              <w:rPr>
                <w:sz w:val="21"/>
              </w:rPr>
            </w:pPr>
            <w:r>
              <w:rPr>
                <w:sz w:val="21"/>
              </w:rPr>
              <w:t>1.5</w:t>
            </w:r>
          </w:p>
        </w:tc>
      </w:tr>
      <w:tr>
        <w:trPr>
          <w:trHeight w:val="324" w:hRule="atLeast"/>
        </w:trPr>
        <w:tc>
          <w:tcPr>
            <w:tcW w:w="1376" w:type="dxa"/>
          </w:tcPr>
          <w:p>
            <w:pPr>
              <w:pStyle w:val="TableParagraph"/>
              <w:spacing w:before="26"/>
              <w:ind w:left="69"/>
              <w:jc w:val="left"/>
              <w:rPr>
                <w:sz w:val="21"/>
              </w:rPr>
            </w:pPr>
            <w:r>
              <w:rPr>
                <w:sz w:val="21"/>
              </w:rPr>
              <w:t>MAE dyb</w:t>
            </w:r>
          </w:p>
        </w:tc>
        <w:tc>
          <w:tcPr>
            <w:tcW w:w="990" w:type="dxa"/>
          </w:tcPr>
          <w:p>
            <w:pPr>
              <w:pStyle w:val="TableParagraph"/>
              <w:spacing w:before="26"/>
              <w:ind w:left="198" w:right="115"/>
              <w:rPr>
                <w:sz w:val="21"/>
              </w:rPr>
            </w:pPr>
            <w:r>
              <w:rPr>
                <w:sz w:val="21"/>
              </w:rPr>
              <w:t>3.4</w:t>
            </w:r>
          </w:p>
        </w:tc>
        <w:tc>
          <w:tcPr>
            <w:tcW w:w="895" w:type="dxa"/>
            <w:tcBorders>
              <w:right w:val="single" w:sz="8" w:space="0" w:color="000000"/>
            </w:tcBorders>
          </w:tcPr>
          <w:p>
            <w:pPr>
              <w:pStyle w:val="TableParagraph"/>
              <w:spacing w:before="26"/>
              <w:ind w:left="115" w:right="63"/>
              <w:rPr>
                <w:sz w:val="21"/>
              </w:rPr>
            </w:pPr>
            <w:r>
              <w:rPr>
                <w:sz w:val="21"/>
              </w:rPr>
              <w:t>2.3</w:t>
            </w:r>
          </w:p>
        </w:tc>
        <w:tc>
          <w:tcPr>
            <w:tcW w:w="1019" w:type="dxa"/>
            <w:tcBorders>
              <w:left w:val="single" w:sz="8" w:space="0" w:color="000000"/>
            </w:tcBorders>
          </w:tcPr>
          <w:p>
            <w:pPr>
              <w:pStyle w:val="TableParagraph"/>
              <w:spacing w:before="26"/>
              <w:ind w:left="148" w:right="184"/>
              <w:rPr>
                <w:sz w:val="21"/>
              </w:rPr>
            </w:pPr>
            <w:r>
              <w:rPr>
                <w:sz w:val="21"/>
              </w:rPr>
              <w:t>3.0</w:t>
            </w:r>
          </w:p>
        </w:tc>
        <w:tc>
          <w:tcPr>
            <w:tcW w:w="1108" w:type="dxa"/>
            <w:tcBorders>
              <w:right w:val="single" w:sz="8" w:space="0" w:color="000000"/>
            </w:tcBorders>
          </w:tcPr>
          <w:p>
            <w:pPr>
              <w:pStyle w:val="TableParagraph"/>
              <w:spacing w:before="26"/>
              <w:ind w:left="187" w:right="203"/>
              <w:rPr>
                <w:sz w:val="21"/>
              </w:rPr>
            </w:pPr>
            <w:r>
              <w:rPr>
                <w:sz w:val="21"/>
              </w:rPr>
              <w:t>2.8</w:t>
            </w:r>
          </w:p>
        </w:tc>
        <w:tc>
          <w:tcPr>
            <w:tcW w:w="948" w:type="dxa"/>
            <w:tcBorders>
              <w:left w:val="single" w:sz="8" w:space="0" w:color="000000"/>
            </w:tcBorders>
          </w:tcPr>
          <w:p>
            <w:pPr>
              <w:pStyle w:val="TableParagraph"/>
              <w:spacing w:before="26"/>
              <w:ind w:left="147" w:right="115"/>
              <w:rPr>
                <w:sz w:val="21"/>
              </w:rPr>
            </w:pPr>
            <w:r>
              <w:rPr>
                <w:sz w:val="21"/>
              </w:rPr>
              <w:t>3.2</w:t>
            </w:r>
          </w:p>
        </w:tc>
        <w:tc>
          <w:tcPr>
            <w:tcW w:w="895" w:type="dxa"/>
          </w:tcPr>
          <w:p>
            <w:pPr>
              <w:pStyle w:val="TableParagraph"/>
              <w:spacing w:before="26"/>
              <w:ind w:left="115" w:right="73"/>
              <w:rPr>
                <w:sz w:val="21"/>
              </w:rPr>
            </w:pPr>
            <w:r>
              <w:rPr>
                <w:sz w:val="21"/>
              </w:rPr>
              <w:t>2.7</w:t>
            </w:r>
          </w:p>
        </w:tc>
      </w:tr>
      <w:tr>
        <w:trPr>
          <w:trHeight w:val="339" w:hRule="atLeast"/>
        </w:trPr>
        <w:tc>
          <w:tcPr>
            <w:tcW w:w="1376" w:type="dxa"/>
            <w:shd w:val="clear" w:color="auto" w:fill="D9D9D9"/>
          </w:tcPr>
          <w:p>
            <w:pPr>
              <w:pStyle w:val="TableParagraph"/>
              <w:spacing w:before="32"/>
              <w:ind w:left="69"/>
              <w:jc w:val="left"/>
              <w:rPr>
                <w:sz w:val="21"/>
              </w:rPr>
            </w:pPr>
            <w:r>
              <w:rPr>
                <w:position w:val="2"/>
                <w:sz w:val="21"/>
              </w:rPr>
              <w:t>ME</w:t>
            </w:r>
            <w:r>
              <w:rPr>
                <w:sz w:val="14"/>
              </w:rPr>
              <w:t>90Q </w:t>
            </w:r>
            <w:r>
              <w:rPr>
                <w:position w:val="2"/>
                <w:sz w:val="21"/>
              </w:rPr>
              <w:t>tn</w:t>
            </w:r>
          </w:p>
        </w:tc>
        <w:tc>
          <w:tcPr>
            <w:tcW w:w="990" w:type="dxa"/>
            <w:shd w:val="clear" w:color="auto" w:fill="D9D9D9"/>
          </w:tcPr>
          <w:p>
            <w:pPr>
              <w:pStyle w:val="TableParagraph"/>
              <w:spacing w:before="33"/>
              <w:ind w:left="200" w:right="115"/>
              <w:rPr>
                <w:sz w:val="21"/>
              </w:rPr>
            </w:pPr>
            <w:r>
              <w:rPr>
                <w:sz w:val="21"/>
              </w:rPr>
              <w:t>-0.3</w:t>
            </w:r>
          </w:p>
        </w:tc>
        <w:tc>
          <w:tcPr>
            <w:tcW w:w="895" w:type="dxa"/>
            <w:tcBorders>
              <w:right w:val="single" w:sz="8" w:space="0" w:color="000000"/>
            </w:tcBorders>
            <w:shd w:val="clear" w:color="auto" w:fill="D9D9D9"/>
          </w:tcPr>
          <w:p>
            <w:pPr>
              <w:pStyle w:val="TableParagraph"/>
              <w:spacing w:before="33"/>
              <w:ind w:left="115" w:right="63"/>
              <w:rPr>
                <w:sz w:val="21"/>
              </w:rPr>
            </w:pPr>
            <w:r>
              <w:rPr>
                <w:sz w:val="21"/>
              </w:rPr>
              <w:t>1.0</w:t>
            </w:r>
          </w:p>
        </w:tc>
        <w:tc>
          <w:tcPr>
            <w:tcW w:w="1019" w:type="dxa"/>
            <w:tcBorders>
              <w:left w:val="single" w:sz="8" w:space="0" w:color="000000"/>
            </w:tcBorders>
            <w:shd w:val="clear" w:color="auto" w:fill="D9D9D9"/>
          </w:tcPr>
          <w:p>
            <w:pPr>
              <w:pStyle w:val="TableParagraph"/>
              <w:spacing w:before="33"/>
              <w:ind w:left="151" w:right="184"/>
              <w:rPr>
                <w:sz w:val="21"/>
              </w:rPr>
            </w:pPr>
            <w:r>
              <w:rPr>
                <w:sz w:val="21"/>
              </w:rPr>
              <w:t>-0.2</w:t>
            </w:r>
          </w:p>
        </w:tc>
        <w:tc>
          <w:tcPr>
            <w:tcW w:w="1108" w:type="dxa"/>
            <w:tcBorders>
              <w:right w:val="single" w:sz="8" w:space="0" w:color="000000"/>
            </w:tcBorders>
            <w:shd w:val="clear" w:color="auto" w:fill="D9D9D9"/>
          </w:tcPr>
          <w:p>
            <w:pPr>
              <w:pStyle w:val="TableParagraph"/>
              <w:spacing w:before="33"/>
              <w:ind w:left="187" w:right="203"/>
              <w:rPr>
                <w:sz w:val="21"/>
              </w:rPr>
            </w:pPr>
            <w:r>
              <w:rPr>
                <w:sz w:val="21"/>
              </w:rPr>
              <w:t>0.7</w:t>
            </w:r>
          </w:p>
        </w:tc>
        <w:tc>
          <w:tcPr>
            <w:tcW w:w="948" w:type="dxa"/>
            <w:tcBorders>
              <w:left w:val="single" w:sz="8" w:space="0" w:color="000000"/>
            </w:tcBorders>
            <w:shd w:val="clear" w:color="auto" w:fill="D9D9D9"/>
          </w:tcPr>
          <w:p>
            <w:pPr>
              <w:pStyle w:val="TableParagraph"/>
              <w:spacing w:before="33"/>
              <w:ind w:left="147" w:right="115"/>
              <w:rPr>
                <w:sz w:val="21"/>
              </w:rPr>
            </w:pPr>
            <w:r>
              <w:rPr>
                <w:sz w:val="21"/>
              </w:rPr>
              <w:t>0.4</w:t>
            </w:r>
          </w:p>
        </w:tc>
        <w:tc>
          <w:tcPr>
            <w:tcW w:w="895" w:type="dxa"/>
            <w:shd w:val="clear" w:color="auto" w:fill="D9D9D9"/>
          </w:tcPr>
          <w:p>
            <w:pPr>
              <w:pStyle w:val="TableParagraph"/>
              <w:spacing w:before="33"/>
              <w:ind w:left="115" w:right="73"/>
              <w:rPr>
                <w:sz w:val="21"/>
              </w:rPr>
            </w:pPr>
            <w:r>
              <w:rPr>
                <w:sz w:val="21"/>
              </w:rPr>
              <w:t>1.3</w:t>
            </w:r>
          </w:p>
        </w:tc>
      </w:tr>
      <w:tr>
        <w:trPr>
          <w:trHeight w:val="360" w:hRule="atLeast"/>
        </w:trPr>
        <w:tc>
          <w:tcPr>
            <w:tcW w:w="1376" w:type="dxa"/>
            <w:shd w:val="clear" w:color="auto" w:fill="D9D9D9"/>
          </w:tcPr>
          <w:p>
            <w:pPr>
              <w:pStyle w:val="TableParagraph"/>
              <w:spacing w:before="53"/>
              <w:ind w:left="69"/>
              <w:jc w:val="left"/>
              <w:rPr>
                <w:sz w:val="21"/>
              </w:rPr>
            </w:pPr>
            <w:r>
              <w:rPr>
                <w:position w:val="2"/>
                <w:sz w:val="21"/>
              </w:rPr>
              <w:t>MAE</w:t>
            </w:r>
            <w:r>
              <w:rPr>
                <w:sz w:val="14"/>
              </w:rPr>
              <w:t>90Q </w:t>
            </w:r>
            <w:r>
              <w:rPr>
                <w:position w:val="2"/>
                <w:sz w:val="21"/>
              </w:rPr>
              <w:t>tn</w:t>
            </w:r>
          </w:p>
        </w:tc>
        <w:tc>
          <w:tcPr>
            <w:tcW w:w="990" w:type="dxa"/>
            <w:shd w:val="clear" w:color="auto" w:fill="D9D9D9"/>
          </w:tcPr>
          <w:p>
            <w:pPr>
              <w:pStyle w:val="TableParagraph"/>
              <w:spacing w:before="54"/>
              <w:ind w:left="198" w:right="115"/>
              <w:rPr>
                <w:sz w:val="21"/>
              </w:rPr>
            </w:pPr>
            <w:r>
              <w:rPr>
                <w:sz w:val="21"/>
              </w:rPr>
              <w:t>1.1</w:t>
            </w:r>
          </w:p>
        </w:tc>
        <w:tc>
          <w:tcPr>
            <w:tcW w:w="895" w:type="dxa"/>
            <w:tcBorders>
              <w:right w:val="single" w:sz="8" w:space="0" w:color="000000"/>
            </w:tcBorders>
            <w:shd w:val="clear" w:color="auto" w:fill="D9D9D9"/>
          </w:tcPr>
          <w:p>
            <w:pPr>
              <w:pStyle w:val="TableParagraph"/>
              <w:spacing w:before="54"/>
              <w:ind w:left="115" w:right="63"/>
              <w:rPr>
                <w:sz w:val="21"/>
              </w:rPr>
            </w:pPr>
            <w:r>
              <w:rPr>
                <w:sz w:val="21"/>
              </w:rPr>
              <w:t>1.4</w:t>
            </w:r>
          </w:p>
        </w:tc>
        <w:tc>
          <w:tcPr>
            <w:tcW w:w="1019" w:type="dxa"/>
            <w:tcBorders>
              <w:left w:val="single" w:sz="8" w:space="0" w:color="000000"/>
            </w:tcBorders>
            <w:shd w:val="clear" w:color="auto" w:fill="D9D9D9"/>
          </w:tcPr>
          <w:p>
            <w:pPr>
              <w:pStyle w:val="TableParagraph"/>
              <w:spacing w:before="54"/>
              <w:ind w:left="148" w:right="184"/>
              <w:rPr>
                <w:sz w:val="21"/>
              </w:rPr>
            </w:pPr>
            <w:r>
              <w:rPr>
                <w:sz w:val="21"/>
              </w:rPr>
              <w:t>1.2</w:t>
            </w:r>
          </w:p>
        </w:tc>
        <w:tc>
          <w:tcPr>
            <w:tcW w:w="1108" w:type="dxa"/>
            <w:tcBorders>
              <w:right w:val="single" w:sz="8" w:space="0" w:color="000000"/>
            </w:tcBorders>
            <w:shd w:val="clear" w:color="auto" w:fill="D9D9D9"/>
          </w:tcPr>
          <w:p>
            <w:pPr>
              <w:pStyle w:val="TableParagraph"/>
              <w:spacing w:before="54"/>
              <w:ind w:left="187" w:right="203"/>
              <w:rPr>
                <w:sz w:val="21"/>
              </w:rPr>
            </w:pPr>
            <w:r>
              <w:rPr>
                <w:sz w:val="21"/>
              </w:rPr>
              <w:t>1.9</w:t>
            </w:r>
          </w:p>
        </w:tc>
        <w:tc>
          <w:tcPr>
            <w:tcW w:w="948" w:type="dxa"/>
            <w:tcBorders>
              <w:left w:val="single" w:sz="8" w:space="0" w:color="000000"/>
            </w:tcBorders>
            <w:shd w:val="clear" w:color="auto" w:fill="D9D9D9"/>
          </w:tcPr>
          <w:p>
            <w:pPr>
              <w:pStyle w:val="TableParagraph"/>
              <w:spacing w:before="54"/>
              <w:ind w:left="147" w:right="115"/>
              <w:rPr>
                <w:sz w:val="21"/>
              </w:rPr>
            </w:pPr>
            <w:r>
              <w:rPr>
                <w:sz w:val="21"/>
              </w:rPr>
              <w:t>1.2</w:t>
            </w:r>
          </w:p>
        </w:tc>
        <w:tc>
          <w:tcPr>
            <w:tcW w:w="895" w:type="dxa"/>
            <w:shd w:val="clear" w:color="auto" w:fill="D9D9D9"/>
          </w:tcPr>
          <w:p>
            <w:pPr>
              <w:pStyle w:val="TableParagraph"/>
              <w:spacing w:before="54"/>
              <w:ind w:left="115" w:right="73"/>
              <w:rPr>
                <w:sz w:val="21"/>
              </w:rPr>
            </w:pPr>
            <w:r>
              <w:rPr>
                <w:sz w:val="21"/>
              </w:rPr>
              <w:t>1.7</w:t>
            </w:r>
          </w:p>
        </w:tc>
      </w:tr>
      <w:tr>
        <w:trPr>
          <w:trHeight w:val="360" w:hRule="atLeast"/>
        </w:trPr>
        <w:tc>
          <w:tcPr>
            <w:tcW w:w="1376" w:type="dxa"/>
            <w:shd w:val="clear" w:color="auto" w:fill="D9D9D9"/>
          </w:tcPr>
          <w:p>
            <w:pPr>
              <w:pStyle w:val="TableParagraph"/>
              <w:spacing w:before="53"/>
              <w:ind w:left="69"/>
              <w:jc w:val="left"/>
              <w:rPr>
                <w:sz w:val="21"/>
              </w:rPr>
            </w:pPr>
            <w:r>
              <w:rPr>
                <w:position w:val="2"/>
                <w:sz w:val="21"/>
              </w:rPr>
              <w:t>ME</w:t>
            </w:r>
            <w:r>
              <w:rPr>
                <w:sz w:val="14"/>
              </w:rPr>
              <w:t>90Q </w:t>
            </w:r>
            <w:r>
              <w:rPr>
                <w:position w:val="2"/>
                <w:sz w:val="21"/>
              </w:rPr>
              <w:t>dyb</w:t>
            </w:r>
          </w:p>
        </w:tc>
        <w:tc>
          <w:tcPr>
            <w:tcW w:w="990" w:type="dxa"/>
            <w:shd w:val="clear" w:color="auto" w:fill="D9D9D9"/>
          </w:tcPr>
          <w:p>
            <w:pPr>
              <w:pStyle w:val="TableParagraph"/>
              <w:spacing w:before="54"/>
              <w:ind w:left="200" w:right="115"/>
              <w:rPr>
                <w:sz w:val="21"/>
              </w:rPr>
            </w:pPr>
            <w:r>
              <w:rPr>
                <w:sz w:val="21"/>
              </w:rPr>
              <w:t>-1.4</w:t>
            </w:r>
          </w:p>
        </w:tc>
        <w:tc>
          <w:tcPr>
            <w:tcW w:w="895" w:type="dxa"/>
            <w:tcBorders>
              <w:right w:val="single" w:sz="8" w:space="0" w:color="000000"/>
            </w:tcBorders>
            <w:shd w:val="clear" w:color="auto" w:fill="D9D9D9"/>
          </w:tcPr>
          <w:p>
            <w:pPr>
              <w:pStyle w:val="TableParagraph"/>
              <w:spacing w:before="54"/>
              <w:ind w:left="115" w:right="63"/>
              <w:rPr>
                <w:sz w:val="21"/>
              </w:rPr>
            </w:pPr>
            <w:r>
              <w:rPr>
                <w:sz w:val="21"/>
              </w:rPr>
              <w:t>0.1</w:t>
            </w:r>
          </w:p>
        </w:tc>
        <w:tc>
          <w:tcPr>
            <w:tcW w:w="1019" w:type="dxa"/>
            <w:tcBorders>
              <w:left w:val="single" w:sz="8" w:space="0" w:color="000000"/>
            </w:tcBorders>
            <w:shd w:val="clear" w:color="auto" w:fill="D9D9D9"/>
          </w:tcPr>
          <w:p>
            <w:pPr>
              <w:pStyle w:val="TableParagraph"/>
              <w:spacing w:before="54"/>
              <w:ind w:left="151" w:right="184"/>
              <w:rPr>
                <w:sz w:val="21"/>
              </w:rPr>
            </w:pPr>
            <w:r>
              <w:rPr>
                <w:sz w:val="21"/>
              </w:rPr>
              <w:t>-0.7</w:t>
            </w:r>
          </w:p>
        </w:tc>
        <w:tc>
          <w:tcPr>
            <w:tcW w:w="1108" w:type="dxa"/>
            <w:tcBorders>
              <w:right w:val="single" w:sz="8" w:space="0" w:color="000000"/>
            </w:tcBorders>
            <w:shd w:val="clear" w:color="auto" w:fill="D9D9D9"/>
          </w:tcPr>
          <w:p>
            <w:pPr>
              <w:pStyle w:val="TableParagraph"/>
              <w:spacing w:before="54"/>
              <w:ind w:left="186" w:right="204"/>
              <w:rPr>
                <w:sz w:val="21"/>
              </w:rPr>
            </w:pPr>
            <w:r>
              <w:rPr>
                <w:sz w:val="21"/>
              </w:rPr>
              <w:t>-0.2</w:t>
            </w:r>
          </w:p>
        </w:tc>
        <w:tc>
          <w:tcPr>
            <w:tcW w:w="948" w:type="dxa"/>
            <w:tcBorders>
              <w:left w:val="single" w:sz="8" w:space="0" w:color="000000"/>
            </w:tcBorders>
            <w:shd w:val="clear" w:color="auto" w:fill="D9D9D9"/>
          </w:tcPr>
          <w:p>
            <w:pPr>
              <w:pStyle w:val="TableParagraph"/>
              <w:spacing w:before="54"/>
              <w:ind w:left="147" w:right="115"/>
              <w:rPr>
                <w:sz w:val="21"/>
              </w:rPr>
            </w:pPr>
            <w:r>
              <w:rPr>
                <w:sz w:val="21"/>
              </w:rPr>
              <w:t>0.1</w:t>
            </w:r>
          </w:p>
        </w:tc>
        <w:tc>
          <w:tcPr>
            <w:tcW w:w="895" w:type="dxa"/>
            <w:shd w:val="clear" w:color="auto" w:fill="D9D9D9"/>
          </w:tcPr>
          <w:p>
            <w:pPr>
              <w:pStyle w:val="TableParagraph"/>
              <w:spacing w:before="54"/>
              <w:ind w:left="115" w:right="73"/>
              <w:rPr>
                <w:sz w:val="21"/>
              </w:rPr>
            </w:pPr>
            <w:r>
              <w:rPr>
                <w:sz w:val="21"/>
              </w:rPr>
              <w:t>0.6</w:t>
            </w:r>
          </w:p>
        </w:tc>
      </w:tr>
      <w:tr>
        <w:trPr>
          <w:trHeight w:val="381" w:hRule="atLeast"/>
        </w:trPr>
        <w:tc>
          <w:tcPr>
            <w:tcW w:w="1376" w:type="dxa"/>
            <w:shd w:val="clear" w:color="auto" w:fill="D9D9D9"/>
          </w:tcPr>
          <w:p>
            <w:pPr>
              <w:pStyle w:val="TableParagraph"/>
              <w:spacing w:before="53"/>
              <w:ind w:left="69"/>
              <w:jc w:val="left"/>
              <w:rPr>
                <w:sz w:val="21"/>
              </w:rPr>
            </w:pPr>
            <w:r>
              <w:rPr>
                <w:position w:val="2"/>
                <w:sz w:val="21"/>
              </w:rPr>
              <w:t>MAE</w:t>
            </w:r>
            <w:r>
              <w:rPr>
                <w:sz w:val="14"/>
              </w:rPr>
              <w:t>90Q </w:t>
            </w:r>
            <w:r>
              <w:rPr>
                <w:position w:val="2"/>
                <w:sz w:val="21"/>
              </w:rPr>
              <w:t>dyb</w:t>
            </w:r>
          </w:p>
        </w:tc>
        <w:tc>
          <w:tcPr>
            <w:tcW w:w="990" w:type="dxa"/>
            <w:shd w:val="clear" w:color="auto" w:fill="D9D9D9"/>
          </w:tcPr>
          <w:p>
            <w:pPr>
              <w:pStyle w:val="TableParagraph"/>
              <w:spacing w:before="54"/>
              <w:ind w:left="198" w:right="115"/>
              <w:rPr>
                <w:sz w:val="21"/>
              </w:rPr>
            </w:pPr>
            <w:r>
              <w:rPr>
                <w:sz w:val="21"/>
              </w:rPr>
              <w:t>2.4</w:t>
            </w:r>
          </w:p>
        </w:tc>
        <w:tc>
          <w:tcPr>
            <w:tcW w:w="895" w:type="dxa"/>
            <w:tcBorders>
              <w:right w:val="single" w:sz="8" w:space="0" w:color="000000"/>
            </w:tcBorders>
            <w:shd w:val="clear" w:color="auto" w:fill="D9D9D9"/>
          </w:tcPr>
          <w:p>
            <w:pPr>
              <w:pStyle w:val="TableParagraph"/>
              <w:spacing w:before="54"/>
              <w:ind w:left="115" w:right="63"/>
              <w:rPr>
                <w:sz w:val="21"/>
              </w:rPr>
            </w:pPr>
            <w:r>
              <w:rPr>
                <w:sz w:val="21"/>
              </w:rPr>
              <w:t>1.7</w:t>
            </w:r>
          </w:p>
        </w:tc>
        <w:tc>
          <w:tcPr>
            <w:tcW w:w="1019" w:type="dxa"/>
            <w:tcBorders>
              <w:left w:val="single" w:sz="8" w:space="0" w:color="000000"/>
            </w:tcBorders>
            <w:shd w:val="clear" w:color="auto" w:fill="D9D9D9"/>
          </w:tcPr>
          <w:p>
            <w:pPr>
              <w:pStyle w:val="TableParagraph"/>
              <w:spacing w:before="54"/>
              <w:ind w:left="148" w:right="184"/>
              <w:rPr>
                <w:sz w:val="21"/>
              </w:rPr>
            </w:pPr>
            <w:r>
              <w:rPr>
                <w:sz w:val="21"/>
              </w:rPr>
              <w:t>2.1</w:t>
            </w:r>
          </w:p>
        </w:tc>
        <w:tc>
          <w:tcPr>
            <w:tcW w:w="1108" w:type="dxa"/>
            <w:tcBorders>
              <w:right w:val="single" w:sz="8" w:space="0" w:color="000000"/>
            </w:tcBorders>
            <w:shd w:val="clear" w:color="auto" w:fill="D9D9D9"/>
          </w:tcPr>
          <w:p>
            <w:pPr>
              <w:pStyle w:val="TableParagraph"/>
              <w:spacing w:before="54"/>
              <w:ind w:left="187" w:right="203"/>
              <w:rPr>
                <w:sz w:val="21"/>
              </w:rPr>
            </w:pPr>
            <w:r>
              <w:rPr>
                <w:sz w:val="21"/>
              </w:rPr>
              <w:t>1.8</w:t>
            </w:r>
          </w:p>
        </w:tc>
        <w:tc>
          <w:tcPr>
            <w:tcW w:w="948" w:type="dxa"/>
            <w:tcBorders>
              <w:left w:val="single" w:sz="8" w:space="0" w:color="000000"/>
            </w:tcBorders>
            <w:shd w:val="clear" w:color="auto" w:fill="D9D9D9"/>
          </w:tcPr>
          <w:p>
            <w:pPr>
              <w:pStyle w:val="TableParagraph"/>
              <w:spacing w:before="54"/>
              <w:ind w:left="147" w:right="115"/>
              <w:rPr>
                <w:sz w:val="21"/>
              </w:rPr>
            </w:pPr>
            <w:r>
              <w:rPr>
                <w:sz w:val="21"/>
              </w:rPr>
              <w:t>2.3</w:t>
            </w:r>
          </w:p>
        </w:tc>
        <w:tc>
          <w:tcPr>
            <w:tcW w:w="895" w:type="dxa"/>
            <w:shd w:val="clear" w:color="auto" w:fill="D9D9D9"/>
          </w:tcPr>
          <w:p>
            <w:pPr>
              <w:pStyle w:val="TableParagraph"/>
              <w:spacing w:before="54"/>
              <w:ind w:left="115" w:right="73"/>
              <w:rPr>
                <w:sz w:val="21"/>
              </w:rPr>
            </w:pPr>
            <w:r>
              <w:rPr>
                <w:sz w:val="21"/>
              </w:rPr>
              <w:t>2.0</w:t>
            </w:r>
          </w:p>
        </w:tc>
      </w:tr>
    </w:tbl>
    <w:p>
      <w:pPr>
        <w:pStyle w:val="BodyText"/>
        <w:spacing w:before="7"/>
        <w:rPr>
          <w:rFonts w:ascii="Calibri"/>
          <w:i/>
          <w:sz w:val="23"/>
        </w:rPr>
      </w:pPr>
    </w:p>
    <w:p>
      <w:pPr>
        <w:pStyle w:val="BodyText"/>
        <w:spacing w:line="288" w:lineRule="auto"/>
        <w:ind w:left="525" w:right="734"/>
        <w:jc w:val="both"/>
      </w:pPr>
      <w:r>
        <w:rPr/>
        <w:t>Resultaterne for Odense Å er angivet i </w:t>
      </w:r>
      <w:hyperlink w:history="true" w:anchor="_bookmark152">
        <w:r>
          <w:rPr/>
          <w:t>tabel 26 </w:t>
        </w:r>
      </w:hyperlink>
      <w:r>
        <w:rPr/>
        <w:t>og 27 for hhv. vandføring og trykniveau, og viser at performance er sammenlignelig for alle vandføringsstationer undtagen station 450058. For trykniveau, </w:t>
      </w:r>
      <w:hyperlink w:history="true" w:anchor="_bookmark153">
        <w:r>
          <w:rPr/>
          <w:t>tabel 27 </w:t>
        </w:r>
      </w:hyperlink>
      <w:r>
        <w:rPr/>
        <w:t>er resultaterne ligeledes sammenlignelige mellem kalibre- rede modeller og modellen med overførsel af parametre fra 500 m kalibreringen.</w:t>
      </w:r>
    </w:p>
    <w:p>
      <w:pPr>
        <w:spacing w:after="0" w:line="288" w:lineRule="auto"/>
        <w:jc w:val="both"/>
        <w:sectPr>
          <w:pgSz w:w="11910" w:h="16850"/>
          <w:pgMar w:header="0" w:footer="937" w:top="1340" w:bottom="1120" w:left="1460" w:right="680"/>
        </w:sectPr>
      </w:pPr>
    </w:p>
    <w:p>
      <w:pPr>
        <w:pStyle w:val="BodyText"/>
        <w:spacing w:line="276" w:lineRule="auto" w:before="75"/>
        <w:ind w:left="525" w:right="728"/>
      </w:pPr>
      <w:r>
        <w:rPr/>
        <w:t>Dog forværres performance på ME for de terrænnære pejlinger ved overførsel af parameter fra 500 m kalibreringen.</w:t>
      </w:r>
    </w:p>
    <w:p>
      <w:pPr>
        <w:pStyle w:val="BodyText"/>
        <w:spacing w:before="5"/>
        <w:rPr>
          <w:sz w:val="24"/>
        </w:rPr>
      </w:pPr>
    </w:p>
    <w:p>
      <w:pPr>
        <w:spacing w:before="1"/>
        <w:ind w:left="525" w:right="0" w:firstLine="0"/>
        <w:jc w:val="left"/>
        <w:rPr>
          <w:rFonts w:ascii="Calibri" w:hAnsi="Calibri"/>
          <w:i/>
          <w:sz w:val="18"/>
        </w:rPr>
      </w:pPr>
      <w:bookmarkStart w:name="_bookmark152" w:id="189"/>
      <w:bookmarkEnd w:id="189"/>
      <w:r>
        <w:rPr/>
      </w:r>
      <w:r>
        <w:rPr>
          <w:rFonts w:ascii="Calibri" w:hAnsi="Calibri"/>
          <w:i/>
          <w:color w:val="44536A"/>
          <w:sz w:val="18"/>
        </w:rPr>
        <w:t>Tabel 26 Vandføring Odense Å</w:t>
      </w:r>
      <w:r>
        <w:rPr>
          <w:rFonts w:ascii="Calibri" w:hAnsi="Calibri"/>
          <w:i/>
          <w:color w:val="44536A"/>
          <w:spacing w:val="-14"/>
          <w:sz w:val="18"/>
        </w:rPr>
        <w:t> </w:t>
      </w:r>
      <w:r>
        <w:rPr>
          <w:rFonts w:ascii="Calibri" w:hAnsi="Calibri"/>
          <w:i/>
          <w:color w:val="44536A"/>
          <w:sz w:val="18"/>
        </w:rPr>
        <w:t>(m)</w:t>
      </w:r>
    </w:p>
    <w:p>
      <w:pPr>
        <w:pStyle w:val="BodyText"/>
        <w:spacing w:before="1"/>
        <w:rPr>
          <w:rFonts w:ascii="Calibri"/>
          <w:i/>
          <w:sz w:val="28"/>
        </w:rPr>
      </w:pPr>
    </w:p>
    <w:tbl>
      <w:tblPr>
        <w:tblW w:w="0" w:type="auto"/>
        <w:jc w:val="left"/>
        <w:tblInd w:w="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81"/>
        <w:gridCol w:w="603"/>
        <w:gridCol w:w="981"/>
        <w:gridCol w:w="694"/>
        <w:gridCol w:w="736"/>
        <w:gridCol w:w="1053"/>
        <w:gridCol w:w="626"/>
        <w:gridCol w:w="648"/>
        <w:gridCol w:w="1000"/>
        <w:gridCol w:w="696"/>
      </w:tblGrid>
      <w:tr>
        <w:trPr>
          <w:trHeight w:val="397" w:hRule="atLeast"/>
        </w:trPr>
        <w:tc>
          <w:tcPr>
            <w:tcW w:w="1281" w:type="dxa"/>
          </w:tcPr>
          <w:p>
            <w:pPr>
              <w:pStyle w:val="TableParagraph"/>
              <w:spacing w:line="236" w:lineRule="exact"/>
              <w:ind w:left="83"/>
              <w:jc w:val="left"/>
              <w:rPr>
                <w:b/>
                <w:sz w:val="21"/>
              </w:rPr>
            </w:pPr>
            <w:r>
              <w:rPr>
                <w:b/>
                <w:sz w:val="21"/>
              </w:rPr>
              <w:t>Kalibrering</w:t>
            </w:r>
          </w:p>
        </w:tc>
        <w:tc>
          <w:tcPr>
            <w:tcW w:w="2278" w:type="dxa"/>
            <w:gridSpan w:val="3"/>
          </w:tcPr>
          <w:p>
            <w:pPr>
              <w:pStyle w:val="TableParagraph"/>
              <w:spacing w:line="236" w:lineRule="exact"/>
              <w:ind w:left="370"/>
              <w:jc w:val="left"/>
              <w:rPr>
                <w:b/>
                <w:sz w:val="21"/>
              </w:rPr>
            </w:pPr>
            <w:r>
              <w:rPr>
                <w:b/>
                <w:sz w:val="21"/>
              </w:rPr>
              <w:t>100m_Jup+Reg</w:t>
            </w:r>
          </w:p>
        </w:tc>
        <w:tc>
          <w:tcPr>
            <w:tcW w:w="2415" w:type="dxa"/>
            <w:gridSpan w:val="3"/>
          </w:tcPr>
          <w:p>
            <w:pPr>
              <w:pStyle w:val="TableParagraph"/>
              <w:spacing w:line="236" w:lineRule="exact"/>
              <w:ind w:left="435"/>
              <w:jc w:val="left"/>
              <w:rPr>
                <w:b/>
                <w:sz w:val="21"/>
              </w:rPr>
            </w:pPr>
            <w:r>
              <w:rPr>
                <w:b/>
                <w:sz w:val="21"/>
              </w:rPr>
              <w:t>500m_Jup+Reg</w:t>
            </w:r>
          </w:p>
        </w:tc>
        <w:tc>
          <w:tcPr>
            <w:tcW w:w="2344" w:type="dxa"/>
            <w:gridSpan w:val="3"/>
          </w:tcPr>
          <w:p>
            <w:pPr>
              <w:pStyle w:val="TableParagraph"/>
              <w:spacing w:line="236" w:lineRule="exact"/>
              <w:ind w:left="406"/>
              <w:jc w:val="left"/>
              <w:rPr>
                <w:b/>
                <w:sz w:val="21"/>
              </w:rPr>
            </w:pPr>
            <w:r>
              <w:rPr>
                <w:b/>
                <w:sz w:val="21"/>
              </w:rPr>
              <w:t>100m_Par500m</w:t>
            </w:r>
          </w:p>
        </w:tc>
      </w:tr>
      <w:tr>
        <w:trPr>
          <w:trHeight w:val="285" w:hRule="atLeast"/>
        </w:trPr>
        <w:tc>
          <w:tcPr>
            <w:tcW w:w="1281" w:type="dxa"/>
            <w:vMerge w:val="restart"/>
            <w:tcBorders>
              <w:bottom w:val="single" w:sz="8" w:space="0" w:color="000000"/>
            </w:tcBorders>
          </w:tcPr>
          <w:p>
            <w:pPr>
              <w:pStyle w:val="TableParagraph"/>
              <w:spacing w:before="170"/>
              <w:ind w:left="83"/>
              <w:jc w:val="left"/>
              <w:rPr>
                <w:sz w:val="21"/>
              </w:rPr>
            </w:pPr>
            <w:r>
              <w:rPr>
                <w:sz w:val="21"/>
              </w:rPr>
              <w:t>Station</w:t>
            </w:r>
          </w:p>
        </w:tc>
        <w:tc>
          <w:tcPr>
            <w:tcW w:w="603" w:type="dxa"/>
          </w:tcPr>
          <w:p>
            <w:pPr>
              <w:pStyle w:val="TableParagraph"/>
              <w:spacing w:before="25"/>
              <w:ind w:left="146"/>
              <w:jc w:val="left"/>
              <w:rPr>
                <w:sz w:val="18"/>
              </w:rPr>
            </w:pPr>
            <w:r>
              <w:rPr>
                <w:sz w:val="18"/>
              </w:rPr>
              <w:t>fbal</w:t>
            </w:r>
          </w:p>
        </w:tc>
        <w:tc>
          <w:tcPr>
            <w:tcW w:w="981" w:type="dxa"/>
          </w:tcPr>
          <w:p>
            <w:pPr>
              <w:pStyle w:val="TableParagraph"/>
              <w:spacing w:before="25"/>
              <w:ind w:left="85" w:right="131"/>
              <w:rPr>
                <w:sz w:val="12"/>
              </w:rPr>
            </w:pPr>
            <w:r>
              <w:rPr>
                <w:position w:val="1"/>
                <w:sz w:val="18"/>
              </w:rPr>
              <w:t>fbal</w:t>
            </w:r>
            <w:r>
              <w:rPr>
                <w:sz w:val="12"/>
              </w:rPr>
              <w:t>sommer</w:t>
            </w:r>
          </w:p>
        </w:tc>
        <w:tc>
          <w:tcPr>
            <w:tcW w:w="694" w:type="dxa"/>
            <w:tcBorders>
              <w:right w:val="single" w:sz="8" w:space="0" w:color="000000"/>
            </w:tcBorders>
          </w:tcPr>
          <w:p>
            <w:pPr>
              <w:pStyle w:val="TableParagraph"/>
              <w:spacing w:before="25"/>
              <w:ind w:left="135" w:right="137"/>
              <w:rPr>
                <w:sz w:val="18"/>
              </w:rPr>
            </w:pPr>
            <w:r>
              <w:rPr>
                <w:sz w:val="18"/>
              </w:rPr>
              <w:t>NSE</w:t>
            </w:r>
          </w:p>
        </w:tc>
        <w:tc>
          <w:tcPr>
            <w:tcW w:w="736" w:type="dxa"/>
            <w:tcBorders>
              <w:left w:val="single" w:sz="8" w:space="0" w:color="000000"/>
            </w:tcBorders>
          </w:tcPr>
          <w:p>
            <w:pPr>
              <w:pStyle w:val="TableParagraph"/>
              <w:spacing w:before="25"/>
              <w:ind w:left="121" w:right="154"/>
              <w:rPr>
                <w:sz w:val="18"/>
              </w:rPr>
            </w:pPr>
            <w:r>
              <w:rPr>
                <w:sz w:val="18"/>
              </w:rPr>
              <w:t>fbal</w:t>
            </w:r>
          </w:p>
        </w:tc>
        <w:tc>
          <w:tcPr>
            <w:tcW w:w="1053" w:type="dxa"/>
          </w:tcPr>
          <w:p>
            <w:pPr>
              <w:pStyle w:val="TableParagraph"/>
              <w:spacing w:before="25"/>
              <w:ind w:left="155" w:right="133"/>
              <w:rPr>
                <w:sz w:val="12"/>
              </w:rPr>
            </w:pPr>
            <w:r>
              <w:rPr>
                <w:position w:val="1"/>
                <w:sz w:val="18"/>
              </w:rPr>
              <w:t>fbal</w:t>
            </w:r>
            <w:r>
              <w:rPr>
                <w:sz w:val="12"/>
              </w:rPr>
              <w:t>sommer</w:t>
            </w:r>
          </w:p>
        </w:tc>
        <w:tc>
          <w:tcPr>
            <w:tcW w:w="626" w:type="dxa"/>
            <w:tcBorders>
              <w:right w:val="single" w:sz="8" w:space="0" w:color="000000"/>
            </w:tcBorders>
          </w:tcPr>
          <w:p>
            <w:pPr>
              <w:pStyle w:val="TableParagraph"/>
              <w:spacing w:before="25"/>
              <w:ind w:left="135" w:right="69"/>
              <w:rPr>
                <w:sz w:val="18"/>
              </w:rPr>
            </w:pPr>
            <w:r>
              <w:rPr>
                <w:sz w:val="18"/>
              </w:rPr>
              <w:t>NSE</w:t>
            </w:r>
          </w:p>
        </w:tc>
        <w:tc>
          <w:tcPr>
            <w:tcW w:w="648" w:type="dxa"/>
            <w:tcBorders>
              <w:left w:val="single" w:sz="8" w:space="0" w:color="000000"/>
            </w:tcBorders>
          </w:tcPr>
          <w:p>
            <w:pPr>
              <w:pStyle w:val="TableParagraph"/>
              <w:spacing w:before="25"/>
              <w:ind w:left="84" w:right="101"/>
              <w:rPr>
                <w:sz w:val="18"/>
              </w:rPr>
            </w:pPr>
            <w:r>
              <w:rPr>
                <w:sz w:val="18"/>
              </w:rPr>
              <w:t>fbal</w:t>
            </w:r>
          </w:p>
        </w:tc>
        <w:tc>
          <w:tcPr>
            <w:tcW w:w="1000" w:type="dxa"/>
          </w:tcPr>
          <w:p>
            <w:pPr>
              <w:pStyle w:val="TableParagraph"/>
              <w:spacing w:before="25"/>
              <w:ind w:left="103" w:right="133"/>
              <w:rPr>
                <w:sz w:val="12"/>
              </w:rPr>
            </w:pPr>
            <w:r>
              <w:rPr>
                <w:position w:val="1"/>
                <w:sz w:val="18"/>
              </w:rPr>
              <w:t>fbal</w:t>
            </w:r>
            <w:r>
              <w:rPr>
                <w:sz w:val="12"/>
              </w:rPr>
              <w:t>sommer</w:t>
            </w:r>
          </w:p>
        </w:tc>
        <w:tc>
          <w:tcPr>
            <w:tcW w:w="696" w:type="dxa"/>
          </w:tcPr>
          <w:p>
            <w:pPr>
              <w:pStyle w:val="TableParagraph"/>
              <w:spacing w:before="25"/>
              <w:ind w:left="134" w:right="151"/>
              <w:rPr>
                <w:sz w:val="18"/>
              </w:rPr>
            </w:pPr>
            <w:r>
              <w:rPr>
                <w:sz w:val="18"/>
              </w:rPr>
              <w:t>NSE</w:t>
            </w:r>
          </w:p>
        </w:tc>
      </w:tr>
      <w:tr>
        <w:trPr>
          <w:trHeight w:val="330" w:hRule="atLeast"/>
        </w:trPr>
        <w:tc>
          <w:tcPr>
            <w:tcW w:w="1281" w:type="dxa"/>
            <w:vMerge/>
            <w:tcBorders>
              <w:top w:val="nil"/>
              <w:bottom w:val="single" w:sz="8" w:space="0" w:color="000000"/>
            </w:tcBorders>
          </w:tcPr>
          <w:p>
            <w:pPr>
              <w:rPr>
                <w:sz w:val="2"/>
                <w:szCs w:val="2"/>
              </w:rPr>
            </w:pPr>
          </w:p>
        </w:tc>
        <w:tc>
          <w:tcPr>
            <w:tcW w:w="603" w:type="dxa"/>
            <w:tcBorders>
              <w:bottom w:val="single" w:sz="8" w:space="0" w:color="000000"/>
            </w:tcBorders>
          </w:tcPr>
          <w:p>
            <w:pPr>
              <w:pStyle w:val="TableParagraph"/>
              <w:spacing w:before="46"/>
              <w:ind w:left="163"/>
              <w:jc w:val="left"/>
              <w:rPr>
                <w:sz w:val="18"/>
              </w:rPr>
            </w:pPr>
            <w:r>
              <w:rPr>
                <w:sz w:val="18"/>
              </w:rPr>
              <w:t>[%]</w:t>
            </w:r>
          </w:p>
        </w:tc>
        <w:tc>
          <w:tcPr>
            <w:tcW w:w="981" w:type="dxa"/>
            <w:tcBorders>
              <w:bottom w:val="single" w:sz="8" w:space="0" w:color="000000"/>
            </w:tcBorders>
          </w:tcPr>
          <w:p>
            <w:pPr>
              <w:pStyle w:val="TableParagraph"/>
              <w:spacing w:before="46"/>
              <w:ind w:left="85" w:right="125"/>
              <w:rPr>
                <w:sz w:val="18"/>
              </w:rPr>
            </w:pPr>
            <w:r>
              <w:rPr>
                <w:sz w:val="18"/>
              </w:rPr>
              <w:t>[%]</w:t>
            </w:r>
          </w:p>
        </w:tc>
        <w:tc>
          <w:tcPr>
            <w:tcW w:w="694" w:type="dxa"/>
            <w:tcBorders>
              <w:bottom w:val="single" w:sz="8" w:space="0" w:color="000000"/>
              <w:right w:val="single" w:sz="8" w:space="0" w:color="000000"/>
            </w:tcBorders>
          </w:tcPr>
          <w:p>
            <w:pPr>
              <w:pStyle w:val="TableParagraph"/>
              <w:spacing w:before="46"/>
              <w:ind w:left="135" w:right="135"/>
              <w:rPr>
                <w:sz w:val="18"/>
              </w:rPr>
            </w:pPr>
            <w:r>
              <w:rPr>
                <w:sz w:val="18"/>
              </w:rPr>
              <w:t>[-]</w:t>
            </w:r>
          </w:p>
        </w:tc>
        <w:tc>
          <w:tcPr>
            <w:tcW w:w="736" w:type="dxa"/>
            <w:tcBorders>
              <w:left w:val="single" w:sz="8" w:space="0" w:color="000000"/>
              <w:bottom w:val="single" w:sz="8" w:space="0" w:color="000000"/>
            </w:tcBorders>
          </w:tcPr>
          <w:p>
            <w:pPr>
              <w:pStyle w:val="TableParagraph"/>
              <w:spacing w:before="46"/>
              <w:ind w:left="119" w:right="154"/>
              <w:rPr>
                <w:sz w:val="18"/>
              </w:rPr>
            </w:pPr>
            <w:r>
              <w:rPr>
                <w:sz w:val="18"/>
              </w:rPr>
              <w:t>[%]</w:t>
            </w:r>
          </w:p>
        </w:tc>
        <w:tc>
          <w:tcPr>
            <w:tcW w:w="1053" w:type="dxa"/>
            <w:tcBorders>
              <w:bottom w:val="single" w:sz="8" w:space="0" w:color="000000"/>
            </w:tcBorders>
          </w:tcPr>
          <w:p>
            <w:pPr>
              <w:pStyle w:val="TableParagraph"/>
              <w:spacing w:before="46"/>
              <w:ind w:left="155" w:right="128"/>
              <w:rPr>
                <w:sz w:val="18"/>
              </w:rPr>
            </w:pPr>
            <w:r>
              <w:rPr>
                <w:sz w:val="18"/>
              </w:rPr>
              <w:t>[%]</w:t>
            </w:r>
          </w:p>
        </w:tc>
        <w:tc>
          <w:tcPr>
            <w:tcW w:w="626" w:type="dxa"/>
            <w:tcBorders>
              <w:bottom w:val="single" w:sz="8" w:space="0" w:color="000000"/>
              <w:right w:val="single" w:sz="8" w:space="0" w:color="000000"/>
            </w:tcBorders>
          </w:tcPr>
          <w:p>
            <w:pPr>
              <w:pStyle w:val="TableParagraph"/>
              <w:spacing w:before="46"/>
              <w:ind w:left="132" w:right="69"/>
              <w:rPr>
                <w:sz w:val="18"/>
              </w:rPr>
            </w:pPr>
            <w:r>
              <w:rPr>
                <w:sz w:val="18"/>
              </w:rPr>
              <w:t>[-]</w:t>
            </w:r>
          </w:p>
        </w:tc>
        <w:tc>
          <w:tcPr>
            <w:tcW w:w="648" w:type="dxa"/>
            <w:tcBorders>
              <w:left w:val="single" w:sz="8" w:space="0" w:color="000000"/>
              <w:bottom w:val="single" w:sz="8" w:space="0" w:color="000000"/>
            </w:tcBorders>
          </w:tcPr>
          <w:p>
            <w:pPr>
              <w:pStyle w:val="TableParagraph"/>
              <w:spacing w:before="46"/>
              <w:ind w:left="84" w:right="98"/>
              <w:rPr>
                <w:sz w:val="18"/>
              </w:rPr>
            </w:pPr>
            <w:r>
              <w:rPr>
                <w:sz w:val="18"/>
              </w:rPr>
              <w:t>[%]</w:t>
            </w:r>
          </w:p>
        </w:tc>
        <w:tc>
          <w:tcPr>
            <w:tcW w:w="1000" w:type="dxa"/>
            <w:tcBorders>
              <w:bottom w:val="single" w:sz="8" w:space="0" w:color="000000"/>
            </w:tcBorders>
          </w:tcPr>
          <w:p>
            <w:pPr>
              <w:pStyle w:val="TableParagraph"/>
              <w:spacing w:before="46"/>
              <w:ind w:left="103" w:right="128"/>
              <w:rPr>
                <w:sz w:val="18"/>
              </w:rPr>
            </w:pPr>
            <w:r>
              <w:rPr>
                <w:sz w:val="18"/>
              </w:rPr>
              <w:t>[%]</w:t>
            </w:r>
          </w:p>
        </w:tc>
        <w:tc>
          <w:tcPr>
            <w:tcW w:w="696" w:type="dxa"/>
            <w:tcBorders>
              <w:bottom w:val="single" w:sz="8" w:space="0" w:color="000000"/>
            </w:tcBorders>
          </w:tcPr>
          <w:p>
            <w:pPr>
              <w:pStyle w:val="TableParagraph"/>
              <w:spacing w:before="46"/>
              <w:ind w:left="134" w:right="150"/>
              <w:rPr>
                <w:sz w:val="18"/>
              </w:rPr>
            </w:pPr>
            <w:r>
              <w:rPr>
                <w:sz w:val="18"/>
              </w:rPr>
              <w:t>[-]</w:t>
            </w:r>
          </w:p>
        </w:tc>
      </w:tr>
      <w:tr>
        <w:trPr>
          <w:trHeight w:val="275" w:hRule="atLeast"/>
        </w:trPr>
        <w:tc>
          <w:tcPr>
            <w:tcW w:w="1281" w:type="dxa"/>
            <w:tcBorders>
              <w:top w:val="single" w:sz="8" w:space="0" w:color="000000"/>
            </w:tcBorders>
          </w:tcPr>
          <w:p>
            <w:pPr>
              <w:pStyle w:val="TableParagraph"/>
              <w:spacing w:before="2"/>
              <w:ind w:left="83"/>
              <w:jc w:val="left"/>
              <w:rPr>
                <w:sz w:val="21"/>
              </w:rPr>
            </w:pPr>
            <w:r>
              <w:rPr>
                <w:sz w:val="21"/>
              </w:rPr>
              <w:t>450001</w:t>
            </w:r>
          </w:p>
        </w:tc>
        <w:tc>
          <w:tcPr>
            <w:tcW w:w="603" w:type="dxa"/>
            <w:tcBorders>
              <w:top w:val="single" w:sz="8" w:space="0" w:color="000000"/>
            </w:tcBorders>
          </w:tcPr>
          <w:p>
            <w:pPr>
              <w:pStyle w:val="TableParagraph"/>
              <w:spacing w:before="25"/>
              <w:ind w:left="168"/>
              <w:jc w:val="left"/>
              <w:rPr>
                <w:sz w:val="18"/>
              </w:rPr>
            </w:pPr>
            <w:r>
              <w:rPr>
                <w:sz w:val="18"/>
              </w:rPr>
              <w:t>4.4</w:t>
            </w:r>
          </w:p>
        </w:tc>
        <w:tc>
          <w:tcPr>
            <w:tcW w:w="981" w:type="dxa"/>
            <w:tcBorders>
              <w:top w:val="single" w:sz="8" w:space="0" w:color="000000"/>
            </w:tcBorders>
          </w:tcPr>
          <w:p>
            <w:pPr>
              <w:pStyle w:val="TableParagraph"/>
              <w:spacing w:before="25"/>
              <w:ind w:left="85" w:right="123"/>
              <w:rPr>
                <w:sz w:val="18"/>
              </w:rPr>
            </w:pPr>
            <w:r>
              <w:rPr>
                <w:sz w:val="18"/>
              </w:rPr>
              <w:t>-3.7</w:t>
            </w:r>
          </w:p>
        </w:tc>
        <w:tc>
          <w:tcPr>
            <w:tcW w:w="694" w:type="dxa"/>
            <w:tcBorders>
              <w:top w:val="single" w:sz="8" w:space="0" w:color="000000"/>
              <w:right w:val="single" w:sz="8" w:space="0" w:color="000000"/>
            </w:tcBorders>
          </w:tcPr>
          <w:p>
            <w:pPr>
              <w:pStyle w:val="TableParagraph"/>
              <w:spacing w:before="25"/>
              <w:ind w:left="135" w:right="136"/>
              <w:rPr>
                <w:sz w:val="18"/>
              </w:rPr>
            </w:pPr>
            <w:r>
              <w:rPr>
                <w:sz w:val="18"/>
              </w:rPr>
              <w:t>0.88</w:t>
            </w:r>
          </w:p>
        </w:tc>
        <w:tc>
          <w:tcPr>
            <w:tcW w:w="736" w:type="dxa"/>
            <w:tcBorders>
              <w:top w:val="single" w:sz="8" w:space="0" w:color="000000"/>
              <w:left w:val="single" w:sz="8" w:space="0" w:color="000000"/>
            </w:tcBorders>
          </w:tcPr>
          <w:p>
            <w:pPr>
              <w:pStyle w:val="TableParagraph"/>
              <w:spacing w:before="25"/>
              <w:ind w:left="119" w:right="154"/>
              <w:rPr>
                <w:sz w:val="18"/>
              </w:rPr>
            </w:pPr>
            <w:r>
              <w:rPr>
                <w:sz w:val="18"/>
              </w:rPr>
              <w:t>4.6</w:t>
            </w:r>
          </w:p>
        </w:tc>
        <w:tc>
          <w:tcPr>
            <w:tcW w:w="1053" w:type="dxa"/>
            <w:tcBorders>
              <w:top w:val="single" w:sz="8" w:space="0" w:color="000000"/>
            </w:tcBorders>
          </w:tcPr>
          <w:p>
            <w:pPr>
              <w:pStyle w:val="TableParagraph"/>
              <w:spacing w:before="25"/>
              <w:ind w:left="155" w:right="131"/>
              <w:rPr>
                <w:sz w:val="18"/>
              </w:rPr>
            </w:pPr>
            <w:r>
              <w:rPr>
                <w:sz w:val="18"/>
              </w:rPr>
              <w:t>-4.3</w:t>
            </w:r>
          </w:p>
        </w:tc>
        <w:tc>
          <w:tcPr>
            <w:tcW w:w="626" w:type="dxa"/>
            <w:tcBorders>
              <w:top w:val="single" w:sz="8" w:space="0" w:color="000000"/>
              <w:right w:val="single" w:sz="8" w:space="0" w:color="000000"/>
            </w:tcBorders>
          </w:tcPr>
          <w:p>
            <w:pPr>
              <w:pStyle w:val="TableParagraph"/>
              <w:spacing w:before="25"/>
              <w:ind w:left="135" w:right="68"/>
              <w:rPr>
                <w:sz w:val="18"/>
              </w:rPr>
            </w:pPr>
            <w:r>
              <w:rPr>
                <w:sz w:val="18"/>
              </w:rPr>
              <w:t>0.90</w:t>
            </w:r>
          </w:p>
        </w:tc>
        <w:tc>
          <w:tcPr>
            <w:tcW w:w="648" w:type="dxa"/>
            <w:tcBorders>
              <w:top w:val="single" w:sz="8" w:space="0" w:color="000000"/>
              <w:left w:val="single" w:sz="8" w:space="0" w:color="000000"/>
            </w:tcBorders>
          </w:tcPr>
          <w:p>
            <w:pPr>
              <w:pStyle w:val="TableParagraph"/>
              <w:spacing w:before="25"/>
              <w:ind w:left="84" w:right="99"/>
              <w:rPr>
                <w:sz w:val="18"/>
              </w:rPr>
            </w:pPr>
            <w:r>
              <w:rPr>
                <w:sz w:val="18"/>
              </w:rPr>
              <w:t>3.2</w:t>
            </w:r>
          </w:p>
        </w:tc>
        <w:tc>
          <w:tcPr>
            <w:tcW w:w="1000" w:type="dxa"/>
            <w:tcBorders>
              <w:top w:val="single" w:sz="8" w:space="0" w:color="000000"/>
            </w:tcBorders>
          </w:tcPr>
          <w:p>
            <w:pPr>
              <w:pStyle w:val="TableParagraph"/>
              <w:spacing w:before="25"/>
              <w:ind w:left="103" w:right="126"/>
              <w:rPr>
                <w:sz w:val="18"/>
              </w:rPr>
            </w:pPr>
            <w:r>
              <w:rPr>
                <w:sz w:val="18"/>
              </w:rPr>
              <w:t>-7.3</w:t>
            </w:r>
          </w:p>
        </w:tc>
        <w:tc>
          <w:tcPr>
            <w:tcW w:w="696" w:type="dxa"/>
            <w:tcBorders>
              <w:top w:val="single" w:sz="8" w:space="0" w:color="000000"/>
            </w:tcBorders>
          </w:tcPr>
          <w:p>
            <w:pPr>
              <w:pStyle w:val="TableParagraph"/>
              <w:spacing w:before="25"/>
              <w:ind w:left="134" w:right="150"/>
              <w:rPr>
                <w:sz w:val="18"/>
              </w:rPr>
            </w:pPr>
            <w:r>
              <w:rPr>
                <w:sz w:val="18"/>
              </w:rPr>
              <w:t>0.86</w:t>
            </w:r>
          </w:p>
        </w:tc>
      </w:tr>
      <w:tr>
        <w:trPr>
          <w:trHeight w:val="300" w:hRule="atLeast"/>
        </w:trPr>
        <w:tc>
          <w:tcPr>
            <w:tcW w:w="1281" w:type="dxa"/>
          </w:tcPr>
          <w:p>
            <w:pPr>
              <w:pStyle w:val="TableParagraph"/>
              <w:spacing w:before="26"/>
              <w:ind w:left="83"/>
              <w:jc w:val="left"/>
              <w:rPr>
                <w:sz w:val="21"/>
              </w:rPr>
            </w:pPr>
            <w:r>
              <w:rPr>
                <w:sz w:val="21"/>
              </w:rPr>
              <w:t>450002</w:t>
            </w:r>
          </w:p>
        </w:tc>
        <w:tc>
          <w:tcPr>
            <w:tcW w:w="603" w:type="dxa"/>
          </w:tcPr>
          <w:p>
            <w:pPr>
              <w:pStyle w:val="TableParagraph"/>
              <w:spacing w:before="49"/>
              <w:ind w:left="137"/>
              <w:jc w:val="left"/>
              <w:rPr>
                <w:sz w:val="18"/>
              </w:rPr>
            </w:pPr>
            <w:r>
              <w:rPr>
                <w:sz w:val="18"/>
              </w:rPr>
              <w:t>-0.4</w:t>
            </w:r>
          </w:p>
        </w:tc>
        <w:tc>
          <w:tcPr>
            <w:tcW w:w="981" w:type="dxa"/>
          </w:tcPr>
          <w:p>
            <w:pPr>
              <w:pStyle w:val="TableParagraph"/>
              <w:spacing w:before="49"/>
              <w:ind w:left="85" w:right="123"/>
              <w:rPr>
                <w:sz w:val="18"/>
              </w:rPr>
            </w:pPr>
            <w:r>
              <w:rPr>
                <w:sz w:val="18"/>
              </w:rPr>
              <w:t>-13.8</w:t>
            </w:r>
          </w:p>
        </w:tc>
        <w:tc>
          <w:tcPr>
            <w:tcW w:w="694" w:type="dxa"/>
            <w:tcBorders>
              <w:right w:val="single" w:sz="8" w:space="0" w:color="000000"/>
            </w:tcBorders>
          </w:tcPr>
          <w:p>
            <w:pPr>
              <w:pStyle w:val="TableParagraph"/>
              <w:spacing w:before="49"/>
              <w:ind w:left="135" w:right="136"/>
              <w:rPr>
                <w:sz w:val="18"/>
              </w:rPr>
            </w:pPr>
            <w:r>
              <w:rPr>
                <w:sz w:val="18"/>
              </w:rPr>
              <w:t>0.88</w:t>
            </w:r>
          </w:p>
        </w:tc>
        <w:tc>
          <w:tcPr>
            <w:tcW w:w="736" w:type="dxa"/>
            <w:tcBorders>
              <w:left w:val="single" w:sz="8" w:space="0" w:color="000000"/>
            </w:tcBorders>
          </w:tcPr>
          <w:p>
            <w:pPr>
              <w:pStyle w:val="TableParagraph"/>
              <w:spacing w:before="49"/>
              <w:ind w:left="121" w:right="154"/>
              <w:rPr>
                <w:sz w:val="18"/>
              </w:rPr>
            </w:pPr>
            <w:r>
              <w:rPr>
                <w:sz w:val="18"/>
              </w:rPr>
              <w:t>-0.1</w:t>
            </w:r>
          </w:p>
        </w:tc>
        <w:tc>
          <w:tcPr>
            <w:tcW w:w="1053" w:type="dxa"/>
          </w:tcPr>
          <w:p>
            <w:pPr>
              <w:pStyle w:val="TableParagraph"/>
              <w:spacing w:before="49"/>
              <w:ind w:left="155" w:right="132"/>
              <w:rPr>
                <w:sz w:val="18"/>
              </w:rPr>
            </w:pPr>
            <w:r>
              <w:rPr>
                <w:sz w:val="18"/>
              </w:rPr>
              <w:t>-14.4</w:t>
            </w:r>
          </w:p>
        </w:tc>
        <w:tc>
          <w:tcPr>
            <w:tcW w:w="626" w:type="dxa"/>
            <w:tcBorders>
              <w:right w:val="single" w:sz="8" w:space="0" w:color="000000"/>
            </w:tcBorders>
          </w:tcPr>
          <w:p>
            <w:pPr>
              <w:pStyle w:val="TableParagraph"/>
              <w:spacing w:before="49"/>
              <w:ind w:left="135" w:right="68"/>
              <w:rPr>
                <w:sz w:val="18"/>
              </w:rPr>
            </w:pPr>
            <w:r>
              <w:rPr>
                <w:sz w:val="18"/>
              </w:rPr>
              <w:t>0.90</w:t>
            </w:r>
          </w:p>
        </w:tc>
        <w:tc>
          <w:tcPr>
            <w:tcW w:w="648" w:type="dxa"/>
            <w:tcBorders>
              <w:left w:val="single" w:sz="8" w:space="0" w:color="000000"/>
            </w:tcBorders>
          </w:tcPr>
          <w:p>
            <w:pPr>
              <w:pStyle w:val="TableParagraph"/>
              <w:spacing w:before="49"/>
              <w:ind w:left="84" w:right="101"/>
              <w:rPr>
                <w:sz w:val="18"/>
              </w:rPr>
            </w:pPr>
            <w:r>
              <w:rPr>
                <w:sz w:val="18"/>
              </w:rPr>
              <w:t>-1.8</w:t>
            </w:r>
          </w:p>
        </w:tc>
        <w:tc>
          <w:tcPr>
            <w:tcW w:w="1000" w:type="dxa"/>
          </w:tcPr>
          <w:p>
            <w:pPr>
              <w:pStyle w:val="TableParagraph"/>
              <w:spacing w:before="49"/>
              <w:ind w:left="103" w:right="128"/>
              <w:rPr>
                <w:sz w:val="18"/>
              </w:rPr>
            </w:pPr>
            <w:r>
              <w:rPr>
                <w:sz w:val="18"/>
              </w:rPr>
              <w:t>-18.1</w:t>
            </w:r>
          </w:p>
        </w:tc>
        <w:tc>
          <w:tcPr>
            <w:tcW w:w="696" w:type="dxa"/>
          </w:tcPr>
          <w:p>
            <w:pPr>
              <w:pStyle w:val="TableParagraph"/>
              <w:spacing w:before="49"/>
              <w:ind w:left="134" w:right="150"/>
              <w:rPr>
                <w:sz w:val="18"/>
              </w:rPr>
            </w:pPr>
            <w:r>
              <w:rPr>
                <w:sz w:val="18"/>
              </w:rPr>
              <w:t>0.86</w:t>
            </w:r>
          </w:p>
        </w:tc>
      </w:tr>
      <w:tr>
        <w:trPr>
          <w:trHeight w:val="300" w:hRule="atLeast"/>
        </w:trPr>
        <w:tc>
          <w:tcPr>
            <w:tcW w:w="1281" w:type="dxa"/>
          </w:tcPr>
          <w:p>
            <w:pPr>
              <w:pStyle w:val="TableParagraph"/>
              <w:spacing w:before="26"/>
              <w:ind w:left="83"/>
              <w:jc w:val="left"/>
              <w:rPr>
                <w:sz w:val="21"/>
              </w:rPr>
            </w:pPr>
            <w:r>
              <w:rPr>
                <w:sz w:val="21"/>
              </w:rPr>
              <w:t>450003</w:t>
            </w:r>
          </w:p>
        </w:tc>
        <w:tc>
          <w:tcPr>
            <w:tcW w:w="603" w:type="dxa"/>
          </w:tcPr>
          <w:p>
            <w:pPr>
              <w:pStyle w:val="TableParagraph"/>
              <w:spacing w:before="49"/>
              <w:ind w:left="168"/>
              <w:jc w:val="left"/>
              <w:rPr>
                <w:sz w:val="18"/>
              </w:rPr>
            </w:pPr>
            <w:r>
              <w:rPr>
                <w:sz w:val="18"/>
              </w:rPr>
              <w:t>6.1</w:t>
            </w:r>
          </w:p>
        </w:tc>
        <w:tc>
          <w:tcPr>
            <w:tcW w:w="981" w:type="dxa"/>
          </w:tcPr>
          <w:p>
            <w:pPr>
              <w:pStyle w:val="TableParagraph"/>
              <w:spacing w:before="49"/>
              <w:ind w:left="85" w:right="123"/>
              <w:rPr>
                <w:sz w:val="18"/>
              </w:rPr>
            </w:pPr>
            <w:r>
              <w:rPr>
                <w:sz w:val="18"/>
              </w:rPr>
              <w:t>-1.2</w:t>
            </w:r>
          </w:p>
        </w:tc>
        <w:tc>
          <w:tcPr>
            <w:tcW w:w="694" w:type="dxa"/>
            <w:tcBorders>
              <w:right w:val="single" w:sz="8" w:space="0" w:color="000000"/>
            </w:tcBorders>
          </w:tcPr>
          <w:p>
            <w:pPr>
              <w:pStyle w:val="TableParagraph"/>
              <w:spacing w:before="49"/>
              <w:ind w:left="135" w:right="136"/>
              <w:rPr>
                <w:sz w:val="18"/>
              </w:rPr>
            </w:pPr>
            <w:r>
              <w:rPr>
                <w:sz w:val="18"/>
              </w:rPr>
              <w:t>0.88</w:t>
            </w:r>
          </w:p>
        </w:tc>
        <w:tc>
          <w:tcPr>
            <w:tcW w:w="736" w:type="dxa"/>
            <w:tcBorders>
              <w:left w:val="single" w:sz="8" w:space="0" w:color="000000"/>
            </w:tcBorders>
          </w:tcPr>
          <w:p>
            <w:pPr>
              <w:pStyle w:val="TableParagraph"/>
              <w:spacing w:before="49"/>
              <w:ind w:left="119" w:right="154"/>
              <w:rPr>
                <w:sz w:val="18"/>
              </w:rPr>
            </w:pPr>
            <w:r>
              <w:rPr>
                <w:sz w:val="18"/>
              </w:rPr>
              <w:t>8.1</w:t>
            </w:r>
          </w:p>
        </w:tc>
        <w:tc>
          <w:tcPr>
            <w:tcW w:w="1053" w:type="dxa"/>
          </w:tcPr>
          <w:p>
            <w:pPr>
              <w:pStyle w:val="TableParagraph"/>
              <w:spacing w:before="49"/>
              <w:ind w:left="155" w:right="129"/>
              <w:rPr>
                <w:sz w:val="18"/>
              </w:rPr>
            </w:pPr>
            <w:r>
              <w:rPr>
                <w:sz w:val="18"/>
              </w:rPr>
              <w:t>1.7</w:t>
            </w:r>
          </w:p>
        </w:tc>
        <w:tc>
          <w:tcPr>
            <w:tcW w:w="626" w:type="dxa"/>
            <w:tcBorders>
              <w:right w:val="single" w:sz="8" w:space="0" w:color="000000"/>
            </w:tcBorders>
          </w:tcPr>
          <w:p>
            <w:pPr>
              <w:pStyle w:val="TableParagraph"/>
              <w:spacing w:before="49"/>
              <w:ind w:left="135" w:right="68"/>
              <w:rPr>
                <w:sz w:val="18"/>
              </w:rPr>
            </w:pPr>
            <w:r>
              <w:rPr>
                <w:sz w:val="18"/>
              </w:rPr>
              <w:t>0.90</w:t>
            </w:r>
          </w:p>
        </w:tc>
        <w:tc>
          <w:tcPr>
            <w:tcW w:w="648" w:type="dxa"/>
            <w:tcBorders>
              <w:left w:val="single" w:sz="8" w:space="0" w:color="000000"/>
            </w:tcBorders>
          </w:tcPr>
          <w:p>
            <w:pPr>
              <w:pStyle w:val="TableParagraph"/>
              <w:spacing w:before="49"/>
              <w:ind w:left="84" w:right="99"/>
              <w:rPr>
                <w:sz w:val="18"/>
              </w:rPr>
            </w:pPr>
            <w:r>
              <w:rPr>
                <w:sz w:val="18"/>
              </w:rPr>
              <w:t>6.4</w:t>
            </w:r>
          </w:p>
        </w:tc>
        <w:tc>
          <w:tcPr>
            <w:tcW w:w="1000" w:type="dxa"/>
          </w:tcPr>
          <w:p>
            <w:pPr>
              <w:pStyle w:val="TableParagraph"/>
              <w:spacing w:before="49"/>
              <w:ind w:left="103" w:right="126"/>
              <w:rPr>
                <w:sz w:val="18"/>
              </w:rPr>
            </w:pPr>
            <w:r>
              <w:rPr>
                <w:sz w:val="18"/>
              </w:rPr>
              <w:t>-1.4</w:t>
            </w:r>
          </w:p>
        </w:tc>
        <w:tc>
          <w:tcPr>
            <w:tcW w:w="696" w:type="dxa"/>
          </w:tcPr>
          <w:p>
            <w:pPr>
              <w:pStyle w:val="TableParagraph"/>
              <w:spacing w:before="49"/>
              <w:ind w:left="134" w:right="150"/>
              <w:rPr>
                <w:sz w:val="18"/>
              </w:rPr>
            </w:pPr>
            <w:r>
              <w:rPr>
                <w:sz w:val="18"/>
              </w:rPr>
              <w:t>0.86</w:t>
            </w:r>
          </w:p>
        </w:tc>
      </w:tr>
      <w:tr>
        <w:trPr>
          <w:trHeight w:val="300" w:hRule="atLeast"/>
        </w:trPr>
        <w:tc>
          <w:tcPr>
            <w:tcW w:w="1281" w:type="dxa"/>
          </w:tcPr>
          <w:p>
            <w:pPr>
              <w:pStyle w:val="TableParagraph"/>
              <w:spacing w:before="26"/>
              <w:ind w:left="83"/>
              <w:jc w:val="left"/>
              <w:rPr>
                <w:sz w:val="21"/>
              </w:rPr>
            </w:pPr>
            <w:r>
              <w:rPr>
                <w:sz w:val="21"/>
              </w:rPr>
              <w:t>450004</w:t>
            </w:r>
          </w:p>
        </w:tc>
        <w:tc>
          <w:tcPr>
            <w:tcW w:w="603" w:type="dxa"/>
          </w:tcPr>
          <w:p>
            <w:pPr>
              <w:pStyle w:val="TableParagraph"/>
              <w:spacing w:before="49"/>
              <w:ind w:left="118"/>
              <w:jc w:val="left"/>
              <w:rPr>
                <w:sz w:val="18"/>
              </w:rPr>
            </w:pPr>
            <w:r>
              <w:rPr>
                <w:sz w:val="18"/>
              </w:rPr>
              <w:t>13.8</w:t>
            </w:r>
          </w:p>
        </w:tc>
        <w:tc>
          <w:tcPr>
            <w:tcW w:w="981" w:type="dxa"/>
          </w:tcPr>
          <w:p>
            <w:pPr>
              <w:pStyle w:val="TableParagraph"/>
              <w:spacing w:before="49"/>
              <w:ind w:left="85" w:right="125"/>
              <w:rPr>
                <w:sz w:val="18"/>
              </w:rPr>
            </w:pPr>
            <w:r>
              <w:rPr>
                <w:sz w:val="18"/>
              </w:rPr>
              <w:t>7.6</w:t>
            </w:r>
          </w:p>
        </w:tc>
        <w:tc>
          <w:tcPr>
            <w:tcW w:w="694" w:type="dxa"/>
            <w:tcBorders>
              <w:right w:val="single" w:sz="8" w:space="0" w:color="000000"/>
            </w:tcBorders>
          </w:tcPr>
          <w:p>
            <w:pPr>
              <w:pStyle w:val="TableParagraph"/>
              <w:spacing w:before="49"/>
              <w:ind w:left="135" w:right="136"/>
              <w:rPr>
                <w:sz w:val="18"/>
              </w:rPr>
            </w:pPr>
            <w:r>
              <w:rPr>
                <w:sz w:val="18"/>
              </w:rPr>
              <w:t>0.82</w:t>
            </w:r>
          </w:p>
        </w:tc>
        <w:tc>
          <w:tcPr>
            <w:tcW w:w="736" w:type="dxa"/>
            <w:tcBorders>
              <w:left w:val="single" w:sz="8" w:space="0" w:color="000000"/>
            </w:tcBorders>
          </w:tcPr>
          <w:p>
            <w:pPr>
              <w:pStyle w:val="TableParagraph"/>
              <w:spacing w:before="49"/>
              <w:ind w:left="117" w:right="154"/>
              <w:rPr>
                <w:sz w:val="18"/>
              </w:rPr>
            </w:pPr>
            <w:r>
              <w:rPr>
                <w:sz w:val="18"/>
              </w:rPr>
              <w:t>14.0</w:t>
            </w:r>
          </w:p>
        </w:tc>
        <w:tc>
          <w:tcPr>
            <w:tcW w:w="1053" w:type="dxa"/>
          </w:tcPr>
          <w:p>
            <w:pPr>
              <w:pStyle w:val="TableParagraph"/>
              <w:spacing w:before="49"/>
              <w:ind w:left="155" w:right="129"/>
              <w:rPr>
                <w:sz w:val="18"/>
              </w:rPr>
            </w:pPr>
            <w:r>
              <w:rPr>
                <w:sz w:val="18"/>
              </w:rPr>
              <w:t>5.7</w:t>
            </w:r>
          </w:p>
        </w:tc>
        <w:tc>
          <w:tcPr>
            <w:tcW w:w="626" w:type="dxa"/>
            <w:tcBorders>
              <w:right w:val="single" w:sz="8" w:space="0" w:color="000000"/>
            </w:tcBorders>
          </w:tcPr>
          <w:p>
            <w:pPr>
              <w:pStyle w:val="TableParagraph"/>
              <w:spacing w:before="49"/>
              <w:ind w:left="135" w:right="68"/>
              <w:rPr>
                <w:sz w:val="18"/>
              </w:rPr>
            </w:pPr>
            <w:r>
              <w:rPr>
                <w:sz w:val="18"/>
              </w:rPr>
              <w:t>0.84</w:t>
            </w:r>
          </w:p>
        </w:tc>
        <w:tc>
          <w:tcPr>
            <w:tcW w:w="648" w:type="dxa"/>
            <w:tcBorders>
              <w:left w:val="single" w:sz="8" w:space="0" w:color="000000"/>
            </w:tcBorders>
          </w:tcPr>
          <w:p>
            <w:pPr>
              <w:pStyle w:val="TableParagraph"/>
              <w:spacing w:before="49"/>
              <w:ind w:left="84" w:right="99"/>
              <w:rPr>
                <w:sz w:val="18"/>
              </w:rPr>
            </w:pPr>
            <w:r>
              <w:rPr>
                <w:sz w:val="18"/>
              </w:rPr>
              <w:t>11.2</w:t>
            </w:r>
          </w:p>
        </w:tc>
        <w:tc>
          <w:tcPr>
            <w:tcW w:w="1000" w:type="dxa"/>
          </w:tcPr>
          <w:p>
            <w:pPr>
              <w:pStyle w:val="TableParagraph"/>
              <w:spacing w:before="49"/>
              <w:ind w:left="103" w:right="129"/>
              <w:rPr>
                <w:sz w:val="18"/>
              </w:rPr>
            </w:pPr>
            <w:r>
              <w:rPr>
                <w:sz w:val="18"/>
              </w:rPr>
              <w:t>4.1</w:t>
            </w:r>
          </w:p>
        </w:tc>
        <w:tc>
          <w:tcPr>
            <w:tcW w:w="696" w:type="dxa"/>
          </w:tcPr>
          <w:p>
            <w:pPr>
              <w:pStyle w:val="TableParagraph"/>
              <w:spacing w:before="49"/>
              <w:ind w:left="134" w:right="150"/>
              <w:rPr>
                <w:sz w:val="18"/>
              </w:rPr>
            </w:pPr>
            <w:r>
              <w:rPr>
                <w:sz w:val="18"/>
              </w:rPr>
              <w:t>0.81</w:t>
            </w:r>
          </w:p>
        </w:tc>
      </w:tr>
      <w:tr>
        <w:trPr>
          <w:trHeight w:val="300" w:hRule="atLeast"/>
        </w:trPr>
        <w:tc>
          <w:tcPr>
            <w:tcW w:w="1281" w:type="dxa"/>
          </w:tcPr>
          <w:p>
            <w:pPr>
              <w:pStyle w:val="TableParagraph"/>
              <w:spacing w:before="26"/>
              <w:ind w:left="83"/>
              <w:jc w:val="left"/>
              <w:rPr>
                <w:sz w:val="21"/>
              </w:rPr>
            </w:pPr>
            <w:r>
              <w:rPr>
                <w:sz w:val="21"/>
              </w:rPr>
              <w:t>450005</w:t>
            </w:r>
          </w:p>
        </w:tc>
        <w:tc>
          <w:tcPr>
            <w:tcW w:w="603" w:type="dxa"/>
          </w:tcPr>
          <w:p>
            <w:pPr>
              <w:pStyle w:val="TableParagraph"/>
              <w:spacing w:before="49"/>
              <w:ind w:left="168"/>
              <w:jc w:val="left"/>
              <w:rPr>
                <w:sz w:val="18"/>
              </w:rPr>
            </w:pPr>
            <w:r>
              <w:rPr>
                <w:sz w:val="18"/>
              </w:rPr>
              <w:t>3.3</w:t>
            </w:r>
          </w:p>
        </w:tc>
        <w:tc>
          <w:tcPr>
            <w:tcW w:w="981" w:type="dxa"/>
          </w:tcPr>
          <w:p>
            <w:pPr>
              <w:pStyle w:val="TableParagraph"/>
              <w:spacing w:before="49"/>
              <w:ind w:left="85" w:right="123"/>
              <w:rPr>
                <w:sz w:val="18"/>
              </w:rPr>
            </w:pPr>
            <w:r>
              <w:rPr>
                <w:sz w:val="18"/>
              </w:rPr>
              <w:t>-39.7</w:t>
            </w:r>
          </w:p>
        </w:tc>
        <w:tc>
          <w:tcPr>
            <w:tcW w:w="694" w:type="dxa"/>
            <w:tcBorders>
              <w:right w:val="single" w:sz="8" w:space="0" w:color="000000"/>
            </w:tcBorders>
          </w:tcPr>
          <w:p>
            <w:pPr>
              <w:pStyle w:val="TableParagraph"/>
              <w:spacing w:before="49"/>
              <w:ind w:left="135" w:right="136"/>
              <w:rPr>
                <w:sz w:val="18"/>
              </w:rPr>
            </w:pPr>
            <w:r>
              <w:rPr>
                <w:sz w:val="18"/>
              </w:rPr>
              <w:t>0.73</w:t>
            </w:r>
          </w:p>
        </w:tc>
        <w:tc>
          <w:tcPr>
            <w:tcW w:w="736" w:type="dxa"/>
            <w:tcBorders>
              <w:left w:val="single" w:sz="8" w:space="0" w:color="000000"/>
            </w:tcBorders>
          </w:tcPr>
          <w:p>
            <w:pPr>
              <w:pStyle w:val="TableParagraph"/>
              <w:spacing w:before="49"/>
              <w:ind w:left="121" w:right="154"/>
              <w:rPr>
                <w:sz w:val="18"/>
              </w:rPr>
            </w:pPr>
            <w:r>
              <w:rPr>
                <w:sz w:val="18"/>
              </w:rPr>
              <w:t>-0.1</w:t>
            </w:r>
          </w:p>
        </w:tc>
        <w:tc>
          <w:tcPr>
            <w:tcW w:w="1053" w:type="dxa"/>
          </w:tcPr>
          <w:p>
            <w:pPr>
              <w:pStyle w:val="TableParagraph"/>
              <w:spacing w:before="49"/>
              <w:ind w:left="155" w:right="132"/>
              <w:rPr>
                <w:sz w:val="18"/>
              </w:rPr>
            </w:pPr>
            <w:r>
              <w:rPr>
                <w:sz w:val="18"/>
              </w:rPr>
              <w:t>-59.4</w:t>
            </w:r>
          </w:p>
        </w:tc>
        <w:tc>
          <w:tcPr>
            <w:tcW w:w="626" w:type="dxa"/>
            <w:tcBorders>
              <w:right w:val="single" w:sz="8" w:space="0" w:color="000000"/>
            </w:tcBorders>
          </w:tcPr>
          <w:p>
            <w:pPr>
              <w:pStyle w:val="TableParagraph"/>
              <w:spacing w:before="49"/>
              <w:ind w:left="135" w:right="68"/>
              <w:rPr>
                <w:sz w:val="18"/>
              </w:rPr>
            </w:pPr>
            <w:r>
              <w:rPr>
                <w:sz w:val="18"/>
              </w:rPr>
              <w:t>0.74</w:t>
            </w:r>
          </w:p>
        </w:tc>
        <w:tc>
          <w:tcPr>
            <w:tcW w:w="648" w:type="dxa"/>
            <w:tcBorders>
              <w:left w:val="single" w:sz="8" w:space="0" w:color="000000"/>
            </w:tcBorders>
          </w:tcPr>
          <w:p>
            <w:pPr>
              <w:pStyle w:val="TableParagraph"/>
              <w:spacing w:before="49"/>
              <w:ind w:left="84" w:right="99"/>
              <w:rPr>
                <w:sz w:val="18"/>
              </w:rPr>
            </w:pPr>
            <w:r>
              <w:rPr>
                <w:sz w:val="18"/>
              </w:rPr>
              <w:t>1.0</w:t>
            </w:r>
          </w:p>
        </w:tc>
        <w:tc>
          <w:tcPr>
            <w:tcW w:w="1000" w:type="dxa"/>
          </w:tcPr>
          <w:p>
            <w:pPr>
              <w:pStyle w:val="TableParagraph"/>
              <w:spacing w:before="49"/>
              <w:ind w:left="103" w:right="128"/>
              <w:rPr>
                <w:sz w:val="18"/>
              </w:rPr>
            </w:pPr>
            <w:r>
              <w:rPr>
                <w:sz w:val="18"/>
              </w:rPr>
              <w:t>-52.6</w:t>
            </w:r>
          </w:p>
        </w:tc>
        <w:tc>
          <w:tcPr>
            <w:tcW w:w="696" w:type="dxa"/>
          </w:tcPr>
          <w:p>
            <w:pPr>
              <w:pStyle w:val="TableParagraph"/>
              <w:spacing w:before="49"/>
              <w:ind w:left="134" w:right="150"/>
              <w:rPr>
                <w:sz w:val="18"/>
              </w:rPr>
            </w:pPr>
            <w:r>
              <w:rPr>
                <w:sz w:val="18"/>
              </w:rPr>
              <w:t>0.67</w:t>
            </w:r>
          </w:p>
        </w:tc>
      </w:tr>
      <w:tr>
        <w:trPr>
          <w:trHeight w:val="300" w:hRule="atLeast"/>
        </w:trPr>
        <w:tc>
          <w:tcPr>
            <w:tcW w:w="1281" w:type="dxa"/>
          </w:tcPr>
          <w:p>
            <w:pPr>
              <w:pStyle w:val="TableParagraph"/>
              <w:spacing w:before="26"/>
              <w:ind w:left="83"/>
              <w:jc w:val="left"/>
              <w:rPr>
                <w:sz w:val="21"/>
              </w:rPr>
            </w:pPr>
            <w:r>
              <w:rPr>
                <w:sz w:val="21"/>
              </w:rPr>
              <w:t>450035</w:t>
            </w:r>
          </w:p>
        </w:tc>
        <w:tc>
          <w:tcPr>
            <w:tcW w:w="603" w:type="dxa"/>
          </w:tcPr>
          <w:p>
            <w:pPr>
              <w:pStyle w:val="TableParagraph"/>
              <w:spacing w:before="50"/>
              <w:ind w:left="118"/>
              <w:jc w:val="left"/>
              <w:rPr>
                <w:sz w:val="18"/>
              </w:rPr>
            </w:pPr>
            <w:r>
              <w:rPr>
                <w:sz w:val="18"/>
              </w:rPr>
              <w:t>23.3</w:t>
            </w:r>
          </w:p>
        </w:tc>
        <w:tc>
          <w:tcPr>
            <w:tcW w:w="981" w:type="dxa"/>
          </w:tcPr>
          <w:p>
            <w:pPr>
              <w:pStyle w:val="TableParagraph"/>
              <w:spacing w:before="50"/>
              <w:ind w:left="85" w:right="125"/>
              <w:rPr>
                <w:sz w:val="18"/>
              </w:rPr>
            </w:pPr>
            <w:r>
              <w:rPr>
                <w:sz w:val="18"/>
              </w:rPr>
              <w:t>7.3</w:t>
            </w:r>
          </w:p>
        </w:tc>
        <w:tc>
          <w:tcPr>
            <w:tcW w:w="694" w:type="dxa"/>
            <w:tcBorders>
              <w:right w:val="single" w:sz="8" w:space="0" w:color="000000"/>
            </w:tcBorders>
          </w:tcPr>
          <w:p>
            <w:pPr>
              <w:pStyle w:val="TableParagraph"/>
              <w:spacing w:before="50"/>
              <w:ind w:left="135" w:right="136"/>
              <w:rPr>
                <w:sz w:val="18"/>
              </w:rPr>
            </w:pPr>
            <w:r>
              <w:rPr>
                <w:sz w:val="18"/>
              </w:rPr>
              <w:t>0.71</w:t>
            </w:r>
          </w:p>
        </w:tc>
        <w:tc>
          <w:tcPr>
            <w:tcW w:w="736" w:type="dxa"/>
            <w:tcBorders>
              <w:left w:val="single" w:sz="8" w:space="0" w:color="000000"/>
            </w:tcBorders>
          </w:tcPr>
          <w:p>
            <w:pPr>
              <w:pStyle w:val="TableParagraph"/>
              <w:spacing w:before="50"/>
              <w:ind w:left="119" w:right="154"/>
              <w:rPr>
                <w:sz w:val="18"/>
              </w:rPr>
            </w:pPr>
            <w:r>
              <w:rPr>
                <w:sz w:val="18"/>
              </w:rPr>
              <w:t>6.1</w:t>
            </w:r>
          </w:p>
        </w:tc>
        <w:tc>
          <w:tcPr>
            <w:tcW w:w="1053" w:type="dxa"/>
          </w:tcPr>
          <w:p>
            <w:pPr>
              <w:pStyle w:val="TableParagraph"/>
              <w:spacing w:before="50"/>
              <w:ind w:left="155" w:right="132"/>
              <w:rPr>
                <w:sz w:val="18"/>
              </w:rPr>
            </w:pPr>
            <w:r>
              <w:rPr>
                <w:sz w:val="18"/>
              </w:rPr>
              <w:t>-27.2</w:t>
            </w:r>
          </w:p>
        </w:tc>
        <w:tc>
          <w:tcPr>
            <w:tcW w:w="626" w:type="dxa"/>
            <w:tcBorders>
              <w:right w:val="single" w:sz="8" w:space="0" w:color="000000"/>
            </w:tcBorders>
          </w:tcPr>
          <w:p>
            <w:pPr>
              <w:pStyle w:val="TableParagraph"/>
              <w:spacing w:before="50"/>
              <w:ind w:left="135" w:right="68"/>
              <w:rPr>
                <w:sz w:val="18"/>
              </w:rPr>
            </w:pPr>
            <w:r>
              <w:rPr>
                <w:sz w:val="18"/>
              </w:rPr>
              <w:t>0.64</w:t>
            </w:r>
          </w:p>
        </w:tc>
        <w:tc>
          <w:tcPr>
            <w:tcW w:w="648" w:type="dxa"/>
            <w:tcBorders>
              <w:left w:val="single" w:sz="8" w:space="0" w:color="000000"/>
            </w:tcBorders>
          </w:tcPr>
          <w:p>
            <w:pPr>
              <w:pStyle w:val="TableParagraph"/>
              <w:spacing w:before="50"/>
              <w:ind w:left="84" w:right="99"/>
              <w:rPr>
                <w:sz w:val="18"/>
              </w:rPr>
            </w:pPr>
            <w:r>
              <w:rPr>
                <w:sz w:val="18"/>
              </w:rPr>
              <w:t>22.3</w:t>
            </w:r>
          </w:p>
        </w:tc>
        <w:tc>
          <w:tcPr>
            <w:tcW w:w="1000" w:type="dxa"/>
          </w:tcPr>
          <w:p>
            <w:pPr>
              <w:pStyle w:val="TableParagraph"/>
              <w:spacing w:before="50"/>
              <w:ind w:left="103" w:right="129"/>
              <w:rPr>
                <w:sz w:val="18"/>
              </w:rPr>
            </w:pPr>
            <w:r>
              <w:rPr>
                <w:sz w:val="18"/>
              </w:rPr>
              <w:t>22.3</w:t>
            </w:r>
          </w:p>
        </w:tc>
        <w:tc>
          <w:tcPr>
            <w:tcW w:w="696" w:type="dxa"/>
          </w:tcPr>
          <w:p>
            <w:pPr>
              <w:pStyle w:val="TableParagraph"/>
              <w:spacing w:before="50"/>
              <w:ind w:left="134" w:right="150"/>
              <w:rPr>
                <w:sz w:val="18"/>
              </w:rPr>
            </w:pPr>
            <w:r>
              <w:rPr>
                <w:sz w:val="18"/>
              </w:rPr>
              <w:t>0.71</w:t>
            </w:r>
          </w:p>
        </w:tc>
      </w:tr>
      <w:tr>
        <w:trPr>
          <w:trHeight w:val="300" w:hRule="atLeast"/>
        </w:trPr>
        <w:tc>
          <w:tcPr>
            <w:tcW w:w="1281" w:type="dxa"/>
          </w:tcPr>
          <w:p>
            <w:pPr>
              <w:pStyle w:val="TableParagraph"/>
              <w:spacing w:before="26"/>
              <w:ind w:left="83"/>
              <w:jc w:val="left"/>
              <w:rPr>
                <w:sz w:val="21"/>
              </w:rPr>
            </w:pPr>
            <w:r>
              <w:rPr>
                <w:sz w:val="21"/>
              </w:rPr>
              <w:t>450043</w:t>
            </w:r>
          </w:p>
        </w:tc>
        <w:tc>
          <w:tcPr>
            <w:tcW w:w="603" w:type="dxa"/>
          </w:tcPr>
          <w:p>
            <w:pPr>
              <w:pStyle w:val="TableParagraph"/>
              <w:spacing w:before="49"/>
              <w:ind w:left="137"/>
              <w:jc w:val="left"/>
              <w:rPr>
                <w:sz w:val="18"/>
              </w:rPr>
            </w:pPr>
            <w:r>
              <w:rPr>
                <w:sz w:val="18"/>
              </w:rPr>
              <w:t>-2.3</w:t>
            </w:r>
          </w:p>
        </w:tc>
        <w:tc>
          <w:tcPr>
            <w:tcW w:w="981" w:type="dxa"/>
          </w:tcPr>
          <w:p>
            <w:pPr>
              <w:pStyle w:val="TableParagraph"/>
              <w:spacing w:before="49"/>
              <w:ind w:left="85" w:right="125"/>
              <w:rPr>
                <w:sz w:val="18"/>
              </w:rPr>
            </w:pPr>
            <w:r>
              <w:rPr>
                <w:sz w:val="18"/>
              </w:rPr>
              <w:t>6.4</w:t>
            </w:r>
          </w:p>
        </w:tc>
        <w:tc>
          <w:tcPr>
            <w:tcW w:w="694" w:type="dxa"/>
            <w:tcBorders>
              <w:right w:val="single" w:sz="8" w:space="0" w:color="000000"/>
            </w:tcBorders>
          </w:tcPr>
          <w:p>
            <w:pPr>
              <w:pStyle w:val="TableParagraph"/>
              <w:spacing w:before="49"/>
              <w:ind w:left="135" w:right="136"/>
              <w:rPr>
                <w:sz w:val="18"/>
              </w:rPr>
            </w:pPr>
            <w:r>
              <w:rPr>
                <w:sz w:val="18"/>
              </w:rPr>
              <w:t>0.88</w:t>
            </w:r>
          </w:p>
        </w:tc>
        <w:tc>
          <w:tcPr>
            <w:tcW w:w="736" w:type="dxa"/>
            <w:tcBorders>
              <w:left w:val="single" w:sz="8" w:space="0" w:color="000000"/>
            </w:tcBorders>
          </w:tcPr>
          <w:p>
            <w:pPr>
              <w:pStyle w:val="TableParagraph"/>
              <w:spacing w:before="49"/>
              <w:ind w:left="121" w:right="154"/>
              <w:rPr>
                <w:sz w:val="18"/>
              </w:rPr>
            </w:pPr>
            <w:r>
              <w:rPr>
                <w:sz w:val="18"/>
              </w:rPr>
              <w:t>-0.5</w:t>
            </w:r>
          </w:p>
        </w:tc>
        <w:tc>
          <w:tcPr>
            <w:tcW w:w="1053" w:type="dxa"/>
          </w:tcPr>
          <w:p>
            <w:pPr>
              <w:pStyle w:val="TableParagraph"/>
              <w:spacing w:before="49"/>
              <w:ind w:left="155" w:right="129"/>
              <w:rPr>
                <w:sz w:val="18"/>
              </w:rPr>
            </w:pPr>
            <w:r>
              <w:rPr>
                <w:sz w:val="18"/>
              </w:rPr>
              <w:t>3.3</w:t>
            </w:r>
          </w:p>
        </w:tc>
        <w:tc>
          <w:tcPr>
            <w:tcW w:w="626" w:type="dxa"/>
            <w:tcBorders>
              <w:right w:val="single" w:sz="8" w:space="0" w:color="000000"/>
            </w:tcBorders>
          </w:tcPr>
          <w:p>
            <w:pPr>
              <w:pStyle w:val="TableParagraph"/>
              <w:spacing w:before="49"/>
              <w:ind w:left="135" w:right="68"/>
              <w:rPr>
                <w:sz w:val="18"/>
              </w:rPr>
            </w:pPr>
            <w:r>
              <w:rPr>
                <w:sz w:val="18"/>
              </w:rPr>
              <w:t>0.87</w:t>
            </w:r>
          </w:p>
        </w:tc>
        <w:tc>
          <w:tcPr>
            <w:tcW w:w="648" w:type="dxa"/>
            <w:tcBorders>
              <w:left w:val="single" w:sz="8" w:space="0" w:color="000000"/>
            </w:tcBorders>
          </w:tcPr>
          <w:p>
            <w:pPr>
              <w:pStyle w:val="TableParagraph"/>
              <w:spacing w:before="49"/>
              <w:ind w:left="84" w:right="99"/>
              <w:rPr>
                <w:sz w:val="18"/>
              </w:rPr>
            </w:pPr>
            <w:r>
              <w:rPr>
                <w:sz w:val="18"/>
              </w:rPr>
              <w:t>3.8</w:t>
            </w:r>
          </w:p>
        </w:tc>
        <w:tc>
          <w:tcPr>
            <w:tcW w:w="1000" w:type="dxa"/>
          </w:tcPr>
          <w:p>
            <w:pPr>
              <w:pStyle w:val="TableParagraph"/>
              <w:spacing w:before="49"/>
              <w:ind w:left="103" w:right="129"/>
              <w:rPr>
                <w:sz w:val="18"/>
              </w:rPr>
            </w:pPr>
            <w:r>
              <w:rPr>
                <w:sz w:val="18"/>
              </w:rPr>
              <w:t>9.3</w:t>
            </w:r>
          </w:p>
        </w:tc>
        <w:tc>
          <w:tcPr>
            <w:tcW w:w="696" w:type="dxa"/>
          </w:tcPr>
          <w:p>
            <w:pPr>
              <w:pStyle w:val="TableParagraph"/>
              <w:spacing w:before="49"/>
              <w:ind w:left="134" w:right="150"/>
              <w:rPr>
                <w:sz w:val="18"/>
              </w:rPr>
            </w:pPr>
            <w:r>
              <w:rPr>
                <w:sz w:val="18"/>
              </w:rPr>
              <w:t>0.87</w:t>
            </w:r>
          </w:p>
        </w:tc>
      </w:tr>
      <w:tr>
        <w:trPr>
          <w:trHeight w:val="303" w:hRule="atLeast"/>
        </w:trPr>
        <w:tc>
          <w:tcPr>
            <w:tcW w:w="1281" w:type="dxa"/>
          </w:tcPr>
          <w:p>
            <w:pPr>
              <w:pStyle w:val="TableParagraph"/>
              <w:spacing w:before="26"/>
              <w:ind w:left="83"/>
              <w:jc w:val="left"/>
              <w:rPr>
                <w:sz w:val="21"/>
              </w:rPr>
            </w:pPr>
            <w:r>
              <w:rPr>
                <w:sz w:val="21"/>
              </w:rPr>
              <w:t>450045</w:t>
            </w:r>
          </w:p>
        </w:tc>
        <w:tc>
          <w:tcPr>
            <w:tcW w:w="603" w:type="dxa"/>
          </w:tcPr>
          <w:p>
            <w:pPr>
              <w:pStyle w:val="TableParagraph"/>
              <w:spacing w:before="49"/>
              <w:ind w:left="86"/>
              <w:jc w:val="left"/>
              <w:rPr>
                <w:sz w:val="18"/>
              </w:rPr>
            </w:pPr>
            <w:r>
              <w:rPr>
                <w:sz w:val="18"/>
              </w:rPr>
              <w:t>-23.6</w:t>
            </w:r>
          </w:p>
        </w:tc>
        <w:tc>
          <w:tcPr>
            <w:tcW w:w="981" w:type="dxa"/>
          </w:tcPr>
          <w:p>
            <w:pPr>
              <w:pStyle w:val="TableParagraph"/>
              <w:spacing w:before="49"/>
              <w:ind w:left="85" w:right="123"/>
              <w:rPr>
                <w:sz w:val="18"/>
              </w:rPr>
            </w:pPr>
            <w:r>
              <w:rPr>
                <w:sz w:val="18"/>
              </w:rPr>
              <w:t>-23.2</w:t>
            </w:r>
          </w:p>
        </w:tc>
        <w:tc>
          <w:tcPr>
            <w:tcW w:w="694" w:type="dxa"/>
            <w:tcBorders>
              <w:right w:val="single" w:sz="8" w:space="0" w:color="000000"/>
            </w:tcBorders>
          </w:tcPr>
          <w:p>
            <w:pPr>
              <w:pStyle w:val="TableParagraph"/>
              <w:spacing w:before="49"/>
              <w:ind w:left="135" w:right="136"/>
              <w:rPr>
                <w:sz w:val="18"/>
              </w:rPr>
            </w:pPr>
            <w:r>
              <w:rPr>
                <w:sz w:val="18"/>
              </w:rPr>
              <w:t>0.42</w:t>
            </w:r>
          </w:p>
        </w:tc>
        <w:tc>
          <w:tcPr>
            <w:tcW w:w="736" w:type="dxa"/>
            <w:tcBorders>
              <w:left w:val="single" w:sz="8" w:space="0" w:color="000000"/>
            </w:tcBorders>
          </w:tcPr>
          <w:p>
            <w:pPr>
              <w:pStyle w:val="TableParagraph"/>
              <w:spacing w:before="49"/>
              <w:ind w:left="121" w:right="154"/>
              <w:rPr>
                <w:sz w:val="18"/>
              </w:rPr>
            </w:pPr>
            <w:r>
              <w:rPr>
                <w:sz w:val="18"/>
              </w:rPr>
              <w:t>-17.9</w:t>
            </w:r>
          </w:p>
        </w:tc>
        <w:tc>
          <w:tcPr>
            <w:tcW w:w="1053" w:type="dxa"/>
          </w:tcPr>
          <w:p>
            <w:pPr>
              <w:pStyle w:val="TableParagraph"/>
              <w:spacing w:before="49"/>
              <w:ind w:left="155" w:right="131"/>
              <w:rPr>
                <w:sz w:val="18"/>
              </w:rPr>
            </w:pPr>
            <w:r>
              <w:rPr>
                <w:sz w:val="18"/>
              </w:rPr>
              <w:t>-5.7</w:t>
            </w:r>
          </w:p>
        </w:tc>
        <w:tc>
          <w:tcPr>
            <w:tcW w:w="626" w:type="dxa"/>
            <w:tcBorders>
              <w:right w:val="single" w:sz="8" w:space="0" w:color="000000"/>
            </w:tcBorders>
          </w:tcPr>
          <w:p>
            <w:pPr>
              <w:pStyle w:val="TableParagraph"/>
              <w:spacing w:before="49"/>
              <w:ind w:left="135" w:right="68"/>
              <w:rPr>
                <w:sz w:val="18"/>
              </w:rPr>
            </w:pPr>
            <w:r>
              <w:rPr>
                <w:sz w:val="18"/>
              </w:rPr>
              <w:t>0.46</w:t>
            </w:r>
          </w:p>
        </w:tc>
        <w:tc>
          <w:tcPr>
            <w:tcW w:w="648" w:type="dxa"/>
            <w:tcBorders>
              <w:left w:val="single" w:sz="8" w:space="0" w:color="000000"/>
            </w:tcBorders>
          </w:tcPr>
          <w:p>
            <w:pPr>
              <w:pStyle w:val="TableParagraph"/>
              <w:spacing w:before="49"/>
              <w:ind w:left="84" w:right="103"/>
              <w:rPr>
                <w:sz w:val="18"/>
              </w:rPr>
            </w:pPr>
            <w:r>
              <w:rPr>
                <w:sz w:val="18"/>
              </w:rPr>
              <w:t>-23.0</w:t>
            </w:r>
          </w:p>
        </w:tc>
        <w:tc>
          <w:tcPr>
            <w:tcW w:w="1000" w:type="dxa"/>
          </w:tcPr>
          <w:p>
            <w:pPr>
              <w:pStyle w:val="TableParagraph"/>
              <w:spacing w:before="49"/>
              <w:ind w:left="103" w:right="128"/>
              <w:rPr>
                <w:sz w:val="18"/>
              </w:rPr>
            </w:pPr>
            <w:r>
              <w:rPr>
                <w:sz w:val="18"/>
              </w:rPr>
              <w:t>-18.8</w:t>
            </w:r>
          </w:p>
        </w:tc>
        <w:tc>
          <w:tcPr>
            <w:tcW w:w="696" w:type="dxa"/>
          </w:tcPr>
          <w:p>
            <w:pPr>
              <w:pStyle w:val="TableParagraph"/>
              <w:spacing w:before="49"/>
              <w:ind w:left="134" w:right="150"/>
              <w:rPr>
                <w:sz w:val="18"/>
              </w:rPr>
            </w:pPr>
            <w:r>
              <w:rPr>
                <w:sz w:val="18"/>
              </w:rPr>
              <w:t>0.48</w:t>
            </w:r>
          </w:p>
        </w:tc>
      </w:tr>
      <w:tr>
        <w:trPr>
          <w:trHeight w:val="341" w:hRule="atLeast"/>
        </w:trPr>
        <w:tc>
          <w:tcPr>
            <w:tcW w:w="1281" w:type="dxa"/>
            <w:tcBorders>
              <w:bottom w:val="single" w:sz="8" w:space="0" w:color="000000"/>
            </w:tcBorders>
          </w:tcPr>
          <w:p>
            <w:pPr>
              <w:pStyle w:val="TableParagraph"/>
              <w:spacing w:before="30"/>
              <w:ind w:left="83"/>
              <w:jc w:val="left"/>
              <w:rPr>
                <w:sz w:val="21"/>
              </w:rPr>
            </w:pPr>
            <w:r>
              <w:rPr>
                <w:sz w:val="21"/>
              </w:rPr>
              <w:t>450058</w:t>
            </w:r>
          </w:p>
        </w:tc>
        <w:tc>
          <w:tcPr>
            <w:tcW w:w="603" w:type="dxa"/>
            <w:tcBorders>
              <w:bottom w:val="single" w:sz="8" w:space="0" w:color="000000"/>
            </w:tcBorders>
          </w:tcPr>
          <w:p>
            <w:pPr>
              <w:pStyle w:val="TableParagraph"/>
              <w:spacing w:before="53"/>
              <w:ind w:left="137"/>
              <w:jc w:val="left"/>
              <w:rPr>
                <w:sz w:val="18"/>
              </w:rPr>
            </w:pPr>
            <w:r>
              <w:rPr>
                <w:sz w:val="18"/>
              </w:rPr>
              <w:t>-0.4</w:t>
            </w:r>
          </w:p>
        </w:tc>
        <w:tc>
          <w:tcPr>
            <w:tcW w:w="981" w:type="dxa"/>
            <w:tcBorders>
              <w:bottom w:val="single" w:sz="8" w:space="0" w:color="000000"/>
            </w:tcBorders>
          </w:tcPr>
          <w:p>
            <w:pPr>
              <w:pStyle w:val="TableParagraph"/>
              <w:spacing w:before="53"/>
              <w:ind w:left="85" w:right="125"/>
              <w:rPr>
                <w:sz w:val="18"/>
              </w:rPr>
            </w:pPr>
            <w:r>
              <w:rPr>
                <w:sz w:val="18"/>
              </w:rPr>
              <w:t>0.6</w:t>
            </w:r>
          </w:p>
        </w:tc>
        <w:tc>
          <w:tcPr>
            <w:tcW w:w="694" w:type="dxa"/>
            <w:tcBorders>
              <w:bottom w:val="single" w:sz="8" w:space="0" w:color="000000"/>
              <w:right w:val="single" w:sz="8" w:space="0" w:color="000000"/>
            </w:tcBorders>
          </w:tcPr>
          <w:p>
            <w:pPr>
              <w:pStyle w:val="TableParagraph"/>
              <w:spacing w:before="53"/>
              <w:ind w:left="135" w:right="136"/>
              <w:rPr>
                <w:sz w:val="18"/>
              </w:rPr>
            </w:pPr>
            <w:r>
              <w:rPr>
                <w:sz w:val="18"/>
              </w:rPr>
              <w:t>0.82</w:t>
            </w:r>
          </w:p>
        </w:tc>
        <w:tc>
          <w:tcPr>
            <w:tcW w:w="736" w:type="dxa"/>
            <w:tcBorders>
              <w:left w:val="single" w:sz="8" w:space="0" w:color="000000"/>
              <w:bottom w:val="single" w:sz="8" w:space="0" w:color="000000"/>
            </w:tcBorders>
          </w:tcPr>
          <w:p>
            <w:pPr>
              <w:pStyle w:val="TableParagraph"/>
              <w:spacing w:before="53"/>
              <w:ind w:left="121" w:right="154"/>
              <w:rPr>
                <w:sz w:val="18"/>
              </w:rPr>
            </w:pPr>
            <w:r>
              <w:rPr>
                <w:sz w:val="18"/>
              </w:rPr>
              <w:t>-2.5</w:t>
            </w:r>
          </w:p>
        </w:tc>
        <w:tc>
          <w:tcPr>
            <w:tcW w:w="1053" w:type="dxa"/>
            <w:tcBorders>
              <w:bottom w:val="single" w:sz="8" w:space="0" w:color="000000"/>
            </w:tcBorders>
          </w:tcPr>
          <w:p>
            <w:pPr>
              <w:pStyle w:val="TableParagraph"/>
              <w:spacing w:before="53"/>
              <w:ind w:left="155" w:right="132"/>
              <w:rPr>
                <w:sz w:val="18"/>
              </w:rPr>
            </w:pPr>
            <w:r>
              <w:rPr>
                <w:sz w:val="18"/>
              </w:rPr>
              <w:t>-11.2</w:t>
            </w:r>
          </w:p>
        </w:tc>
        <w:tc>
          <w:tcPr>
            <w:tcW w:w="626" w:type="dxa"/>
            <w:tcBorders>
              <w:bottom w:val="single" w:sz="8" w:space="0" w:color="000000"/>
              <w:right w:val="single" w:sz="8" w:space="0" w:color="000000"/>
            </w:tcBorders>
          </w:tcPr>
          <w:p>
            <w:pPr>
              <w:pStyle w:val="TableParagraph"/>
              <w:spacing w:before="53"/>
              <w:ind w:left="135" w:right="68"/>
              <w:rPr>
                <w:sz w:val="18"/>
              </w:rPr>
            </w:pPr>
            <w:r>
              <w:rPr>
                <w:sz w:val="18"/>
              </w:rPr>
              <w:t>0.75</w:t>
            </w:r>
          </w:p>
        </w:tc>
        <w:tc>
          <w:tcPr>
            <w:tcW w:w="648" w:type="dxa"/>
            <w:tcBorders>
              <w:left w:val="single" w:sz="8" w:space="0" w:color="000000"/>
              <w:bottom w:val="single" w:sz="8" w:space="0" w:color="000000"/>
            </w:tcBorders>
          </w:tcPr>
          <w:p>
            <w:pPr>
              <w:pStyle w:val="TableParagraph"/>
              <w:spacing w:before="53"/>
              <w:ind w:left="84" w:right="101"/>
              <w:rPr>
                <w:sz w:val="18"/>
              </w:rPr>
            </w:pPr>
            <w:r>
              <w:rPr>
                <w:sz w:val="18"/>
              </w:rPr>
              <w:t>-4.9</w:t>
            </w:r>
          </w:p>
        </w:tc>
        <w:tc>
          <w:tcPr>
            <w:tcW w:w="1000" w:type="dxa"/>
            <w:tcBorders>
              <w:bottom w:val="single" w:sz="8" w:space="0" w:color="000000"/>
            </w:tcBorders>
          </w:tcPr>
          <w:p>
            <w:pPr>
              <w:pStyle w:val="TableParagraph"/>
              <w:spacing w:before="53"/>
              <w:ind w:left="103" w:right="128"/>
              <w:rPr>
                <w:sz w:val="18"/>
              </w:rPr>
            </w:pPr>
            <w:r>
              <w:rPr>
                <w:sz w:val="18"/>
              </w:rPr>
              <w:t>-17.8</w:t>
            </w:r>
          </w:p>
        </w:tc>
        <w:tc>
          <w:tcPr>
            <w:tcW w:w="696" w:type="dxa"/>
            <w:tcBorders>
              <w:bottom w:val="single" w:sz="8" w:space="0" w:color="000000"/>
            </w:tcBorders>
          </w:tcPr>
          <w:p>
            <w:pPr>
              <w:pStyle w:val="TableParagraph"/>
              <w:spacing w:before="53"/>
              <w:ind w:left="134" w:right="150"/>
              <w:rPr>
                <w:sz w:val="18"/>
              </w:rPr>
            </w:pPr>
            <w:r>
              <w:rPr>
                <w:sz w:val="18"/>
              </w:rPr>
              <w:t>0.55</w:t>
            </w:r>
          </w:p>
        </w:tc>
      </w:tr>
    </w:tbl>
    <w:p>
      <w:pPr>
        <w:pStyle w:val="BodyText"/>
        <w:rPr>
          <w:rFonts w:ascii="Calibri"/>
          <w:i/>
          <w:sz w:val="18"/>
        </w:rPr>
      </w:pPr>
    </w:p>
    <w:p>
      <w:pPr>
        <w:pStyle w:val="BodyText"/>
        <w:spacing w:before="4"/>
        <w:rPr>
          <w:rFonts w:ascii="Calibri"/>
          <w:i/>
          <w:sz w:val="23"/>
        </w:rPr>
      </w:pPr>
    </w:p>
    <w:p>
      <w:pPr>
        <w:spacing w:before="1"/>
        <w:ind w:left="525" w:right="0" w:firstLine="0"/>
        <w:jc w:val="left"/>
        <w:rPr>
          <w:rFonts w:ascii="Calibri" w:hAnsi="Calibri"/>
          <w:i/>
          <w:sz w:val="18"/>
        </w:rPr>
      </w:pPr>
      <w:bookmarkStart w:name="_bookmark153" w:id="190"/>
      <w:bookmarkEnd w:id="190"/>
      <w:r>
        <w:rPr/>
      </w:r>
      <w:r>
        <w:rPr>
          <w:rFonts w:ascii="Calibri" w:hAnsi="Calibri"/>
          <w:i/>
          <w:color w:val="44536A"/>
          <w:sz w:val="18"/>
        </w:rPr>
        <w:t>Tabel 27 Trykniveau Odense Å</w:t>
      </w:r>
      <w:r>
        <w:rPr>
          <w:rFonts w:ascii="Calibri" w:hAnsi="Calibri"/>
          <w:i/>
          <w:color w:val="44536A"/>
          <w:spacing w:val="-14"/>
          <w:sz w:val="18"/>
        </w:rPr>
        <w:t> </w:t>
      </w:r>
      <w:r>
        <w:rPr>
          <w:rFonts w:ascii="Calibri" w:hAnsi="Calibri"/>
          <w:i/>
          <w:color w:val="44536A"/>
          <w:sz w:val="18"/>
        </w:rPr>
        <w:t>(m)</w:t>
      </w:r>
    </w:p>
    <w:p>
      <w:pPr>
        <w:pStyle w:val="BodyText"/>
        <w:spacing w:before="3"/>
        <w:rPr>
          <w:rFonts w:ascii="Calibri"/>
          <w:i/>
          <w:sz w:val="16"/>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26"/>
        <w:gridCol w:w="975"/>
        <w:gridCol w:w="918"/>
        <w:gridCol w:w="1050"/>
        <w:gridCol w:w="1117"/>
        <w:gridCol w:w="949"/>
        <w:gridCol w:w="896"/>
      </w:tblGrid>
      <w:tr>
        <w:trPr>
          <w:trHeight w:val="279" w:hRule="atLeast"/>
        </w:trPr>
        <w:tc>
          <w:tcPr>
            <w:tcW w:w="1326" w:type="dxa"/>
          </w:tcPr>
          <w:p>
            <w:pPr>
              <w:pStyle w:val="TableParagraph"/>
              <w:spacing w:before="2"/>
              <w:ind w:left="69"/>
              <w:jc w:val="left"/>
              <w:rPr>
                <w:b/>
                <w:sz w:val="21"/>
              </w:rPr>
            </w:pPr>
            <w:r>
              <w:rPr>
                <w:b/>
                <w:sz w:val="21"/>
              </w:rPr>
              <w:t>Kalibrering</w:t>
            </w:r>
          </w:p>
        </w:tc>
        <w:tc>
          <w:tcPr>
            <w:tcW w:w="1893" w:type="dxa"/>
            <w:gridSpan w:val="2"/>
            <w:tcBorders>
              <w:right w:val="single" w:sz="8" w:space="0" w:color="000000"/>
            </w:tcBorders>
          </w:tcPr>
          <w:p>
            <w:pPr>
              <w:pStyle w:val="TableParagraph"/>
              <w:spacing w:before="2"/>
              <w:ind w:left="140"/>
              <w:jc w:val="left"/>
              <w:rPr>
                <w:b/>
                <w:sz w:val="21"/>
              </w:rPr>
            </w:pPr>
            <w:r>
              <w:rPr>
                <w:b/>
                <w:sz w:val="21"/>
              </w:rPr>
              <w:t>100m_Jup+Reg</w:t>
            </w:r>
          </w:p>
        </w:tc>
        <w:tc>
          <w:tcPr>
            <w:tcW w:w="2167" w:type="dxa"/>
            <w:gridSpan w:val="2"/>
            <w:tcBorders>
              <w:left w:val="single" w:sz="8" w:space="0" w:color="000000"/>
              <w:right w:val="single" w:sz="8" w:space="0" w:color="000000"/>
            </w:tcBorders>
          </w:tcPr>
          <w:p>
            <w:pPr>
              <w:pStyle w:val="TableParagraph"/>
              <w:spacing w:before="2"/>
              <w:ind w:left="299"/>
              <w:jc w:val="left"/>
              <w:rPr>
                <w:b/>
                <w:sz w:val="21"/>
              </w:rPr>
            </w:pPr>
            <w:r>
              <w:rPr>
                <w:b/>
                <w:sz w:val="21"/>
              </w:rPr>
              <w:t>500m_Jup+Reg</w:t>
            </w:r>
          </w:p>
        </w:tc>
        <w:tc>
          <w:tcPr>
            <w:tcW w:w="1845" w:type="dxa"/>
            <w:gridSpan w:val="2"/>
            <w:tcBorders>
              <w:left w:val="single" w:sz="8" w:space="0" w:color="000000"/>
            </w:tcBorders>
          </w:tcPr>
          <w:p>
            <w:pPr>
              <w:pStyle w:val="TableParagraph"/>
              <w:spacing w:before="2"/>
              <w:ind w:left="146"/>
              <w:jc w:val="left"/>
              <w:rPr>
                <w:b/>
                <w:sz w:val="21"/>
              </w:rPr>
            </w:pPr>
            <w:r>
              <w:rPr>
                <w:b/>
                <w:sz w:val="21"/>
              </w:rPr>
              <w:t>100m_Par500m</w:t>
            </w:r>
          </w:p>
        </w:tc>
      </w:tr>
      <w:tr>
        <w:trPr>
          <w:trHeight w:val="334" w:hRule="atLeast"/>
        </w:trPr>
        <w:tc>
          <w:tcPr>
            <w:tcW w:w="1326" w:type="dxa"/>
            <w:tcBorders>
              <w:bottom w:val="single" w:sz="8" w:space="0" w:color="000000"/>
            </w:tcBorders>
          </w:tcPr>
          <w:p>
            <w:pPr>
              <w:pStyle w:val="TableParagraph"/>
              <w:jc w:val="left"/>
              <w:rPr>
                <w:rFonts w:ascii="Times New Roman"/>
                <w:sz w:val="20"/>
              </w:rPr>
            </w:pPr>
          </w:p>
        </w:tc>
        <w:tc>
          <w:tcPr>
            <w:tcW w:w="975" w:type="dxa"/>
            <w:tcBorders>
              <w:bottom w:val="single" w:sz="8" w:space="0" w:color="000000"/>
            </w:tcBorders>
          </w:tcPr>
          <w:p>
            <w:pPr>
              <w:pStyle w:val="TableParagraph"/>
              <w:spacing w:before="30"/>
              <w:ind w:left="157" w:right="146"/>
              <w:rPr>
                <w:sz w:val="21"/>
              </w:rPr>
            </w:pPr>
            <w:r>
              <w:rPr>
                <w:sz w:val="21"/>
              </w:rPr>
              <w:t>Jupiter</w:t>
            </w:r>
          </w:p>
        </w:tc>
        <w:tc>
          <w:tcPr>
            <w:tcW w:w="918" w:type="dxa"/>
            <w:tcBorders>
              <w:bottom w:val="single" w:sz="8" w:space="0" w:color="000000"/>
              <w:right w:val="single" w:sz="8" w:space="0" w:color="000000"/>
            </w:tcBorders>
          </w:tcPr>
          <w:p>
            <w:pPr>
              <w:pStyle w:val="TableParagraph"/>
              <w:spacing w:before="30"/>
              <w:ind w:left="144" w:right="58"/>
              <w:rPr>
                <w:sz w:val="21"/>
              </w:rPr>
            </w:pPr>
            <w:r>
              <w:rPr>
                <w:sz w:val="21"/>
              </w:rPr>
              <w:t>Region</w:t>
            </w:r>
          </w:p>
        </w:tc>
        <w:tc>
          <w:tcPr>
            <w:tcW w:w="1050" w:type="dxa"/>
            <w:tcBorders>
              <w:left w:val="single" w:sz="8" w:space="0" w:color="000000"/>
              <w:bottom w:val="single" w:sz="8" w:space="0" w:color="000000"/>
            </w:tcBorders>
          </w:tcPr>
          <w:p>
            <w:pPr>
              <w:pStyle w:val="TableParagraph"/>
              <w:spacing w:before="30"/>
              <w:ind w:left="172" w:right="197"/>
              <w:rPr>
                <w:sz w:val="21"/>
              </w:rPr>
            </w:pPr>
            <w:r>
              <w:rPr>
                <w:sz w:val="21"/>
              </w:rPr>
              <w:t>Jupiter</w:t>
            </w:r>
          </w:p>
        </w:tc>
        <w:tc>
          <w:tcPr>
            <w:tcW w:w="1117" w:type="dxa"/>
            <w:tcBorders>
              <w:bottom w:val="single" w:sz="8" w:space="0" w:color="000000"/>
              <w:right w:val="single" w:sz="8" w:space="0" w:color="000000"/>
            </w:tcBorders>
          </w:tcPr>
          <w:p>
            <w:pPr>
              <w:pStyle w:val="TableParagraph"/>
              <w:spacing w:before="30"/>
              <w:ind w:left="198" w:right="202"/>
              <w:rPr>
                <w:sz w:val="21"/>
              </w:rPr>
            </w:pPr>
            <w:r>
              <w:rPr>
                <w:sz w:val="21"/>
              </w:rPr>
              <w:t>Region</w:t>
            </w:r>
          </w:p>
        </w:tc>
        <w:tc>
          <w:tcPr>
            <w:tcW w:w="949" w:type="dxa"/>
            <w:tcBorders>
              <w:left w:val="single" w:sz="8" w:space="0" w:color="000000"/>
              <w:bottom w:val="single" w:sz="8" w:space="0" w:color="000000"/>
            </w:tcBorders>
          </w:tcPr>
          <w:p>
            <w:pPr>
              <w:pStyle w:val="TableParagraph"/>
              <w:spacing w:before="30"/>
              <w:ind w:left="152" w:right="116"/>
              <w:rPr>
                <w:sz w:val="21"/>
              </w:rPr>
            </w:pPr>
            <w:r>
              <w:rPr>
                <w:sz w:val="21"/>
              </w:rPr>
              <w:t>Jupiter</w:t>
            </w:r>
          </w:p>
        </w:tc>
        <w:tc>
          <w:tcPr>
            <w:tcW w:w="896" w:type="dxa"/>
            <w:tcBorders>
              <w:bottom w:val="single" w:sz="8" w:space="0" w:color="000000"/>
            </w:tcBorders>
          </w:tcPr>
          <w:p>
            <w:pPr>
              <w:pStyle w:val="TableParagraph"/>
              <w:spacing w:before="30"/>
              <w:ind w:left="116" w:right="74"/>
              <w:rPr>
                <w:sz w:val="21"/>
              </w:rPr>
            </w:pPr>
            <w:r>
              <w:rPr>
                <w:sz w:val="21"/>
              </w:rPr>
              <w:t>Region</w:t>
            </w:r>
          </w:p>
        </w:tc>
      </w:tr>
      <w:tr>
        <w:trPr>
          <w:trHeight w:val="275" w:hRule="atLeast"/>
        </w:trPr>
        <w:tc>
          <w:tcPr>
            <w:tcW w:w="1326" w:type="dxa"/>
            <w:tcBorders>
              <w:top w:val="single" w:sz="8" w:space="0" w:color="000000"/>
            </w:tcBorders>
          </w:tcPr>
          <w:p>
            <w:pPr>
              <w:pStyle w:val="TableParagraph"/>
              <w:spacing w:before="2"/>
              <w:ind w:left="69"/>
              <w:jc w:val="left"/>
              <w:rPr>
                <w:sz w:val="21"/>
              </w:rPr>
            </w:pPr>
            <w:r>
              <w:rPr>
                <w:sz w:val="21"/>
              </w:rPr>
              <w:t>ME tn</w:t>
            </w:r>
          </w:p>
        </w:tc>
        <w:tc>
          <w:tcPr>
            <w:tcW w:w="975" w:type="dxa"/>
            <w:tcBorders>
              <w:top w:val="single" w:sz="8" w:space="0" w:color="000000"/>
            </w:tcBorders>
          </w:tcPr>
          <w:p>
            <w:pPr>
              <w:pStyle w:val="TableParagraph"/>
              <w:spacing w:before="2"/>
              <w:ind w:left="157" w:right="146"/>
              <w:rPr>
                <w:sz w:val="21"/>
              </w:rPr>
            </w:pPr>
            <w:r>
              <w:rPr>
                <w:sz w:val="21"/>
              </w:rPr>
              <w:t>2.3</w:t>
            </w:r>
          </w:p>
        </w:tc>
        <w:tc>
          <w:tcPr>
            <w:tcW w:w="918" w:type="dxa"/>
            <w:tcBorders>
              <w:top w:val="single" w:sz="8" w:space="0" w:color="000000"/>
              <w:right w:val="single" w:sz="8" w:space="0" w:color="000000"/>
            </w:tcBorders>
          </w:tcPr>
          <w:p>
            <w:pPr>
              <w:pStyle w:val="TableParagraph"/>
              <w:spacing w:before="2"/>
              <w:ind w:left="144" w:right="57"/>
              <w:rPr>
                <w:sz w:val="21"/>
              </w:rPr>
            </w:pPr>
            <w:r>
              <w:rPr>
                <w:sz w:val="21"/>
              </w:rPr>
              <w:t>0.8</w:t>
            </w:r>
          </w:p>
        </w:tc>
        <w:tc>
          <w:tcPr>
            <w:tcW w:w="1050" w:type="dxa"/>
            <w:tcBorders>
              <w:top w:val="single" w:sz="8" w:space="0" w:color="000000"/>
              <w:left w:val="single" w:sz="8" w:space="0" w:color="000000"/>
            </w:tcBorders>
          </w:tcPr>
          <w:p>
            <w:pPr>
              <w:pStyle w:val="TableParagraph"/>
              <w:spacing w:before="2"/>
              <w:ind w:left="166" w:right="197"/>
              <w:rPr>
                <w:sz w:val="21"/>
              </w:rPr>
            </w:pPr>
            <w:r>
              <w:rPr>
                <w:sz w:val="21"/>
              </w:rPr>
              <w:t>1.3</w:t>
            </w:r>
          </w:p>
        </w:tc>
        <w:tc>
          <w:tcPr>
            <w:tcW w:w="1117" w:type="dxa"/>
            <w:tcBorders>
              <w:top w:val="single" w:sz="8" w:space="0" w:color="000000"/>
              <w:right w:val="single" w:sz="8" w:space="0" w:color="000000"/>
            </w:tcBorders>
          </w:tcPr>
          <w:p>
            <w:pPr>
              <w:pStyle w:val="TableParagraph"/>
              <w:spacing w:before="2"/>
              <w:ind w:left="194" w:right="202"/>
              <w:rPr>
                <w:sz w:val="21"/>
              </w:rPr>
            </w:pPr>
            <w:r>
              <w:rPr>
                <w:sz w:val="21"/>
              </w:rPr>
              <w:t>0.4</w:t>
            </w:r>
          </w:p>
        </w:tc>
        <w:tc>
          <w:tcPr>
            <w:tcW w:w="949" w:type="dxa"/>
            <w:tcBorders>
              <w:top w:val="single" w:sz="8" w:space="0" w:color="000000"/>
              <w:left w:val="single" w:sz="8" w:space="0" w:color="000000"/>
            </w:tcBorders>
          </w:tcPr>
          <w:p>
            <w:pPr>
              <w:pStyle w:val="TableParagraph"/>
              <w:spacing w:before="2"/>
              <w:ind w:left="146" w:right="116"/>
              <w:rPr>
                <w:sz w:val="21"/>
              </w:rPr>
            </w:pPr>
            <w:r>
              <w:rPr>
                <w:sz w:val="21"/>
              </w:rPr>
              <w:t>2.6</w:t>
            </w:r>
          </w:p>
        </w:tc>
        <w:tc>
          <w:tcPr>
            <w:tcW w:w="896" w:type="dxa"/>
            <w:tcBorders>
              <w:top w:val="single" w:sz="8" w:space="0" w:color="000000"/>
            </w:tcBorders>
          </w:tcPr>
          <w:p>
            <w:pPr>
              <w:pStyle w:val="TableParagraph"/>
              <w:spacing w:before="2"/>
              <w:ind w:left="116" w:right="73"/>
              <w:rPr>
                <w:sz w:val="21"/>
              </w:rPr>
            </w:pPr>
            <w:r>
              <w:rPr>
                <w:sz w:val="21"/>
              </w:rPr>
              <w:t>1.2</w:t>
            </w:r>
          </w:p>
        </w:tc>
      </w:tr>
      <w:tr>
        <w:trPr>
          <w:trHeight w:val="300" w:hRule="atLeast"/>
        </w:trPr>
        <w:tc>
          <w:tcPr>
            <w:tcW w:w="1326" w:type="dxa"/>
          </w:tcPr>
          <w:p>
            <w:pPr>
              <w:pStyle w:val="TableParagraph"/>
              <w:spacing w:before="26"/>
              <w:ind w:left="69"/>
              <w:jc w:val="left"/>
              <w:rPr>
                <w:sz w:val="21"/>
              </w:rPr>
            </w:pPr>
            <w:r>
              <w:rPr>
                <w:sz w:val="21"/>
              </w:rPr>
              <w:t>MAE tn</w:t>
            </w:r>
          </w:p>
        </w:tc>
        <w:tc>
          <w:tcPr>
            <w:tcW w:w="975" w:type="dxa"/>
          </w:tcPr>
          <w:p>
            <w:pPr>
              <w:pStyle w:val="TableParagraph"/>
              <w:spacing w:before="26"/>
              <w:ind w:left="157" w:right="146"/>
              <w:rPr>
                <w:sz w:val="21"/>
              </w:rPr>
            </w:pPr>
            <w:r>
              <w:rPr>
                <w:sz w:val="21"/>
              </w:rPr>
              <w:t>3.7</w:t>
            </w:r>
          </w:p>
        </w:tc>
        <w:tc>
          <w:tcPr>
            <w:tcW w:w="918" w:type="dxa"/>
            <w:tcBorders>
              <w:right w:val="single" w:sz="8" w:space="0" w:color="000000"/>
            </w:tcBorders>
          </w:tcPr>
          <w:p>
            <w:pPr>
              <w:pStyle w:val="TableParagraph"/>
              <w:spacing w:before="26"/>
              <w:ind w:left="144" w:right="57"/>
              <w:rPr>
                <w:sz w:val="21"/>
              </w:rPr>
            </w:pPr>
            <w:r>
              <w:rPr>
                <w:sz w:val="21"/>
              </w:rPr>
              <w:t>3.1</w:t>
            </w:r>
          </w:p>
        </w:tc>
        <w:tc>
          <w:tcPr>
            <w:tcW w:w="1050" w:type="dxa"/>
            <w:tcBorders>
              <w:left w:val="single" w:sz="8" w:space="0" w:color="000000"/>
            </w:tcBorders>
          </w:tcPr>
          <w:p>
            <w:pPr>
              <w:pStyle w:val="TableParagraph"/>
              <w:spacing w:before="26"/>
              <w:ind w:left="166" w:right="197"/>
              <w:rPr>
                <w:sz w:val="21"/>
              </w:rPr>
            </w:pPr>
            <w:r>
              <w:rPr>
                <w:sz w:val="21"/>
              </w:rPr>
              <w:t>2.9</w:t>
            </w:r>
          </w:p>
        </w:tc>
        <w:tc>
          <w:tcPr>
            <w:tcW w:w="1117" w:type="dxa"/>
            <w:tcBorders>
              <w:right w:val="single" w:sz="8" w:space="0" w:color="000000"/>
            </w:tcBorders>
          </w:tcPr>
          <w:p>
            <w:pPr>
              <w:pStyle w:val="TableParagraph"/>
              <w:spacing w:before="26"/>
              <w:ind w:left="194" w:right="202"/>
              <w:rPr>
                <w:sz w:val="21"/>
              </w:rPr>
            </w:pPr>
            <w:r>
              <w:rPr>
                <w:sz w:val="21"/>
              </w:rPr>
              <w:t>3.9</w:t>
            </w:r>
          </w:p>
        </w:tc>
        <w:tc>
          <w:tcPr>
            <w:tcW w:w="949" w:type="dxa"/>
            <w:tcBorders>
              <w:left w:val="single" w:sz="8" w:space="0" w:color="000000"/>
            </w:tcBorders>
          </w:tcPr>
          <w:p>
            <w:pPr>
              <w:pStyle w:val="TableParagraph"/>
              <w:spacing w:before="26"/>
              <w:ind w:left="146" w:right="116"/>
              <w:rPr>
                <w:sz w:val="21"/>
              </w:rPr>
            </w:pPr>
            <w:r>
              <w:rPr>
                <w:sz w:val="21"/>
              </w:rPr>
              <w:t>3.7</w:t>
            </w:r>
          </w:p>
        </w:tc>
        <w:tc>
          <w:tcPr>
            <w:tcW w:w="896" w:type="dxa"/>
          </w:tcPr>
          <w:p>
            <w:pPr>
              <w:pStyle w:val="TableParagraph"/>
              <w:spacing w:before="26"/>
              <w:ind w:left="116" w:right="73"/>
              <w:rPr>
                <w:sz w:val="21"/>
              </w:rPr>
            </w:pPr>
            <w:r>
              <w:rPr>
                <w:sz w:val="21"/>
              </w:rPr>
              <w:t>3.4</w:t>
            </w:r>
          </w:p>
        </w:tc>
      </w:tr>
      <w:tr>
        <w:trPr>
          <w:trHeight w:val="300" w:hRule="atLeast"/>
        </w:trPr>
        <w:tc>
          <w:tcPr>
            <w:tcW w:w="1326" w:type="dxa"/>
          </w:tcPr>
          <w:p>
            <w:pPr>
              <w:pStyle w:val="TableParagraph"/>
              <w:spacing w:before="26"/>
              <w:ind w:left="69"/>
              <w:jc w:val="left"/>
              <w:rPr>
                <w:sz w:val="21"/>
              </w:rPr>
            </w:pPr>
            <w:r>
              <w:rPr>
                <w:sz w:val="21"/>
              </w:rPr>
              <w:t>ME dyb</w:t>
            </w:r>
          </w:p>
        </w:tc>
        <w:tc>
          <w:tcPr>
            <w:tcW w:w="975" w:type="dxa"/>
          </w:tcPr>
          <w:p>
            <w:pPr>
              <w:pStyle w:val="TableParagraph"/>
              <w:spacing w:before="26"/>
              <w:ind w:left="8"/>
              <w:rPr>
                <w:sz w:val="21"/>
              </w:rPr>
            </w:pPr>
            <w:r>
              <w:rPr>
                <w:w w:val="100"/>
                <w:sz w:val="21"/>
              </w:rPr>
              <w:t>1</w:t>
            </w:r>
          </w:p>
        </w:tc>
        <w:tc>
          <w:tcPr>
            <w:tcW w:w="918" w:type="dxa"/>
            <w:tcBorders>
              <w:right w:val="single" w:sz="8" w:space="0" w:color="000000"/>
            </w:tcBorders>
          </w:tcPr>
          <w:p>
            <w:pPr>
              <w:pStyle w:val="TableParagraph"/>
              <w:spacing w:before="26"/>
              <w:ind w:left="144" w:right="57"/>
              <w:rPr>
                <w:sz w:val="21"/>
              </w:rPr>
            </w:pPr>
            <w:r>
              <w:rPr>
                <w:sz w:val="21"/>
              </w:rPr>
              <w:t>0.1</w:t>
            </w:r>
          </w:p>
        </w:tc>
        <w:tc>
          <w:tcPr>
            <w:tcW w:w="1050" w:type="dxa"/>
            <w:tcBorders>
              <w:left w:val="single" w:sz="8" w:space="0" w:color="000000"/>
            </w:tcBorders>
          </w:tcPr>
          <w:p>
            <w:pPr>
              <w:pStyle w:val="TableParagraph"/>
              <w:spacing w:before="26"/>
              <w:ind w:left="169" w:right="197"/>
              <w:rPr>
                <w:sz w:val="21"/>
              </w:rPr>
            </w:pPr>
            <w:r>
              <w:rPr>
                <w:sz w:val="21"/>
              </w:rPr>
              <w:t>-0.1</w:t>
            </w:r>
          </w:p>
        </w:tc>
        <w:tc>
          <w:tcPr>
            <w:tcW w:w="1117" w:type="dxa"/>
            <w:tcBorders>
              <w:right w:val="single" w:sz="8" w:space="0" w:color="000000"/>
            </w:tcBorders>
          </w:tcPr>
          <w:p>
            <w:pPr>
              <w:pStyle w:val="TableParagraph"/>
              <w:spacing w:before="26"/>
              <w:ind w:left="197" w:right="202"/>
              <w:rPr>
                <w:sz w:val="21"/>
              </w:rPr>
            </w:pPr>
            <w:r>
              <w:rPr>
                <w:sz w:val="21"/>
              </w:rPr>
              <w:t>-1.6</w:t>
            </w:r>
          </w:p>
        </w:tc>
        <w:tc>
          <w:tcPr>
            <w:tcW w:w="949" w:type="dxa"/>
            <w:tcBorders>
              <w:left w:val="single" w:sz="8" w:space="0" w:color="000000"/>
            </w:tcBorders>
          </w:tcPr>
          <w:p>
            <w:pPr>
              <w:pStyle w:val="TableParagraph"/>
              <w:spacing w:before="26"/>
              <w:ind w:left="146" w:right="116"/>
              <w:rPr>
                <w:sz w:val="21"/>
              </w:rPr>
            </w:pPr>
            <w:r>
              <w:rPr>
                <w:sz w:val="21"/>
              </w:rPr>
              <w:t>0.7</w:t>
            </w:r>
          </w:p>
        </w:tc>
        <w:tc>
          <w:tcPr>
            <w:tcW w:w="896" w:type="dxa"/>
          </w:tcPr>
          <w:p>
            <w:pPr>
              <w:pStyle w:val="TableParagraph"/>
              <w:spacing w:before="26"/>
              <w:ind w:left="116" w:right="73"/>
              <w:rPr>
                <w:sz w:val="21"/>
              </w:rPr>
            </w:pPr>
            <w:r>
              <w:rPr>
                <w:sz w:val="21"/>
              </w:rPr>
              <w:t>0.5</w:t>
            </w:r>
          </w:p>
        </w:tc>
      </w:tr>
      <w:tr>
        <w:trPr>
          <w:trHeight w:val="324" w:hRule="atLeast"/>
        </w:trPr>
        <w:tc>
          <w:tcPr>
            <w:tcW w:w="1326" w:type="dxa"/>
          </w:tcPr>
          <w:p>
            <w:pPr>
              <w:pStyle w:val="TableParagraph"/>
              <w:spacing w:before="26"/>
              <w:ind w:left="69"/>
              <w:jc w:val="left"/>
              <w:rPr>
                <w:sz w:val="21"/>
              </w:rPr>
            </w:pPr>
            <w:r>
              <w:rPr>
                <w:sz w:val="21"/>
              </w:rPr>
              <w:t>MAE dyb</w:t>
            </w:r>
          </w:p>
        </w:tc>
        <w:tc>
          <w:tcPr>
            <w:tcW w:w="975" w:type="dxa"/>
          </w:tcPr>
          <w:p>
            <w:pPr>
              <w:pStyle w:val="TableParagraph"/>
              <w:spacing w:before="26"/>
              <w:ind w:left="157" w:right="146"/>
              <w:rPr>
                <w:sz w:val="21"/>
              </w:rPr>
            </w:pPr>
            <w:r>
              <w:rPr>
                <w:sz w:val="21"/>
              </w:rPr>
              <w:t>2.9</w:t>
            </w:r>
          </w:p>
        </w:tc>
        <w:tc>
          <w:tcPr>
            <w:tcW w:w="918" w:type="dxa"/>
            <w:tcBorders>
              <w:right w:val="single" w:sz="8" w:space="0" w:color="000000"/>
            </w:tcBorders>
          </w:tcPr>
          <w:p>
            <w:pPr>
              <w:pStyle w:val="TableParagraph"/>
              <w:spacing w:before="26"/>
              <w:ind w:left="85"/>
              <w:rPr>
                <w:sz w:val="21"/>
              </w:rPr>
            </w:pPr>
            <w:r>
              <w:rPr>
                <w:w w:val="100"/>
                <w:sz w:val="21"/>
              </w:rPr>
              <w:t>2</w:t>
            </w:r>
          </w:p>
        </w:tc>
        <w:tc>
          <w:tcPr>
            <w:tcW w:w="1050" w:type="dxa"/>
            <w:tcBorders>
              <w:left w:val="single" w:sz="8" w:space="0" w:color="000000"/>
            </w:tcBorders>
          </w:tcPr>
          <w:p>
            <w:pPr>
              <w:pStyle w:val="TableParagraph"/>
              <w:spacing w:before="26"/>
              <w:ind w:left="166" w:right="197"/>
              <w:rPr>
                <w:sz w:val="21"/>
              </w:rPr>
            </w:pPr>
            <w:r>
              <w:rPr>
                <w:sz w:val="21"/>
              </w:rPr>
              <w:t>2.5</w:t>
            </w:r>
          </w:p>
        </w:tc>
        <w:tc>
          <w:tcPr>
            <w:tcW w:w="1117" w:type="dxa"/>
            <w:tcBorders>
              <w:right w:val="single" w:sz="8" w:space="0" w:color="000000"/>
            </w:tcBorders>
          </w:tcPr>
          <w:p>
            <w:pPr>
              <w:pStyle w:val="TableParagraph"/>
              <w:spacing w:before="26"/>
              <w:ind w:left="194" w:right="202"/>
              <w:rPr>
                <w:sz w:val="21"/>
              </w:rPr>
            </w:pPr>
            <w:r>
              <w:rPr>
                <w:sz w:val="21"/>
              </w:rPr>
              <w:t>3.2</w:t>
            </w:r>
          </w:p>
        </w:tc>
        <w:tc>
          <w:tcPr>
            <w:tcW w:w="949" w:type="dxa"/>
            <w:tcBorders>
              <w:left w:val="single" w:sz="8" w:space="0" w:color="000000"/>
            </w:tcBorders>
          </w:tcPr>
          <w:p>
            <w:pPr>
              <w:pStyle w:val="TableParagraph"/>
              <w:spacing w:before="26"/>
              <w:ind w:left="146" w:right="116"/>
              <w:rPr>
                <w:sz w:val="21"/>
              </w:rPr>
            </w:pPr>
            <w:r>
              <w:rPr>
                <w:sz w:val="21"/>
              </w:rPr>
              <w:t>2.6</w:t>
            </w:r>
          </w:p>
        </w:tc>
        <w:tc>
          <w:tcPr>
            <w:tcW w:w="896" w:type="dxa"/>
          </w:tcPr>
          <w:p>
            <w:pPr>
              <w:pStyle w:val="TableParagraph"/>
              <w:spacing w:before="26"/>
              <w:ind w:left="116" w:right="73"/>
              <w:rPr>
                <w:sz w:val="21"/>
              </w:rPr>
            </w:pPr>
            <w:r>
              <w:rPr>
                <w:sz w:val="21"/>
              </w:rPr>
              <w:t>2.0</w:t>
            </w:r>
          </w:p>
        </w:tc>
      </w:tr>
      <w:tr>
        <w:trPr>
          <w:trHeight w:val="339" w:hRule="atLeast"/>
        </w:trPr>
        <w:tc>
          <w:tcPr>
            <w:tcW w:w="1326" w:type="dxa"/>
            <w:shd w:val="clear" w:color="auto" w:fill="D9D9D9"/>
          </w:tcPr>
          <w:p>
            <w:pPr>
              <w:pStyle w:val="TableParagraph"/>
              <w:spacing w:before="32"/>
              <w:ind w:left="69"/>
              <w:jc w:val="left"/>
              <w:rPr>
                <w:sz w:val="21"/>
              </w:rPr>
            </w:pPr>
            <w:r>
              <w:rPr>
                <w:position w:val="2"/>
                <w:sz w:val="21"/>
              </w:rPr>
              <w:t>ME</w:t>
            </w:r>
            <w:r>
              <w:rPr>
                <w:sz w:val="14"/>
              </w:rPr>
              <w:t>90Q </w:t>
            </w:r>
            <w:r>
              <w:rPr>
                <w:position w:val="2"/>
                <w:sz w:val="21"/>
              </w:rPr>
              <w:t>tn</w:t>
            </w:r>
          </w:p>
        </w:tc>
        <w:tc>
          <w:tcPr>
            <w:tcW w:w="975" w:type="dxa"/>
            <w:shd w:val="clear" w:color="auto" w:fill="D9D9D9"/>
          </w:tcPr>
          <w:p>
            <w:pPr>
              <w:pStyle w:val="TableParagraph"/>
              <w:spacing w:before="33"/>
              <w:ind w:left="157" w:right="146"/>
              <w:rPr>
                <w:sz w:val="21"/>
              </w:rPr>
            </w:pPr>
            <w:r>
              <w:rPr>
                <w:sz w:val="21"/>
              </w:rPr>
              <w:t>0.5</w:t>
            </w:r>
          </w:p>
        </w:tc>
        <w:tc>
          <w:tcPr>
            <w:tcW w:w="918" w:type="dxa"/>
            <w:tcBorders>
              <w:right w:val="single" w:sz="8" w:space="0" w:color="000000"/>
            </w:tcBorders>
            <w:shd w:val="clear" w:color="auto" w:fill="D9D9D9"/>
          </w:tcPr>
          <w:p>
            <w:pPr>
              <w:pStyle w:val="TableParagraph"/>
              <w:spacing w:before="33"/>
              <w:ind w:left="85"/>
              <w:rPr>
                <w:sz w:val="21"/>
              </w:rPr>
            </w:pPr>
            <w:r>
              <w:rPr>
                <w:w w:val="100"/>
                <w:sz w:val="21"/>
              </w:rPr>
              <w:t>0</w:t>
            </w:r>
          </w:p>
        </w:tc>
        <w:tc>
          <w:tcPr>
            <w:tcW w:w="1050" w:type="dxa"/>
            <w:tcBorders>
              <w:left w:val="single" w:sz="8" w:space="0" w:color="000000"/>
            </w:tcBorders>
            <w:shd w:val="clear" w:color="auto" w:fill="D9D9D9"/>
          </w:tcPr>
          <w:p>
            <w:pPr>
              <w:pStyle w:val="TableParagraph"/>
              <w:spacing w:before="33"/>
              <w:ind w:left="166" w:right="197"/>
              <w:rPr>
                <w:sz w:val="21"/>
              </w:rPr>
            </w:pPr>
            <w:r>
              <w:rPr>
                <w:sz w:val="21"/>
              </w:rPr>
              <w:t>0.1</w:t>
            </w:r>
          </w:p>
        </w:tc>
        <w:tc>
          <w:tcPr>
            <w:tcW w:w="1117" w:type="dxa"/>
            <w:tcBorders>
              <w:right w:val="single" w:sz="8" w:space="0" w:color="000000"/>
            </w:tcBorders>
            <w:shd w:val="clear" w:color="auto" w:fill="D9D9D9"/>
          </w:tcPr>
          <w:p>
            <w:pPr>
              <w:pStyle w:val="TableParagraph"/>
              <w:spacing w:before="33"/>
              <w:ind w:left="194" w:right="202"/>
              <w:rPr>
                <w:sz w:val="21"/>
              </w:rPr>
            </w:pPr>
            <w:r>
              <w:rPr>
                <w:sz w:val="21"/>
              </w:rPr>
              <w:t>0.1</w:t>
            </w:r>
          </w:p>
        </w:tc>
        <w:tc>
          <w:tcPr>
            <w:tcW w:w="949" w:type="dxa"/>
            <w:tcBorders>
              <w:left w:val="single" w:sz="8" w:space="0" w:color="000000"/>
            </w:tcBorders>
            <w:shd w:val="clear" w:color="auto" w:fill="D9D9D9"/>
          </w:tcPr>
          <w:p>
            <w:pPr>
              <w:pStyle w:val="TableParagraph"/>
              <w:spacing w:before="33"/>
              <w:ind w:left="146" w:right="116"/>
              <w:rPr>
                <w:sz w:val="21"/>
              </w:rPr>
            </w:pPr>
            <w:r>
              <w:rPr>
                <w:sz w:val="21"/>
              </w:rPr>
              <w:t>1.0</w:t>
            </w:r>
          </w:p>
        </w:tc>
        <w:tc>
          <w:tcPr>
            <w:tcW w:w="896" w:type="dxa"/>
            <w:shd w:val="clear" w:color="auto" w:fill="D9D9D9"/>
          </w:tcPr>
          <w:p>
            <w:pPr>
              <w:pStyle w:val="TableParagraph"/>
              <w:spacing w:before="33"/>
              <w:ind w:left="116" w:right="73"/>
              <w:rPr>
                <w:sz w:val="21"/>
              </w:rPr>
            </w:pPr>
            <w:r>
              <w:rPr>
                <w:sz w:val="21"/>
              </w:rPr>
              <w:t>0.6</w:t>
            </w:r>
          </w:p>
        </w:tc>
      </w:tr>
      <w:tr>
        <w:trPr>
          <w:trHeight w:val="360" w:hRule="atLeast"/>
        </w:trPr>
        <w:tc>
          <w:tcPr>
            <w:tcW w:w="1326" w:type="dxa"/>
            <w:shd w:val="clear" w:color="auto" w:fill="D9D9D9"/>
          </w:tcPr>
          <w:p>
            <w:pPr>
              <w:pStyle w:val="TableParagraph"/>
              <w:spacing w:before="53"/>
              <w:ind w:left="69"/>
              <w:jc w:val="left"/>
              <w:rPr>
                <w:sz w:val="21"/>
              </w:rPr>
            </w:pPr>
            <w:r>
              <w:rPr>
                <w:position w:val="2"/>
                <w:sz w:val="21"/>
              </w:rPr>
              <w:t>MAE</w:t>
            </w:r>
            <w:r>
              <w:rPr>
                <w:sz w:val="14"/>
              </w:rPr>
              <w:t>90Q </w:t>
            </w:r>
            <w:r>
              <w:rPr>
                <w:position w:val="2"/>
                <w:sz w:val="21"/>
              </w:rPr>
              <w:t>tn</w:t>
            </w:r>
          </w:p>
        </w:tc>
        <w:tc>
          <w:tcPr>
            <w:tcW w:w="975" w:type="dxa"/>
            <w:shd w:val="clear" w:color="auto" w:fill="D9D9D9"/>
          </w:tcPr>
          <w:p>
            <w:pPr>
              <w:pStyle w:val="TableParagraph"/>
              <w:spacing w:before="54"/>
              <w:ind w:left="8"/>
              <w:rPr>
                <w:sz w:val="21"/>
              </w:rPr>
            </w:pPr>
            <w:r>
              <w:rPr>
                <w:w w:val="100"/>
                <w:sz w:val="21"/>
              </w:rPr>
              <w:t>2</w:t>
            </w:r>
          </w:p>
        </w:tc>
        <w:tc>
          <w:tcPr>
            <w:tcW w:w="918" w:type="dxa"/>
            <w:tcBorders>
              <w:right w:val="single" w:sz="8" w:space="0" w:color="000000"/>
            </w:tcBorders>
            <w:shd w:val="clear" w:color="auto" w:fill="D9D9D9"/>
          </w:tcPr>
          <w:p>
            <w:pPr>
              <w:pStyle w:val="TableParagraph"/>
              <w:spacing w:before="54"/>
              <w:ind w:left="144" w:right="57"/>
              <w:rPr>
                <w:sz w:val="21"/>
              </w:rPr>
            </w:pPr>
            <w:r>
              <w:rPr>
                <w:sz w:val="21"/>
              </w:rPr>
              <w:t>1.4</w:t>
            </w:r>
          </w:p>
        </w:tc>
        <w:tc>
          <w:tcPr>
            <w:tcW w:w="1050" w:type="dxa"/>
            <w:tcBorders>
              <w:left w:val="single" w:sz="8" w:space="0" w:color="000000"/>
            </w:tcBorders>
            <w:shd w:val="clear" w:color="auto" w:fill="D9D9D9"/>
          </w:tcPr>
          <w:p>
            <w:pPr>
              <w:pStyle w:val="TableParagraph"/>
              <w:spacing w:before="54"/>
              <w:ind w:left="166" w:right="197"/>
              <w:rPr>
                <w:sz w:val="21"/>
              </w:rPr>
            </w:pPr>
            <w:r>
              <w:rPr>
                <w:sz w:val="21"/>
              </w:rPr>
              <w:t>1.9</w:t>
            </w:r>
          </w:p>
        </w:tc>
        <w:tc>
          <w:tcPr>
            <w:tcW w:w="1117" w:type="dxa"/>
            <w:tcBorders>
              <w:right w:val="single" w:sz="8" w:space="0" w:color="000000"/>
            </w:tcBorders>
            <w:shd w:val="clear" w:color="auto" w:fill="D9D9D9"/>
          </w:tcPr>
          <w:p>
            <w:pPr>
              <w:pStyle w:val="TableParagraph"/>
              <w:spacing w:before="54"/>
              <w:ind w:left="194" w:right="202"/>
              <w:rPr>
                <w:sz w:val="21"/>
              </w:rPr>
            </w:pPr>
            <w:r>
              <w:rPr>
                <w:sz w:val="21"/>
              </w:rPr>
              <w:t>1.9</w:t>
            </w:r>
          </w:p>
        </w:tc>
        <w:tc>
          <w:tcPr>
            <w:tcW w:w="949" w:type="dxa"/>
            <w:tcBorders>
              <w:left w:val="single" w:sz="8" w:space="0" w:color="000000"/>
            </w:tcBorders>
            <w:shd w:val="clear" w:color="auto" w:fill="D9D9D9"/>
          </w:tcPr>
          <w:p>
            <w:pPr>
              <w:pStyle w:val="TableParagraph"/>
              <w:spacing w:before="54"/>
              <w:ind w:left="146" w:right="116"/>
              <w:rPr>
                <w:sz w:val="21"/>
              </w:rPr>
            </w:pPr>
            <w:r>
              <w:rPr>
                <w:sz w:val="21"/>
              </w:rPr>
              <w:t>2.2</w:t>
            </w:r>
          </w:p>
        </w:tc>
        <w:tc>
          <w:tcPr>
            <w:tcW w:w="896" w:type="dxa"/>
            <w:shd w:val="clear" w:color="auto" w:fill="D9D9D9"/>
          </w:tcPr>
          <w:p>
            <w:pPr>
              <w:pStyle w:val="TableParagraph"/>
              <w:spacing w:before="54"/>
              <w:ind w:left="116" w:right="73"/>
              <w:rPr>
                <w:sz w:val="21"/>
              </w:rPr>
            </w:pPr>
            <w:r>
              <w:rPr>
                <w:sz w:val="21"/>
              </w:rPr>
              <w:t>1.7</w:t>
            </w:r>
          </w:p>
        </w:tc>
      </w:tr>
      <w:tr>
        <w:trPr>
          <w:trHeight w:val="360" w:hRule="atLeast"/>
        </w:trPr>
        <w:tc>
          <w:tcPr>
            <w:tcW w:w="1326" w:type="dxa"/>
            <w:shd w:val="clear" w:color="auto" w:fill="D9D9D9"/>
          </w:tcPr>
          <w:p>
            <w:pPr>
              <w:pStyle w:val="TableParagraph"/>
              <w:spacing w:before="53"/>
              <w:ind w:left="69"/>
              <w:jc w:val="left"/>
              <w:rPr>
                <w:sz w:val="21"/>
              </w:rPr>
            </w:pPr>
            <w:r>
              <w:rPr>
                <w:position w:val="2"/>
                <w:sz w:val="21"/>
              </w:rPr>
              <w:t>ME</w:t>
            </w:r>
            <w:r>
              <w:rPr>
                <w:sz w:val="14"/>
              </w:rPr>
              <w:t>90Q </w:t>
            </w:r>
            <w:r>
              <w:rPr>
                <w:position w:val="2"/>
                <w:sz w:val="21"/>
              </w:rPr>
              <w:t>dyb</w:t>
            </w:r>
          </w:p>
        </w:tc>
        <w:tc>
          <w:tcPr>
            <w:tcW w:w="975" w:type="dxa"/>
            <w:shd w:val="clear" w:color="auto" w:fill="D9D9D9"/>
          </w:tcPr>
          <w:p>
            <w:pPr>
              <w:pStyle w:val="TableParagraph"/>
              <w:spacing w:before="54"/>
              <w:ind w:left="8"/>
              <w:rPr>
                <w:sz w:val="21"/>
              </w:rPr>
            </w:pPr>
            <w:r>
              <w:rPr>
                <w:w w:val="100"/>
                <w:sz w:val="21"/>
              </w:rPr>
              <w:t>0</w:t>
            </w:r>
          </w:p>
        </w:tc>
        <w:tc>
          <w:tcPr>
            <w:tcW w:w="918" w:type="dxa"/>
            <w:tcBorders>
              <w:right w:val="single" w:sz="8" w:space="0" w:color="000000"/>
            </w:tcBorders>
            <w:shd w:val="clear" w:color="auto" w:fill="D9D9D9"/>
          </w:tcPr>
          <w:p>
            <w:pPr>
              <w:pStyle w:val="TableParagraph"/>
              <w:spacing w:before="54"/>
              <w:ind w:left="143" w:right="58"/>
              <w:rPr>
                <w:sz w:val="21"/>
              </w:rPr>
            </w:pPr>
            <w:r>
              <w:rPr>
                <w:sz w:val="21"/>
              </w:rPr>
              <w:t>-0.1</w:t>
            </w:r>
          </w:p>
        </w:tc>
        <w:tc>
          <w:tcPr>
            <w:tcW w:w="1050" w:type="dxa"/>
            <w:tcBorders>
              <w:left w:val="single" w:sz="8" w:space="0" w:color="000000"/>
            </w:tcBorders>
            <w:shd w:val="clear" w:color="auto" w:fill="D9D9D9"/>
          </w:tcPr>
          <w:p>
            <w:pPr>
              <w:pStyle w:val="TableParagraph"/>
              <w:spacing w:before="54"/>
              <w:ind w:left="169" w:right="197"/>
              <w:rPr>
                <w:sz w:val="21"/>
              </w:rPr>
            </w:pPr>
            <w:r>
              <w:rPr>
                <w:sz w:val="21"/>
              </w:rPr>
              <w:t>-0.5</w:t>
            </w:r>
          </w:p>
        </w:tc>
        <w:tc>
          <w:tcPr>
            <w:tcW w:w="1117" w:type="dxa"/>
            <w:tcBorders>
              <w:right w:val="single" w:sz="8" w:space="0" w:color="000000"/>
            </w:tcBorders>
            <w:shd w:val="clear" w:color="auto" w:fill="D9D9D9"/>
          </w:tcPr>
          <w:p>
            <w:pPr>
              <w:pStyle w:val="TableParagraph"/>
              <w:spacing w:before="54"/>
              <w:ind w:left="197" w:right="202"/>
              <w:rPr>
                <w:sz w:val="21"/>
              </w:rPr>
            </w:pPr>
            <w:r>
              <w:rPr>
                <w:sz w:val="21"/>
              </w:rPr>
              <w:t>-0.9</w:t>
            </w:r>
          </w:p>
        </w:tc>
        <w:tc>
          <w:tcPr>
            <w:tcW w:w="949" w:type="dxa"/>
            <w:tcBorders>
              <w:left w:val="single" w:sz="8" w:space="0" w:color="000000"/>
            </w:tcBorders>
            <w:shd w:val="clear" w:color="auto" w:fill="D9D9D9"/>
          </w:tcPr>
          <w:p>
            <w:pPr>
              <w:pStyle w:val="TableParagraph"/>
              <w:spacing w:before="54"/>
              <w:ind w:left="149" w:right="116"/>
              <w:rPr>
                <w:sz w:val="21"/>
              </w:rPr>
            </w:pPr>
            <w:r>
              <w:rPr>
                <w:sz w:val="21"/>
              </w:rPr>
              <w:t>-0.1</w:t>
            </w:r>
          </w:p>
        </w:tc>
        <w:tc>
          <w:tcPr>
            <w:tcW w:w="896" w:type="dxa"/>
            <w:shd w:val="clear" w:color="auto" w:fill="D9D9D9"/>
          </w:tcPr>
          <w:p>
            <w:pPr>
              <w:pStyle w:val="TableParagraph"/>
              <w:spacing w:before="54"/>
              <w:ind w:left="116" w:right="73"/>
              <w:rPr>
                <w:sz w:val="21"/>
              </w:rPr>
            </w:pPr>
            <w:r>
              <w:rPr>
                <w:sz w:val="21"/>
              </w:rPr>
              <w:t>0.1</w:t>
            </w:r>
          </w:p>
        </w:tc>
      </w:tr>
      <w:tr>
        <w:trPr>
          <w:trHeight w:val="380" w:hRule="atLeast"/>
        </w:trPr>
        <w:tc>
          <w:tcPr>
            <w:tcW w:w="1326" w:type="dxa"/>
            <w:shd w:val="clear" w:color="auto" w:fill="D9D9D9"/>
          </w:tcPr>
          <w:p>
            <w:pPr>
              <w:pStyle w:val="TableParagraph"/>
              <w:spacing w:before="53"/>
              <w:ind w:left="69"/>
              <w:jc w:val="left"/>
              <w:rPr>
                <w:sz w:val="21"/>
              </w:rPr>
            </w:pPr>
            <w:r>
              <w:rPr>
                <w:position w:val="2"/>
                <w:sz w:val="21"/>
              </w:rPr>
              <w:t>MAE</w:t>
            </w:r>
            <w:r>
              <w:rPr>
                <w:sz w:val="14"/>
              </w:rPr>
              <w:t>90Q </w:t>
            </w:r>
            <w:r>
              <w:rPr>
                <w:position w:val="2"/>
                <w:sz w:val="21"/>
              </w:rPr>
              <w:t>dyb</w:t>
            </w:r>
          </w:p>
        </w:tc>
        <w:tc>
          <w:tcPr>
            <w:tcW w:w="975" w:type="dxa"/>
            <w:shd w:val="clear" w:color="auto" w:fill="D9D9D9"/>
          </w:tcPr>
          <w:p>
            <w:pPr>
              <w:pStyle w:val="TableParagraph"/>
              <w:spacing w:before="54"/>
              <w:ind w:left="157" w:right="146"/>
              <w:rPr>
                <w:sz w:val="21"/>
              </w:rPr>
            </w:pPr>
            <w:r>
              <w:rPr>
                <w:sz w:val="21"/>
              </w:rPr>
              <w:t>1.9</w:t>
            </w:r>
          </w:p>
        </w:tc>
        <w:tc>
          <w:tcPr>
            <w:tcW w:w="918" w:type="dxa"/>
            <w:tcBorders>
              <w:right w:val="single" w:sz="8" w:space="0" w:color="000000"/>
            </w:tcBorders>
            <w:shd w:val="clear" w:color="auto" w:fill="D9D9D9"/>
          </w:tcPr>
          <w:p>
            <w:pPr>
              <w:pStyle w:val="TableParagraph"/>
              <w:spacing w:before="54"/>
              <w:ind w:left="144" w:right="57"/>
              <w:rPr>
                <w:sz w:val="21"/>
              </w:rPr>
            </w:pPr>
            <w:r>
              <w:rPr>
                <w:sz w:val="21"/>
              </w:rPr>
              <w:t>1.4</w:t>
            </w:r>
          </w:p>
        </w:tc>
        <w:tc>
          <w:tcPr>
            <w:tcW w:w="1050" w:type="dxa"/>
            <w:tcBorders>
              <w:left w:val="single" w:sz="8" w:space="0" w:color="000000"/>
            </w:tcBorders>
            <w:shd w:val="clear" w:color="auto" w:fill="D9D9D9"/>
          </w:tcPr>
          <w:p>
            <w:pPr>
              <w:pStyle w:val="TableParagraph"/>
              <w:spacing w:before="54"/>
              <w:ind w:left="166" w:right="197"/>
              <w:rPr>
                <w:sz w:val="21"/>
              </w:rPr>
            </w:pPr>
            <w:r>
              <w:rPr>
                <w:sz w:val="21"/>
              </w:rPr>
              <w:t>1.9</w:t>
            </w:r>
          </w:p>
        </w:tc>
        <w:tc>
          <w:tcPr>
            <w:tcW w:w="1117" w:type="dxa"/>
            <w:tcBorders>
              <w:right w:val="single" w:sz="8" w:space="0" w:color="000000"/>
            </w:tcBorders>
            <w:shd w:val="clear" w:color="auto" w:fill="D9D9D9"/>
          </w:tcPr>
          <w:p>
            <w:pPr>
              <w:pStyle w:val="TableParagraph"/>
              <w:spacing w:before="54"/>
              <w:ind w:left="194" w:right="202"/>
              <w:rPr>
                <w:sz w:val="21"/>
              </w:rPr>
            </w:pPr>
            <w:r>
              <w:rPr>
                <w:sz w:val="21"/>
              </w:rPr>
              <w:t>2.8</w:t>
            </w:r>
          </w:p>
        </w:tc>
        <w:tc>
          <w:tcPr>
            <w:tcW w:w="949" w:type="dxa"/>
            <w:tcBorders>
              <w:left w:val="single" w:sz="8" w:space="0" w:color="000000"/>
            </w:tcBorders>
            <w:shd w:val="clear" w:color="auto" w:fill="D9D9D9"/>
          </w:tcPr>
          <w:p>
            <w:pPr>
              <w:pStyle w:val="TableParagraph"/>
              <w:spacing w:before="54"/>
              <w:ind w:left="146" w:right="116"/>
              <w:rPr>
                <w:sz w:val="21"/>
              </w:rPr>
            </w:pPr>
            <w:r>
              <w:rPr>
                <w:sz w:val="21"/>
              </w:rPr>
              <w:t>1.9</w:t>
            </w:r>
          </w:p>
        </w:tc>
        <w:tc>
          <w:tcPr>
            <w:tcW w:w="896" w:type="dxa"/>
            <w:shd w:val="clear" w:color="auto" w:fill="D9D9D9"/>
          </w:tcPr>
          <w:p>
            <w:pPr>
              <w:pStyle w:val="TableParagraph"/>
              <w:spacing w:before="54"/>
              <w:ind w:left="116" w:right="73"/>
              <w:rPr>
                <w:sz w:val="21"/>
              </w:rPr>
            </w:pPr>
            <w:r>
              <w:rPr>
                <w:sz w:val="21"/>
              </w:rPr>
              <w:t>1.6</w:t>
            </w:r>
          </w:p>
        </w:tc>
      </w:tr>
    </w:tbl>
    <w:p>
      <w:pPr>
        <w:pStyle w:val="BodyText"/>
        <w:spacing w:before="7"/>
        <w:rPr>
          <w:rFonts w:ascii="Calibri"/>
          <w:i/>
          <w:sz w:val="23"/>
        </w:rPr>
      </w:pPr>
    </w:p>
    <w:p>
      <w:pPr>
        <w:pStyle w:val="BodyText"/>
        <w:spacing w:line="288" w:lineRule="auto"/>
        <w:ind w:left="525" w:right="732"/>
        <w:jc w:val="both"/>
      </w:pPr>
      <w:r>
        <w:rPr/>
        <w:t>Overordnet set virker analysen lovende ift. muligheden for at overføre parametre kalibreret på en skala til en modelopsætning på en anden skala. Dette vil dog skulle undersøges nær- mere</w:t>
      </w:r>
      <w:r>
        <w:rPr>
          <w:spacing w:val="-6"/>
        </w:rPr>
        <w:t> </w:t>
      </w:r>
      <w:r>
        <w:rPr/>
        <w:t>og</w:t>
      </w:r>
      <w:r>
        <w:rPr>
          <w:spacing w:val="-5"/>
        </w:rPr>
        <w:t> </w:t>
      </w:r>
      <w:r>
        <w:rPr/>
        <w:t>vil</w:t>
      </w:r>
      <w:r>
        <w:rPr>
          <w:spacing w:val="-5"/>
        </w:rPr>
        <w:t> </w:t>
      </w:r>
      <w:r>
        <w:rPr/>
        <w:t>muligvis</w:t>
      </w:r>
      <w:r>
        <w:rPr>
          <w:spacing w:val="-5"/>
        </w:rPr>
        <w:t> </w:t>
      </w:r>
      <w:r>
        <w:rPr/>
        <w:t>ikke</w:t>
      </w:r>
      <w:r>
        <w:rPr>
          <w:spacing w:val="-6"/>
        </w:rPr>
        <w:t> </w:t>
      </w:r>
      <w:r>
        <w:rPr/>
        <w:t>kunne</w:t>
      </w:r>
      <w:r>
        <w:rPr>
          <w:spacing w:val="-5"/>
        </w:rPr>
        <w:t> </w:t>
      </w:r>
      <w:r>
        <w:rPr/>
        <w:t>inkludere</w:t>
      </w:r>
      <w:r>
        <w:rPr>
          <w:spacing w:val="-5"/>
        </w:rPr>
        <w:t> </w:t>
      </w:r>
      <w:r>
        <w:rPr/>
        <w:t>alle</w:t>
      </w:r>
      <w:r>
        <w:rPr>
          <w:spacing w:val="-6"/>
        </w:rPr>
        <w:t> </w:t>
      </w:r>
      <w:r>
        <w:rPr/>
        <w:t>parametre,</w:t>
      </w:r>
      <w:r>
        <w:rPr>
          <w:spacing w:val="-6"/>
        </w:rPr>
        <w:t> </w:t>
      </w:r>
      <w:r>
        <w:rPr/>
        <w:t>da</w:t>
      </w:r>
      <w:r>
        <w:rPr>
          <w:spacing w:val="-6"/>
        </w:rPr>
        <w:t> </w:t>
      </w:r>
      <w:r>
        <w:rPr/>
        <w:t>nogle</w:t>
      </w:r>
      <w:r>
        <w:rPr>
          <w:spacing w:val="-5"/>
        </w:rPr>
        <w:t> </w:t>
      </w:r>
      <w:r>
        <w:rPr/>
        <w:t>parametre</w:t>
      </w:r>
      <w:r>
        <w:rPr>
          <w:spacing w:val="-7"/>
        </w:rPr>
        <w:t> </w:t>
      </w:r>
      <w:r>
        <w:rPr/>
        <w:t>er</w:t>
      </w:r>
      <w:r>
        <w:rPr>
          <w:spacing w:val="-7"/>
        </w:rPr>
        <w:t> </w:t>
      </w:r>
      <w:r>
        <w:rPr/>
        <w:t>mere</w:t>
      </w:r>
      <w:r>
        <w:rPr>
          <w:spacing w:val="-5"/>
        </w:rPr>
        <w:t> </w:t>
      </w:r>
      <w:r>
        <w:rPr/>
        <w:t>skala- afhængige end andre. Desuden vil nogle parametre, som ikke er inkluderet i kalibreringen som f.eks. drændybden ligeledes være skalaafhængige. Resultaterne åbner dog klar op for muligheden af at overføre parametre mellem skalaer, hvilket vil muliggøre en landsdæk- kende model i 100 m opløsning med en performance, som er sammenlignelig med dels 500 m modellen samt lokal modeller kalibreret i 100 m</w:t>
      </w:r>
      <w:r>
        <w:rPr>
          <w:spacing w:val="-15"/>
        </w:rPr>
        <w:t> </w:t>
      </w:r>
      <w:r>
        <w:rPr/>
        <w:t>opløsning.</w:t>
      </w:r>
    </w:p>
    <w:p>
      <w:pPr>
        <w:spacing w:after="0" w:line="288" w:lineRule="auto"/>
        <w:jc w:val="both"/>
        <w:sectPr>
          <w:pgSz w:w="11910" w:h="16850"/>
          <w:pgMar w:header="0" w:footer="937" w:top="1340" w:bottom="1120" w:left="1460" w:right="680"/>
        </w:sectPr>
      </w:pPr>
    </w:p>
    <w:p>
      <w:pPr>
        <w:pStyle w:val="Heading2"/>
        <w:numPr>
          <w:ilvl w:val="1"/>
          <w:numId w:val="15"/>
        </w:numPr>
        <w:tabs>
          <w:tab w:pos="1297" w:val="left" w:leader="none"/>
          <w:tab w:pos="1298" w:val="left" w:leader="none"/>
        </w:tabs>
        <w:spacing w:line="240" w:lineRule="auto" w:before="74" w:after="0"/>
        <w:ind w:left="525" w:right="1000" w:firstLine="0"/>
        <w:jc w:val="left"/>
      </w:pPr>
      <w:bookmarkStart w:name="_bookmark154" w:id="191"/>
      <w:bookmarkEnd w:id="191"/>
      <w:r>
        <w:rPr>
          <w:b w:val="0"/>
        </w:rPr>
      </w:r>
      <w:bookmarkStart w:name="_bookmark154" w:id="192"/>
      <w:bookmarkEnd w:id="192"/>
      <w:r>
        <w:rPr/>
        <w:t>M</w:t>
      </w:r>
      <w:r>
        <w:rPr/>
        <w:t>odel validering med anvendelse af GEO’s pejledata for det terrænnære</w:t>
      </w:r>
      <w:r>
        <w:rPr>
          <w:spacing w:val="1"/>
        </w:rPr>
        <w:t> </w:t>
      </w:r>
      <w:r>
        <w:rPr/>
        <w:t>grundvand.</w:t>
      </w:r>
    </w:p>
    <w:p>
      <w:pPr>
        <w:pStyle w:val="BodyText"/>
        <w:spacing w:line="276" w:lineRule="auto" w:before="212"/>
        <w:ind w:left="525" w:right="730"/>
        <w:jc w:val="both"/>
      </w:pPr>
      <w:r>
        <w:rPr/>
        <w:t>Geo har stillet datafil til rådighed for GEUS fra Geo’s database for de to modelområder for perioden 2000-2015 af data, der foreligger digitaliseret i Geo’s database. Dette datasæt be- står</w:t>
      </w:r>
      <w:r>
        <w:rPr>
          <w:spacing w:val="-14"/>
        </w:rPr>
        <w:t> </w:t>
      </w:r>
      <w:r>
        <w:rPr/>
        <w:t>stort</w:t>
      </w:r>
      <w:r>
        <w:rPr>
          <w:spacing w:val="-15"/>
        </w:rPr>
        <w:t> </w:t>
      </w:r>
      <w:r>
        <w:rPr/>
        <w:t>set</w:t>
      </w:r>
      <w:r>
        <w:rPr>
          <w:spacing w:val="-14"/>
        </w:rPr>
        <w:t> </w:t>
      </w:r>
      <w:r>
        <w:rPr/>
        <w:t>udelukkende</w:t>
      </w:r>
      <w:r>
        <w:rPr>
          <w:spacing w:val="-15"/>
        </w:rPr>
        <w:t> </w:t>
      </w:r>
      <w:r>
        <w:rPr/>
        <w:t>af</w:t>
      </w:r>
      <w:r>
        <w:rPr>
          <w:spacing w:val="-12"/>
        </w:rPr>
        <w:t> </w:t>
      </w:r>
      <w:r>
        <w:rPr/>
        <w:t>boringer,</w:t>
      </w:r>
      <w:r>
        <w:rPr>
          <w:spacing w:val="-14"/>
        </w:rPr>
        <w:t> </w:t>
      </w:r>
      <w:r>
        <w:rPr/>
        <w:t>som</w:t>
      </w:r>
      <w:r>
        <w:rPr>
          <w:spacing w:val="-12"/>
        </w:rPr>
        <w:t> </w:t>
      </w:r>
      <w:r>
        <w:rPr/>
        <w:t>er</w:t>
      </w:r>
      <w:r>
        <w:rPr>
          <w:spacing w:val="-14"/>
        </w:rPr>
        <w:t> </w:t>
      </w:r>
      <w:r>
        <w:rPr/>
        <w:t>pejlet</w:t>
      </w:r>
      <w:r>
        <w:rPr>
          <w:spacing w:val="-14"/>
        </w:rPr>
        <w:t> </w:t>
      </w:r>
      <w:r>
        <w:rPr/>
        <w:t>en</w:t>
      </w:r>
      <w:r>
        <w:rPr>
          <w:spacing w:val="-13"/>
        </w:rPr>
        <w:t> </w:t>
      </w:r>
      <w:r>
        <w:rPr/>
        <w:t>enkelt</w:t>
      </w:r>
      <w:r>
        <w:rPr>
          <w:spacing w:val="-14"/>
        </w:rPr>
        <w:t> </w:t>
      </w:r>
      <w:r>
        <w:rPr/>
        <w:t>gang,</w:t>
      </w:r>
      <w:r>
        <w:rPr>
          <w:spacing w:val="-14"/>
        </w:rPr>
        <w:t> </w:t>
      </w:r>
      <w:r>
        <w:rPr/>
        <w:t>med</w:t>
      </w:r>
      <w:r>
        <w:rPr>
          <w:spacing w:val="-13"/>
        </w:rPr>
        <w:t> </w:t>
      </w:r>
      <w:r>
        <w:rPr/>
        <w:t>samlet</w:t>
      </w:r>
      <w:r>
        <w:rPr>
          <w:spacing w:val="-17"/>
        </w:rPr>
        <w:t> </w:t>
      </w:r>
      <w:r>
        <w:rPr/>
        <w:t>843</w:t>
      </w:r>
      <w:r>
        <w:rPr>
          <w:spacing w:val="-13"/>
        </w:rPr>
        <w:t> </w:t>
      </w:r>
      <w:r>
        <w:rPr/>
        <w:t>pejlinger fordelt på 826 boringer. Heraf er de 121 pejleboringer placeret i Storå oplandet med 52 pej- linger</w:t>
      </w:r>
      <w:r>
        <w:rPr>
          <w:spacing w:val="-10"/>
        </w:rPr>
        <w:t> </w:t>
      </w:r>
      <w:r>
        <w:rPr/>
        <w:t>i</w:t>
      </w:r>
      <w:r>
        <w:rPr>
          <w:spacing w:val="-10"/>
        </w:rPr>
        <w:t> </w:t>
      </w:r>
      <w:r>
        <w:rPr/>
        <w:t>kalibreringsperioden</w:t>
      </w:r>
      <w:r>
        <w:rPr>
          <w:spacing w:val="-8"/>
        </w:rPr>
        <w:t> </w:t>
      </w:r>
      <w:r>
        <w:rPr/>
        <w:t>(2000-2008).</w:t>
      </w:r>
      <w:r>
        <w:rPr>
          <w:spacing w:val="-11"/>
        </w:rPr>
        <w:t> </w:t>
      </w:r>
      <w:r>
        <w:rPr/>
        <w:t>705</w:t>
      </w:r>
      <w:r>
        <w:rPr>
          <w:spacing w:val="-8"/>
        </w:rPr>
        <w:t> </w:t>
      </w:r>
      <w:r>
        <w:rPr/>
        <w:t>pejleboringer</w:t>
      </w:r>
      <w:r>
        <w:rPr>
          <w:spacing w:val="-9"/>
        </w:rPr>
        <w:t> </w:t>
      </w:r>
      <w:r>
        <w:rPr/>
        <w:t>er</w:t>
      </w:r>
      <w:r>
        <w:rPr>
          <w:spacing w:val="-10"/>
        </w:rPr>
        <w:t> </w:t>
      </w:r>
      <w:r>
        <w:rPr/>
        <w:t>placeret</w:t>
      </w:r>
      <w:r>
        <w:rPr>
          <w:spacing w:val="-10"/>
        </w:rPr>
        <w:t> </w:t>
      </w:r>
      <w:r>
        <w:rPr/>
        <w:t>i</w:t>
      </w:r>
      <w:r>
        <w:rPr>
          <w:spacing w:val="-6"/>
        </w:rPr>
        <w:t> </w:t>
      </w:r>
      <w:r>
        <w:rPr/>
        <w:t>Odense</w:t>
      </w:r>
      <w:r>
        <w:rPr>
          <w:spacing w:val="-8"/>
        </w:rPr>
        <w:t> </w:t>
      </w:r>
      <w:r>
        <w:rPr/>
        <w:t>Å</w:t>
      </w:r>
      <w:r>
        <w:rPr>
          <w:spacing w:val="-8"/>
        </w:rPr>
        <w:t> </w:t>
      </w:r>
      <w:r>
        <w:rPr/>
        <w:t>oplandet, med 590 i perioden 2000-2008. Geo’s database indeholder flere pejledata, men disse er endnu ikke digitaliseret og er hovedsageligt fra perioden før</w:t>
      </w:r>
      <w:r>
        <w:rPr>
          <w:spacing w:val="-14"/>
        </w:rPr>
        <w:t> </w:t>
      </w:r>
      <w:r>
        <w:rPr/>
        <w:t>2000.</w:t>
      </w:r>
    </w:p>
    <w:p>
      <w:pPr>
        <w:pStyle w:val="BodyText"/>
        <w:spacing w:line="276" w:lineRule="auto" w:before="158"/>
        <w:ind w:left="525" w:right="730"/>
        <w:jc w:val="both"/>
      </w:pPr>
      <w:r>
        <w:rPr/>
        <w:t>Den rumlige udbredelse af data fra Geo fremgår af </w:t>
      </w:r>
      <w:hyperlink w:history="true" w:anchor="_bookmark155">
        <w:r>
          <w:rPr/>
          <w:t>figur 111</w:t>
        </w:r>
      </w:hyperlink>
      <w:r>
        <w:rPr/>
        <w:t>, som illustrerer hvordan pejle- data er centreret omkring nogle få bygge- og anlægsprojekter f.eks. Svendborgmotorvejen. Den meget begrænsede rumlige dækning og høje densitet af data i specifikke områder gør datasættet uegnet til kalibrering af hele model området. Derimod udgør Geo’s datasæt et potentielt bidrag til validering i udvalgte områder.</w:t>
      </w:r>
    </w:p>
    <w:p>
      <w:pPr>
        <w:pStyle w:val="BodyText"/>
        <w:rPr>
          <w:sz w:val="20"/>
        </w:rPr>
      </w:pPr>
    </w:p>
    <w:p>
      <w:pPr>
        <w:pStyle w:val="BodyText"/>
        <w:spacing w:before="10"/>
        <w:rPr>
          <w:sz w:val="28"/>
        </w:rPr>
      </w:pPr>
      <w:r>
        <w:rPr/>
        <w:drawing>
          <wp:anchor distT="0" distB="0" distL="0" distR="0" allowOverlap="1" layoutInCell="1" locked="0" behindDoc="0" simplePos="0" relativeHeight="83">
            <wp:simplePos x="0" y="0"/>
            <wp:positionH relativeFrom="page">
              <wp:posOffset>1388645</wp:posOffset>
            </wp:positionH>
            <wp:positionV relativeFrom="paragraph">
              <wp:posOffset>235748</wp:posOffset>
            </wp:positionV>
            <wp:extent cx="5308150" cy="4062984"/>
            <wp:effectExtent l="0" t="0" r="0" b="0"/>
            <wp:wrapTopAndBottom/>
            <wp:docPr id="229" name="image130.jpeg" descr=""/>
            <wp:cNvGraphicFramePr>
              <a:graphicFrameLocks noChangeAspect="1"/>
            </wp:cNvGraphicFramePr>
            <a:graphic>
              <a:graphicData uri="http://schemas.openxmlformats.org/drawingml/2006/picture">
                <pic:pic>
                  <pic:nvPicPr>
                    <pic:cNvPr id="230" name="image130.jpeg"/>
                    <pic:cNvPicPr/>
                  </pic:nvPicPr>
                  <pic:blipFill>
                    <a:blip r:embed="rId142" cstate="print"/>
                    <a:stretch>
                      <a:fillRect/>
                    </a:stretch>
                  </pic:blipFill>
                  <pic:spPr>
                    <a:xfrm>
                      <a:off x="0" y="0"/>
                      <a:ext cx="5308150" cy="4062984"/>
                    </a:xfrm>
                    <a:prstGeom prst="rect">
                      <a:avLst/>
                    </a:prstGeom>
                  </pic:spPr>
                </pic:pic>
              </a:graphicData>
            </a:graphic>
          </wp:anchor>
        </w:drawing>
      </w:r>
    </w:p>
    <w:p>
      <w:pPr>
        <w:spacing w:after="0"/>
        <w:rPr>
          <w:sz w:val="28"/>
        </w:rPr>
        <w:sectPr>
          <w:pgSz w:w="11910" w:h="16850"/>
          <w:pgMar w:header="0" w:footer="937" w:top="1340" w:bottom="1120" w:left="1460" w:right="680"/>
        </w:sectPr>
      </w:pPr>
    </w:p>
    <w:p>
      <w:pPr>
        <w:pStyle w:val="BodyText"/>
        <w:spacing w:before="7" w:after="1"/>
        <w:rPr>
          <w:sz w:val="11"/>
        </w:rPr>
      </w:pPr>
    </w:p>
    <w:p>
      <w:pPr>
        <w:pStyle w:val="BodyText"/>
        <w:ind w:left="721"/>
        <w:rPr>
          <w:sz w:val="20"/>
        </w:rPr>
      </w:pPr>
      <w:r>
        <w:rPr>
          <w:sz w:val="20"/>
        </w:rPr>
        <w:drawing>
          <wp:inline distT="0" distB="0" distL="0" distR="0">
            <wp:extent cx="5185454" cy="6685788"/>
            <wp:effectExtent l="0" t="0" r="0" b="0"/>
            <wp:docPr id="231" name="image131.jpeg" descr=""/>
            <wp:cNvGraphicFramePr>
              <a:graphicFrameLocks noChangeAspect="1"/>
            </wp:cNvGraphicFramePr>
            <a:graphic>
              <a:graphicData uri="http://schemas.openxmlformats.org/drawingml/2006/picture">
                <pic:pic>
                  <pic:nvPicPr>
                    <pic:cNvPr id="232" name="image131.jpeg"/>
                    <pic:cNvPicPr/>
                  </pic:nvPicPr>
                  <pic:blipFill>
                    <a:blip r:embed="rId143" cstate="print"/>
                    <a:stretch>
                      <a:fillRect/>
                    </a:stretch>
                  </pic:blipFill>
                  <pic:spPr>
                    <a:xfrm>
                      <a:off x="0" y="0"/>
                      <a:ext cx="5185454" cy="6685788"/>
                    </a:xfrm>
                    <a:prstGeom prst="rect">
                      <a:avLst/>
                    </a:prstGeom>
                  </pic:spPr>
                </pic:pic>
              </a:graphicData>
            </a:graphic>
          </wp:inline>
        </w:drawing>
      </w:r>
      <w:r>
        <w:rPr>
          <w:sz w:val="20"/>
        </w:rPr>
      </w:r>
    </w:p>
    <w:p>
      <w:pPr>
        <w:pStyle w:val="BodyText"/>
        <w:rPr>
          <w:sz w:val="12"/>
        </w:rPr>
      </w:pPr>
    </w:p>
    <w:p>
      <w:pPr>
        <w:spacing w:before="64"/>
        <w:ind w:left="525" w:right="774" w:firstLine="0"/>
        <w:jc w:val="left"/>
        <w:rPr>
          <w:rFonts w:ascii="Calibri" w:hAnsi="Calibri"/>
          <w:i/>
          <w:sz w:val="18"/>
        </w:rPr>
      </w:pPr>
      <w:bookmarkStart w:name="_bookmark155" w:id="193"/>
      <w:bookmarkEnd w:id="193"/>
      <w:r>
        <w:rPr/>
      </w:r>
      <w:r>
        <w:rPr>
          <w:rFonts w:ascii="Calibri" w:hAnsi="Calibri"/>
          <w:i/>
          <w:color w:val="44536A"/>
          <w:sz w:val="18"/>
        </w:rPr>
        <w:t>Figur 111 Storå og Odense modelområde. På figuren vises alle digitale pejlinger udtrukket fra boringsdatabasen i </w:t>
      </w:r>
      <w:r>
        <w:rPr>
          <w:rFonts w:ascii="Calibri" w:hAnsi="Calibri"/>
          <w:i/>
          <w:color w:val="44536A"/>
          <w:sz w:val="18"/>
        </w:rPr>
        <w:t>perioden 2000-2015 (blå cirkler). Geo projekter med pejlinger som er registreret i databasen men mangler koordina- ter (grønne firkanter) og alle projekter udført i perioden fra 1943-2018 (grå firkanter).</w:t>
      </w:r>
    </w:p>
    <w:p>
      <w:pPr>
        <w:pStyle w:val="BodyText"/>
        <w:rPr>
          <w:rFonts w:ascii="Calibri"/>
          <w:i/>
          <w:sz w:val="18"/>
        </w:rPr>
      </w:pPr>
    </w:p>
    <w:p>
      <w:pPr>
        <w:pStyle w:val="BodyText"/>
        <w:rPr>
          <w:rFonts w:ascii="Calibri"/>
          <w:i/>
          <w:sz w:val="18"/>
        </w:rPr>
      </w:pPr>
    </w:p>
    <w:p>
      <w:pPr>
        <w:pStyle w:val="BodyText"/>
        <w:rPr>
          <w:rFonts w:ascii="Calibri"/>
          <w:i/>
          <w:sz w:val="16"/>
        </w:rPr>
      </w:pPr>
    </w:p>
    <w:p>
      <w:pPr>
        <w:pStyle w:val="BodyText"/>
        <w:spacing w:line="276" w:lineRule="auto" w:before="1"/>
        <w:ind w:left="525" w:right="733"/>
        <w:jc w:val="both"/>
      </w:pPr>
      <w:r>
        <w:rPr/>
        <w:t>Det er på den baggrund valgt at anvende Jupiter samt Regionernes pejledata til den gene- relle model kalibrering, mens Geo’s data er anvendt til en yderligere validering. Værdien af Geo’s pejledatasæt i forhold til Jupiter data og andre datakilder til terrænnære grundvands- data vil blive vurderet i de følgende afsnit.</w:t>
      </w:r>
    </w:p>
    <w:p>
      <w:pPr>
        <w:spacing w:after="0" w:line="276" w:lineRule="auto"/>
        <w:jc w:val="both"/>
        <w:sectPr>
          <w:pgSz w:w="11910" w:h="16850"/>
          <w:pgMar w:header="0" w:footer="937" w:top="1600" w:bottom="1120" w:left="1460" w:right="680"/>
        </w:sectPr>
      </w:pPr>
    </w:p>
    <w:p>
      <w:pPr>
        <w:pStyle w:val="Heading5"/>
        <w:spacing w:before="75"/>
        <w:rPr>
          <w:i/>
        </w:rPr>
      </w:pPr>
      <w:r>
        <w:rPr>
          <w:i/>
        </w:rPr>
        <w:t>Storå modellen</w:t>
      </w:r>
    </w:p>
    <w:p>
      <w:pPr>
        <w:pStyle w:val="BodyText"/>
        <w:spacing w:line="276" w:lineRule="auto" w:before="37"/>
        <w:ind w:left="525" w:right="732"/>
        <w:jc w:val="both"/>
      </w:pPr>
      <w:r>
        <w:rPr/>
        <w:t>For Storå modellen, </w:t>
      </w:r>
      <w:hyperlink w:history="true" w:anchor="_bookmark156">
        <w:r>
          <w:rPr/>
          <w:t>tabel 28 </w:t>
        </w:r>
      </w:hyperlink>
      <w:r>
        <w:rPr/>
        <w:t>og 29, er kun meget lidt data tilgængeligt fra Geo’s database, med hhv. 19 og 11 grids repræsenteret i hhv. 100 m og 500 m modellerne. Dette gør sam- menligningen</w:t>
      </w:r>
      <w:r>
        <w:rPr>
          <w:spacing w:val="-4"/>
        </w:rPr>
        <w:t> </w:t>
      </w:r>
      <w:r>
        <w:rPr/>
        <w:t>vanskelig,</w:t>
      </w:r>
      <w:r>
        <w:rPr>
          <w:spacing w:val="-6"/>
        </w:rPr>
        <w:t> </w:t>
      </w:r>
      <w:r>
        <w:rPr/>
        <w:t>men</w:t>
      </w:r>
      <w:r>
        <w:rPr>
          <w:spacing w:val="-5"/>
        </w:rPr>
        <w:t> </w:t>
      </w:r>
      <w:r>
        <w:rPr/>
        <w:t>det</w:t>
      </w:r>
      <w:r>
        <w:rPr>
          <w:spacing w:val="-5"/>
        </w:rPr>
        <w:t> </w:t>
      </w:r>
      <w:r>
        <w:rPr/>
        <w:t>ses</w:t>
      </w:r>
      <w:r>
        <w:rPr>
          <w:spacing w:val="-5"/>
        </w:rPr>
        <w:t> </w:t>
      </w:r>
      <w:r>
        <w:rPr/>
        <w:t>generelt,</w:t>
      </w:r>
      <w:r>
        <w:rPr>
          <w:spacing w:val="-6"/>
        </w:rPr>
        <w:t> </w:t>
      </w:r>
      <w:r>
        <w:rPr/>
        <w:t>at</w:t>
      </w:r>
      <w:r>
        <w:rPr>
          <w:spacing w:val="-2"/>
        </w:rPr>
        <w:t> </w:t>
      </w:r>
      <w:r>
        <w:rPr/>
        <w:t>modelfejlene</w:t>
      </w:r>
      <w:r>
        <w:rPr>
          <w:spacing w:val="-5"/>
        </w:rPr>
        <w:t> </w:t>
      </w:r>
      <w:r>
        <w:rPr/>
        <w:t>er</w:t>
      </w:r>
      <w:r>
        <w:rPr>
          <w:spacing w:val="-5"/>
        </w:rPr>
        <w:t> </w:t>
      </w:r>
      <w:r>
        <w:rPr/>
        <w:t>større</w:t>
      </w:r>
      <w:r>
        <w:rPr>
          <w:spacing w:val="-5"/>
        </w:rPr>
        <w:t> </w:t>
      </w:r>
      <w:r>
        <w:rPr/>
        <w:t>ved</w:t>
      </w:r>
      <w:r>
        <w:rPr>
          <w:spacing w:val="-1"/>
        </w:rPr>
        <w:t> </w:t>
      </w:r>
      <w:r>
        <w:rPr/>
        <w:t>sammenligning med Regions og Geo data i forhold til Jupiter data. Dette kan skyldes, at Jupiter data har gennemgået en vis kvalitetssikring af GEUS i forhold til anvendelse i hydrogeologisk model kalibrering i DK-model, hvorimod Regionernes og Geo’s data er anvendt</w:t>
      </w:r>
      <w:r>
        <w:rPr>
          <w:spacing w:val="-21"/>
        </w:rPr>
        <w:t> </w:t>
      </w:r>
      <w:r>
        <w:rPr/>
        <w:t>direkte.</w:t>
      </w:r>
    </w:p>
    <w:p>
      <w:pPr>
        <w:pStyle w:val="BodyText"/>
        <w:rPr>
          <w:sz w:val="24"/>
        </w:rPr>
      </w:pPr>
    </w:p>
    <w:p>
      <w:pPr>
        <w:pStyle w:val="BodyText"/>
        <w:rPr>
          <w:sz w:val="28"/>
        </w:rPr>
      </w:pPr>
    </w:p>
    <w:p>
      <w:pPr>
        <w:spacing w:before="1"/>
        <w:ind w:left="525" w:right="761" w:firstLine="0"/>
        <w:jc w:val="left"/>
        <w:rPr>
          <w:rFonts w:ascii="Calibri" w:hAnsi="Calibri"/>
          <w:i/>
          <w:sz w:val="18"/>
        </w:rPr>
      </w:pPr>
      <w:bookmarkStart w:name="_bookmark156" w:id="194"/>
      <w:bookmarkEnd w:id="194"/>
      <w:r>
        <w:rPr/>
      </w:r>
      <w:r>
        <w:rPr>
          <w:rFonts w:ascii="Calibri" w:hAnsi="Calibri"/>
          <w:i/>
          <w:color w:val="44536A"/>
          <w:sz w:val="18"/>
        </w:rPr>
        <w:t>Tabel 28 Performance statistik for simuleret trykniveau på modelgrid niveau for alle tre kalibreringer (2000-2008). </w:t>
      </w:r>
      <w:r>
        <w:rPr>
          <w:rFonts w:ascii="Calibri" w:hAnsi="Calibri"/>
          <w:i/>
          <w:color w:val="44536A"/>
          <w:sz w:val="18"/>
        </w:rPr>
        <w:t>Jupiter, Region og Geo indikerer separat statistik for hhv. data fra Jupiter, Regionernes og GEOs databaser. Alle stør- relser er i [m]. Middelfejl er angivet som obs –</w:t>
      </w:r>
      <w:r>
        <w:rPr>
          <w:rFonts w:ascii="Calibri" w:hAnsi="Calibri"/>
          <w:i/>
          <w:color w:val="44536A"/>
          <w:spacing w:val="-2"/>
          <w:sz w:val="18"/>
        </w:rPr>
        <w:t> </w:t>
      </w:r>
      <w:r>
        <w:rPr>
          <w:rFonts w:ascii="Calibri" w:hAnsi="Calibri"/>
          <w:i/>
          <w:color w:val="44536A"/>
          <w:sz w:val="18"/>
        </w:rPr>
        <w:t>sim.</w:t>
      </w:r>
    </w:p>
    <w:p>
      <w:pPr>
        <w:pStyle w:val="BodyText"/>
        <w:spacing w:before="5"/>
        <w:rPr>
          <w:rFonts w:ascii="Calibri"/>
          <w:i/>
          <w:sz w:val="16"/>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99"/>
        <w:gridCol w:w="828"/>
        <w:gridCol w:w="880"/>
        <w:gridCol w:w="680"/>
        <w:gridCol w:w="848"/>
        <w:gridCol w:w="879"/>
        <w:gridCol w:w="681"/>
        <w:gridCol w:w="839"/>
        <w:gridCol w:w="839"/>
        <w:gridCol w:w="599"/>
      </w:tblGrid>
      <w:tr>
        <w:trPr>
          <w:trHeight w:val="288" w:hRule="atLeast"/>
        </w:trPr>
        <w:tc>
          <w:tcPr>
            <w:tcW w:w="1299" w:type="dxa"/>
          </w:tcPr>
          <w:p>
            <w:pPr>
              <w:pStyle w:val="TableParagraph"/>
              <w:spacing w:line="268" w:lineRule="exact"/>
              <w:ind w:left="69"/>
              <w:jc w:val="left"/>
              <w:rPr>
                <w:rFonts w:ascii="Calibri"/>
                <w:b/>
                <w:sz w:val="22"/>
              </w:rPr>
            </w:pPr>
            <w:r>
              <w:rPr>
                <w:rFonts w:ascii="Calibri"/>
                <w:b/>
                <w:sz w:val="22"/>
              </w:rPr>
              <w:t>Kalibrering</w:t>
            </w:r>
          </w:p>
        </w:tc>
        <w:tc>
          <w:tcPr>
            <w:tcW w:w="2388" w:type="dxa"/>
            <w:gridSpan w:val="3"/>
            <w:tcBorders>
              <w:right w:val="single" w:sz="8" w:space="0" w:color="000000"/>
            </w:tcBorders>
          </w:tcPr>
          <w:p>
            <w:pPr>
              <w:pStyle w:val="TableParagraph"/>
              <w:spacing w:line="268" w:lineRule="exact"/>
              <w:ind w:left="491"/>
              <w:jc w:val="left"/>
              <w:rPr>
                <w:rFonts w:ascii="Calibri"/>
                <w:b/>
                <w:sz w:val="22"/>
              </w:rPr>
            </w:pPr>
            <w:r>
              <w:rPr>
                <w:rFonts w:ascii="Calibri"/>
                <w:b/>
                <w:sz w:val="22"/>
              </w:rPr>
              <w:t>100m_Jup+Reg</w:t>
            </w:r>
          </w:p>
        </w:tc>
        <w:tc>
          <w:tcPr>
            <w:tcW w:w="1727" w:type="dxa"/>
            <w:gridSpan w:val="2"/>
            <w:tcBorders>
              <w:left w:val="single" w:sz="8" w:space="0" w:color="000000"/>
            </w:tcBorders>
          </w:tcPr>
          <w:p>
            <w:pPr>
              <w:pStyle w:val="TableParagraph"/>
              <w:spacing w:line="268" w:lineRule="exact"/>
              <w:ind w:left="729"/>
              <w:jc w:val="left"/>
              <w:rPr>
                <w:rFonts w:ascii="Calibri"/>
                <w:b/>
                <w:sz w:val="22"/>
              </w:rPr>
            </w:pPr>
            <w:r>
              <w:rPr>
                <w:rFonts w:ascii="Calibri"/>
                <w:b/>
                <w:sz w:val="22"/>
              </w:rPr>
              <w:t>100m_Jup</w:t>
            </w:r>
          </w:p>
        </w:tc>
        <w:tc>
          <w:tcPr>
            <w:tcW w:w="681" w:type="dxa"/>
            <w:tcBorders>
              <w:right w:val="single" w:sz="8" w:space="0" w:color="000000"/>
            </w:tcBorders>
          </w:tcPr>
          <w:p>
            <w:pPr>
              <w:pStyle w:val="TableParagraph"/>
              <w:jc w:val="left"/>
              <w:rPr>
                <w:rFonts w:ascii="Times New Roman"/>
                <w:sz w:val="20"/>
              </w:rPr>
            </w:pPr>
          </w:p>
        </w:tc>
        <w:tc>
          <w:tcPr>
            <w:tcW w:w="2277" w:type="dxa"/>
            <w:gridSpan w:val="3"/>
            <w:tcBorders>
              <w:left w:val="single" w:sz="8" w:space="0" w:color="000000"/>
            </w:tcBorders>
          </w:tcPr>
          <w:p>
            <w:pPr>
              <w:pStyle w:val="TableParagraph"/>
              <w:spacing w:line="268" w:lineRule="exact"/>
              <w:ind w:left="440"/>
              <w:jc w:val="left"/>
              <w:rPr>
                <w:rFonts w:ascii="Calibri"/>
                <w:b/>
                <w:sz w:val="22"/>
              </w:rPr>
            </w:pPr>
            <w:r>
              <w:rPr>
                <w:rFonts w:ascii="Calibri"/>
                <w:b/>
                <w:sz w:val="22"/>
              </w:rPr>
              <w:t>500m_Jup+Reg</w:t>
            </w:r>
          </w:p>
        </w:tc>
      </w:tr>
      <w:tr>
        <w:trPr>
          <w:trHeight w:val="249" w:hRule="atLeast"/>
        </w:trPr>
        <w:tc>
          <w:tcPr>
            <w:tcW w:w="1299" w:type="dxa"/>
            <w:tcBorders>
              <w:bottom w:val="single" w:sz="8" w:space="0" w:color="000000"/>
            </w:tcBorders>
          </w:tcPr>
          <w:p>
            <w:pPr>
              <w:pStyle w:val="TableParagraph"/>
              <w:jc w:val="left"/>
              <w:rPr>
                <w:rFonts w:ascii="Times New Roman"/>
                <w:sz w:val="18"/>
              </w:rPr>
            </w:pPr>
          </w:p>
        </w:tc>
        <w:tc>
          <w:tcPr>
            <w:tcW w:w="828" w:type="dxa"/>
            <w:tcBorders>
              <w:bottom w:val="single" w:sz="8" w:space="0" w:color="000000"/>
            </w:tcBorders>
          </w:tcPr>
          <w:p>
            <w:pPr>
              <w:pStyle w:val="TableParagraph"/>
              <w:spacing w:line="230" w:lineRule="exact"/>
              <w:ind w:left="76" w:right="99"/>
              <w:rPr>
                <w:rFonts w:ascii="Calibri"/>
                <w:sz w:val="22"/>
              </w:rPr>
            </w:pPr>
            <w:r>
              <w:rPr>
                <w:rFonts w:ascii="Calibri"/>
                <w:sz w:val="22"/>
              </w:rPr>
              <w:t>Jupiter</w:t>
            </w:r>
          </w:p>
        </w:tc>
        <w:tc>
          <w:tcPr>
            <w:tcW w:w="880" w:type="dxa"/>
            <w:tcBorders>
              <w:bottom w:val="single" w:sz="8" w:space="0" w:color="000000"/>
            </w:tcBorders>
          </w:tcPr>
          <w:p>
            <w:pPr>
              <w:pStyle w:val="TableParagraph"/>
              <w:spacing w:line="230" w:lineRule="exact"/>
              <w:ind w:left="99" w:right="120"/>
              <w:rPr>
                <w:rFonts w:ascii="Calibri"/>
                <w:sz w:val="22"/>
              </w:rPr>
            </w:pPr>
            <w:r>
              <w:rPr>
                <w:rFonts w:ascii="Calibri"/>
                <w:sz w:val="22"/>
              </w:rPr>
              <w:t>Region</w:t>
            </w:r>
          </w:p>
        </w:tc>
        <w:tc>
          <w:tcPr>
            <w:tcW w:w="680" w:type="dxa"/>
            <w:tcBorders>
              <w:bottom w:val="single" w:sz="8" w:space="0" w:color="000000"/>
              <w:right w:val="single" w:sz="8" w:space="0" w:color="000000"/>
            </w:tcBorders>
          </w:tcPr>
          <w:p>
            <w:pPr>
              <w:pStyle w:val="TableParagraph"/>
              <w:spacing w:line="230" w:lineRule="exact"/>
              <w:ind w:left="142"/>
              <w:jc w:val="left"/>
              <w:rPr>
                <w:rFonts w:ascii="Calibri"/>
                <w:sz w:val="22"/>
              </w:rPr>
            </w:pPr>
            <w:r>
              <w:rPr>
                <w:rFonts w:ascii="Calibri"/>
                <w:sz w:val="22"/>
              </w:rPr>
              <w:t>Geo</w:t>
            </w:r>
          </w:p>
        </w:tc>
        <w:tc>
          <w:tcPr>
            <w:tcW w:w="848" w:type="dxa"/>
            <w:tcBorders>
              <w:left w:val="single" w:sz="8" w:space="0" w:color="000000"/>
              <w:bottom w:val="single" w:sz="8" w:space="0" w:color="000000"/>
            </w:tcBorders>
          </w:tcPr>
          <w:p>
            <w:pPr>
              <w:pStyle w:val="TableParagraph"/>
              <w:spacing w:line="230" w:lineRule="exact"/>
              <w:ind w:left="86" w:right="94"/>
              <w:rPr>
                <w:rFonts w:ascii="Calibri"/>
                <w:sz w:val="22"/>
              </w:rPr>
            </w:pPr>
            <w:r>
              <w:rPr>
                <w:rFonts w:ascii="Calibri"/>
                <w:sz w:val="22"/>
              </w:rPr>
              <w:t>Jupiter</w:t>
            </w:r>
          </w:p>
        </w:tc>
        <w:tc>
          <w:tcPr>
            <w:tcW w:w="879" w:type="dxa"/>
            <w:tcBorders>
              <w:bottom w:val="single" w:sz="8" w:space="0" w:color="000000"/>
            </w:tcBorders>
          </w:tcPr>
          <w:p>
            <w:pPr>
              <w:pStyle w:val="TableParagraph"/>
              <w:spacing w:line="230" w:lineRule="exact"/>
              <w:ind w:left="100" w:right="121"/>
              <w:rPr>
                <w:rFonts w:ascii="Calibri"/>
                <w:sz w:val="22"/>
              </w:rPr>
            </w:pPr>
            <w:r>
              <w:rPr>
                <w:rFonts w:ascii="Calibri"/>
                <w:sz w:val="22"/>
              </w:rPr>
              <w:t>Region</w:t>
            </w:r>
          </w:p>
        </w:tc>
        <w:tc>
          <w:tcPr>
            <w:tcW w:w="681" w:type="dxa"/>
            <w:tcBorders>
              <w:bottom w:val="single" w:sz="8" w:space="0" w:color="000000"/>
              <w:right w:val="single" w:sz="8" w:space="0" w:color="000000"/>
            </w:tcBorders>
          </w:tcPr>
          <w:p>
            <w:pPr>
              <w:pStyle w:val="TableParagraph"/>
              <w:spacing w:line="230" w:lineRule="exact"/>
              <w:ind w:left="145"/>
              <w:jc w:val="left"/>
              <w:rPr>
                <w:rFonts w:ascii="Calibri"/>
                <w:sz w:val="22"/>
              </w:rPr>
            </w:pPr>
            <w:r>
              <w:rPr>
                <w:rFonts w:ascii="Calibri"/>
                <w:sz w:val="22"/>
              </w:rPr>
              <w:t>Geo</w:t>
            </w:r>
          </w:p>
        </w:tc>
        <w:tc>
          <w:tcPr>
            <w:tcW w:w="839" w:type="dxa"/>
            <w:tcBorders>
              <w:left w:val="single" w:sz="8" w:space="0" w:color="000000"/>
              <w:bottom w:val="single" w:sz="8" w:space="0" w:color="000000"/>
            </w:tcBorders>
          </w:tcPr>
          <w:p>
            <w:pPr>
              <w:pStyle w:val="TableParagraph"/>
              <w:spacing w:line="230" w:lineRule="exact"/>
              <w:ind w:left="89" w:right="87"/>
              <w:rPr>
                <w:rFonts w:ascii="Calibri"/>
                <w:sz w:val="22"/>
              </w:rPr>
            </w:pPr>
            <w:r>
              <w:rPr>
                <w:rFonts w:ascii="Calibri"/>
                <w:sz w:val="22"/>
              </w:rPr>
              <w:t>Jupiter</w:t>
            </w:r>
          </w:p>
        </w:tc>
        <w:tc>
          <w:tcPr>
            <w:tcW w:w="839" w:type="dxa"/>
            <w:tcBorders>
              <w:bottom w:val="single" w:sz="8" w:space="0" w:color="000000"/>
            </w:tcBorders>
          </w:tcPr>
          <w:p>
            <w:pPr>
              <w:pStyle w:val="TableParagraph"/>
              <w:spacing w:line="230" w:lineRule="exact"/>
              <w:ind w:left="88" w:right="84"/>
              <w:rPr>
                <w:rFonts w:ascii="Calibri"/>
                <w:sz w:val="22"/>
              </w:rPr>
            </w:pPr>
            <w:r>
              <w:rPr>
                <w:rFonts w:ascii="Calibri"/>
                <w:sz w:val="22"/>
              </w:rPr>
              <w:t>Region</w:t>
            </w:r>
          </w:p>
        </w:tc>
        <w:tc>
          <w:tcPr>
            <w:tcW w:w="599" w:type="dxa"/>
            <w:tcBorders>
              <w:bottom w:val="single" w:sz="8" w:space="0" w:color="000000"/>
            </w:tcBorders>
          </w:tcPr>
          <w:p>
            <w:pPr>
              <w:pStyle w:val="TableParagraph"/>
              <w:spacing w:line="230" w:lineRule="exact"/>
              <w:ind w:left="117"/>
              <w:jc w:val="left"/>
              <w:rPr>
                <w:rFonts w:ascii="Calibri"/>
                <w:sz w:val="22"/>
              </w:rPr>
            </w:pPr>
            <w:r>
              <w:rPr>
                <w:rFonts w:ascii="Calibri"/>
                <w:sz w:val="22"/>
              </w:rPr>
              <w:t>Geo</w:t>
            </w:r>
          </w:p>
        </w:tc>
      </w:tr>
      <w:tr>
        <w:trPr>
          <w:trHeight w:val="287" w:hRule="atLeast"/>
        </w:trPr>
        <w:tc>
          <w:tcPr>
            <w:tcW w:w="1299" w:type="dxa"/>
            <w:tcBorders>
              <w:top w:val="single" w:sz="8" w:space="0" w:color="000000"/>
            </w:tcBorders>
          </w:tcPr>
          <w:p>
            <w:pPr>
              <w:pStyle w:val="TableParagraph"/>
              <w:spacing w:line="267" w:lineRule="exact"/>
              <w:ind w:left="69"/>
              <w:jc w:val="left"/>
              <w:rPr>
                <w:rFonts w:ascii="Calibri"/>
                <w:sz w:val="22"/>
              </w:rPr>
            </w:pPr>
            <w:r>
              <w:rPr>
                <w:rFonts w:ascii="Calibri"/>
                <w:sz w:val="22"/>
              </w:rPr>
              <w:t>ME tn</w:t>
            </w:r>
          </w:p>
        </w:tc>
        <w:tc>
          <w:tcPr>
            <w:tcW w:w="828" w:type="dxa"/>
            <w:tcBorders>
              <w:top w:val="single" w:sz="8" w:space="0" w:color="000000"/>
            </w:tcBorders>
          </w:tcPr>
          <w:p>
            <w:pPr>
              <w:pStyle w:val="TableParagraph"/>
              <w:spacing w:line="267" w:lineRule="exact"/>
              <w:ind w:left="76" w:right="95"/>
              <w:rPr>
                <w:rFonts w:ascii="Calibri"/>
                <w:sz w:val="22"/>
              </w:rPr>
            </w:pPr>
            <w:r>
              <w:rPr>
                <w:rFonts w:ascii="Calibri"/>
                <w:sz w:val="22"/>
              </w:rPr>
              <w:t>0.1</w:t>
            </w:r>
          </w:p>
        </w:tc>
        <w:tc>
          <w:tcPr>
            <w:tcW w:w="880" w:type="dxa"/>
            <w:tcBorders>
              <w:top w:val="single" w:sz="8" w:space="0" w:color="000000"/>
            </w:tcBorders>
          </w:tcPr>
          <w:p>
            <w:pPr>
              <w:pStyle w:val="TableParagraph"/>
              <w:spacing w:line="267" w:lineRule="exact"/>
              <w:ind w:left="99" w:right="121"/>
              <w:rPr>
                <w:rFonts w:ascii="Calibri"/>
                <w:sz w:val="22"/>
              </w:rPr>
            </w:pPr>
            <w:r>
              <w:rPr>
                <w:rFonts w:ascii="Calibri"/>
                <w:sz w:val="22"/>
              </w:rPr>
              <w:t>2.1</w:t>
            </w:r>
          </w:p>
        </w:tc>
        <w:tc>
          <w:tcPr>
            <w:tcW w:w="680" w:type="dxa"/>
            <w:tcBorders>
              <w:top w:val="single" w:sz="8" w:space="0" w:color="000000"/>
              <w:right w:val="single" w:sz="8" w:space="0" w:color="000000"/>
            </w:tcBorders>
          </w:tcPr>
          <w:p>
            <w:pPr>
              <w:pStyle w:val="TableParagraph"/>
              <w:spacing w:line="267" w:lineRule="exact"/>
              <w:ind w:left="185"/>
              <w:jc w:val="left"/>
              <w:rPr>
                <w:rFonts w:ascii="Calibri"/>
                <w:sz w:val="22"/>
              </w:rPr>
            </w:pPr>
            <w:r>
              <w:rPr>
                <w:rFonts w:ascii="Calibri"/>
                <w:sz w:val="22"/>
              </w:rPr>
              <w:t>3.3</w:t>
            </w:r>
          </w:p>
        </w:tc>
        <w:tc>
          <w:tcPr>
            <w:tcW w:w="848" w:type="dxa"/>
            <w:tcBorders>
              <w:top w:val="single" w:sz="8" w:space="0" w:color="000000"/>
              <w:left w:val="single" w:sz="8" w:space="0" w:color="000000"/>
            </w:tcBorders>
          </w:tcPr>
          <w:p>
            <w:pPr>
              <w:pStyle w:val="TableParagraph"/>
              <w:spacing w:line="267" w:lineRule="exact"/>
              <w:ind w:left="89" w:right="93"/>
              <w:rPr>
                <w:rFonts w:ascii="Calibri"/>
                <w:sz w:val="22"/>
              </w:rPr>
            </w:pPr>
            <w:r>
              <w:rPr>
                <w:rFonts w:ascii="Calibri"/>
                <w:sz w:val="22"/>
              </w:rPr>
              <w:t>0.2</w:t>
            </w:r>
          </w:p>
        </w:tc>
        <w:tc>
          <w:tcPr>
            <w:tcW w:w="879" w:type="dxa"/>
            <w:tcBorders>
              <w:top w:val="single" w:sz="8" w:space="0" w:color="000000"/>
            </w:tcBorders>
          </w:tcPr>
          <w:p>
            <w:pPr>
              <w:pStyle w:val="TableParagraph"/>
              <w:spacing w:line="267" w:lineRule="exact"/>
              <w:ind w:left="100" w:right="121"/>
              <w:rPr>
                <w:rFonts w:ascii="Calibri"/>
                <w:sz w:val="22"/>
              </w:rPr>
            </w:pPr>
            <w:r>
              <w:rPr>
                <w:rFonts w:ascii="Calibri"/>
                <w:sz w:val="22"/>
              </w:rPr>
              <w:t>2.2</w:t>
            </w:r>
          </w:p>
        </w:tc>
        <w:tc>
          <w:tcPr>
            <w:tcW w:w="681" w:type="dxa"/>
            <w:tcBorders>
              <w:top w:val="single" w:sz="8" w:space="0" w:color="000000"/>
              <w:right w:val="single" w:sz="8" w:space="0" w:color="000000"/>
            </w:tcBorders>
          </w:tcPr>
          <w:p>
            <w:pPr>
              <w:pStyle w:val="TableParagraph"/>
              <w:spacing w:line="267" w:lineRule="exact"/>
              <w:ind w:left="188"/>
              <w:jc w:val="left"/>
              <w:rPr>
                <w:rFonts w:ascii="Calibri"/>
                <w:sz w:val="22"/>
              </w:rPr>
            </w:pPr>
            <w:r>
              <w:rPr>
                <w:rFonts w:ascii="Calibri"/>
                <w:sz w:val="22"/>
              </w:rPr>
              <w:t>3.2</w:t>
            </w:r>
          </w:p>
        </w:tc>
        <w:tc>
          <w:tcPr>
            <w:tcW w:w="839" w:type="dxa"/>
            <w:tcBorders>
              <w:top w:val="single" w:sz="8" w:space="0" w:color="000000"/>
              <w:left w:val="single" w:sz="8" w:space="0" w:color="000000"/>
            </w:tcBorders>
          </w:tcPr>
          <w:p>
            <w:pPr>
              <w:pStyle w:val="TableParagraph"/>
              <w:spacing w:line="267" w:lineRule="exact"/>
              <w:ind w:left="5"/>
              <w:rPr>
                <w:rFonts w:ascii="Calibri"/>
                <w:sz w:val="22"/>
              </w:rPr>
            </w:pPr>
            <w:r>
              <w:rPr>
                <w:rFonts w:ascii="Calibri"/>
                <w:w w:val="100"/>
                <w:sz w:val="22"/>
              </w:rPr>
              <w:t>0</w:t>
            </w:r>
          </w:p>
        </w:tc>
        <w:tc>
          <w:tcPr>
            <w:tcW w:w="839" w:type="dxa"/>
            <w:tcBorders>
              <w:top w:val="single" w:sz="8" w:space="0" w:color="000000"/>
            </w:tcBorders>
          </w:tcPr>
          <w:p>
            <w:pPr>
              <w:pStyle w:val="TableParagraph"/>
              <w:spacing w:line="267" w:lineRule="exact"/>
              <w:ind w:left="3"/>
              <w:rPr>
                <w:rFonts w:ascii="Calibri"/>
                <w:sz w:val="22"/>
              </w:rPr>
            </w:pPr>
            <w:r>
              <w:rPr>
                <w:rFonts w:ascii="Calibri"/>
                <w:w w:val="100"/>
                <w:sz w:val="22"/>
              </w:rPr>
              <w:t>2</w:t>
            </w:r>
          </w:p>
        </w:tc>
        <w:tc>
          <w:tcPr>
            <w:tcW w:w="599" w:type="dxa"/>
            <w:tcBorders>
              <w:top w:val="single" w:sz="8" w:space="0" w:color="000000"/>
            </w:tcBorders>
          </w:tcPr>
          <w:p>
            <w:pPr>
              <w:pStyle w:val="TableParagraph"/>
              <w:spacing w:line="267" w:lineRule="exact"/>
              <w:ind w:left="160"/>
              <w:jc w:val="left"/>
              <w:rPr>
                <w:rFonts w:ascii="Calibri"/>
                <w:sz w:val="22"/>
              </w:rPr>
            </w:pPr>
            <w:r>
              <w:rPr>
                <w:rFonts w:ascii="Calibri"/>
                <w:sz w:val="22"/>
              </w:rPr>
              <w:t>3.0</w:t>
            </w:r>
          </w:p>
        </w:tc>
      </w:tr>
      <w:tr>
        <w:trPr>
          <w:trHeight w:val="249" w:hRule="atLeast"/>
        </w:trPr>
        <w:tc>
          <w:tcPr>
            <w:tcW w:w="1299" w:type="dxa"/>
          </w:tcPr>
          <w:p>
            <w:pPr>
              <w:pStyle w:val="TableParagraph"/>
              <w:spacing w:line="230" w:lineRule="exact"/>
              <w:ind w:left="69"/>
              <w:jc w:val="left"/>
              <w:rPr>
                <w:rFonts w:ascii="Calibri"/>
                <w:sz w:val="22"/>
              </w:rPr>
            </w:pPr>
            <w:r>
              <w:rPr>
                <w:rFonts w:ascii="Calibri"/>
                <w:sz w:val="22"/>
              </w:rPr>
              <w:t>MAE tn</w:t>
            </w:r>
          </w:p>
        </w:tc>
        <w:tc>
          <w:tcPr>
            <w:tcW w:w="828" w:type="dxa"/>
          </w:tcPr>
          <w:p>
            <w:pPr>
              <w:pStyle w:val="TableParagraph"/>
              <w:spacing w:line="230" w:lineRule="exact"/>
              <w:ind w:left="76" w:right="95"/>
              <w:rPr>
                <w:rFonts w:ascii="Calibri"/>
                <w:sz w:val="22"/>
              </w:rPr>
            </w:pPr>
            <w:r>
              <w:rPr>
                <w:rFonts w:ascii="Calibri"/>
                <w:sz w:val="22"/>
              </w:rPr>
              <w:t>1.6</w:t>
            </w:r>
          </w:p>
        </w:tc>
        <w:tc>
          <w:tcPr>
            <w:tcW w:w="880" w:type="dxa"/>
          </w:tcPr>
          <w:p>
            <w:pPr>
              <w:pStyle w:val="TableParagraph"/>
              <w:spacing w:line="230" w:lineRule="exact"/>
              <w:ind w:left="99" w:right="121"/>
              <w:rPr>
                <w:rFonts w:ascii="Calibri"/>
                <w:sz w:val="22"/>
              </w:rPr>
            </w:pPr>
            <w:r>
              <w:rPr>
                <w:rFonts w:ascii="Calibri"/>
                <w:sz w:val="22"/>
              </w:rPr>
              <w:t>2.5</w:t>
            </w:r>
          </w:p>
        </w:tc>
        <w:tc>
          <w:tcPr>
            <w:tcW w:w="680" w:type="dxa"/>
            <w:tcBorders>
              <w:right w:val="single" w:sz="8" w:space="0" w:color="000000"/>
            </w:tcBorders>
          </w:tcPr>
          <w:p>
            <w:pPr>
              <w:pStyle w:val="TableParagraph"/>
              <w:spacing w:line="230" w:lineRule="exact"/>
              <w:ind w:left="185"/>
              <w:jc w:val="left"/>
              <w:rPr>
                <w:rFonts w:ascii="Calibri"/>
                <w:sz w:val="22"/>
              </w:rPr>
            </w:pPr>
            <w:r>
              <w:rPr>
                <w:rFonts w:ascii="Calibri"/>
                <w:sz w:val="22"/>
              </w:rPr>
              <w:t>3.8</w:t>
            </w:r>
          </w:p>
        </w:tc>
        <w:tc>
          <w:tcPr>
            <w:tcW w:w="848" w:type="dxa"/>
            <w:tcBorders>
              <w:left w:val="single" w:sz="8" w:space="0" w:color="000000"/>
            </w:tcBorders>
          </w:tcPr>
          <w:p>
            <w:pPr>
              <w:pStyle w:val="TableParagraph"/>
              <w:spacing w:line="230" w:lineRule="exact"/>
              <w:ind w:left="89" w:right="93"/>
              <w:rPr>
                <w:rFonts w:ascii="Calibri"/>
                <w:sz w:val="22"/>
              </w:rPr>
            </w:pPr>
            <w:r>
              <w:rPr>
                <w:rFonts w:ascii="Calibri"/>
                <w:sz w:val="22"/>
              </w:rPr>
              <w:t>1.6</w:t>
            </w:r>
          </w:p>
        </w:tc>
        <w:tc>
          <w:tcPr>
            <w:tcW w:w="879" w:type="dxa"/>
          </w:tcPr>
          <w:p>
            <w:pPr>
              <w:pStyle w:val="TableParagraph"/>
              <w:spacing w:line="230" w:lineRule="exact"/>
              <w:ind w:left="100" w:right="121"/>
              <w:rPr>
                <w:rFonts w:ascii="Calibri"/>
                <w:sz w:val="22"/>
              </w:rPr>
            </w:pPr>
            <w:r>
              <w:rPr>
                <w:rFonts w:ascii="Calibri"/>
                <w:sz w:val="22"/>
              </w:rPr>
              <w:t>2.6</w:t>
            </w:r>
          </w:p>
        </w:tc>
        <w:tc>
          <w:tcPr>
            <w:tcW w:w="681" w:type="dxa"/>
            <w:tcBorders>
              <w:right w:val="single" w:sz="8" w:space="0" w:color="000000"/>
            </w:tcBorders>
          </w:tcPr>
          <w:p>
            <w:pPr>
              <w:pStyle w:val="TableParagraph"/>
              <w:spacing w:line="230" w:lineRule="exact"/>
              <w:ind w:left="188"/>
              <w:jc w:val="left"/>
              <w:rPr>
                <w:rFonts w:ascii="Calibri"/>
                <w:sz w:val="22"/>
              </w:rPr>
            </w:pPr>
            <w:r>
              <w:rPr>
                <w:rFonts w:ascii="Calibri"/>
                <w:sz w:val="22"/>
              </w:rPr>
              <w:t>3.7</w:t>
            </w:r>
          </w:p>
        </w:tc>
        <w:tc>
          <w:tcPr>
            <w:tcW w:w="839" w:type="dxa"/>
            <w:tcBorders>
              <w:left w:val="single" w:sz="8" w:space="0" w:color="000000"/>
            </w:tcBorders>
          </w:tcPr>
          <w:p>
            <w:pPr>
              <w:pStyle w:val="TableParagraph"/>
              <w:spacing w:line="230" w:lineRule="exact"/>
              <w:ind w:left="89" w:right="83"/>
              <w:rPr>
                <w:rFonts w:ascii="Calibri"/>
                <w:sz w:val="22"/>
              </w:rPr>
            </w:pPr>
            <w:r>
              <w:rPr>
                <w:rFonts w:ascii="Calibri"/>
                <w:sz w:val="22"/>
              </w:rPr>
              <w:t>1.8</w:t>
            </w:r>
          </w:p>
        </w:tc>
        <w:tc>
          <w:tcPr>
            <w:tcW w:w="839" w:type="dxa"/>
          </w:tcPr>
          <w:p>
            <w:pPr>
              <w:pStyle w:val="TableParagraph"/>
              <w:spacing w:line="230" w:lineRule="exact"/>
              <w:ind w:left="88" w:right="85"/>
              <w:rPr>
                <w:rFonts w:ascii="Calibri"/>
                <w:sz w:val="22"/>
              </w:rPr>
            </w:pPr>
            <w:r>
              <w:rPr>
                <w:rFonts w:ascii="Calibri"/>
                <w:sz w:val="22"/>
              </w:rPr>
              <w:t>3.1</w:t>
            </w:r>
          </w:p>
        </w:tc>
        <w:tc>
          <w:tcPr>
            <w:tcW w:w="599" w:type="dxa"/>
          </w:tcPr>
          <w:p>
            <w:pPr>
              <w:pStyle w:val="TableParagraph"/>
              <w:spacing w:line="230" w:lineRule="exact"/>
              <w:ind w:left="160"/>
              <w:jc w:val="left"/>
              <w:rPr>
                <w:rFonts w:ascii="Calibri"/>
                <w:sz w:val="22"/>
              </w:rPr>
            </w:pPr>
            <w:r>
              <w:rPr>
                <w:rFonts w:ascii="Calibri"/>
                <w:sz w:val="22"/>
              </w:rPr>
              <w:t>3.7</w:t>
            </w:r>
          </w:p>
        </w:tc>
      </w:tr>
      <w:tr>
        <w:trPr>
          <w:trHeight w:val="319" w:hRule="atLeast"/>
        </w:trPr>
        <w:tc>
          <w:tcPr>
            <w:tcW w:w="1299" w:type="dxa"/>
            <w:shd w:val="clear" w:color="auto" w:fill="D9D9D9"/>
          </w:tcPr>
          <w:p>
            <w:pPr>
              <w:pStyle w:val="TableParagraph"/>
              <w:spacing w:before="13"/>
              <w:ind w:left="69"/>
              <w:jc w:val="left"/>
              <w:rPr>
                <w:rFonts w:ascii="Calibri"/>
                <w:sz w:val="22"/>
              </w:rPr>
            </w:pPr>
            <w:r>
              <w:rPr>
                <w:rFonts w:ascii="Calibri"/>
                <w:position w:val="2"/>
                <w:sz w:val="22"/>
              </w:rPr>
              <w:t>ME</w:t>
            </w:r>
            <w:r>
              <w:rPr>
                <w:rFonts w:ascii="Calibri"/>
                <w:sz w:val="14"/>
              </w:rPr>
              <w:t>90Q </w:t>
            </w:r>
            <w:r>
              <w:rPr>
                <w:rFonts w:ascii="Calibri"/>
                <w:position w:val="2"/>
                <w:sz w:val="22"/>
              </w:rPr>
              <w:t>tn</w:t>
            </w:r>
          </w:p>
        </w:tc>
        <w:tc>
          <w:tcPr>
            <w:tcW w:w="828" w:type="dxa"/>
            <w:shd w:val="clear" w:color="auto" w:fill="D9D9D9"/>
          </w:tcPr>
          <w:p>
            <w:pPr>
              <w:pStyle w:val="TableParagraph"/>
              <w:spacing w:before="13"/>
              <w:ind w:left="76" w:right="95"/>
              <w:rPr>
                <w:rFonts w:ascii="Calibri"/>
                <w:sz w:val="22"/>
              </w:rPr>
            </w:pPr>
            <w:r>
              <w:rPr>
                <w:rFonts w:ascii="Calibri"/>
                <w:sz w:val="22"/>
              </w:rPr>
              <w:t>-0.3</w:t>
            </w:r>
          </w:p>
        </w:tc>
        <w:tc>
          <w:tcPr>
            <w:tcW w:w="880" w:type="dxa"/>
            <w:shd w:val="clear" w:color="auto" w:fill="D9D9D9"/>
          </w:tcPr>
          <w:p>
            <w:pPr>
              <w:pStyle w:val="TableParagraph"/>
              <w:spacing w:before="13"/>
              <w:ind w:right="22"/>
              <w:rPr>
                <w:rFonts w:ascii="Calibri"/>
                <w:sz w:val="22"/>
              </w:rPr>
            </w:pPr>
            <w:r>
              <w:rPr>
                <w:rFonts w:ascii="Calibri"/>
                <w:w w:val="100"/>
                <w:sz w:val="22"/>
              </w:rPr>
              <w:t>1</w:t>
            </w:r>
          </w:p>
        </w:tc>
        <w:tc>
          <w:tcPr>
            <w:tcW w:w="680" w:type="dxa"/>
            <w:tcBorders>
              <w:right w:val="single" w:sz="8" w:space="0" w:color="000000"/>
            </w:tcBorders>
            <w:shd w:val="clear" w:color="auto" w:fill="D9D9D9"/>
          </w:tcPr>
          <w:p>
            <w:pPr>
              <w:pStyle w:val="TableParagraph"/>
              <w:spacing w:before="13"/>
              <w:ind w:left="185"/>
              <w:jc w:val="left"/>
              <w:rPr>
                <w:rFonts w:ascii="Calibri"/>
                <w:sz w:val="22"/>
              </w:rPr>
            </w:pPr>
            <w:r>
              <w:rPr>
                <w:rFonts w:ascii="Calibri"/>
                <w:sz w:val="22"/>
              </w:rPr>
              <w:t>1.8</w:t>
            </w:r>
          </w:p>
        </w:tc>
        <w:tc>
          <w:tcPr>
            <w:tcW w:w="848" w:type="dxa"/>
            <w:tcBorders>
              <w:left w:val="single" w:sz="8" w:space="0" w:color="000000"/>
            </w:tcBorders>
            <w:shd w:val="clear" w:color="auto" w:fill="D9D9D9"/>
          </w:tcPr>
          <w:p>
            <w:pPr>
              <w:pStyle w:val="TableParagraph"/>
              <w:spacing w:before="13"/>
              <w:ind w:left="89" w:right="93"/>
              <w:rPr>
                <w:rFonts w:ascii="Calibri"/>
                <w:sz w:val="22"/>
              </w:rPr>
            </w:pPr>
            <w:r>
              <w:rPr>
                <w:rFonts w:ascii="Calibri"/>
                <w:sz w:val="22"/>
              </w:rPr>
              <w:t>-0.2</w:t>
            </w:r>
          </w:p>
        </w:tc>
        <w:tc>
          <w:tcPr>
            <w:tcW w:w="879" w:type="dxa"/>
            <w:shd w:val="clear" w:color="auto" w:fill="D9D9D9"/>
          </w:tcPr>
          <w:p>
            <w:pPr>
              <w:pStyle w:val="TableParagraph"/>
              <w:spacing w:before="13"/>
              <w:ind w:right="22"/>
              <w:rPr>
                <w:rFonts w:ascii="Calibri"/>
                <w:sz w:val="22"/>
              </w:rPr>
            </w:pPr>
            <w:r>
              <w:rPr>
                <w:rFonts w:ascii="Calibri"/>
                <w:w w:val="100"/>
                <w:sz w:val="22"/>
              </w:rPr>
              <w:t>1</w:t>
            </w:r>
          </w:p>
        </w:tc>
        <w:tc>
          <w:tcPr>
            <w:tcW w:w="681" w:type="dxa"/>
            <w:tcBorders>
              <w:right w:val="single" w:sz="8" w:space="0" w:color="000000"/>
            </w:tcBorders>
            <w:shd w:val="clear" w:color="auto" w:fill="D9D9D9"/>
          </w:tcPr>
          <w:p>
            <w:pPr>
              <w:pStyle w:val="TableParagraph"/>
              <w:spacing w:before="13"/>
              <w:ind w:left="188"/>
              <w:jc w:val="left"/>
              <w:rPr>
                <w:rFonts w:ascii="Calibri"/>
                <w:sz w:val="22"/>
              </w:rPr>
            </w:pPr>
            <w:r>
              <w:rPr>
                <w:rFonts w:ascii="Calibri"/>
                <w:sz w:val="22"/>
              </w:rPr>
              <w:t>1.9</w:t>
            </w:r>
          </w:p>
        </w:tc>
        <w:tc>
          <w:tcPr>
            <w:tcW w:w="839" w:type="dxa"/>
            <w:tcBorders>
              <w:left w:val="single" w:sz="8" w:space="0" w:color="000000"/>
            </w:tcBorders>
            <w:shd w:val="clear" w:color="auto" w:fill="D9D9D9"/>
          </w:tcPr>
          <w:p>
            <w:pPr>
              <w:pStyle w:val="TableParagraph"/>
              <w:spacing w:before="13"/>
              <w:ind w:left="89" w:right="83"/>
              <w:rPr>
                <w:rFonts w:ascii="Calibri"/>
                <w:sz w:val="22"/>
              </w:rPr>
            </w:pPr>
            <w:r>
              <w:rPr>
                <w:rFonts w:ascii="Calibri"/>
                <w:sz w:val="22"/>
              </w:rPr>
              <w:t>-0.2</w:t>
            </w:r>
          </w:p>
        </w:tc>
        <w:tc>
          <w:tcPr>
            <w:tcW w:w="839" w:type="dxa"/>
            <w:shd w:val="clear" w:color="auto" w:fill="D9D9D9"/>
          </w:tcPr>
          <w:p>
            <w:pPr>
              <w:pStyle w:val="TableParagraph"/>
              <w:spacing w:before="13"/>
              <w:ind w:left="88" w:right="85"/>
              <w:rPr>
                <w:rFonts w:ascii="Calibri"/>
                <w:sz w:val="22"/>
              </w:rPr>
            </w:pPr>
            <w:r>
              <w:rPr>
                <w:rFonts w:ascii="Calibri"/>
                <w:sz w:val="22"/>
              </w:rPr>
              <w:t>0.7</w:t>
            </w:r>
          </w:p>
        </w:tc>
        <w:tc>
          <w:tcPr>
            <w:tcW w:w="599" w:type="dxa"/>
            <w:shd w:val="clear" w:color="auto" w:fill="D9D9D9"/>
          </w:tcPr>
          <w:p>
            <w:pPr>
              <w:pStyle w:val="TableParagraph"/>
              <w:spacing w:before="13"/>
              <w:ind w:left="160"/>
              <w:jc w:val="left"/>
              <w:rPr>
                <w:rFonts w:ascii="Calibri"/>
                <w:sz w:val="22"/>
              </w:rPr>
            </w:pPr>
            <w:r>
              <w:rPr>
                <w:rFonts w:ascii="Calibri"/>
                <w:sz w:val="22"/>
              </w:rPr>
              <w:t>2.3</w:t>
            </w:r>
          </w:p>
        </w:tc>
      </w:tr>
      <w:tr>
        <w:trPr>
          <w:trHeight w:val="283" w:hRule="atLeast"/>
        </w:trPr>
        <w:tc>
          <w:tcPr>
            <w:tcW w:w="1299" w:type="dxa"/>
            <w:shd w:val="clear" w:color="auto" w:fill="D9D9D9"/>
          </w:tcPr>
          <w:p>
            <w:pPr>
              <w:pStyle w:val="TableParagraph"/>
              <w:spacing w:line="263" w:lineRule="exact"/>
              <w:ind w:left="69"/>
              <w:jc w:val="left"/>
              <w:rPr>
                <w:rFonts w:ascii="Calibri"/>
                <w:sz w:val="22"/>
              </w:rPr>
            </w:pPr>
            <w:r>
              <w:rPr>
                <w:rFonts w:ascii="Calibri"/>
                <w:position w:val="2"/>
                <w:sz w:val="22"/>
              </w:rPr>
              <w:t>MAE</w:t>
            </w:r>
            <w:r>
              <w:rPr>
                <w:rFonts w:ascii="Calibri"/>
                <w:sz w:val="14"/>
              </w:rPr>
              <w:t>90Q </w:t>
            </w:r>
            <w:r>
              <w:rPr>
                <w:rFonts w:ascii="Calibri"/>
                <w:position w:val="2"/>
                <w:sz w:val="22"/>
              </w:rPr>
              <w:t>tn</w:t>
            </w:r>
          </w:p>
        </w:tc>
        <w:tc>
          <w:tcPr>
            <w:tcW w:w="828" w:type="dxa"/>
            <w:shd w:val="clear" w:color="auto" w:fill="D9D9D9"/>
          </w:tcPr>
          <w:p>
            <w:pPr>
              <w:pStyle w:val="TableParagraph"/>
              <w:spacing w:line="263" w:lineRule="exact"/>
              <w:ind w:left="76" w:right="95"/>
              <w:rPr>
                <w:rFonts w:ascii="Calibri"/>
                <w:sz w:val="22"/>
              </w:rPr>
            </w:pPr>
            <w:r>
              <w:rPr>
                <w:rFonts w:ascii="Calibri"/>
                <w:sz w:val="22"/>
              </w:rPr>
              <w:t>1.1</w:t>
            </w:r>
          </w:p>
        </w:tc>
        <w:tc>
          <w:tcPr>
            <w:tcW w:w="880" w:type="dxa"/>
            <w:shd w:val="clear" w:color="auto" w:fill="D9D9D9"/>
          </w:tcPr>
          <w:p>
            <w:pPr>
              <w:pStyle w:val="TableParagraph"/>
              <w:spacing w:line="263" w:lineRule="exact"/>
              <w:ind w:left="99" w:right="121"/>
              <w:rPr>
                <w:rFonts w:ascii="Calibri"/>
                <w:sz w:val="22"/>
              </w:rPr>
            </w:pPr>
            <w:r>
              <w:rPr>
                <w:rFonts w:ascii="Calibri"/>
                <w:sz w:val="22"/>
              </w:rPr>
              <w:t>1.4</w:t>
            </w:r>
          </w:p>
        </w:tc>
        <w:tc>
          <w:tcPr>
            <w:tcW w:w="680" w:type="dxa"/>
            <w:tcBorders>
              <w:right w:val="single" w:sz="8" w:space="0" w:color="000000"/>
            </w:tcBorders>
            <w:shd w:val="clear" w:color="auto" w:fill="D9D9D9"/>
          </w:tcPr>
          <w:p>
            <w:pPr>
              <w:pStyle w:val="TableParagraph"/>
              <w:spacing w:line="263" w:lineRule="exact"/>
              <w:ind w:left="185"/>
              <w:jc w:val="left"/>
              <w:rPr>
                <w:rFonts w:ascii="Calibri"/>
                <w:sz w:val="22"/>
              </w:rPr>
            </w:pPr>
            <w:r>
              <w:rPr>
                <w:rFonts w:ascii="Calibri"/>
                <w:sz w:val="22"/>
              </w:rPr>
              <w:t>2.5</w:t>
            </w:r>
          </w:p>
        </w:tc>
        <w:tc>
          <w:tcPr>
            <w:tcW w:w="848" w:type="dxa"/>
            <w:tcBorders>
              <w:left w:val="single" w:sz="8" w:space="0" w:color="000000"/>
            </w:tcBorders>
            <w:shd w:val="clear" w:color="auto" w:fill="D9D9D9"/>
          </w:tcPr>
          <w:p>
            <w:pPr>
              <w:pStyle w:val="TableParagraph"/>
              <w:spacing w:line="263" w:lineRule="exact"/>
              <w:ind w:right="5"/>
              <w:rPr>
                <w:rFonts w:ascii="Calibri"/>
                <w:sz w:val="22"/>
              </w:rPr>
            </w:pPr>
            <w:r>
              <w:rPr>
                <w:rFonts w:ascii="Calibri"/>
                <w:w w:val="100"/>
                <w:sz w:val="22"/>
              </w:rPr>
              <w:t>1</w:t>
            </w:r>
          </w:p>
        </w:tc>
        <w:tc>
          <w:tcPr>
            <w:tcW w:w="879" w:type="dxa"/>
            <w:shd w:val="clear" w:color="auto" w:fill="D9D9D9"/>
          </w:tcPr>
          <w:p>
            <w:pPr>
              <w:pStyle w:val="TableParagraph"/>
              <w:spacing w:line="263" w:lineRule="exact"/>
              <w:ind w:left="100" w:right="121"/>
              <w:rPr>
                <w:rFonts w:ascii="Calibri"/>
                <w:sz w:val="22"/>
              </w:rPr>
            </w:pPr>
            <w:r>
              <w:rPr>
                <w:rFonts w:ascii="Calibri"/>
                <w:sz w:val="22"/>
              </w:rPr>
              <w:t>1.5</w:t>
            </w:r>
          </w:p>
        </w:tc>
        <w:tc>
          <w:tcPr>
            <w:tcW w:w="681" w:type="dxa"/>
            <w:tcBorders>
              <w:right w:val="single" w:sz="8" w:space="0" w:color="000000"/>
            </w:tcBorders>
            <w:shd w:val="clear" w:color="auto" w:fill="D9D9D9"/>
          </w:tcPr>
          <w:p>
            <w:pPr>
              <w:pStyle w:val="TableParagraph"/>
              <w:spacing w:line="263" w:lineRule="exact"/>
              <w:ind w:left="188"/>
              <w:jc w:val="left"/>
              <w:rPr>
                <w:rFonts w:ascii="Calibri"/>
                <w:sz w:val="22"/>
              </w:rPr>
            </w:pPr>
            <w:r>
              <w:rPr>
                <w:rFonts w:ascii="Calibri"/>
                <w:sz w:val="22"/>
              </w:rPr>
              <w:t>2.5</w:t>
            </w:r>
          </w:p>
        </w:tc>
        <w:tc>
          <w:tcPr>
            <w:tcW w:w="839" w:type="dxa"/>
            <w:tcBorders>
              <w:left w:val="single" w:sz="8" w:space="0" w:color="000000"/>
            </w:tcBorders>
            <w:shd w:val="clear" w:color="auto" w:fill="D9D9D9"/>
          </w:tcPr>
          <w:p>
            <w:pPr>
              <w:pStyle w:val="TableParagraph"/>
              <w:spacing w:line="263" w:lineRule="exact"/>
              <w:ind w:left="89" w:right="83"/>
              <w:rPr>
                <w:rFonts w:ascii="Calibri"/>
                <w:sz w:val="22"/>
              </w:rPr>
            </w:pPr>
            <w:r>
              <w:rPr>
                <w:rFonts w:ascii="Calibri"/>
                <w:sz w:val="22"/>
              </w:rPr>
              <w:t>1.2</w:t>
            </w:r>
          </w:p>
        </w:tc>
        <w:tc>
          <w:tcPr>
            <w:tcW w:w="839" w:type="dxa"/>
            <w:shd w:val="clear" w:color="auto" w:fill="D9D9D9"/>
          </w:tcPr>
          <w:p>
            <w:pPr>
              <w:pStyle w:val="TableParagraph"/>
              <w:spacing w:line="263" w:lineRule="exact"/>
              <w:ind w:left="88" w:right="85"/>
              <w:rPr>
                <w:rFonts w:ascii="Calibri"/>
                <w:sz w:val="22"/>
              </w:rPr>
            </w:pPr>
            <w:r>
              <w:rPr>
                <w:rFonts w:ascii="Calibri"/>
                <w:sz w:val="22"/>
              </w:rPr>
              <w:t>1.9</w:t>
            </w:r>
          </w:p>
        </w:tc>
        <w:tc>
          <w:tcPr>
            <w:tcW w:w="599" w:type="dxa"/>
            <w:shd w:val="clear" w:color="auto" w:fill="D9D9D9"/>
          </w:tcPr>
          <w:p>
            <w:pPr>
              <w:pStyle w:val="TableParagraph"/>
              <w:spacing w:line="263" w:lineRule="exact"/>
              <w:ind w:left="160"/>
              <w:jc w:val="left"/>
              <w:rPr>
                <w:rFonts w:ascii="Calibri"/>
                <w:sz w:val="22"/>
              </w:rPr>
            </w:pPr>
            <w:r>
              <w:rPr>
                <w:rFonts w:ascii="Calibri"/>
                <w:sz w:val="22"/>
              </w:rPr>
              <w:t>3.0</w:t>
            </w:r>
          </w:p>
        </w:tc>
      </w:tr>
    </w:tbl>
    <w:p>
      <w:pPr>
        <w:pStyle w:val="BodyText"/>
        <w:rPr>
          <w:rFonts w:ascii="Calibri"/>
          <w:i/>
          <w:sz w:val="18"/>
        </w:rPr>
      </w:pPr>
    </w:p>
    <w:p>
      <w:pPr>
        <w:pStyle w:val="BodyText"/>
        <w:spacing w:before="10"/>
        <w:rPr>
          <w:rFonts w:ascii="Calibri"/>
          <w:i/>
          <w:sz w:val="17"/>
        </w:rPr>
      </w:pPr>
    </w:p>
    <w:p>
      <w:pPr>
        <w:spacing w:before="1"/>
        <w:ind w:left="525" w:right="761" w:firstLine="0"/>
        <w:jc w:val="left"/>
        <w:rPr>
          <w:rFonts w:ascii="Calibri" w:hAnsi="Calibri"/>
          <w:i/>
          <w:sz w:val="18"/>
        </w:rPr>
      </w:pPr>
      <w:r>
        <w:rPr>
          <w:rFonts w:ascii="Calibri" w:hAnsi="Calibri"/>
          <w:i/>
          <w:color w:val="44536A"/>
          <w:sz w:val="18"/>
        </w:rPr>
        <w:t>Tabel 29 Performance statistik for simuleret trykniveau på modelgrid niveau for alle tre kalibreringer (2009-2015). </w:t>
      </w:r>
      <w:r>
        <w:rPr>
          <w:rFonts w:ascii="Calibri" w:hAnsi="Calibri"/>
          <w:i/>
          <w:color w:val="44536A"/>
          <w:sz w:val="18"/>
        </w:rPr>
        <w:t>Jupiter, Region og Geo indikerer separat statistik for hhv. data fra Jupiter, Regionernes og GEOs databaser. Alle stør- relser er i [m]. Middelfejl er angivet som obs –</w:t>
      </w:r>
      <w:r>
        <w:rPr>
          <w:rFonts w:ascii="Calibri" w:hAnsi="Calibri"/>
          <w:i/>
          <w:color w:val="44536A"/>
          <w:spacing w:val="-2"/>
          <w:sz w:val="18"/>
        </w:rPr>
        <w:t> </w:t>
      </w:r>
      <w:r>
        <w:rPr>
          <w:rFonts w:ascii="Calibri" w:hAnsi="Calibri"/>
          <w:i/>
          <w:color w:val="44536A"/>
          <w:sz w:val="18"/>
        </w:rPr>
        <w:t>sim.</w:t>
      </w:r>
    </w:p>
    <w:p>
      <w:pPr>
        <w:pStyle w:val="BodyText"/>
        <w:spacing w:before="5"/>
        <w:rPr>
          <w:rFonts w:ascii="Calibri"/>
          <w:i/>
          <w:sz w:val="16"/>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41"/>
        <w:gridCol w:w="845"/>
        <w:gridCol w:w="921"/>
        <w:gridCol w:w="681"/>
        <w:gridCol w:w="849"/>
        <w:gridCol w:w="880"/>
        <w:gridCol w:w="682"/>
        <w:gridCol w:w="847"/>
        <w:gridCol w:w="855"/>
        <w:gridCol w:w="610"/>
      </w:tblGrid>
      <w:tr>
        <w:trPr>
          <w:trHeight w:val="286" w:hRule="atLeast"/>
        </w:trPr>
        <w:tc>
          <w:tcPr>
            <w:tcW w:w="1241" w:type="dxa"/>
          </w:tcPr>
          <w:p>
            <w:pPr>
              <w:pStyle w:val="TableParagraph"/>
              <w:spacing w:line="267" w:lineRule="exact"/>
              <w:ind w:left="69"/>
              <w:jc w:val="left"/>
              <w:rPr>
                <w:rFonts w:ascii="Calibri"/>
                <w:b/>
                <w:sz w:val="22"/>
              </w:rPr>
            </w:pPr>
            <w:r>
              <w:rPr>
                <w:rFonts w:ascii="Calibri"/>
                <w:b/>
                <w:sz w:val="22"/>
              </w:rPr>
              <w:t>Validering</w:t>
            </w:r>
          </w:p>
        </w:tc>
        <w:tc>
          <w:tcPr>
            <w:tcW w:w="2447" w:type="dxa"/>
            <w:gridSpan w:val="3"/>
            <w:tcBorders>
              <w:right w:val="single" w:sz="8" w:space="0" w:color="000000"/>
            </w:tcBorders>
          </w:tcPr>
          <w:p>
            <w:pPr>
              <w:pStyle w:val="TableParagraph"/>
              <w:spacing w:line="267" w:lineRule="exact"/>
              <w:ind w:left="467"/>
              <w:jc w:val="left"/>
              <w:rPr>
                <w:rFonts w:ascii="Calibri"/>
                <w:b/>
                <w:sz w:val="22"/>
              </w:rPr>
            </w:pPr>
            <w:r>
              <w:rPr>
                <w:rFonts w:ascii="Calibri"/>
                <w:b/>
                <w:sz w:val="22"/>
              </w:rPr>
              <w:t>100m_Jup+Reg</w:t>
            </w:r>
          </w:p>
        </w:tc>
        <w:tc>
          <w:tcPr>
            <w:tcW w:w="1729" w:type="dxa"/>
            <w:gridSpan w:val="2"/>
            <w:tcBorders>
              <w:left w:val="single" w:sz="8" w:space="0" w:color="000000"/>
            </w:tcBorders>
          </w:tcPr>
          <w:p>
            <w:pPr>
              <w:pStyle w:val="TableParagraph"/>
              <w:spacing w:line="267" w:lineRule="exact"/>
              <w:ind w:left="728"/>
              <w:jc w:val="left"/>
              <w:rPr>
                <w:rFonts w:ascii="Calibri"/>
                <w:b/>
                <w:sz w:val="22"/>
              </w:rPr>
            </w:pPr>
            <w:r>
              <w:rPr>
                <w:rFonts w:ascii="Calibri"/>
                <w:b/>
                <w:sz w:val="22"/>
              </w:rPr>
              <w:t>100m_Jup</w:t>
            </w:r>
          </w:p>
        </w:tc>
        <w:tc>
          <w:tcPr>
            <w:tcW w:w="682" w:type="dxa"/>
            <w:tcBorders>
              <w:right w:val="single" w:sz="8" w:space="0" w:color="000000"/>
            </w:tcBorders>
          </w:tcPr>
          <w:p>
            <w:pPr>
              <w:pStyle w:val="TableParagraph"/>
              <w:jc w:val="left"/>
              <w:rPr>
                <w:rFonts w:ascii="Times New Roman"/>
                <w:sz w:val="20"/>
              </w:rPr>
            </w:pPr>
          </w:p>
        </w:tc>
        <w:tc>
          <w:tcPr>
            <w:tcW w:w="2312" w:type="dxa"/>
            <w:gridSpan w:val="3"/>
            <w:tcBorders>
              <w:left w:val="single" w:sz="8" w:space="0" w:color="000000"/>
            </w:tcBorders>
          </w:tcPr>
          <w:p>
            <w:pPr>
              <w:pStyle w:val="TableParagraph"/>
              <w:spacing w:line="267" w:lineRule="exact"/>
              <w:ind w:left="451"/>
              <w:jc w:val="left"/>
              <w:rPr>
                <w:rFonts w:ascii="Calibri"/>
                <w:b/>
                <w:sz w:val="22"/>
              </w:rPr>
            </w:pPr>
            <w:r>
              <w:rPr>
                <w:rFonts w:ascii="Calibri"/>
                <w:b/>
                <w:sz w:val="22"/>
              </w:rPr>
              <w:t>500m_Jup+Reg</w:t>
            </w:r>
          </w:p>
        </w:tc>
      </w:tr>
      <w:tr>
        <w:trPr>
          <w:trHeight w:val="248" w:hRule="atLeast"/>
        </w:trPr>
        <w:tc>
          <w:tcPr>
            <w:tcW w:w="1241" w:type="dxa"/>
            <w:tcBorders>
              <w:bottom w:val="single" w:sz="8" w:space="0" w:color="000000"/>
            </w:tcBorders>
          </w:tcPr>
          <w:p>
            <w:pPr>
              <w:pStyle w:val="TableParagraph"/>
              <w:jc w:val="left"/>
              <w:rPr>
                <w:rFonts w:ascii="Times New Roman"/>
                <w:sz w:val="18"/>
              </w:rPr>
            </w:pPr>
          </w:p>
        </w:tc>
        <w:tc>
          <w:tcPr>
            <w:tcW w:w="845" w:type="dxa"/>
            <w:tcBorders>
              <w:bottom w:val="single" w:sz="8" w:space="0" w:color="000000"/>
            </w:tcBorders>
          </w:tcPr>
          <w:p>
            <w:pPr>
              <w:pStyle w:val="TableParagraph"/>
              <w:spacing w:line="228" w:lineRule="exact"/>
              <w:ind w:right="87"/>
              <w:rPr>
                <w:rFonts w:ascii="Calibri"/>
                <w:sz w:val="22"/>
              </w:rPr>
            </w:pPr>
            <w:r>
              <w:rPr>
                <w:rFonts w:ascii="Calibri"/>
                <w:sz w:val="22"/>
              </w:rPr>
              <w:t>Jupiter</w:t>
            </w:r>
          </w:p>
        </w:tc>
        <w:tc>
          <w:tcPr>
            <w:tcW w:w="921" w:type="dxa"/>
            <w:tcBorders>
              <w:bottom w:val="single" w:sz="8" w:space="0" w:color="000000"/>
            </w:tcBorders>
          </w:tcPr>
          <w:p>
            <w:pPr>
              <w:pStyle w:val="TableParagraph"/>
              <w:spacing w:line="228" w:lineRule="exact"/>
              <w:ind w:left="141" w:right="124"/>
              <w:rPr>
                <w:rFonts w:ascii="Calibri"/>
                <w:sz w:val="22"/>
              </w:rPr>
            </w:pPr>
            <w:r>
              <w:rPr>
                <w:rFonts w:ascii="Calibri"/>
                <w:sz w:val="22"/>
              </w:rPr>
              <w:t>Region</w:t>
            </w:r>
          </w:p>
        </w:tc>
        <w:tc>
          <w:tcPr>
            <w:tcW w:w="681" w:type="dxa"/>
            <w:tcBorders>
              <w:bottom w:val="single" w:sz="8" w:space="0" w:color="000000"/>
              <w:right w:val="single" w:sz="8" w:space="0" w:color="000000"/>
            </w:tcBorders>
          </w:tcPr>
          <w:p>
            <w:pPr>
              <w:pStyle w:val="TableParagraph"/>
              <w:spacing w:line="228" w:lineRule="exact"/>
              <w:ind w:left="142"/>
              <w:jc w:val="left"/>
              <w:rPr>
                <w:rFonts w:ascii="Calibri"/>
                <w:sz w:val="22"/>
              </w:rPr>
            </w:pPr>
            <w:r>
              <w:rPr>
                <w:rFonts w:ascii="Calibri"/>
                <w:sz w:val="22"/>
              </w:rPr>
              <w:t>Geo</w:t>
            </w:r>
          </w:p>
        </w:tc>
        <w:tc>
          <w:tcPr>
            <w:tcW w:w="849" w:type="dxa"/>
            <w:tcBorders>
              <w:left w:val="single" w:sz="8" w:space="0" w:color="000000"/>
              <w:bottom w:val="single" w:sz="8" w:space="0" w:color="000000"/>
            </w:tcBorders>
          </w:tcPr>
          <w:p>
            <w:pPr>
              <w:pStyle w:val="TableParagraph"/>
              <w:spacing w:line="228" w:lineRule="exact"/>
              <w:ind w:left="79" w:right="90"/>
              <w:rPr>
                <w:rFonts w:ascii="Calibri"/>
                <w:sz w:val="22"/>
              </w:rPr>
            </w:pPr>
            <w:r>
              <w:rPr>
                <w:rFonts w:ascii="Calibri"/>
                <w:sz w:val="22"/>
              </w:rPr>
              <w:t>Jupiter</w:t>
            </w:r>
          </w:p>
        </w:tc>
        <w:tc>
          <w:tcPr>
            <w:tcW w:w="880" w:type="dxa"/>
            <w:tcBorders>
              <w:bottom w:val="single" w:sz="8" w:space="0" w:color="000000"/>
            </w:tcBorders>
          </w:tcPr>
          <w:p>
            <w:pPr>
              <w:pStyle w:val="TableParagraph"/>
              <w:spacing w:line="228" w:lineRule="exact"/>
              <w:ind w:left="96" w:right="122"/>
              <w:rPr>
                <w:rFonts w:ascii="Calibri"/>
                <w:sz w:val="22"/>
              </w:rPr>
            </w:pPr>
            <w:r>
              <w:rPr>
                <w:rFonts w:ascii="Calibri"/>
                <w:sz w:val="22"/>
              </w:rPr>
              <w:t>Region</w:t>
            </w:r>
          </w:p>
        </w:tc>
        <w:tc>
          <w:tcPr>
            <w:tcW w:w="682" w:type="dxa"/>
            <w:tcBorders>
              <w:bottom w:val="single" w:sz="8" w:space="0" w:color="000000"/>
              <w:right w:val="single" w:sz="8" w:space="0" w:color="000000"/>
            </w:tcBorders>
          </w:tcPr>
          <w:p>
            <w:pPr>
              <w:pStyle w:val="TableParagraph"/>
              <w:spacing w:line="228" w:lineRule="exact"/>
              <w:ind w:left="142"/>
              <w:jc w:val="left"/>
              <w:rPr>
                <w:rFonts w:ascii="Calibri"/>
                <w:sz w:val="22"/>
              </w:rPr>
            </w:pPr>
            <w:r>
              <w:rPr>
                <w:rFonts w:ascii="Calibri"/>
                <w:sz w:val="22"/>
              </w:rPr>
              <w:t>Geo</w:t>
            </w:r>
          </w:p>
        </w:tc>
        <w:tc>
          <w:tcPr>
            <w:tcW w:w="847" w:type="dxa"/>
            <w:tcBorders>
              <w:left w:val="single" w:sz="8" w:space="0" w:color="000000"/>
              <w:bottom w:val="single" w:sz="8" w:space="0" w:color="000000"/>
            </w:tcBorders>
          </w:tcPr>
          <w:p>
            <w:pPr>
              <w:pStyle w:val="TableParagraph"/>
              <w:spacing w:line="228" w:lineRule="exact"/>
              <w:ind w:left="87" w:right="98"/>
              <w:rPr>
                <w:rFonts w:ascii="Calibri"/>
                <w:sz w:val="22"/>
              </w:rPr>
            </w:pPr>
            <w:r>
              <w:rPr>
                <w:rFonts w:ascii="Calibri"/>
                <w:sz w:val="22"/>
              </w:rPr>
              <w:t>Jupiter</w:t>
            </w:r>
          </w:p>
        </w:tc>
        <w:tc>
          <w:tcPr>
            <w:tcW w:w="855" w:type="dxa"/>
            <w:tcBorders>
              <w:bottom w:val="single" w:sz="8" w:space="0" w:color="000000"/>
            </w:tcBorders>
          </w:tcPr>
          <w:p>
            <w:pPr>
              <w:pStyle w:val="TableParagraph"/>
              <w:spacing w:line="228" w:lineRule="exact"/>
              <w:ind w:left="98" w:right="102"/>
              <w:rPr>
                <w:rFonts w:ascii="Calibri"/>
                <w:sz w:val="22"/>
              </w:rPr>
            </w:pPr>
            <w:r>
              <w:rPr>
                <w:rFonts w:ascii="Calibri"/>
                <w:sz w:val="22"/>
              </w:rPr>
              <w:t>Region</w:t>
            </w:r>
          </w:p>
        </w:tc>
        <w:tc>
          <w:tcPr>
            <w:tcW w:w="610" w:type="dxa"/>
            <w:tcBorders>
              <w:bottom w:val="single" w:sz="8" w:space="0" w:color="000000"/>
            </w:tcBorders>
          </w:tcPr>
          <w:p>
            <w:pPr>
              <w:pStyle w:val="TableParagraph"/>
              <w:spacing w:line="228" w:lineRule="exact"/>
              <w:ind w:left="99" w:right="105"/>
              <w:rPr>
                <w:rFonts w:ascii="Calibri"/>
                <w:sz w:val="22"/>
              </w:rPr>
            </w:pPr>
            <w:r>
              <w:rPr>
                <w:rFonts w:ascii="Calibri"/>
                <w:sz w:val="22"/>
              </w:rPr>
              <w:t>Geo</w:t>
            </w:r>
          </w:p>
        </w:tc>
      </w:tr>
      <w:tr>
        <w:trPr>
          <w:trHeight w:val="289" w:hRule="atLeast"/>
        </w:trPr>
        <w:tc>
          <w:tcPr>
            <w:tcW w:w="1241" w:type="dxa"/>
            <w:tcBorders>
              <w:top w:val="single" w:sz="8" w:space="0" w:color="000000"/>
            </w:tcBorders>
          </w:tcPr>
          <w:p>
            <w:pPr>
              <w:pStyle w:val="TableParagraph"/>
              <w:spacing w:before="1"/>
              <w:ind w:left="69"/>
              <w:jc w:val="left"/>
              <w:rPr>
                <w:rFonts w:ascii="Calibri"/>
                <w:sz w:val="22"/>
              </w:rPr>
            </w:pPr>
            <w:r>
              <w:rPr>
                <w:rFonts w:ascii="Calibri"/>
                <w:sz w:val="22"/>
              </w:rPr>
              <w:t>ME tn</w:t>
            </w:r>
          </w:p>
        </w:tc>
        <w:tc>
          <w:tcPr>
            <w:tcW w:w="845" w:type="dxa"/>
            <w:tcBorders>
              <w:top w:val="single" w:sz="8" w:space="0" w:color="000000"/>
            </w:tcBorders>
          </w:tcPr>
          <w:p>
            <w:pPr>
              <w:pStyle w:val="TableParagraph"/>
              <w:spacing w:before="1"/>
              <w:ind w:left="4" w:right="87"/>
              <w:rPr>
                <w:rFonts w:ascii="Calibri"/>
                <w:sz w:val="22"/>
              </w:rPr>
            </w:pPr>
            <w:r>
              <w:rPr>
                <w:rFonts w:ascii="Calibri"/>
                <w:sz w:val="22"/>
              </w:rPr>
              <w:t>0.7</w:t>
            </w:r>
          </w:p>
        </w:tc>
        <w:tc>
          <w:tcPr>
            <w:tcW w:w="921" w:type="dxa"/>
            <w:tcBorders>
              <w:top w:val="single" w:sz="8" w:space="0" w:color="000000"/>
            </w:tcBorders>
          </w:tcPr>
          <w:p>
            <w:pPr>
              <w:pStyle w:val="TableParagraph"/>
              <w:spacing w:before="1"/>
              <w:ind w:left="140" w:right="124"/>
              <w:rPr>
                <w:rFonts w:ascii="Calibri"/>
                <w:sz w:val="22"/>
              </w:rPr>
            </w:pPr>
            <w:r>
              <w:rPr>
                <w:rFonts w:ascii="Calibri"/>
                <w:sz w:val="22"/>
              </w:rPr>
              <w:t>4.1</w:t>
            </w:r>
          </w:p>
        </w:tc>
        <w:tc>
          <w:tcPr>
            <w:tcW w:w="681" w:type="dxa"/>
            <w:tcBorders>
              <w:top w:val="single" w:sz="8" w:space="0" w:color="000000"/>
              <w:right w:val="single" w:sz="8" w:space="0" w:color="000000"/>
            </w:tcBorders>
          </w:tcPr>
          <w:p>
            <w:pPr>
              <w:pStyle w:val="TableParagraph"/>
              <w:spacing w:before="1"/>
              <w:ind w:left="185"/>
              <w:jc w:val="left"/>
              <w:rPr>
                <w:rFonts w:ascii="Calibri"/>
                <w:sz w:val="22"/>
              </w:rPr>
            </w:pPr>
            <w:r>
              <w:rPr>
                <w:rFonts w:ascii="Calibri"/>
                <w:sz w:val="22"/>
              </w:rPr>
              <w:t>3.8</w:t>
            </w:r>
          </w:p>
        </w:tc>
        <w:tc>
          <w:tcPr>
            <w:tcW w:w="849" w:type="dxa"/>
            <w:tcBorders>
              <w:top w:val="single" w:sz="8" w:space="0" w:color="000000"/>
              <w:left w:val="single" w:sz="8" w:space="0" w:color="000000"/>
            </w:tcBorders>
          </w:tcPr>
          <w:p>
            <w:pPr>
              <w:pStyle w:val="TableParagraph"/>
              <w:spacing w:before="1"/>
              <w:ind w:left="83" w:right="90"/>
              <w:rPr>
                <w:rFonts w:ascii="Calibri"/>
                <w:sz w:val="22"/>
              </w:rPr>
            </w:pPr>
            <w:r>
              <w:rPr>
                <w:rFonts w:ascii="Calibri"/>
                <w:sz w:val="22"/>
              </w:rPr>
              <w:t>0.8</w:t>
            </w:r>
          </w:p>
        </w:tc>
        <w:tc>
          <w:tcPr>
            <w:tcW w:w="880" w:type="dxa"/>
            <w:tcBorders>
              <w:top w:val="single" w:sz="8" w:space="0" w:color="000000"/>
            </w:tcBorders>
          </w:tcPr>
          <w:p>
            <w:pPr>
              <w:pStyle w:val="TableParagraph"/>
              <w:spacing w:before="1"/>
              <w:ind w:left="96" w:right="122"/>
              <w:rPr>
                <w:rFonts w:ascii="Calibri"/>
                <w:sz w:val="22"/>
              </w:rPr>
            </w:pPr>
            <w:r>
              <w:rPr>
                <w:rFonts w:ascii="Calibri"/>
                <w:sz w:val="22"/>
              </w:rPr>
              <w:t>4.3</w:t>
            </w:r>
          </w:p>
        </w:tc>
        <w:tc>
          <w:tcPr>
            <w:tcW w:w="682" w:type="dxa"/>
            <w:tcBorders>
              <w:top w:val="single" w:sz="8" w:space="0" w:color="000000"/>
              <w:right w:val="single" w:sz="8" w:space="0" w:color="000000"/>
            </w:tcBorders>
          </w:tcPr>
          <w:p>
            <w:pPr>
              <w:pStyle w:val="TableParagraph"/>
              <w:spacing w:before="1"/>
              <w:ind w:left="185"/>
              <w:jc w:val="left"/>
              <w:rPr>
                <w:rFonts w:ascii="Calibri"/>
                <w:sz w:val="22"/>
              </w:rPr>
            </w:pPr>
            <w:r>
              <w:rPr>
                <w:rFonts w:ascii="Calibri"/>
                <w:sz w:val="22"/>
              </w:rPr>
              <w:t>4.1</w:t>
            </w:r>
          </w:p>
        </w:tc>
        <w:tc>
          <w:tcPr>
            <w:tcW w:w="847" w:type="dxa"/>
            <w:tcBorders>
              <w:top w:val="single" w:sz="8" w:space="0" w:color="000000"/>
              <w:left w:val="single" w:sz="8" w:space="0" w:color="000000"/>
            </w:tcBorders>
          </w:tcPr>
          <w:p>
            <w:pPr>
              <w:pStyle w:val="TableParagraph"/>
              <w:spacing w:before="1"/>
              <w:ind w:left="87" w:right="94"/>
              <w:rPr>
                <w:rFonts w:ascii="Calibri"/>
                <w:sz w:val="22"/>
              </w:rPr>
            </w:pPr>
            <w:r>
              <w:rPr>
                <w:rFonts w:ascii="Calibri"/>
                <w:sz w:val="22"/>
              </w:rPr>
              <w:t>0.1</w:t>
            </w:r>
          </w:p>
        </w:tc>
        <w:tc>
          <w:tcPr>
            <w:tcW w:w="855" w:type="dxa"/>
            <w:tcBorders>
              <w:top w:val="single" w:sz="8" w:space="0" w:color="000000"/>
            </w:tcBorders>
          </w:tcPr>
          <w:p>
            <w:pPr>
              <w:pStyle w:val="TableParagraph"/>
              <w:spacing w:before="1"/>
              <w:ind w:left="97" w:right="102"/>
              <w:rPr>
                <w:rFonts w:ascii="Calibri"/>
                <w:sz w:val="22"/>
              </w:rPr>
            </w:pPr>
            <w:r>
              <w:rPr>
                <w:rFonts w:ascii="Calibri"/>
                <w:sz w:val="22"/>
              </w:rPr>
              <w:t>2.8</w:t>
            </w:r>
          </w:p>
        </w:tc>
        <w:tc>
          <w:tcPr>
            <w:tcW w:w="610" w:type="dxa"/>
            <w:tcBorders>
              <w:top w:val="single" w:sz="8" w:space="0" w:color="000000"/>
            </w:tcBorders>
          </w:tcPr>
          <w:p>
            <w:pPr>
              <w:pStyle w:val="TableParagraph"/>
              <w:spacing w:before="1"/>
              <w:ind w:left="99" w:right="104"/>
              <w:rPr>
                <w:rFonts w:ascii="Calibri"/>
                <w:sz w:val="22"/>
              </w:rPr>
            </w:pPr>
            <w:r>
              <w:rPr>
                <w:rFonts w:ascii="Calibri"/>
                <w:sz w:val="22"/>
              </w:rPr>
              <w:t>1.6</w:t>
            </w:r>
          </w:p>
        </w:tc>
      </w:tr>
      <w:tr>
        <w:trPr>
          <w:trHeight w:val="250" w:hRule="atLeast"/>
        </w:trPr>
        <w:tc>
          <w:tcPr>
            <w:tcW w:w="1241" w:type="dxa"/>
          </w:tcPr>
          <w:p>
            <w:pPr>
              <w:pStyle w:val="TableParagraph"/>
              <w:spacing w:line="230" w:lineRule="exact"/>
              <w:ind w:left="69"/>
              <w:jc w:val="left"/>
              <w:rPr>
                <w:rFonts w:ascii="Calibri"/>
                <w:sz w:val="22"/>
              </w:rPr>
            </w:pPr>
            <w:r>
              <w:rPr>
                <w:rFonts w:ascii="Calibri"/>
                <w:sz w:val="22"/>
              </w:rPr>
              <w:t>MAE tn</w:t>
            </w:r>
          </w:p>
        </w:tc>
        <w:tc>
          <w:tcPr>
            <w:tcW w:w="845" w:type="dxa"/>
          </w:tcPr>
          <w:p>
            <w:pPr>
              <w:pStyle w:val="TableParagraph"/>
              <w:spacing w:line="230" w:lineRule="exact"/>
              <w:ind w:right="83"/>
              <w:rPr>
                <w:rFonts w:ascii="Calibri"/>
                <w:sz w:val="22"/>
              </w:rPr>
            </w:pPr>
            <w:r>
              <w:rPr>
                <w:rFonts w:ascii="Calibri"/>
                <w:w w:val="100"/>
                <w:sz w:val="22"/>
              </w:rPr>
              <w:t>2</w:t>
            </w:r>
          </w:p>
        </w:tc>
        <w:tc>
          <w:tcPr>
            <w:tcW w:w="921" w:type="dxa"/>
          </w:tcPr>
          <w:p>
            <w:pPr>
              <w:pStyle w:val="TableParagraph"/>
              <w:spacing w:line="230" w:lineRule="exact"/>
              <w:ind w:left="140" w:right="124"/>
              <w:rPr>
                <w:rFonts w:ascii="Calibri"/>
                <w:sz w:val="22"/>
              </w:rPr>
            </w:pPr>
            <w:r>
              <w:rPr>
                <w:rFonts w:ascii="Calibri"/>
                <w:sz w:val="22"/>
              </w:rPr>
              <w:t>4.7</w:t>
            </w:r>
          </w:p>
        </w:tc>
        <w:tc>
          <w:tcPr>
            <w:tcW w:w="681" w:type="dxa"/>
            <w:tcBorders>
              <w:right w:val="single" w:sz="8" w:space="0" w:color="000000"/>
            </w:tcBorders>
          </w:tcPr>
          <w:p>
            <w:pPr>
              <w:pStyle w:val="TableParagraph"/>
              <w:spacing w:line="230" w:lineRule="exact"/>
              <w:ind w:left="185"/>
              <w:jc w:val="left"/>
              <w:rPr>
                <w:rFonts w:ascii="Calibri"/>
                <w:sz w:val="22"/>
              </w:rPr>
            </w:pPr>
            <w:r>
              <w:rPr>
                <w:rFonts w:ascii="Calibri"/>
                <w:sz w:val="22"/>
              </w:rPr>
              <w:t>5.0</w:t>
            </w:r>
          </w:p>
        </w:tc>
        <w:tc>
          <w:tcPr>
            <w:tcW w:w="849" w:type="dxa"/>
            <w:tcBorders>
              <w:left w:val="single" w:sz="8" w:space="0" w:color="000000"/>
            </w:tcBorders>
          </w:tcPr>
          <w:p>
            <w:pPr>
              <w:pStyle w:val="TableParagraph"/>
              <w:spacing w:line="230" w:lineRule="exact"/>
              <w:ind w:right="8"/>
              <w:rPr>
                <w:rFonts w:ascii="Calibri"/>
                <w:sz w:val="22"/>
              </w:rPr>
            </w:pPr>
            <w:r>
              <w:rPr>
                <w:rFonts w:ascii="Calibri"/>
                <w:w w:val="100"/>
                <w:sz w:val="22"/>
              </w:rPr>
              <w:t>2</w:t>
            </w:r>
          </w:p>
        </w:tc>
        <w:tc>
          <w:tcPr>
            <w:tcW w:w="880" w:type="dxa"/>
          </w:tcPr>
          <w:p>
            <w:pPr>
              <w:pStyle w:val="TableParagraph"/>
              <w:spacing w:line="230" w:lineRule="exact"/>
              <w:ind w:left="96" w:right="122"/>
              <w:rPr>
                <w:rFonts w:ascii="Calibri"/>
                <w:sz w:val="22"/>
              </w:rPr>
            </w:pPr>
            <w:r>
              <w:rPr>
                <w:rFonts w:ascii="Calibri"/>
                <w:sz w:val="22"/>
              </w:rPr>
              <w:t>4.8</w:t>
            </w:r>
          </w:p>
        </w:tc>
        <w:tc>
          <w:tcPr>
            <w:tcW w:w="682" w:type="dxa"/>
            <w:tcBorders>
              <w:right w:val="single" w:sz="8" w:space="0" w:color="000000"/>
            </w:tcBorders>
          </w:tcPr>
          <w:p>
            <w:pPr>
              <w:pStyle w:val="TableParagraph"/>
              <w:spacing w:line="230" w:lineRule="exact"/>
              <w:ind w:left="185"/>
              <w:jc w:val="left"/>
              <w:rPr>
                <w:rFonts w:ascii="Calibri"/>
                <w:sz w:val="22"/>
              </w:rPr>
            </w:pPr>
            <w:r>
              <w:rPr>
                <w:rFonts w:ascii="Calibri"/>
                <w:sz w:val="22"/>
              </w:rPr>
              <w:t>5.2</w:t>
            </w:r>
          </w:p>
        </w:tc>
        <w:tc>
          <w:tcPr>
            <w:tcW w:w="847" w:type="dxa"/>
            <w:tcBorders>
              <w:left w:val="single" w:sz="8" w:space="0" w:color="000000"/>
            </w:tcBorders>
          </w:tcPr>
          <w:p>
            <w:pPr>
              <w:pStyle w:val="TableParagraph"/>
              <w:spacing w:line="230" w:lineRule="exact"/>
              <w:ind w:left="87" w:right="94"/>
              <w:rPr>
                <w:rFonts w:ascii="Calibri"/>
                <w:sz w:val="22"/>
              </w:rPr>
            </w:pPr>
            <w:r>
              <w:rPr>
                <w:rFonts w:ascii="Calibri"/>
                <w:sz w:val="22"/>
              </w:rPr>
              <w:t>2.2</w:t>
            </w:r>
          </w:p>
        </w:tc>
        <w:tc>
          <w:tcPr>
            <w:tcW w:w="855" w:type="dxa"/>
          </w:tcPr>
          <w:p>
            <w:pPr>
              <w:pStyle w:val="TableParagraph"/>
              <w:spacing w:line="230" w:lineRule="exact"/>
              <w:ind w:left="97" w:right="102"/>
              <w:rPr>
                <w:rFonts w:ascii="Calibri"/>
                <w:sz w:val="22"/>
              </w:rPr>
            </w:pPr>
            <w:r>
              <w:rPr>
                <w:rFonts w:ascii="Calibri"/>
                <w:sz w:val="22"/>
              </w:rPr>
              <w:t>3.6</w:t>
            </w:r>
          </w:p>
        </w:tc>
        <w:tc>
          <w:tcPr>
            <w:tcW w:w="610" w:type="dxa"/>
          </w:tcPr>
          <w:p>
            <w:pPr>
              <w:pStyle w:val="TableParagraph"/>
              <w:spacing w:line="230" w:lineRule="exact"/>
              <w:ind w:left="99" w:right="104"/>
              <w:rPr>
                <w:rFonts w:ascii="Calibri"/>
                <w:sz w:val="22"/>
              </w:rPr>
            </w:pPr>
            <w:r>
              <w:rPr>
                <w:rFonts w:ascii="Calibri"/>
                <w:sz w:val="22"/>
              </w:rPr>
              <w:t>2.8</w:t>
            </w:r>
          </w:p>
        </w:tc>
      </w:tr>
      <w:tr>
        <w:trPr>
          <w:trHeight w:val="319" w:hRule="atLeast"/>
        </w:trPr>
        <w:tc>
          <w:tcPr>
            <w:tcW w:w="1241" w:type="dxa"/>
            <w:shd w:val="clear" w:color="auto" w:fill="D9D9D9"/>
          </w:tcPr>
          <w:p>
            <w:pPr>
              <w:pStyle w:val="TableParagraph"/>
              <w:spacing w:before="13"/>
              <w:ind w:left="69"/>
              <w:jc w:val="left"/>
              <w:rPr>
                <w:rFonts w:ascii="Calibri"/>
                <w:sz w:val="22"/>
              </w:rPr>
            </w:pPr>
            <w:r>
              <w:rPr>
                <w:rFonts w:ascii="Calibri"/>
                <w:position w:val="2"/>
                <w:sz w:val="22"/>
              </w:rPr>
              <w:t>ME</w:t>
            </w:r>
            <w:r>
              <w:rPr>
                <w:rFonts w:ascii="Calibri"/>
                <w:sz w:val="14"/>
              </w:rPr>
              <w:t>90Q </w:t>
            </w:r>
            <w:r>
              <w:rPr>
                <w:rFonts w:ascii="Calibri"/>
                <w:position w:val="2"/>
                <w:sz w:val="22"/>
              </w:rPr>
              <w:t>tn</w:t>
            </w:r>
          </w:p>
        </w:tc>
        <w:tc>
          <w:tcPr>
            <w:tcW w:w="845" w:type="dxa"/>
            <w:shd w:val="clear" w:color="auto" w:fill="D9D9D9"/>
          </w:tcPr>
          <w:p>
            <w:pPr>
              <w:pStyle w:val="TableParagraph"/>
              <w:spacing w:before="13"/>
              <w:ind w:left="4" w:right="87"/>
              <w:rPr>
                <w:rFonts w:ascii="Calibri"/>
                <w:sz w:val="22"/>
              </w:rPr>
            </w:pPr>
            <w:r>
              <w:rPr>
                <w:rFonts w:ascii="Calibri"/>
                <w:sz w:val="22"/>
              </w:rPr>
              <w:t>0.4</w:t>
            </w:r>
          </w:p>
        </w:tc>
        <w:tc>
          <w:tcPr>
            <w:tcW w:w="921" w:type="dxa"/>
            <w:shd w:val="clear" w:color="auto" w:fill="D9D9D9"/>
          </w:tcPr>
          <w:p>
            <w:pPr>
              <w:pStyle w:val="TableParagraph"/>
              <w:spacing w:before="13"/>
              <w:ind w:left="140" w:right="124"/>
              <w:rPr>
                <w:rFonts w:ascii="Calibri"/>
                <w:sz w:val="22"/>
              </w:rPr>
            </w:pPr>
            <w:r>
              <w:rPr>
                <w:rFonts w:ascii="Calibri"/>
                <w:sz w:val="22"/>
              </w:rPr>
              <w:t>2.5</w:t>
            </w:r>
          </w:p>
        </w:tc>
        <w:tc>
          <w:tcPr>
            <w:tcW w:w="681" w:type="dxa"/>
            <w:tcBorders>
              <w:right w:val="single" w:sz="8" w:space="0" w:color="000000"/>
            </w:tcBorders>
            <w:shd w:val="clear" w:color="auto" w:fill="D9D9D9"/>
          </w:tcPr>
          <w:p>
            <w:pPr>
              <w:pStyle w:val="TableParagraph"/>
              <w:spacing w:before="13"/>
              <w:ind w:left="185"/>
              <w:jc w:val="left"/>
              <w:rPr>
                <w:rFonts w:ascii="Calibri"/>
                <w:sz w:val="22"/>
              </w:rPr>
            </w:pPr>
            <w:r>
              <w:rPr>
                <w:rFonts w:ascii="Calibri"/>
                <w:sz w:val="22"/>
              </w:rPr>
              <w:t>2.8</w:t>
            </w:r>
          </w:p>
        </w:tc>
        <w:tc>
          <w:tcPr>
            <w:tcW w:w="849" w:type="dxa"/>
            <w:tcBorders>
              <w:left w:val="single" w:sz="8" w:space="0" w:color="000000"/>
            </w:tcBorders>
            <w:shd w:val="clear" w:color="auto" w:fill="D9D9D9"/>
          </w:tcPr>
          <w:p>
            <w:pPr>
              <w:pStyle w:val="TableParagraph"/>
              <w:spacing w:before="13"/>
              <w:ind w:left="83" w:right="90"/>
              <w:rPr>
                <w:rFonts w:ascii="Calibri"/>
                <w:sz w:val="22"/>
              </w:rPr>
            </w:pPr>
            <w:r>
              <w:rPr>
                <w:rFonts w:ascii="Calibri"/>
                <w:sz w:val="22"/>
              </w:rPr>
              <w:t>0.5</w:t>
            </w:r>
          </w:p>
        </w:tc>
        <w:tc>
          <w:tcPr>
            <w:tcW w:w="880" w:type="dxa"/>
            <w:shd w:val="clear" w:color="auto" w:fill="D9D9D9"/>
          </w:tcPr>
          <w:p>
            <w:pPr>
              <w:pStyle w:val="TableParagraph"/>
              <w:spacing w:before="13"/>
              <w:ind w:left="96" w:right="122"/>
              <w:rPr>
                <w:rFonts w:ascii="Calibri"/>
                <w:sz w:val="22"/>
              </w:rPr>
            </w:pPr>
            <w:r>
              <w:rPr>
                <w:rFonts w:ascii="Calibri"/>
                <w:sz w:val="22"/>
              </w:rPr>
              <w:t>2.6</w:t>
            </w:r>
          </w:p>
        </w:tc>
        <w:tc>
          <w:tcPr>
            <w:tcW w:w="682" w:type="dxa"/>
            <w:tcBorders>
              <w:right w:val="single" w:sz="8" w:space="0" w:color="000000"/>
            </w:tcBorders>
            <w:shd w:val="clear" w:color="auto" w:fill="D9D9D9"/>
          </w:tcPr>
          <w:p>
            <w:pPr>
              <w:pStyle w:val="TableParagraph"/>
              <w:spacing w:before="13"/>
              <w:ind w:left="185"/>
              <w:jc w:val="left"/>
              <w:rPr>
                <w:rFonts w:ascii="Calibri"/>
                <w:sz w:val="22"/>
              </w:rPr>
            </w:pPr>
            <w:r>
              <w:rPr>
                <w:rFonts w:ascii="Calibri"/>
                <w:sz w:val="22"/>
              </w:rPr>
              <w:t>3.0</w:t>
            </w:r>
          </w:p>
        </w:tc>
        <w:tc>
          <w:tcPr>
            <w:tcW w:w="847" w:type="dxa"/>
            <w:tcBorders>
              <w:left w:val="single" w:sz="8" w:space="0" w:color="000000"/>
            </w:tcBorders>
            <w:shd w:val="clear" w:color="auto" w:fill="D9D9D9"/>
          </w:tcPr>
          <w:p>
            <w:pPr>
              <w:pStyle w:val="TableParagraph"/>
              <w:spacing w:before="13"/>
              <w:ind w:left="87" w:right="94"/>
              <w:rPr>
                <w:rFonts w:ascii="Calibri"/>
                <w:sz w:val="22"/>
              </w:rPr>
            </w:pPr>
            <w:r>
              <w:rPr>
                <w:rFonts w:ascii="Calibri"/>
                <w:sz w:val="22"/>
              </w:rPr>
              <w:t>-0.2</w:t>
            </w:r>
          </w:p>
        </w:tc>
        <w:tc>
          <w:tcPr>
            <w:tcW w:w="855" w:type="dxa"/>
            <w:shd w:val="clear" w:color="auto" w:fill="D9D9D9"/>
          </w:tcPr>
          <w:p>
            <w:pPr>
              <w:pStyle w:val="TableParagraph"/>
              <w:spacing w:before="13"/>
              <w:ind w:left="97" w:right="102"/>
              <w:rPr>
                <w:rFonts w:ascii="Calibri"/>
                <w:sz w:val="22"/>
              </w:rPr>
            </w:pPr>
            <w:r>
              <w:rPr>
                <w:rFonts w:ascii="Calibri"/>
                <w:sz w:val="22"/>
              </w:rPr>
              <w:t>0.8</w:t>
            </w:r>
          </w:p>
        </w:tc>
        <w:tc>
          <w:tcPr>
            <w:tcW w:w="610" w:type="dxa"/>
            <w:shd w:val="clear" w:color="auto" w:fill="D9D9D9"/>
          </w:tcPr>
          <w:p>
            <w:pPr>
              <w:pStyle w:val="TableParagraph"/>
              <w:spacing w:before="13"/>
              <w:ind w:left="99" w:right="104"/>
              <w:rPr>
                <w:rFonts w:ascii="Calibri"/>
                <w:sz w:val="22"/>
              </w:rPr>
            </w:pPr>
            <w:r>
              <w:rPr>
                <w:rFonts w:ascii="Calibri"/>
                <w:sz w:val="22"/>
              </w:rPr>
              <w:t>0.8</w:t>
            </w:r>
          </w:p>
        </w:tc>
      </w:tr>
      <w:tr>
        <w:trPr>
          <w:trHeight w:val="280" w:hRule="atLeast"/>
        </w:trPr>
        <w:tc>
          <w:tcPr>
            <w:tcW w:w="1241" w:type="dxa"/>
            <w:shd w:val="clear" w:color="auto" w:fill="D9D9D9"/>
          </w:tcPr>
          <w:p>
            <w:pPr>
              <w:pStyle w:val="TableParagraph"/>
              <w:spacing w:line="261" w:lineRule="exact"/>
              <w:ind w:left="69"/>
              <w:jc w:val="left"/>
              <w:rPr>
                <w:rFonts w:ascii="Calibri"/>
                <w:sz w:val="22"/>
              </w:rPr>
            </w:pPr>
            <w:r>
              <w:rPr>
                <w:rFonts w:ascii="Calibri"/>
                <w:position w:val="2"/>
                <w:sz w:val="22"/>
              </w:rPr>
              <w:t>MAE</w:t>
            </w:r>
            <w:r>
              <w:rPr>
                <w:rFonts w:ascii="Calibri"/>
                <w:sz w:val="14"/>
              </w:rPr>
              <w:t>90Q </w:t>
            </w:r>
            <w:r>
              <w:rPr>
                <w:rFonts w:ascii="Calibri"/>
                <w:position w:val="2"/>
                <w:sz w:val="22"/>
              </w:rPr>
              <w:t>tn</w:t>
            </w:r>
          </w:p>
        </w:tc>
        <w:tc>
          <w:tcPr>
            <w:tcW w:w="845" w:type="dxa"/>
            <w:shd w:val="clear" w:color="auto" w:fill="D9D9D9"/>
          </w:tcPr>
          <w:p>
            <w:pPr>
              <w:pStyle w:val="TableParagraph"/>
              <w:spacing w:line="261" w:lineRule="exact"/>
              <w:ind w:left="4" w:right="87"/>
              <w:rPr>
                <w:rFonts w:ascii="Calibri"/>
                <w:sz w:val="22"/>
              </w:rPr>
            </w:pPr>
            <w:r>
              <w:rPr>
                <w:rFonts w:ascii="Calibri"/>
                <w:sz w:val="22"/>
              </w:rPr>
              <w:t>1.6</w:t>
            </w:r>
          </w:p>
        </w:tc>
        <w:tc>
          <w:tcPr>
            <w:tcW w:w="921" w:type="dxa"/>
            <w:shd w:val="clear" w:color="auto" w:fill="D9D9D9"/>
          </w:tcPr>
          <w:p>
            <w:pPr>
              <w:pStyle w:val="TableParagraph"/>
              <w:spacing w:line="261" w:lineRule="exact"/>
              <w:ind w:left="140" w:right="124"/>
              <w:rPr>
                <w:rFonts w:ascii="Calibri"/>
                <w:sz w:val="22"/>
              </w:rPr>
            </w:pPr>
            <w:r>
              <w:rPr>
                <w:rFonts w:ascii="Calibri"/>
                <w:sz w:val="22"/>
              </w:rPr>
              <w:t>3.1</w:t>
            </w:r>
          </w:p>
        </w:tc>
        <w:tc>
          <w:tcPr>
            <w:tcW w:w="681" w:type="dxa"/>
            <w:tcBorders>
              <w:right w:val="single" w:sz="8" w:space="0" w:color="000000"/>
            </w:tcBorders>
            <w:shd w:val="clear" w:color="auto" w:fill="D9D9D9"/>
          </w:tcPr>
          <w:p>
            <w:pPr>
              <w:pStyle w:val="TableParagraph"/>
              <w:spacing w:line="261" w:lineRule="exact"/>
              <w:ind w:left="185"/>
              <w:jc w:val="left"/>
              <w:rPr>
                <w:rFonts w:ascii="Calibri"/>
                <w:sz w:val="22"/>
              </w:rPr>
            </w:pPr>
            <w:r>
              <w:rPr>
                <w:rFonts w:ascii="Calibri"/>
                <w:sz w:val="22"/>
              </w:rPr>
              <w:t>4.1</w:t>
            </w:r>
          </w:p>
        </w:tc>
        <w:tc>
          <w:tcPr>
            <w:tcW w:w="849" w:type="dxa"/>
            <w:tcBorders>
              <w:left w:val="single" w:sz="8" w:space="0" w:color="000000"/>
            </w:tcBorders>
            <w:shd w:val="clear" w:color="auto" w:fill="D9D9D9"/>
          </w:tcPr>
          <w:p>
            <w:pPr>
              <w:pStyle w:val="TableParagraph"/>
              <w:spacing w:line="261" w:lineRule="exact"/>
              <w:ind w:left="83" w:right="90"/>
              <w:rPr>
                <w:rFonts w:ascii="Calibri"/>
                <w:sz w:val="22"/>
              </w:rPr>
            </w:pPr>
            <w:r>
              <w:rPr>
                <w:rFonts w:ascii="Calibri"/>
                <w:sz w:val="22"/>
              </w:rPr>
              <w:t>1.6</w:t>
            </w:r>
          </w:p>
        </w:tc>
        <w:tc>
          <w:tcPr>
            <w:tcW w:w="880" w:type="dxa"/>
            <w:shd w:val="clear" w:color="auto" w:fill="D9D9D9"/>
          </w:tcPr>
          <w:p>
            <w:pPr>
              <w:pStyle w:val="TableParagraph"/>
              <w:spacing w:line="261" w:lineRule="exact"/>
              <w:ind w:left="96" w:right="122"/>
              <w:rPr>
                <w:rFonts w:ascii="Calibri"/>
                <w:sz w:val="22"/>
              </w:rPr>
            </w:pPr>
            <w:r>
              <w:rPr>
                <w:rFonts w:ascii="Calibri"/>
                <w:sz w:val="22"/>
              </w:rPr>
              <w:t>3.3</w:t>
            </w:r>
          </w:p>
        </w:tc>
        <w:tc>
          <w:tcPr>
            <w:tcW w:w="682" w:type="dxa"/>
            <w:tcBorders>
              <w:right w:val="single" w:sz="8" w:space="0" w:color="000000"/>
            </w:tcBorders>
            <w:shd w:val="clear" w:color="auto" w:fill="D9D9D9"/>
          </w:tcPr>
          <w:p>
            <w:pPr>
              <w:pStyle w:val="TableParagraph"/>
              <w:spacing w:line="261" w:lineRule="exact"/>
              <w:ind w:left="185"/>
              <w:jc w:val="left"/>
              <w:rPr>
                <w:rFonts w:ascii="Calibri"/>
                <w:sz w:val="22"/>
              </w:rPr>
            </w:pPr>
            <w:r>
              <w:rPr>
                <w:rFonts w:ascii="Calibri"/>
                <w:sz w:val="22"/>
              </w:rPr>
              <w:t>4.2</w:t>
            </w:r>
          </w:p>
        </w:tc>
        <w:tc>
          <w:tcPr>
            <w:tcW w:w="847" w:type="dxa"/>
            <w:tcBorders>
              <w:left w:val="single" w:sz="8" w:space="0" w:color="000000"/>
            </w:tcBorders>
            <w:shd w:val="clear" w:color="auto" w:fill="D9D9D9"/>
          </w:tcPr>
          <w:p>
            <w:pPr>
              <w:pStyle w:val="TableParagraph"/>
              <w:spacing w:line="261" w:lineRule="exact"/>
              <w:ind w:left="87" w:right="94"/>
              <w:rPr>
                <w:rFonts w:ascii="Calibri"/>
                <w:sz w:val="22"/>
              </w:rPr>
            </w:pPr>
            <w:r>
              <w:rPr>
                <w:rFonts w:ascii="Calibri"/>
                <w:sz w:val="22"/>
              </w:rPr>
              <w:t>1.7</w:t>
            </w:r>
          </w:p>
        </w:tc>
        <w:tc>
          <w:tcPr>
            <w:tcW w:w="855" w:type="dxa"/>
            <w:shd w:val="clear" w:color="auto" w:fill="D9D9D9"/>
          </w:tcPr>
          <w:p>
            <w:pPr>
              <w:pStyle w:val="TableParagraph"/>
              <w:spacing w:line="261" w:lineRule="exact"/>
              <w:ind w:left="97" w:right="102"/>
              <w:rPr>
                <w:rFonts w:ascii="Calibri"/>
                <w:sz w:val="22"/>
              </w:rPr>
            </w:pPr>
            <w:r>
              <w:rPr>
                <w:rFonts w:ascii="Calibri"/>
                <w:sz w:val="22"/>
              </w:rPr>
              <w:t>1.8</w:t>
            </w:r>
          </w:p>
        </w:tc>
        <w:tc>
          <w:tcPr>
            <w:tcW w:w="610" w:type="dxa"/>
            <w:shd w:val="clear" w:color="auto" w:fill="D9D9D9"/>
          </w:tcPr>
          <w:p>
            <w:pPr>
              <w:pStyle w:val="TableParagraph"/>
              <w:spacing w:line="261" w:lineRule="exact"/>
              <w:ind w:left="99" w:right="104"/>
              <w:rPr>
                <w:rFonts w:ascii="Calibri"/>
                <w:sz w:val="22"/>
              </w:rPr>
            </w:pPr>
            <w:r>
              <w:rPr>
                <w:rFonts w:ascii="Calibri"/>
                <w:sz w:val="22"/>
              </w:rPr>
              <w:t>2.2</w:t>
            </w:r>
          </w:p>
        </w:tc>
      </w:tr>
    </w:tbl>
    <w:p>
      <w:pPr>
        <w:pStyle w:val="BodyText"/>
        <w:rPr>
          <w:rFonts w:ascii="Calibri"/>
          <w:i/>
          <w:sz w:val="18"/>
        </w:rPr>
      </w:pPr>
    </w:p>
    <w:p>
      <w:pPr>
        <w:pStyle w:val="BodyText"/>
        <w:rPr>
          <w:rFonts w:ascii="Calibri"/>
          <w:i/>
          <w:sz w:val="18"/>
        </w:rPr>
      </w:pPr>
    </w:p>
    <w:p>
      <w:pPr>
        <w:pStyle w:val="BodyText"/>
        <w:rPr>
          <w:rFonts w:ascii="Calibri"/>
          <w:i/>
          <w:sz w:val="18"/>
        </w:rPr>
      </w:pPr>
    </w:p>
    <w:p>
      <w:pPr>
        <w:pStyle w:val="BodyText"/>
        <w:spacing w:before="3"/>
        <w:rPr>
          <w:rFonts w:ascii="Calibri"/>
          <w:i/>
          <w:sz w:val="19"/>
        </w:rPr>
      </w:pPr>
    </w:p>
    <w:p>
      <w:pPr>
        <w:pStyle w:val="Heading5"/>
        <w:spacing w:before="1"/>
        <w:rPr>
          <w:i/>
        </w:rPr>
      </w:pPr>
      <w:r>
        <w:rPr>
          <w:i/>
        </w:rPr>
        <w:t>Odense Å modellen</w:t>
      </w:r>
    </w:p>
    <w:p>
      <w:pPr>
        <w:pStyle w:val="BodyText"/>
        <w:spacing w:line="276" w:lineRule="auto" w:before="17"/>
        <w:ind w:left="525" w:right="856"/>
      </w:pPr>
      <w:r>
        <w:rPr/>
        <w:t>For Odense Å oplandet, </w:t>
      </w:r>
      <w:hyperlink w:history="true" w:anchor="_bookmark157">
        <w:r>
          <w:rPr/>
          <w:t>tabel 30 </w:t>
        </w:r>
      </w:hyperlink>
      <w:r>
        <w:rPr/>
        <w:t>og 31, er der væsentligt flere geotekniske boringer med pejledata fra Geo. Her ses en tendens til større forskel mellem model og Geo data for kali- brerings perioden, med en generel høj fejl på omkring 4 m. I valideringsperioden er fejlen derimod lavere end den tilsvarende for Jupiter eller Regions data.</w:t>
      </w:r>
    </w:p>
    <w:p>
      <w:pPr>
        <w:spacing w:after="0" w:line="276" w:lineRule="auto"/>
        <w:sectPr>
          <w:pgSz w:w="11910" w:h="16850"/>
          <w:pgMar w:header="0" w:footer="937" w:top="1340" w:bottom="1120" w:left="1460" w:right="680"/>
        </w:sectPr>
      </w:pPr>
    </w:p>
    <w:p>
      <w:pPr>
        <w:spacing w:before="36"/>
        <w:ind w:left="525" w:right="930" w:firstLine="0"/>
        <w:jc w:val="both"/>
        <w:rPr>
          <w:rFonts w:ascii="Calibri" w:hAnsi="Calibri"/>
          <w:i/>
          <w:sz w:val="18"/>
        </w:rPr>
      </w:pPr>
      <w:bookmarkStart w:name="_bookmark157" w:id="195"/>
      <w:bookmarkEnd w:id="195"/>
      <w:r>
        <w:rPr/>
      </w:r>
      <w:r>
        <w:rPr>
          <w:rFonts w:ascii="Calibri" w:hAnsi="Calibri"/>
          <w:i/>
          <w:color w:val="44536A"/>
          <w:sz w:val="18"/>
        </w:rPr>
        <w:t>Tabel 30 Performance statistik for simuleret trykniveau på modelgrid niveau for alle tre kalibreringer (2000-2008). </w:t>
      </w:r>
      <w:r>
        <w:rPr>
          <w:rFonts w:ascii="Calibri" w:hAnsi="Calibri"/>
          <w:i/>
          <w:color w:val="44536A"/>
          <w:sz w:val="18"/>
        </w:rPr>
        <w:t>Jupiter, Region og GEO indikerer separat statistik for hhv. data fra Jupiter, Regionernes og GEO a/s databaser. Alle størrelser er i [m]. Middelfejl er angivet som obs –</w:t>
      </w:r>
      <w:r>
        <w:rPr>
          <w:rFonts w:ascii="Calibri" w:hAnsi="Calibri"/>
          <w:i/>
          <w:color w:val="44536A"/>
          <w:spacing w:val="-7"/>
          <w:sz w:val="18"/>
        </w:rPr>
        <w:t> </w:t>
      </w:r>
      <w:r>
        <w:rPr>
          <w:rFonts w:ascii="Calibri" w:hAnsi="Calibri"/>
          <w:i/>
          <w:color w:val="44536A"/>
          <w:sz w:val="18"/>
        </w:rPr>
        <w:t>sim.</w:t>
      </w:r>
    </w:p>
    <w:p>
      <w:pPr>
        <w:pStyle w:val="BodyText"/>
        <w:spacing w:before="6"/>
        <w:rPr>
          <w:rFonts w:ascii="Calibri"/>
          <w:i/>
          <w:sz w:val="16"/>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15"/>
        <w:gridCol w:w="811"/>
        <w:gridCol w:w="880"/>
        <w:gridCol w:w="680"/>
        <w:gridCol w:w="848"/>
        <w:gridCol w:w="879"/>
        <w:gridCol w:w="681"/>
        <w:gridCol w:w="848"/>
        <w:gridCol w:w="845"/>
        <w:gridCol w:w="575"/>
      </w:tblGrid>
      <w:tr>
        <w:trPr>
          <w:trHeight w:val="288" w:hRule="atLeast"/>
        </w:trPr>
        <w:tc>
          <w:tcPr>
            <w:tcW w:w="1315" w:type="dxa"/>
          </w:tcPr>
          <w:p>
            <w:pPr>
              <w:pStyle w:val="TableParagraph"/>
              <w:spacing w:line="268" w:lineRule="exact"/>
              <w:ind w:left="69"/>
              <w:jc w:val="left"/>
              <w:rPr>
                <w:rFonts w:ascii="Calibri"/>
                <w:b/>
                <w:sz w:val="22"/>
              </w:rPr>
            </w:pPr>
            <w:r>
              <w:rPr>
                <w:rFonts w:ascii="Calibri"/>
                <w:b/>
                <w:sz w:val="22"/>
              </w:rPr>
              <w:t>Kalibrering</w:t>
            </w:r>
          </w:p>
        </w:tc>
        <w:tc>
          <w:tcPr>
            <w:tcW w:w="2371" w:type="dxa"/>
            <w:gridSpan w:val="3"/>
            <w:tcBorders>
              <w:right w:val="single" w:sz="8" w:space="0" w:color="000000"/>
            </w:tcBorders>
          </w:tcPr>
          <w:p>
            <w:pPr>
              <w:pStyle w:val="TableParagraph"/>
              <w:spacing w:line="268" w:lineRule="exact"/>
              <w:ind w:left="475"/>
              <w:jc w:val="left"/>
              <w:rPr>
                <w:rFonts w:ascii="Calibri"/>
                <w:b/>
                <w:sz w:val="22"/>
              </w:rPr>
            </w:pPr>
            <w:r>
              <w:rPr>
                <w:rFonts w:ascii="Calibri"/>
                <w:b/>
                <w:sz w:val="22"/>
              </w:rPr>
              <w:t>100m_Jup+Reg</w:t>
            </w:r>
          </w:p>
        </w:tc>
        <w:tc>
          <w:tcPr>
            <w:tcW w:w="1727" w:type="dxa"/>
            <w:gridSpan w:val="2"/>
            <w:tcBorders>
              <w:left w:val="single" w:sz="8" w:space="0" w:color="000000"/>
            </w:tcBorders>
          </w:tcPr>
          <w:p>
            <w:pPr>
              <w:pStyle w:val="TableParagraph"/>
              <w:spacing w:line="268" w:lineRule="exact"/>
              <w:ind w:left="730"/>
              <w:jc w:val="left"/>
              <w:rPr>
                <w:rFonts w:ascii="Calibri"/>
                <w:b/>
                <w:sz w:val="22"/>
              </w:rPr>
            </w:pPr>
            <w:r>
              <w:rPr>
                <w:rFonts w:ascii="Calibri"/>
                <w:b/>
                <w:sz w:val="22"/>
              </w:rPr>
              <w:t>100m_Jup</w:t>
            </w:r>
          </w:p>
        </w:tc>
        <w:tc>
          <w:tcPr>
            <w:tcW w:w="681" w:type="dxa"/>
            <w:tcBorders>
              <w:right w:val="single" w:sz="8" w:space="0" w:color="000000"/>
            </w:tcBorders>
          </w:tcPr>
          <w:p>
            <w:pPr>
              <w:pStyle w:val="TableParagraph"/>
              <w:jc w:val="left"/>
              <w:rPr>
                <w:rFonts w:ascii="Times New Roman"/>
                <w:sz w:val="18"/>
              </w:rPr>
            </w:pPr>
          </w:p>
        </w:tc>
        <w:tc>
          <w:tcPr>
            <w:tcW w:w="2268" w:type="dxa"/>
            <w:gridSpan w:val="3"/>
            <w:tcBorders>
              <w:left w:val="single" w:sz="8" w:space="0" w:color="000000"/>
            </w:tcBorders>
          </w:tcPr>
          <w:p>
            <w:pPr>
              <w:pStyle w:val="TableParagraph"/>
              <w:spacing w:line="268" w:lineRule="exact"/>
              <w:ind w:left="436"/>
              <w:jc w:val="left"/>
              <w:rPr>
                <w:rFonts w:ascii="Calibri"/>
                <w:b/>
                <w:sz w:val="22"/>
              </w:rPr>
            </w:pPr>
            <w:r>
              <w:rPr>
                <w:rFonts w:ascii="Calibri"/>
                <w:b/>
                <w:sz w:val="22"/>
              </w:rPr>
              <w:t>500m_Jup+Reg</w:t>
            </w:r>
          </w:p>
        </w:tc>
      </w:tr>
      <w:tr>
        <w:trPr>
          <w:trHeight w:val="249" w:hRule="atLeast"/>
        </w:trPr>
        <w:tc>
          <w:tcPr>
            <w:tcW w:w="1315" w:type="dxa"/>
            <w:tcBorders>
              <w:bottom w:val="single" w:sz="8" w:space="0" w:color="000000"/>
            </w:tcBorders>
          </w:tcPr>
          <w:p>
            <w:pPr>
              <w:pStyle w:val="TableParagraph"/>
              <w:jc w:val="left"/>
              <w:rPr>
                <w:rFonts w:ascii="Times New Roman"/>
                <w:sz w:val="18"/>
              </w:rPr>
            </w:pPr>
          </w:p>
        </w:tc>
        <w:tc>
          <w:tcPr>
            <w:tcW w:w="811" w:type="dxa"/>
            <w:tcBorders>
              <w:bottom w:val="single" w:sz="8" w:space="0" w:color="000000"/>
            </w:tcBorders>
          </w:tcPr>
          <w:p>
            <w:pPr>
              <w:pStyle w:val="TableParagraph"/>
              <w:spacing w:line="229" w:lineRule="exact"/>
              <w:ind w:left="60" w:right="98"/>
              <w:rPr>
                <w:rFonts w:ascii="Calibri"/>
                <w:sz w:val="22"/>
              </w:rPr>
            </w:pPr>
            <w:r>
              <w:rPr>
                <w:rFonts w:ascii="Calibri"/>
                <w:sz w:val="22"/>
              </w:rPr>
              <w:t>Jupiter</w:t>
            </w:r>
          </w:p>
        </w:tc>
        <w:tc>
          <w:tcPr>
            <w:tcW w:w="880" w:type="dxa"/>
            <w:tcBorders>
              <w:bottom w:val="single" w:sz="8" w:space="0" w:color="000000"/>
            </w:tcBorders>
          </w:tcPr>
          <w:p>
            <w:pPr>
              <w:pStyle w:val="TableParagraph"/>
              <w:spacing w:line="229" w:lineRule="exact"/>
              <w:ind w:left="99" w:right="118"/>
              <w:rPr>
                <w:rFonts w:ascii="Calibri"/>
                <w:sz w:val="22"/>
              </w:rPr>
            </w:pPr>
            <w:r>
              <w:rPr>
                <w:rFonts w:ascii="Calibri"/>
                <w:sz w:val="22"/>
              </w:rPr>
              <w:t>Region</w:t>
            </w:r>
          </w:p>
        </w:tc>
        <w:tc>
          <w:tcPr>
            <w:tcW w:w="680" w:type="dxa"/>
            <w:tcBorders>
              <w:bottom w:val="single" w:sz="8" w:space="0" w:color="000000"/>
              <w:right w:val="single" w:sz="8" w:space="0" w:color="000000"/>
            </w:tcBorders>
          </w:tcPr>
          <w:p>
            <w:pPr>
              <w:pStyle w:val="TableParagraph"/>
              <w:spacing w:line="229" w:lineRule="exact"/>
              <w:ind w:left="143"/>
              <w:jc w:val="left"/>
              <w:rPr>
                <w:rFonts w:ascii="Calibri"/>
                <w:sz w:val="22"/>
              </w:rPr>
            </w:pPr>
            <w:r>
              <w:rPr>
                <w:rFonts w:ascii="Calibri"/>
                <w:sz w:val="22"/>
              </w:rPr>
              <w:t>Geo</w:t>
            </w:r>
          </w:p>
        </w:tc>
        <w:tc>
          <w:tcPr>
            <w:tcW w:w="848" w:type="dxa"/>
            <w:tcBorders>
              <w:left w:val="single" w:sz="8" w:space="0" w:color="000000"/>
              <w:bottom w:val="single" w:sz="8" w:space="0" w:color="000000"/>
            </w:tcBorders>
          </w:tcPr>
          <w:p>
            <w:pPr>
              <w:pStyle w:val="TableParagraph"/>
              <w:spacing w:line="229" w:lineRule="exact"/>
              <w:ind w:left="88" w:right="94"/>
              <w:rPr>
                <w:rFonts w:ascii="Calibri"/>
                <w:sz w:val="22"/>
              </w:rPr>
            </w:pPr>
            <w:r>
              <w:rPr>
                <w:rFonts w:ascii="Calibri"/>
                <w:sz w:val="22"/>
              </w:rPr>
              <w:t>Jupiter</w:t>
            </w:r>
          </w:p>
        </w:tc>
        <w:tc>
          <w:tcPr>
            <w:tcW w:w="879" w:type="dxa"/>
            <w:tcBorders>
              <w:bottom w:val="single" w:sz="8" w:space="0" w:color="000000"/>
            </w:tcBorders>
          </w:tcPr>
          <w:p>
            <w:pPr>
              <w:pStyle w:val="TableParagraph"/>
              <w:spacing w:line="229" w:lineRule="exact"/>
              <w:ind w:left="101" w:right="120"/>
              <w:rPr>
                <w:rFonts w:ascii="Calibri"/>
                <w:sz w:val="22"/>
              </w:rPr>
            </w:pPr>
            <w:r>
              <w:rPr>
                <w:rFonts w:ascii="Calibri"/>
                <w:sz w:val="22"/>
              </w:rPr>
              <w:t>Region</w:t>
            </w:r>
          </w:p>
        </w:tc>
        <w:tc>
          <w:tcPr>
            <w:tcW w:w="681" w:type="dxa"/>
            <w:tcBorders>
              <w:bottom w:val="single" w:sz="8" w:space="0" w:color="000000"/>
              <w:right w:val="single" w:sz="8" w:space="0" w:color="000000"/>
            </w:tcBorders>
          </w:tcPr>
          <w:p>
            <w:pPr>
              <w:pStyle w:val="TableParagraph"/>
              <w:spacing w:line="229" w:lineRule="exact"/>
              <w:ind w:left="146"/>
              <w:jc w:val="left"/>
              <w:rPr>
                <w:rFonts w:ascii="Calibri"/>
                <w:sz w:val="22"/>
              </w:rPr>
            </w:pPr>
            <w:r>
              <w:rPr>
                <w:rFonts w:ascii="Calibri"/>
                <w:sz w:val="22"/>
              </w:rPr>
              <w:t>Geo</w:t>
            </w:r>
          </w:p>
        </w:tc>
        <w:tc>
          <w:tcPr>
            <w:tcW w:w="848" w:type="dxa"/>
            <w:tcBorders>
              <w:left w:val="single" w:sz="8" w:space="0" w:color="000000"/>
              <w:bottom w:val="single" w:sz="8" w:space="0" w:color="000000"/>
            </w:tcBorders>
          </w:tcPr>
          <w:p>
            <w:pPr>
              <w:pStyle w:val="TableParagraph"/>
              <w:spacing w:line="229" w:lineRule="exact"/>
              <w:ind w:left="89" w:right="91"/>
              <w:rPr>
                <w:rFonts w:ascii="Calibri"/>
                <w:sz w:val="22"/>
              </w:rPr>
            </w:pPr>
            <w:r>
              <w:rPr>
                <w:rFonts w:ascii="Calibri"/>
                <w:sz w:val="22"/>
              </w:rPr>
              <w:t>Jupiter</w:t>
            </w:r>
          </w:p>
        </w:tc>
        <w:tc>
          <w:tcPr>
            <w:tcW w:w="845" w:type="dxa"/>
            <w:tcBorders>
              <w:bottom w:val="single" w:sz="8" w:space="0" w:color="000000"/>
            </w:tcBorders>
          </w:tcPr>
          <w:p>
            <w:pPr>
              <w:pStyle w:val="TableParagraph"/>
              <w:spacing w:line="229" w:lineRule="exact"/>
              <w:ind w:left="53" w:right="37"/>
              <w:rPr>
                <w:rFonts w:ascii="Calibri"/>
                <w:sz w:val="22"/>
              </w:rPr>
            </w:pPr>
            <w:r>
              <w:rPr>
                <w:rFonts w:ascii="Calibri"/>
                <w:sz w:val="22"/>
              </w:rPr>
              <w:t>Region</w:t>
            </w:r>
          </w:p>
        </w:tc>
        <w:tc>
          <w:tcPr>
            <w:tcW w:w="575" w:type="dxa"/>
            <w:tcBorders>
              <w:bottom w:val="single" w:sz="8" w:space="0" w:color="000000"/>
            </w:tcBorders>
          </w:tcPr>
          <w:p>
            <w:pPr>
              <w:pStyle w:val="TableParagraph"/>
              <w:spacing w:line="229" w:lineRule="exact"/>
              <w:ind w:right="94"/>
              <w:jc w:val="right"/>
              <w:rPr>
                <w:rFonts w:ascii="Calibri"/>
                <w:sz w:val="22"/>
              </w:rPr>
            </w:pPr>
            <w:r>
              <w:rPr>
                <w:rFonts w:ascii="Calibri"/>
                <w:sz w:val="22"/>
              </w:rPr>
              <w:t>Geo</w:t>
            </w:r>
          </w:p>
        </w:tc>
      </w:tr>
      <w:tr>
        <w:trPr>
          <w:trHeight w:val="287" w:hRule="atLeast"/>
        </w:trPr>
        <w:tc>
          <w:tcPr>
            <w:tcW w:w="1315" w:type="dxa"/>
            <w:tcBorders>
              <w:top w:val="single" w:sz="8" w:space="0" w:color="000000"/>
            </w:tcBorders>
          </w:tcPr>
          <w:p>
            <w:pPr>
              <w:pStyle w:val="TableParagraph"/>
              <w:spacing w:line="267" w:lineRule="exact"/>
              <w:ind w:left="69"/>
              <w:jc w:val="left"/>
              <w:rPr>
                <w:rFonts w:ascii="Calibri"/>
                <w:sz w:val="22"/>
              </w:rPr>
            </w:pPr>
            <w:r>
              <w:rPr>
                <w:rFonts w:ascii="Calibri"/>
                <w:sz w:val="22"/>
              </w:rPr>
              <w:t>ME tn</w:t>
            </w:r>
          </w:p>
        </w:tc>
        <w:tc>
          <w:tcPr>
            <w:tcW w:w="811" w:type="dxa"/>
            <w:tcBorders>
              <w:top w:val="single" w:sz="8" w:space="0" w:color="000000"/>
            </w:tcBorders>
          </w:tcPr>
          <w:p>
            <w:pPr>
              <w:pStyle w:val="TableParagraph"/>
              <w:spacing w:line="267" w:lineRule="exact"/>
              <w:ind w:left="60" w:right="94"/>
              <w:rPr>
                <w:rFonts w:ascii="Calibri"/>
                <w:sz w:val="22"/>
              </w:rPr>
            </w:pPr>
            <w:r>
              <w:rPr>
                <w:rFonts w:ascii="Calibri"/>
                <w:sz w:val="22"/>
              </w:rPr>
              <w:t>2.3</w:t>
            </w:r>
          </w:p>
        </w:tc>
        <w:tc>
          <w:tcPr>
            <w:tcW w:w="880" w:type="dxa"/>
            <w:tcBorders>
              <w:top w:val="single" w:sz="8" w:space="0" w:color="000000"/>
            </w:tcBorders>
          </w:tcPr>
          <w:p>
            <w:pPr>
              <w:pStyle w:val="TableParagraph"/>
              <w:spacing w:line="267" w:lineRule="exact"/>
              <w:ind w:left="99" w:right="119"/>
              <w:rPr>
                <w:rFonts w:ascii="Calibri"/>
                <w:sz w:val="22"/>
              </w:rPr>
            </w:pPr>
            <w:r>
              <w:rPr>
                <w:rFonts w:ascii="Calibri"/>
                <w:sz w:val="22"/>
              </w:rPr>
              <w:t>0.8</w:t>
            </w:r>
          </w:p>
        </w:tc>
        <w:tc>
          <w:tcPr>
            <w:tcW w:w="680" w:type="dxa"/>
            <w:tcBorders>
              <w:top w:val="single" w:sz="8" w:space="0" w:color="000000"/>
              <w:right w:val="single" w:sz="8" w:space="0" w:color="000000"/>
            </w:tcBorders>
          </w:tcPr>
          <w:p>
            <w:pPr>
              <w:pStyle w:val="TableParagraph"/>
              <w:spacing w:line="267" w:lineRule="exact"/>
              <w:ind w:left="186"/>
              <w:jc w:val="left"/>
              <w:rPr>
                <w:rFonts w:ascii="Calibri"/>
                <w:sz w:val="22"/>
              </w:rPr>
            </w:pPr>
            <w:r>
              <w:rPr>
                <w:rFonts w:ascii="Calibri"/>
                <w:sz w:val="22"/>
              </w:rPr>
              <w:t>4.6</w:t>
            </w:r>
          </w:p>
        </w:tc>
        <w:tc>
          <w:tcPr>
            <w:tcW w:w="848" w:type="dxa"/>
            <w:tcBorders>
              <w:top w:val="single" w:sz="8" w:space="0" w:color="000000"/>
              <w:left w:val="single" w:sz="8" w:space="0" w:color="000000"/>
            </w:tcBorders>
          </w:tcPr>
          <w:p>
            <w:pPr>
              <w:pStyle w:val="TableParagraph"/>
              <w:spacing w:line="267" w:lineRule="exact"/>
              <w:ind w:left="89" w:right="91"/>
              <w:rPr>
                <w:rFonts w:ascii="Calibri"/>
                <w:sz w:val="22"/>
              </w:rPr>
            </w:pPr>
            <w:r>
              <w:rPr>
                <w:rFonts w:ascii="Calibri"/>
                <w:sz w:val="22"/>
              </w:rPr>
              <w:t>1.9</w:t>
            </w:r>
          </w:p>
        </w:tc>
        <w:tc>
          <w:tcPr>
            <w:tcW w:w="879" w:type="dxa"/>
            <w:tcBorders>
              <w:top w:val="single" w:sz="8" w:space="0" w:color="000000"/>
            </w:tcBorders>
          </w:tcPr>
          <w:p>
            <w:pPr>
              <w:pStyle w:val="TableParagraph"/>
              <w:spacing w:line="267" w:lineRule="exact"/>
              <w:ind w:left="101" w:right="120"/>
              <w:rPr>
                <w:rFonts w:ascii="Calibri"/>
                <w:sz w:val="22"/>
              </w:rPr>
            </w:pPr>
            <w:r>
              <w:rPr>
                <w:rFonts w:ascii="Calibri"/>
                <w:sz w:val="22"/>
              </w:rPr>
              <w:t>0.4</w:t>
            </w:r>
          </w:p>
        </w:tc>
        <w:tc>
          <w:tcPr>
            <w:tcW w:w="681" w:type="dxa"/>
            <w:tcBorders>
              <w:top w:val="single" w:sz="8" w:space="0" w:color="000000"/>
              <w:right w:val="single" w:sz="8" w:space="0" w:color="000000"/>
            </w:tcBorders>
          </w:tcPr>
          <w:p>
            <w:pPr>
              <w:pStyle w:val="TableParagraph"/>
              <w:spacing w:line="267" w:lineRule="exact"/>
              <w:ind w:left="189"/>
              <w:jc w:val="left"/>
              <w:rPr>
                <w:rFonts w:ascii="Calibri"/>
                <w:sz w:val="22"/>
              </w:rPr>
            </w:pPr>
            <w:r>
              <w:rPr>
                <w:rFonts w:ascii="Calibri"/>
                <w:sz w:val="22"/>
              </w:rPr>
              <w:t>4.0</w:t>
            </w:r>
          </w:p>
        </w:tc>
        <w:tc>
          <w:tcPr>
            <w:tcW w:w="848" w:type="dxa"/>
            <w:tcBorders>
              <w:top w:val="single" w:sz="8" w:space="0" w:color="000000"/>
              <w:left w:val="single" w:sz="8" w:space="0" w:color="000000"/>
            </w:tcBorders>
          </w:tcPr>
          <w:p>
            <w:pPr>
              <w:pStyle w:val="TableParagraph"/>
              <w:spacing w:line="267" w:lineRule="exact"/>
              <w:ind w:left="89" w:right="89"/>
              <w:rPr>
                <w:rFonts w:ascii="Calibri"/>
                <w:sz w:val="22"/>
              </w:rPr>
            </w:pPr>
            <w:r>
              <w:rPr>
                <w:rFonts w:ascii="Calibri"/>
                <w:sz w:val="22"/>
              </w:rPr>
              <w:t>1.3</w:t>
            </w:r>
          </w:p>
        </w:tc>
        <w:tc>
          <w:tcPr>
            <w:tcW w:w="845" w:type="dxa"/>
            <w:tcBorders>
              <w:top w:val="single" w:sz="8" w:space="0" w:color="000000"/>
            </w:tcBorders>
          </w:tcPr>
          <w:p>
            <w:pPr>
              <w:pStyle w:val="TableParagraph"/>
              <w:spacing w:line="267" w:lineRule="exact"/>
              <w:ind w:left="53" w:right="38"/>
              <w:rPr>
                <w:rFonts w:ascii="Calibri"/>
                <w:sz w:val="22"/>
              </w:rPr>
            </w:pPr>
            <w:r>
              <w:rPr>
                <w:rFonts w:ascii="Calibri"/>
                <w:sz w:val="22"/>
              </w:rPr>
              <w:t>0.4</w:t>
            </w:r>
          </w:p>
        </w:tc>
        <w:tc>
          <w:tcPr>
            <w:tcW w:w="575" w:type="dxa"/>
            <w:tcBorders>
              <w:top w:val="single" w:sz="8" w:space="0" w:color="000000"/>
            </w:tcBorders>
          </w:tcPr>
          <w:p>
            <w:pPr>
              <w:pStyle w:val="TableParagraph"/>
              <w:spacing w:line="267" w:lineRule="exact"/>
              <w:ind w:right="136"/>
              <w:jc w:val="right"/>
              <w:rPr>
                <w:rFonts w:ascii="Calibri"/>
                <w:sz w:val="22"/>
              </w:rPr>
            </w:pPr>
            <w:r>
              <w:rPr>
                <w:rFonts w:ascii="Calibri"/>
                <w:sz w:val="22"/>
              </w:rPr>
              <w:t>3.7</w:t>
            </w:r>
          </w:p>
        </w:tc>
      </w:tr>
      <w:tr>
        <w:trPr>
          <w:trHeight w:val="249" w:hRule="atLeast"/>
        </w:trPr>
        <w:tc>
          <w:tcPr>
            <w:tcW w:w="1315" w:type="dxa"/>
          </w:tcPr>
          <w:p>
            <w:pPr>
              <w:pStyle w:val="TableParagraph"/>
              <w:spacing w:line="230" w:lineRule="exact"/>
              <w:ind w:left="69"/>
              <w:jc w:val="left"/>
              <w:rPr>
                <w:rFonts w:ascii="Calibri"/>
                <w:sz w:val="22"/>
              </w:rPr>
            </w:pPr>
            <w:r>
              <w:rPr>
                <w:rFonts w:ascii="Calibri"/>
                <w:sz w:val="22"/>
              </w:rPr>
              <w:t>MAE tn</w:t>
            </w:r>
          </w:p>
        </w:tc>
        <w:tc>
          <w:tcPr>
            <w:tcW w:w="811" w:type="dxa"/>
          </w:tcPr>
          <w:p>
            <w:pPr>
              <w:pStyle w:val="TableParagraph"/>
              <w:spacing w:line="230" w:lineRule="exact"/>
              <w:ind w:left="60" w:right="94"/>
              <w:rPr>
                <w:rFonts w:ascii="Calibri"/>
                <w:sz w:val="22"/>
              </w:rPr>
            </w:pPr>
            <w:r>
              <w:rPr>
                <w:rFonts w:ascii="Calibri"/>
                <w:sz w:val="22"/>
              </w:rPr>
              <w:t>3.7</w:t>
            </w:r>
          </w:p>
        </w:tc>
        <w:tc>
          <w:tcPr>
            <w:tcW w:w="880" w:type="dxa"/>
          </w:tcPr>
          <w:p>
            <w:pPr>
              <w:pStyle w:val="TableParagraph"/>
              <w:spacing w:line="230" w:lineRule="exact"/>
              <w:ind w:left="99" w:right="119"/>
              <w:rPr>
                <w:rFonts w:ascii="Calibri"/>
                <w:sz w:val="22"/>
              </w:rPr>
            </w:pPr>
            <w:r>
              <w:rPr>
                <w:rFonts w:ascii="Calibri"/>
                <w:sz w:val="22"/>
              </w:rPr>
              <w:t>3.1</w:t>
            </w:r>
          </w:p>
        </w:tc>
        <w:tc>
          <w:tcPr>
            <w:tcW w:w="680" w:type="dxa"/>
            <w:tcBorders>
              <w:right w:val="single" w:sz="8" w:space="0" w:color="000000"/>
            </w:tcBorders>
          </w:tcPr>
          <w:p>
            <w:pPr>
              <w:pStyle w:val="TableParagraph"/>
              <w:spacing w:line="230" w:lineRule="exact"/>
              <w:ind w:left="186"/>
              <w:jc w:val="left"/>
              <w:rPr>
                <w:rFonts w:ascii="Calibri"/>
                <w:sz w:val="22"/>
              </w:rPr>
            </w:pPr>
            <w:r>
              <w:rPr>
                <w:rFonts w:ascii="Calibri"/>
                <w:sz w:val="22"/>
              </w:rPr>
              <w:t>5.5</w:t>
            </w:r>
          </w:p>
        </w:tc>
        <w:tc>
          <w:tcPr>
            <w:tcW w:w="848" w:type="dxa"/>
            <w:tcBorders>
              <w:left w:val="single" w:sz="8" w:space="0" w:color="000000"/>
            </w:tcBorders>
          </w:tcPr>
          <w:p>
            <w:pPr>
              <w:pStyle w:val="TableParagraph"/>
              <w:spacing w:line="230" w:lineRule="exact"/>
              <w:ind w:left="89" w:right="91"/>
              <w:rPr>
                <w:rFonts w:ascii="Calibri"/>
                <w:sz w:val="22"/>
              </w:rPr>
            </w:pPr>
            <w:r>
              <w:rPr>
                <w:rFonts w:ascii="Calibri"/>
                <w:sz w:val="22"/>
              </w:rPr>
              <w:t>3.3</w:t>
            </w:r>
          </w:p>
        </w:tc>
        <w:tc>
          <w:tcPr>
            <w:tcW w:w="879" w:type="dxa"/>
          </w:tcPr>
          <w:p>
            <w:pPr>
              <w:pStyle w:val="TableParagraph"/>
              <w:spacing w:line="230" w:lineRule="exact"/>
              <w:ind w:right="20"/>
              <w:rPr>
                <w:rFonts w:ascii="Calibri"/>
                <w:sz w:val="22"/>
              </w:rPr>
            </w:pPr>
            <w:r>
              <w:rPr>
                <w:rFonts w:ascii="Calibri"/>
                <w:w w:val="100"/>
                <w:sz w:val="22"/>
              </w:rPr>
              <w:t>3</w:t>
            </w:r>
          </w:p>
        </w:tc>
        <w:tc>
          <w:tcPr>
            <w:tcW w:w="681" w:type="dxa"/>
            <w:tcBorders>
              <w:right w:val="single" w:sz="8" w:space="0" w:color="000000"/>
            </w:tcBorders>
          </w:tcPr>
          <w:p>
            <w:pPr>
              <w:pStyle w:val="TableParagraph"/>
              <w:spacing w:line="230" w:lineRule="exact"/>
              <w:ind w:left="189"/>
              <w:jc w:val="left"/>
              <w:rPr>
                <w:rFonts w:ascii="Calibri"/>
                <w:sz w:val="22"/>
              </w:rPr>
            </w:pPr>
            <w:r>
              <w:rPr>
                <w:rFonts w:ascii="Calibri"/>
                <w:sz w:val="22"/>
              </w:rPr>
              <w:t>4.9</w:t>
            </w:r>
          </w:p>
        </w:tc>
        <w:tc>
          <w:tcPr>
            <w:tcW w:w="848" w:type="dxa"/>
            <w:tcBorders>
              <w:left w:val="single" w:sz="8" w:space="0" w:color="000000"/>
            </w:tcBorders>
          </w:tcPr>
          <w:p>
            <w:pPr>
              <w:pStyle w:val="TableParagraph"/>
              <w:spacing w:line="230" w:lineRule="exact"/>
              <w:ind w:left="89" w:right="89"/>
              <w:rPr>
                <w:rFonts w:ascii="Calibri"/>
                <w:sz w:val="22"/>
              </w:rPr>
            </w:pPr>
            <w:r>
              <w:rPr>
                <w:rFonts w:ascii="Calibri"/>
                <w:sz w:val="22"/>
              </w:rPr>
              <w:t>2.9</w:t>
            </w:r>
          </w:p>
        </w:tc>
        <w:tc>
          <w:tcPr>
            <w:tcW w:w="845" w:type="dxa"/>
          </w:tcPr>
          <w:p>
            <w:pPr>
              <w:pStyle w:val="TableParagraph"/>
              <w:spacing w:line="230" w:lineRule="exact"/>
              <w:ind w:left="53" w:right="38"/>
              <w:rPr>
                <w:rFonts w:ascii="Calibri"/>
                <w:sz w:val="22"/>
              </w:rPr>
            </w:pPr>
            <w:r>
              <w:rPr>
                <w:rFonts w:ascii="Calibri"/>
                <w:sz w:val="22"/>
              </w:rPr>
              <w:t>3.9</w:t>
            </w:r>
          </w:p>
        </w:tc>
        <w:tc>
          <w:tcPr>
            <w:tcW w:w="575" w:type="dxa"/>
          </w:tcPr>
          <w:p>
            <w:pPr>
              <w:pStyle w:val="TableParagraph"/>
              <w:spacing w:line="230" w:lineRule="exact"/>
              <w:ind w:right="136"/>
              <w:jc w:val="right"/>
              <w:rPr>
                <w:rFonts w:ascii="Calibri"/>
                <w:sz w:val="22"/>
              </w:rPr>
            </w:pPr>
            <w:r>
              <w:rPr>
                <w:rFonts w:ascii="Calibri"/>
                <w:sz w:val="22"/>
              </w:rPr>
              <w:t>4.9</w:t>
            </w:r>
          </w:p>
        </w:tc>
      </w:tr>
      <w:tr>
        <w:trPr>
          <w:trHeight w:val="319" w:hRule="atLeast"/>
        </w:trPr>
        <w:tc>
          <w:tcPr>
            <w:tcW w:w="1315" w:type="dxa"/>
            <w:shd w:val="clear" w:color="auto" w:fill="D9D9D9"/>
          </w:tcPr>
          <w:p>
            <w:pPr>
              <w:pStyle w:val="TableParagraph"/>
              <w:spacing w:before="13"/>
              <w:ind w:left="69"/>
              <w:jc w:val="left"/>
              <w:rPr>
                <w:rFonts w:ascii="Calibri"/>
                <w:sz w:val="22"/>
              </w:rPr>
            </w:pPr>
            <w:r>
              <w:rPr>
                <w:rFonts w:ascii="Calibri"/>
                <w:position w:val="2"/>
                <w:sz w:val="22"/>
              </w:rPr>
              <w:t>ME</w:t>
            </w:r>
            <w:r>
              <w:rPr>
                <w:rFonts w:ascii="Calibri"/>
                <w:sz w:val="14"/>
              </w:rPr>
              <w:t>90Q </w:t>
            </w:r>
            <w:r>
              <w:rPr>
                <w:rFonts w:ascii="Calibri"/>
                <w:position w:val="2"/>
                <w:sz w:val="22"/>
              </w:rPr>
              <w:t>tn</w:t>
            </w:r>
          </w:p>
        </w:tc>
        <w:tc>
          <w:tcPr>
            <w:tcW w:w="811" w:type="dxa"/>
            <w:shd w:val="clear" w:color="auto" w:fill="D9D9D9"/>
          </w:tcPr>
          <w:p>
            <w:pPr>
              <w:pStyle w:val="TableParagraph"/>
              <w:spacing w:before="13"/>
              <w:ind w:left="60" w:right="94"/>
              <w:rPr>
                <w:rFonts w:ascii="Calibri"/>
                <w:sz w:val="22"/>
              </w:rPr>
            </w:pPr>
            <w:r>
              <w:rPr>
                <w:rFonts w:ascii="Calibri"/>
                <w:sz w:val="22"/>
              </w:rPr>
              <w:t>0.5</w:t>
            </w:r>
          </w:p>
        </w:tc>
        <w:tc>
          <w:tcPr>
            <w:tcW w:w="880" w:type="dxa"/>
            <w:shd w:val="clear" w:color="auto" w:fill="D9D9D9"/>
          </w:tcPr>
          <w:p>
            <w:pPr>
              <w:pStyle w:val="TableParagraph"/>
              <w:spacing w:before="13"/>
              <w:ind w:right="20"/>
              <w:rPr>
                <w:rFonts w:ascii="Calibri"/>
                <w:sz w:val="22"/>
              </w:rPr>
            </w:pPr>
            <w:r>
              <w:rPr>
                <w:rFonts w:ascii="Calibri"/>
                <w:w w:val="100"/>
                <w:sz w:val="22"/>
              </w:rPr>
              <w:t>0</w:t>
            </w:r>
          </w:p>
        </w:tc>
        <w:tc>
          <w:tcPr>
            <w:tcW w:w="680" w:type="dxa"/>
            <w:tcBorders>
              <w:right w:val="single" w:sz="8" w:space="0" w:color="000000"/>
            </w:tcBorders>
            <w:shd w:val="clear" w:color="auto" w:fill="D9D9D9"/>
          </w:tcPr>
          <w:p>
            <w:pPr>
              <w:pStyle w:val="TableParagraph"/>
              <w:spacing w:before="13"/>
              <w:ind w:left="186"/>
              <w:jc w:val="left"/>
              <w:rPr>
                <w:rFonts w:ascii="Calibri"/>
                <w:sz w:val="22"/>
              </w:rPr>
            </w:pPr>
            <w:r>
              <w:rPr>
                <w:rFonts w:ascii="Calibri"/>
                <w:sz w:val="22"/>
              </w:rPr>
              <w:t>2.5</w:t>
            </w:r>
          </w:p>
        </w:tc>
        <w:tc>
          <w:tcPr>
            <w:tcW w:w="848" w:type="dxa"/>
            <w:tcBorders>
              <w:left w:val="single" w:sz="8" w:space="0" w:color="000000"/>
            </w:tcBorders>
            <w:shd w:val="clear" w:color="auto" w:fill="D9D9D9"/>
          </w:tcPr>
          <w:p>
            <w:pPr>
              <w:pStyle w:val="TableParagraph"/>
              <w:spacing w:before="13"/>
              <w:ind w:left="89" w:right="91"/>
              <w:rPr>
                <w:rFonts w:ascii="Calibri"/>
                <w:sz w:val="22"/>
              </w:rPr>
            </w:pPr>
            <w:r>
              <w:rPr>
                <w:rFonts w:ascii="Calibri"/>
                <w:sz w:val="22"/>
              </w:rPr>
              <w:t>0.3</w:t>
            </w:r>
          </w:p>
        </w:tc>
        <w:tc>
          <w:tcPr>
            <w:tcW w:w="879" w:type="dxa"/>
            <w:shd w:val="clear" w:color="auto" w:fill="D9D9D9"/>
          </w:tcPr>
          <w:p>
            <w:pPr>
              <w:pStyle w:val="TableParagraph"/>
              <w:spacing w:before="13"/>
              <w:ind w:left="101" w:right="120"/>
              <w:rPr>
                <w:rFonts w:ascii="Calibri"/>
                <w:sz w:val="22"/>
              </w:rPr>
            </w:pPr>
            <w:r>
              <w:rPr>
                <w:rFonts w:ascii="Calibri"/>
                <w:sz w:val="22"/>
              </w:rPr>
              <w:t>-0.2</w:t>
            </w:r>
          </w:p>
        </w:tc>
        <w:tc>
          <w:tcPr>
            <w:tcW w:w="681" w:type="dxa"/>
            <w:tcBorders>
              <w:right w:val="single" w:sz="8" w:space="0" w:color="000000"/>
            </w:tcBorders>
            <w:shd w:val="clear" w:color="auto" w:fill="D9D9D9"/>
          </w:tcPr>
          <w:p>
            <w:pPr>
              <w:pStyle w:val="TableParagraph"/>
              <w:spacing w:before="13"/>
              <w:ind w:left="189"/>
              <w:jc w:val="left"/>
              <w:rPr>
                <w:rFonts w:ascii="Calibri"/>
                <w:sz w:val="22"/>
              </w:rPr>
            </w:pPr>
            <w:r>
              <w:rPr>
                <w:rFonts w:ascii="Calibri"/>
                <w:sz w:val="22"/>
              </w:rPr>
              <w:t>2.0</w:t>
            </w:r>
          </w:p>
        </w:tc>
        <w:tc>
          <w:tcPr>
            <w:tcW w:w="848" w:type="dxa"/>
            <w:tcBorders>
              <w:left w:val="single" w:sz="8" w:space="0" w:color="000000"/>
            </w:tcBorders>
            <w:shd w:val="clear" w:color="auto" w:fill="D9D9D9"/>
          </w:tcPr>
          <w:p>
            <w:pPr>
              <w:pStyle w:val="TableParagraph"/>
              <w:spacing w:before="13"/>
              <w:ind w:left="89" w:right="89"/>
              <w:rPr>
                <w:rFonts w:ascii="Calibri"/>
                <w:sz w:val="22"/>
              </w:rPr>
            </w:pPr>
            <w:r>
              <w:rPr>
                <w:rFonts w:ascii="Calibri"/>
                <w:sz w:val="22"/>
              </w:rPr>
              <w:t>0.1</w:t>
            </w:r>
          </w:p>
        </w:tc>
        <w:tc>
          <w:tcPr>
            <w:tcW w:w="845" w:type="dxa"/>
            <w:shd w:val="clear" w:color="auto" w:fill="D9D9D9"/>
          </w:tcPr>
          <w:p>
            <w:pPr>
              <w:pStyle w:val="TableParagraph"/>
              <w:spacing w:before="13"/>
              <w:ind w:left="53" w:right="38"/>
              <w:rPr>
                <w:rFonts w:ascii="Calibri"/>
                <w:sz w:val="22"/>
              </w:rPr>
            </w:pPr>
            <w:r>
              <w:rPr>
                <w:rFonts w:ascii="Calibri"/>
                <w:sz w:val="22"/>
              </w:rPr>
              <w:t>0.1</w:t>
            </w:r>
          </w:p>
        </w:tc>
        <w:tc>
          <w:tcPr>
            <w:tcW w:w="575" w:type="dxa"/>
            <w:shd w:val="clear" w:color="auto" w:fill="D9D9D9"/>
          </w:tcPr>
          <w:p>
            <w:pPr>
              <w:pStyle w:val="TableParagraph"/>
              <w:spacing w:before="13"/>
              <w:ind w:right="136"/>
              <w:jc w:val="right"/>
              <w:rPr>
                <w:rFonts w:ascii="Calibri"/>
                <w:sz w:val="22"/>
              </w:rPr>
            </w:pPr>
            <w:r>
              <w:rPr>
                <w:rFonts w:ascii="Calibri"/>
                <w:sz w:val="22"/>
              </w:rPr>
              <w:t>2.0</w:t>
            </w:r>
          </w:p>
        </w:tc>
      </w:tr>
      <w:tr>
        <w:trPr>
          <w:trHeight w:val="283" w:hRule="atLeast"/>
        </w:trPr>
        <w:tc>
          <w:tcPr>
            <w:tcW w:w="1315" w:type="dxa"/>
            <w:shd w:val="clear" w:color="auto" w:fill="D9D9D9"/>
          </w:tcPr>
          <w:p>
            <w:pPr>
              <w:pStyle w:val="TableParagraph"/>
              <w:spacing w:line="263" w:lineRule="exact"/>
              <w:ind w:left="69"/>
              <w:jc w:val="left"/>
              <w:rPr>
                <w:rFonts w:ascii="Calibri"/>
                <w:sz w:val="22"/>
              </w:rPr>
            </w:pPr>
            <w:r>
              <w:rPr>
                <w:rFonts w:ascii="Calibri"/>
                <w:position w:val="2"/>
                <w:sz w:val="22"/>
              </w:rPr>
              <w:t>MAE</w:t>
            </w:r>
            <w:r>
              <w:rPr>
                <w:rFonts w:ascii="Calibri"/>
                <w:sz w:val="14"/>
              </w:rPr>
              <w:t>90Q </w:t>
            </w:r>
            <w:r>
              <w:rPr>
                <w:rFonts w:ascii="Calibri"/>
                <w:position w:val="2"/>
                <w:sz w:val="22"/>
              </w:rPr>
              <w:t>tn</w:t>
            </w:r>
          </w:p>
        </w:tc>
        <w:tc>
          <w:tcPr>
            <w:tcW w:w="811" w:type="dxa"/>
            <w:shd w:val="clear" w:color="auto" w:fill="D9D9D9"/>
          </w:tcPr>
          <w:p>
            <w:pPr>
              <w:pStyle w:val="TableParagraph"/>
              <w:spacing w:line="263" w:lineRule="exact"/>
              <w:ind w:right="34"/>
              <w:rPr>
                <w:rFonts w:ascii="Calibri"/>
                <w:sz w:val="22"/>
              </w:rPr>
            </w:pPr>
            <w:r>
              <w:rPr>
                <w:rFonts w:ascii="Calibri"/>
                <w:w w:val="100"/>
                <w:sz w:val="22"/>
              </w:rPr>
              <w:t>2</w:t>
            </w:r>
          </w:p>
        </w:tc>
        <w:tc>
          <w:tcPr>
            <w:tcW w:w="880" w:type="dxa"/>
            <w:shd w:val="clear" w:color="auto" w:fill="D9D9D9"/>
          </w:tcPr>
          <w:p>
            <w:pPr>
              <w:pStyle w:val="TableParagraph"/>
              <w:spacing w:line="263" w:lineRule="exact"/>
              <w:ind w:left="99" w:right="119"/>
              <w:rPr>
                <w:rFonts w:ascii="Calibri"/>
                <w:sz w:val="22"/>
              </w:rPr>
            </w:pPr>
            <w:r>
              <w:rPr>
                <w:rFonts w:ascii="Calibri"/>
                <w:sz w:val="22"/>
              </w:rPr>
              <w:t>1.4</w:t>
            </w:r>
          </w:p>
        </w:tc>
        <w:tc>
          <w:tcPr>
            <w:tcW w:w="680" w:type="dxa"/>
            <w:tcBorders>
              <w:right w:val="single" w:sz="8" w:space="0" w:color="000000"/>
            </w:tcBorders>
            <w:shd w:val="clear" w:color="auto" w:fill="D9D9D9"/>
          </w:tcPr>
          <w:p>
            <w:pPr>
              <w:pStyle w:val="TableParagraph"/>
              <w:spacing w:line="263" w:lineRule="exact"/>
              <w:ind w:left="186"/>
              <w:jc w:val="left"/>
              <w:rPr>
                <w:rFonts w:ascii="Calibri"/>
                <w:sz w:val="22"/>
              </w:rPr>
            </w:pPr>
            <w:r>
              <w:rPr>
                <w:rFonts w:ascii="Calibri"/>
                <w:sz w:val="22"/>
              </w:rPr>
              <w:t>3.5</w:t>
            </w:r>
          </w:p>
        </w:tc>
        <w:tc>
          <w:tcPr>
            <w:tcW w:w="848" w:type="dxa"/>
            <w:tcBorders>
              <w:left w:val="single" w:sz="8" w:space="0" w:color="000000"/>
            </w:tcBorders>
            <w:shd w:val="clear" w:color="auto" w:fill="D9D9D9"/>
          </w:tcPr>
          <w:p>
            <w:pPr>
              <w:pStyle w:val="TableParagraph"/>
              <w:spacing w:line="263" w:lineRule="exact"/>
              <w:ind w:left="89" w:right="91"/>
              <w:rPr>
                <w:rFonts w:ascii="Calibri"/>
                <w:sz w:val="22"/>
              </w:rPr>
            </w:pPr>
            <w:r>
              <w:rPr>
                <w:rFonts w:ascii="Calibri"/>
                <w:sz w:val="22"/>
              </w:rPr>
              <w:t>1.9</w:t>
            </w:r>
          </w:p>
        </w:tc>
        <w:tc>
          <w:tcPr>
            <w:tcW w:w="879" w:type="dxa"/>
            <w:shd w:val="clear" w:color="auto" w:fill="D9D9D9"/>
          </w:tcPr>
          <w:p>
            <w:pPr>
              <w:pStyle w:val="TableParagraph"/>
              <w:spacing w:line="263" w:lineRule="exact"/>
              <w:ind w:left="101" w:right="120"/>
              <w:rPr>
                <w:rFonts w:ascii="Calibri"/>
                <w:sz w:val="22"/>
              </w:rPr>
            </w:pPr>
            <w:r>
              <w:rPr>
                <w:rFonts w:ascii="Calibri"/>
                <w:sz w:val="22"/>
              </w:rPr>
              <w:t>1.4</w:t>
            </w:r>
          </w:p>
        </w:tc>
        <w:tc>
          <w:tcPr>
            <w:tcW w:w="681" w:type="dxa"/>
            <w:tcBorders>
              <w:right w:val="single" w:sz="8" w:space="0" w:color="000000"/>
            </w:tcBorders>
            <w:shd w:val="clear" w:color="auto" w:fill="D9D9D9"/>
          </w:tcPr>
          <w:p>
            <w:pPr>
              <w:pStyle w:val="TableParagraph"/>
              <w:spacing w:line="263" w:lineRule="exact"/>
              <w:ind w:left="189"/>
              <w:jc w:val="left"/>
              <w:rPr>
                <w:rFonts w:ascii="Calibri"/>
                <w:sz w:val="22"/>
              </w:rPr>
            </w:pPr>
            <w:r>
              <w:rPr>
                <w:rFonts w:ascii="Calibri"/>
                <w:sz w:val="22"/>
              </w:rPr>
              <w:t>3.0</w:t>
            </w:r>
          </w:p>
        </w:tc>
        <w:tc>
          <w:tcPr>
            <w:tcW w:w="848" w:type="dxa"/>
            <w:tcBorders>
              <w:left w:val="single" w:sz="8" w:space="0" w:color="000000"/>
            </w:tcBorders>
            <w:shd w:val="clear" w:color="auto" w:fill="D9D9D9"/>
          </w:tcPr>
          <w:p>
            <w:pPr>
              <w:pStyle w:val="TableParagraph"/>
              <w:spacing w:line="263" w:lineRule="exact"/>
              <w:ind w:left="89" w:right="89"/>
              <w:rPr>
                <w:rFonts w:ascii="Calibri"/>
                <w:sz w:val="22"/>
              </w:rPr>
            </w:pPr>
            <w:r>
              <w:rPr>
                <w:rFonts w:ascii="Calibri"/>
                <w:sz w:val="22"/>
              </w:rPr>
              <w:t>1.9</w:t>
            </w:r>
          </w:p>
        </w:tc>
        <w:tc>
          <w:tcPr>
            <w:tcW w:w="845" w:type="dxa"/>
            <w:shd w:val="clear" w:color="auto" w:fill="D9D9D9"/>
          </w:tcPr>
          <w:p>
            <w:pPr>
              <w:pStyle w:val="TableParagraph"/>
              <w:spacing w:line="263" w:lineRule="exact"/>
              <w:ind w:left="53" w:right="38"/>
              <w:rPr>
                <w:rFonts w:ascii="Calibri"/>
                <w:sz w:val="22"/>
              </w:rPr>
            </w:pPr>
            <w:r>
              <w:rPr>
                <w:rFonts w:ascii="Calibri"/>
                <w:sz w:val="22"/>
              </w:rPr>
              <w:t>1.9</w:t>
            </w:r>
          </w:p>
        </w:tc>
        <w:tc>
          <w:tcPr>
            <w:tcW w:w="575" w:type="dxa"/>
            <w:shd w:val="clear" w:color="auto" w:fill="D9D9D9"/>
          </w:tcPr>
          <w:p>
            <w:pPr>
              <w:pStyle w:val="TableParagraph"/>
              <w:spacing w:line="263" w:lineRule="exact"/>
              <w:ind w:right="136"/>
              <w:jc w:val="right"/>
              <w:rPr>
                <w:rFonts w:ascii="Calibri"/>
                <w:sz w:val="22"/>
              </w:rPr>
            </w:pPr>
            <w:r>
              <w:rPr>
                <w:rFonts w:ascii="Calibri"/>
                <w:sz w:val="22"/>
              </w:rPr>
              <w:t>3.4</w:t>
            </w:r>
          </w:p>
        </w:tc>
      </w:tr>
    </w:tbl>
    <w:p>
      <w:pPr>
        <w:pStyle w:val="BodyText"/>
        <w:rPr>
          <w:rFonts w:ascii="Calibri"/>
          <w:i/>
          <w:sz w:val="18"/>
        </w:rPr>
      </w:pPr>
    </w:p>
    <w:p>
      <w:pPr>
        <w:spacing w:before="0"/>
        <w:ind w:left="525" w:right="930" w:firstLine="0"/>
        <w:jc w:val="both"/>
        <w:rPr>
          <w:rFonts w:ascii="Calibri" w:hAnsi="Calibri"/>
          <w:i/>
          <w:sz w:val="18"/>
        </w:rPr>
      </w:pPr>
      <w:r>
        <w:rPr>
          <w:rFonts w:ascii="Calibri" w:hAnsi="Calibri"/>
          <w:i/>
          <w:color w:val="44536A"/>
          <w:sz w:val="18"/>
        </w:rPr>
        <w:t>Tabel 31 Performance statistik for simuleret trykniveau på modelgrid niveau for alle tre kalibreringer (2009-2015). </w:t>
      </w:r>
      <w:r>
        <w:rPr>
          <w:rFonts w:ascii="Calibri" w:hAnsi="Calibri"/>
          <w:i/>
          <w:color w:val="44536A"/>
          <w:sz w:val="18"/>
        </w:rPr>
        <w:t>Jupiter, Region og GEO indikerer separat statistik for hhv. data fra Jupiter, Regionernes og GEO a/s databaser. Alle størrelser er i [m]. Middelfejl er angivet som obs –</w:t>
      </w:r>
      <w:r>
        <w:rPr>
          <w:rFonts w:ascii="Calibri" w:hAnsi="Calibri"/>
          <w:i/>
          <w:color w:val="44536A"/>
          <w:spacing w:val="-6"/>
          <w:sz w:val="18"/>
        </w:rPr>
        <w:t> </w:t>
      </w:r>
      <w:r>
        <w:rPr>
          <w:rFonts w:ascii="Calibri" w:hAnsi="Calibri"/>
          <w:i/>
          <w:color w:val="44536A"/>
          <w:sz w:val="18"/>
        </w:rPr>
        <w:t>sim.</w:t>
      </w:r>
    </w:p>
    <w:p>
      <w:pPr>
        <w:pStyle w:val="BodyText"/>
        <w:spacing w:before="3"/>
        <w:rPr>
          <w:rFonts w:ascii="Calibri"/>
          <w:i/>
          <w:sz w:val="16"/>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82"/>
        <w:gridCol w:w="845"/>
        <w:gridCol w:w="880"/>
        <w:gridCol w:w="680"/>
        <w:gridCol w:w="848"/>
        <w:gridCol w:w="879"/>
        <w:gridCol w:w="681"/>
        <w:gridCol w:w="848"/>
        <w:gridCol w:w="845"/>
        <w:gridCol w:w="575"/>
      </w:tblGrid>
      <w:tr>
        <w:trPr>
          <w:trHeight w:val="288" w:hRule="atLeast"/>
        </w:trPr>
        <w:tc>
          <w:tcPr>
            <w:tcW w:w="1282" w:type="dxa"/>
          </w:tcPr>
          <w:p>
            <w:pPr>
              <w:pStyle w:val="TableParagraph"/>
              <w:spacing w:line="268" w:lineRule="exact"/>
              <w:ind w:left="69"/>
              <w:jc w:val="left"/>
              <w:rPr>
                <w:rFonts w:ascii="Calibri"/>
                <w:b/>
                <w:sz w:val="22"/>
              </w:rPr>
            </w:pPr>
            <w:r>
              <w:rPr>
                <w:rFonts w:ascii="Calibri"/>
                <w:b/>
                <w:sz w:val="22"/>
              </w:rPr>
              <w:t>Validering</w:t>
            </w:r>
          </w:p>
        </w:tc>
        <w:tc>
          <w:tcPr>
            <w:tcW w:w="2405" w:type="dxa"/>
            <w:gridSpan w:val="3"/>
            <w:tcBorders>
              <w:right w:val="single" w:sz="8" w:space="0" w:color="000000"/>
            </w:tcBorders>
          </w:tcPr>
          <w:p>
            <w:pPr>
              <w:pStyle w:val="TableParagraph"/>
              <w:spacing w:line="268" w:lineRule="exact"/>
              <w:ind w:left="508"/>
              <w:jc w:val="left"/>
              <w:rPr>
                <w:rFonts w:ascii="Calibri"/>
                <w:b/>
                <w:sz w:val="22"/>
              </w:rPr>
            </w:pPr>
            <w:r>
              <w:rPr>
                <w:rFonts w:ascii="Calibri"/>
                <w:b/>
                <w:sz w:val="22"/>
              </w:rPr>
              <w:t>100m_Jup+Reg</w:t>
            </w:r>
          </w:p>
        </w:tc>
        <w:tc>
          <w:tcPr>
            <w:tcW w:w="1727" w:type="dxa"/>
            <w:gridSpan w:val="2"/>
            <w:tcBorders>
              <w:left w:val="single" w:sz="8" w:space="0" w:color="000000"/>
            </w:tcBorders>
          </w:tcPr>
          <w:p>
            <w:pPr>
              <w:pStyle w:val="TableParagraph"/>
              <w:spacing w:line="268" w:lineRule="exact"/>
              <w:ind w:left="729"/>
              <w:jc w:val="left"/>
              <w:rPr>
                <w:rFonts w:ascii="Calibri"/>
                <w:b/>
                <w:sz w:val="22"/>
              </w:rPr>
            </w:pPr>
            <w:r>
              <w:rPr>
                <w:rFonts w:ascii="Calibri"/>
                <w:b/>
                <w:sz w:val="22"/>
              </w:rPr>
              <w:t>100m_Jup</w:t>
            </w:r>
          </w:p>
        </w:tc>
        <w:tc>
          <w:tcPr>
            <w:tcW w:w="681" w:type="dxa"/>
            <w:tcBorders>
              <w:right w:val="single" w:sz="8" w:space="0" w:color="000000"/>
            </w:tcBorders>
          </w:tcPr>
          <w:p>
            <w:pPr>
              <w:pStyle w:val="TableParagraph"/>
              <w:jc w:val="left"/>
              <w:rPr>
                <w:rFonts w:ascii="Times New Roman"/>
                <w:sz w:val="18"/>
              </w:rPr>
            </w:pPr>
          </w:p>
        </w:tc>
        <w:tc>
          <w:tcPr>
            <w:tcW w:w="2268" w:type="dxa"/>
            <w:gridSpan w:val="3"/>
            <w:tcBorders>
              <w:left w:val="single" w:sz="8" w:space="0" w:color="000000"/>
            </w:tcBorders>
          </w:tcPr>
          <w:p>
            <w:pPr>
              <w:pStyle w:val="TableParagraph"/>
              <w:spacing w:line="268" w:lineRule="exact"/>
              <w:ind w:left="435"/>
              <w:jc w:val="left"/>
              <w:rPr>
                <w:rFonts w:ascii="Calibri"/>
                <w:b/>
                <w:sz w:val="22"/>
              </w:rPr>
            </w:pPr>
            <w:r>
              <w:rPr>
                <w:rFonts w:ascii="Calibri"/>
                <w:b/>
                <w:sz w:val="22"/>
              </w:rPr>
              <w:t>500m_Jup+Reg</w:t>
            </w:r>
          </w:p>
        </w:tc>
      </w:tr>
      <w:tr>
        <w:trPr>
          <w:trHeight w:val="249" w:hRule="atLeast"/>
        </w:trPr>
        <w:tc>
          <w:tcPr>
            <w:tcW w:w="1282" w:type="dxa"/>
            <w:tcBorders>
              <w:bottom w:val="single" w:sz="8" w:space="0" w:color="000000"/>
            </w:tcBorders>
          </w:tcPr>
          <w:p>
            <w:pPr>
              <w:pStyle w:val="TableParagraph"/>
              <w:jc w:val="left"/>
              <w:rPr>
                <w:rFonts w:ascii="Times New Roman"/>
                <w:sz w:val="18"/>
              </w:rPr>
            </w:pPr>
          </w:p>
        </w:tc>
        <w:tc>
          <w:tcPr>
            <w:tcW w:w="845" w:type="dxa"/>
            <w:tcBorders>
              <w:bottom w:val="single" w:sz="8" w:space="0" w:color="000000"/>
            </w:tcBorders>
          </w:tcPr>
          <w:p>
            <w:pPr>
              <w:pStyle w:val="TableParagraph"/>
              <w:spacing w:line="230" w:lineRule="exact"/>
              <w:ind w:left="53" w:right="59"/>
              <w:rPr>
                <w:rFonts w:ascii="Calibri"/>
                <w:sz w:val="22"/>
              </w:rPr>
            </w:pPr>
            <w:r>
              <w:rPr>
                <w:rFonts w:ascii="Calibri"/>
                <w:sz w:val="22"/>
              </w:rPr>
              <w:t>Jupiter</w:t>
            </w:r>
          </w:p>
        </w:tc>
        <w:tc>
          <w:tcPr>
            <w:tcW w:w="880" w:type="dxa"/>
            <w:tcBorders>
              <w:bottom w:val="single" w:sz="8" w:space="0" w:color="000000"/>
            </w:tcBorders>
          </w:tcPr>
          <w:p>
            <w:pPr>
              <w:pStyle w:val="TableParagraph"/>
              <w:spacing w:line="230" w:lineRule="exact"/>
              <w:ind w:left="99" w:right="120"/>
              <w:rPr>
                <w:rFonts w:ascii="Calibri"/>
                <w:sz w:val="22"/>
              </w:rPr>
            </w:pPr>
            <w:r>
              <w:rPr>
                <w:rFonts w:ascii="Calibri"/>
                <w:sz w:val="22"/>
              </w:rPr>
              <w:t>Region</w:t>
            </w:r>
          </w:p>
        </w:tc>
        <w:tc>
          <w:tcPr>
            <w:tcW w:w="680" w:type="dxa"/>
            <w:tcBorders>
              <w:bottom w:val="single" w:sz="8" w:space="0" w:color="000000"/>
              <w:right w:val="single" w:sz="8" w:space="0" w:color="000000"/>
            </w:tcBorders>
          </w:tcPr>
          <w:p>
            <w:pPr>
              <w:pStyle w:val="TableParagraph"/>
              <w:spacing w:line="230" w:lineRule="exact"/>
              <w:ind w:left="142"/>
              <w:jc w:val="left"/>
              <w:rPr>
                <w:rFonts w:ascii="Calibri"/>
                <w:sz w:val="22"/>
              </w:rPr>
            </w:pPr>
            <w:r>
              <w:rPr>
                <w:rFonts w:ascii="Calibri"/>
                <w:sz w:val="22"/>
              </w:rPr>
              <w:t>Geo</w:t>
            </w:r>
          </w:p>
        </w:tc>
        <w:tc>
          <w:tcPr>
            <w:tcW w:w="848" w:type="dxa"/>
            <w:tcBorders>
              <w:left w:val="single" w:sz="8" w:space="0" w:color="000000"/>
              <w:bottom w:val="single" w:sz="8" w:space="0" w:color="000000"/>
            </w:tcBorders>
          </w:tcPr>
          <w:p>
            <w:pPr>
              <w:pStyle w:val="TableParagraph"/>
              <w:spacing w:line="230" w:lineRule="exact"/>
              <w:ind w:left="86" w:right="94"/>
              <w:rPr>
                <w:rFonts w:ascii="Calibri"/>
                <w:sz w:val="22"/>
              </w:rPr>
            </w:pPr>
            <w:r>
              <w:rPr>
                <w:rFonts w:ascii="Calibri"/>
                <w:sz w:val="22"/>
              </w:rPr>
              <w:t>Jupiter</w:t>
            </w:r>
          </w:p>
        </w:tc>
        <w:tc>
          <w:tcPr>
            <w:tcW w:w="879" w:type="dxa"/>
            <w:tcBorders>
              <w:bottom w:val="single" w:sz="8" w:space="0" w:color="000000"/>
            </w:tcBorders>
          </w:tcPr>
          <w:p>
            <w:pPr>
              <w:pStyle w:val="TableParagraph"/>
              <w:spacing w:line="230" w:lineRule="exact"/>
              <w:ind w:left="100" w:right="121"/>
              <w:rPr>
                <w:rFonts w:ascii="Calibri"/>
                <w:sz w:val="22"/>
              </w:rPr>
            </w:pPr>
            <w:r>
              <w:rPr>
                <w:rFonts w:ascii="Calibri"/>
                <w:sz w:val="22"/>
              </w:rPr>
              <w:t>Region</w:t>
            </w:r>
          </w:p>
        </w:tc>
        <w:tc>
          <w:tcPr>
            <w:tcW w:w="681" w:type="dxa"/>
            <w:tcBorders>
              <w:bottom w:val="single" w:sz="8" w:space="0" w:color="000000"/>
              <w:right w:val="single" w:sz="8" w:space="0" w:color="000000"/>
            </w:tcBorders>
          </w:tcPr>
          <w:p>
            <w:pPr>
              <w:pStyle w:val="TableParagraph"/>
              <w:spacing w:line="230" w:lineRule="exact"/>
              <w:ind w:left="145"/>
              <w:jc w:val="left"/>
              <w:rPr>
                <w:rFonts w:ascii="Calibri"/>
                <w:sz w:val="22"/>
              </w:rPr>
            </w:pPr>
            <w:r>
              <w:rPr>
                <w:rFonts w:ascii="Calibri"/>
                <w:sz w:val="22"/>
              </w:rPr>
              <w:t>Geo</w:t>
            </w:r>
          </w:p>
        </w:tc>
        <w:tc>
          <w:tcPr>
            <w:tcW w:w="848" w:type="dxa"/>
            <w:tcBorders>
              <w:left w:val="single" w:sz="8" w:space="0" w:color="000000"/>
              <w:bottom w:val="single" w:sz="8" w:space="0" w:color="000000"/>
            </w:tcBorders>
          </w:tcPr>
          <w:p>
            <w:pPr>
              <w:pStyle w:val="TableParagraph"/>
              <w:spacing w:line="230" w:lineRule="exact"/>
              <w:ind w:left="89" w:right="93"/>
              <w:rPr>
                <w:rFonts w:ascii="Calibri"/>
                <w:sz w:val="22"/>
              </w:rPr>
            </w:pPr>
            <w:r>
              <w:rPr>
                <w:rFonts w:ascii="Calibri"/>
                <w:sz w:val="22"/>
              </w:rPr>
              <w:t>Jupiter</w:t>
            </w:r>
          </w:p>
        </w:tc>
        <w:tc>
          <w:tcPr>
            <w:tcW w:w="845" w:type="dxa"/>
            <w:tcBorders>
              <w:bottom w:val="single" w:sz="8" w:space="0" w:color="000000"/>
            </w:tcBorders>
          </w:tcPr>
          <w:p>
            <w:pPr>
              <w:pStyle w:val="TableParagraph"/>
              <w:spacing w:line="230" w:lineRule="exact"/>
              <w:ind w:left="53" w:right="39"/>
              <w:rPr>
                <w:rFonts w:ascii="Calibri"/>
                <w:sz w:val="22"/>
              </w:rPr>
            </w:pPr>
            <w:r>
              <w:rPr>
                <w:rFonts w:ascii="Calibri"/>
                <w:sz w:val="22"/>
              </w:rPr>
              <w:t>Region</w:t>
            </w:r>
          </w:p>
        </w:tc>
        <w:tc>
          <w:tcPr>
            <w:tcW w:w="575" w:type="dxa"/>
            <w:tcBorders>
              <w:bottom w:val="single" w:sz="8" w:space="0" w:color="000000"/>
            </w:tcBorders>
          </w:tcPr>
          <w:p>
            <w:pPr>
              <w:pStyle w:val="TableParagraph"/>
              <w:spacing w:line="230" w:lineRule="exact"/>
              <w:ind w:right="95"/>
              <w:jc w:val="right"/>
              <w:rPr>
                <w:rFonts w:ascii="Calibri"/>
                <w:sz w:val="22"/>
              </w:rPr>
            </w:pPr>
            <w:r>
              <w:rPr>
                <w:rFonts w:ascii="Calibri"/>
                <w:sz w:val="22"/>
              </w:rPr>
              <w:t>Geo</w:t>
            </w:r>
          </w:p>
        </w:tc>
      </w:tr>
      <w:tr>
        <w:trPr>
          <w:trHeight w:val="287" w:hRule="atLeast"/>
        </w:trPr>
        <w:tc>
          <w:tcPr>
            <w:tcW w:w="1282" w:type="dxa"/>
            <w:tcBorders>
              <w:top w:val="single" w:sz="8" w:space="0" w:color="000000"/>
            </w:tcBorders>
          </w:tcPr>
          <w:p>
            <w:pPr>
              <w:pStyle w:val="TableParagraph"/>
              <w:spacing w:line="267" w:lineRule="exact"/>
              <w:ind w:left="69"/>
              <w:jc w:val="left"/>
              <w:rPr>
                <w:rFonts w:ascii="Calibri"/>
                <w:sz w:val="22"/>
              </w:rPr>
            </w:pPr>
            <w:r>
              <w:rPr>
                <w:rFonts w:ascii="Calibri"/>
                <w:sz w:val="22"/>
              </w:rPr>
              <w:t>ME tn</w:t>
            </w:r>
          </w:p>
        </w:tc>
        <w:tc>
          <w:tcPr>
            <w:tcW w:w="845" w:type="dxa"/>
            <w:tcBorders>
              <w:top w:val="single" w:sz="8" w:space="0" w:color="000000"/>
            </w:tcBorders>
          </w:tcPr>
          <w:p>
            <w:pPr>
              <w:pStyle w:val="TableParagraph"/>
              <w:spacing w:line="267" w:lineRule="exact"/>
              <w:ind w:left="53" w:right="55"/>
              <w:rPr>
                <w:rFonts w:ascii="Calibri"/>
                <w:sz w:val="22"/>
              </w:rPr>
            </w:pPr>
            <w:r>
              <w:rPr>
                <w:rFonts w:ascii="Calibri"/>
                <w:sz w:val="22"/>
              </w:rPr>
              <w:t>1.6</w:t>
            </w:r>
          </w:p>
        </w:tc>
        <w:tc>
          <w:tcPr>
            <w:tcW w:w="880" w:type="dxa"/>
            <w:tcBorders>
              <w:top w:val="single" w:sz="8" w:space="0" w:color="000000"/>
            </w:tcBorders>
          </w:tcPr>
          <w:p>
            <w:pPr>
              <w:pStyle w:val="TableParagraph"/>
              <w:spacing w:line="267" w:lineRule="exact"/>
              <w:ind w:left="99" w:right="121"/>
              <w:rPr>
                <w:rFonts w:ascii="Calibri"/>
                <w:sz w:val="22"/>
              </w:rPr>
            </w:pPr>
            <w:r>
              <w:rPr>
                <w:rFonts w:ascii="Calibri"/>
                <w:sz w:val="22"/>
              </w:rPr>
              <w:t>2.6</w:t>
            </w:r>
          </w:p>
        </w:tc>
        <w:tc>
          <w:tcPr>
            <w:tcW w:w="680" w:type="dxa"/>
            <w:tcBorders>
              <w:top w:val="single" w:sz="8" w:space="0" w:color="000000"/>
              <w:right w:val="single" w:sz="8" w:space="0" w:color="000000"/>
            </w:tcBorders>
          </w:tcPr>
          <w:p>
            <w:pPr>
              <w:pStyle w:val="TableParagraph"/>
              <w:spacing w:line="267" w:lineRule="exact"/>
              <w:ind w:left="185"/>
              <w:jc w:val="left"/>
              <w:rPr>
                <w:rFonts w:ascii="Calibri"/>
                <w:sz w:val="22"/>
              </w:rPr>
            </w:pPr>
            <w:r>
              <w:rPr>
                <w:rFonts w:ascii="Calibri"/>
                <w:sz w:val="22"/>
              </w:rPr>
              <w:t>1.2</w:t>
            </w:r>
          </w:p>
        </w:tc>
        <w:tc>
          <w:tcPr>
            <w:tcW w:w="848" w:type="dxa"/>
            <w:tcBorders>
              <w:top w:val="single" w:sz="8" w:space="0" w:color="000000"/>
              <w:left w:val="single" w:sz="8" w:space="0" w:color="000000"/>
            </w:tcBorders>
          </w:tcPr>
          <w:p>
            <w:pPr>
              <w:pStyle w:val="TableParagraph"/>
              <w:spacing w:line="267" w:lineRule="exact"/>
              <w:ind w:left="89" w:right="93"/>
              <w:rPr>
                <w:rFonts w:ascii="Calibri"/>
                <w:sz w:val="22"/>
              </w:rPr>
            </w:pPr>
            <w:r>
              <w:rPr>
                <w:rFonts w:ascii="Calibri"/>
                <w:sz w:val="22"/>
              </w:rPr>
              <w:t>1.4</w:t>
            </w:r>
          </w:p>
        </w:tc>
        <w:tc>
          <w:tcPr>
            <w:tcW w:w="879" w:type="dxa"/>
            <w:tcBorders>
              <w:top w:val="single" w:sz="8" w:space="0" w:color="000000"/>
            </w:tcBorders>
          </w:tcPr>
          <w:p>
            <w:pPr>
              <w:pStyle w:val="TableParagraph"/>
              <w:spacing w:line="267" w:lineRule="exact"/>
              <w:ind w:left="100" w:right="121"/>
              <w:rPr>
                <w:rFonts w:ascii="Calibri"/>
                <w:sz w:val="22"/>
              </w:rPr>
            </w:pPr>
            <w:r>
              <w:rPr>
                <w:rFonts w:ascii="Calibri"/>
                <w:sz w:val="22"/>
              </w:rPr>
              <w:t>2.2</w:t>
            </w:r>
          </w:p>
        </w:tc>
        <w:tc>
          <w:tcPr>
            <w:tcW w:w="681" w:type="dxa"/>
            <w:tcBorders>
              <w:top w:val="single" w:sz="8" w:space="0" w:color="000000"/>
              <w:right w:val="single" w:sz="8" w:space="0" w:color="000000"/>
            </w:tcBorders>
          </w:tcPr>
          <w:p>
            <w:pPr>
              <w:pStyle w:val="TableParagraph"/>
              <w:spacing w:line="267" w:lineRule="exact"/>
              <w:ind w:left="188"/>
              <w:jc w:val="left"/>
              <w:rPr>
                <w:rFonts w:ascii="Calibri"/>
                <w:sz w:val="22"/>
              </w:rPr>
            </w:pPr>
            <w:r>
              <w:rPr>
                <w:rFonts w:ascii="Calibri"/>
                <w:sz w:val="22"/>
              </w:rPr>
              <w:t>1.7</w:t>
            </w:r>
          </w:p>
        </w:tc>
        <w:tc>
          <w:tcPr>
            <w:tcW w:w="848" w:type="dxa"/>
            <w:tcBorders>
              <w:top w:val="single" w:sz="8" w:space="0" w:color="000000"/>
              <w:left w:val="single" w:sz="8" w:space="0" w:color="000000"/>
            </w:tcBorders>
          </w:tcPr>
          <w:p>
            <w:pPr>
              <w:pStyle w:val="TableParagraph"/>
              <w:spacing w:line="267" w:lineRule="exact"/>
              <w:ind w:left="89" w:right="89"/>
              <w:rPr>
                <w:rFonts w:ascii="Calibri"/>
                <w:sz w:val="22"/>
              </w:rPr>
            </w:pPr>
            <w:r>
              <w:rPr>
                <w:rFonts w:ascii="Calibri"/>
                <w:sz w:val="22"/>
              </w:rPr>
              <w:t>1.7</w:t>
            </w:r>
          </w:p>
        </w:tc>
        <w:tc>
          <w:tcPr>
            <w:tcW w:w="845" w:type="dxa"/>
            <w:tcBorders>
              <w:top w:val="single" w:sz="8" w:space="0" w:color="000000"/>
            </w:tcBorders>
          </w:tcPr>
          <w:p>
            <w:pPr>
              <w:pStyle w:val="TableParagraph"/>
              <w:spacing w:line="267" w:lineRule="exact"/>
              <w:ind w:left="53" w:right="40"/>
              <w:rPr>
                <w:rFonts w:ascii="Calibri"/>
                <w:sz w:val="22"/>
              </w:rPr>
            </w:pPr>
            <w:r>
              <w:rPr>
                <w:rFonts w:ascii="Calibri"/>
                <w:sz w:val="22"/>
              </w:rPr>
              <w:t>3.9</w:t>
            </w:r>
          </w:p>
        </w:tc>
        <w:tc>
          <w:tcPr>
            <w:tcW w:w="575" w:type="dxa"/>
            <w:tcBorders>
              <w:top w:val="single" w:sz="8" w:space="0" w:color="000000"/>
            </w:tcBorders>
          </w:tcPr>
          <w:p>
            <w:pPr>
              <w:pStyle w:val="TableParagraph"/>
              <w:spacing w:line="267" w:lineRule="exact"/>
              <w:ind w:right="137"/>
              <w:jc w:val="right"/>
              <w:rPr>
                <w:rFonts w:ascii="Calibri"/>
                <w:sz w:val="22"/>
              </w:rPr>
            </w:pPr>
            <w:r>
              <w:rPr>
                <w:rFonts w:ascii="Calibri"/>
                <w:sz w:val="22"/>
              </w:rPr>
              <w:t>3.8</w:t>
            </w:r>
          </w:p>
        </w:tc>
      </w:tr>
      <w:tr>
        <w:trPr>
          <w:trHeight w:val="249" w:hRule="atLeast"/>
        </w:trPr>
        <w:tc>
          <w:tcPr>
            <w:tcW w:w="1282" w:type="dxa"/>
          </w:tcPr>
          <w:p>
            <w:pPr>
              <w:pStyle w:val="TableParagraph"/>
              <w:spacing w:line="230" w:lineRule="exact"/>
              <w:ind w:left="69"/>
              <w:jc w:val="left"/>
              <w:rPr>
                <w:rFonts w:ascii="Calibri"/>
                <w:sz w:val="22"/>
              </w:rPr>
            </w:pPr>
            <w:r>
              <w:rPr>
                <w:rFonts w:ascii="Calibri"/>
                <w:sz w:val="22"/>
              </w:rPr>
              <w:t>MAE tn</w:t>
            </w:r>
          </w:p>
        </w:tc>
        <w:tc>
          <w:tcPr>
            <w:tcW w:w="845" w:type="dxa"/>
          </w:tcPr>
          <w:p>
            <w:pPr>
              <w:pStyle w:val="TableParagraph"/>
              <w:spacing w:line="230" w:lineRule="exact"/>
              <w:ind w:left="53" w:right="55"/>
              <w:rPr>
                <w:rFonts w:ascii="Calibri"/>
                <w:sz w:val="22"/>
              </w:rPr>
            </w:pPr>
            <w:r>
              <w:rPr>
                <w:rFonts w:ascii="Calibri"/>
                <w:sz w:val="22"/>
              </w:rPr>
              <w:t>2.6</w:t>
            </w:r>
          </w:p>
        </w:tc>
        <w:tc>
          <w:tcPr>
            <w:tcW w:w="880" w:type="dxa"/>
          </w:tcPr>
          <w:p>
            <w:pPr>
              <w:pStyle w:val="TableParagraph"/>
              <w:spacing w:line="230" w:lineRule="exact"/>
              <w:ind w:left="99" w:right="121"/>
              <w:rPr>
                <w:rFonts w:ascii="Calibri"/>
                <w:sz w:val="22"/>
              </w:rPr>
            </w:pPr>
            <w:r>
              <w:rPr>
                <w:rFonts w:ascii="Calibri"/>
                <w:sz w:val="22"/>
              </w:rPr>
              <w:t>4.2</w:t>
            </w:r>
          </w:p>
        </w:tc>
        <w:tc>
          <w:tcPr>
            <w:tcW w:w="680" w:type="dxa"/>
            <w:tcBorders>
              <w:right w:val="single" w:sz="8" w:space="0" w:color="000000"/>
            </w:tcBorders>
          </w:tcPr>
          <w:p>
            <w:pPr>
              <w:pStyle w:val="TableParagraph"/>
              <w:spacing w:line="230" w:lineRule="exact"/>
              <w:ind w:left="185"/>
              <w:jc w:val="left"/>
              <w:rPr>
                <w:rFonts w:ascii="Calibri"/>
                <w:sz w:val="22"/>
              </w:rPr>
            </w:pPr>
            <w:r>
              <w:rPr>
                <w:rFonts w:ascii="Calibri"/>
                <w:sz w:val="22"/>
              </w:rPr>
              <w:t>2.9</w:t>
            </w:r>
          </w:p>
        </w:tc>
        <w:tc>
          <w:tcPr>
            <w:tcW w:w="848" w:type="dxa"/>
            <w:tcBorders>
              <w:left w:val="single" w:sz="8" w:space="0" w:color="000000"/>
            </w:tcBorders>
          </w:tcPr>
          <w:p>
            <w:pPr>
              <w:pStyle w:val="TableParagraph"/>
              <w:spacing w:line="230" w:lineRule="exact"/>
              <w:ind w:left="89" w:right="93"/>
              <w:rPr>
                <w:rFonts w:ascii="Calibri"/>
                <w:sz w:val="22"/>
              </w:rPr>
            </w:pPr>
            <w:r>
              <w:rPr>
                <w:rFonts w:ascii="Calibri"/>
                <w:sz w:val="22"/>
              </w:rPr>
              <w:t>2.5</w:t>
            </w:r>
          </w:p>
        </w:tc>
        <w:tc>
          <w:tcPr>
            <w:tcW w:w="879" w:type="dxa"/>
          </w:tcPr>
          <w:p>
            <w:pPr>
              <w:pStyle w:val="TableParagraph"/>
              <w:spacing w:line="230" w:lineRule="exact"/>
              <w:ind w:left="100" w:right="121"/>
              <w:rPr>
                <w:rFonts w:ascii="Calibri"/>
                <w:sz w:val="22"/>
              </w:rPr>
            </w:pPr>
            <w:r>
              <w:rPr>
                <w:rFonts w:ascii="Calibri"/>
                <w:sz w:val="22"/>
              </w:rPr>
              <w:t>3.9</w:t>
            </w:r>
          </w:p>
        </w:tc>
        <w:tc>
          <w:tcPr>
            <w:tcW w:w="681" w:type="dxa"/>
            <w:tcBorders>
              <w:right w:val="single" w:sz="8" w:space="0" w:color="000000"/>
            </w:tcBorders>
          </w:tcPr>
          <w:p>
            <w:pPr>
              <w:pStyle w:val="TableParagraph"/>
              <w:spacing w:line="230" w:lineRule="exact"/>
              <w:ind w:left="188"/>
              <w:jc w:val="left"/>
              <w:rPr>
                <w:rFonts w:ascii="Calibri"/>
                <w:sz w:val="22"/>
              </w:rPr>
            </w:pPr>
            <w:r>
              <w:rPr>
                <w:rFonts w:ascii="Calibri"/>
                <w:sz w:val="22"/>
              </w:rPr>
              <w:t>3.0</w:t>
            </w:r>
          </w:p>
        </w:tc>
        <w:tc>
          <w:tcPr>
            <w:tcW w:w="848" w:type="dxa"/>
            <w:tcBorders>
              <w:left w:val="single" w:sz="8" w:space="0" w:color="000000"/>
            </w:tcBorders>
          </w:tcPr>
          <w:p>
            <w:pPr>
              <w:pStyle w:val="TableParagraph"/>
              <w:spacing w:line="230" w:lineRule="exact"/>
              <w:ind w:right="1"/>
              <w:rPr>
                <w:rFonts w:ascii="Calibri"/>
                <w:sz w:val="22"/>
              </w:rPr>
            </w:pPr>
            <w:r>
              <w:rPr>
                <w:rFonts w:ascii="Calibri"/>
                <w:w w:val="100"/>
                <w:sz w:val="22"/>
              </w:rPr>
              <w:t>3</w:t>
            </w:r>
          </w:p>
        </w:tc>
        <w:tc>
          <w:tcPr>
            <w:tcW w:w="845" w:type="dxa"/>
          </w:tcPr>
          <w:p>
            <w:pPr>
              <w:pStyle w:val="TableParagraph"/>
              <w:spacing w:line="230" w:lineRule="exact"/>
              <w:ind w:left="53" w:right="40"/>
              <w:rPr>
                <w:rFonts w:ascii="Calibri"/>
                <w:sz w:val="22"/>
              </w:rPr>
            </w:pPr>
            <w:r>
              <w:rPr>
                <w:rFonts w:ascii="Calibri"/>
                <w:sz w:val="22"/>
              </w:rPr>
              <w:t>5.8</w:t>
            </w:r>
          </w:p>
        </w:tc>
        <w:tc>
          <w:tcPr>
            <w:tcW w:w="575" w:type="dxa"/>
          </w:tcPr>
          <w:p>
            <w:pPr>
              <w:pStyle w:val="TableParagraph"/>
              <w:spacing w:line="230" w:lineRule="exact"/>
              <w:ind w:right="137"/>
              <w:jc w:val="right"/>
              <w:rPr>
                <w:rFonts w:ascii="Calibri"/>
                <w:sz w:val="22"/>
              </w:rPr>
            </w:pPr>
            <w:r>
              <w:rPr>
                <w:rFonts w:ascii="Calibri"/>
                <w:sz w:val="22"/>
              </w:rPr>
              <w:t>7.0</w:t>
            </w:r>
          </w:p>
        </w:tc>
      </w:tr>
      <w:tr>
        <w:trPr>
          <w:trHeight w:val="320" w:hRule="atLeast"/>
        </w:trPr>
        <w:tc>
          <w:tcPr>
            <w:tcW w:w="1282" w:type="dxa"/>
            <w:shd w:val="clear" w:color="auto" w:fill="D9D9D9"/>
          </w:tcPr>
          <w:p>
            <w:pPr>
              <w:pStyle w:val="TableParagraph"/>
              <w:spacing w:before="15"/>
              <w:ind w:left="69"/>
              <w:jc w:val="left"/>
              <w:rPr>
                <w:rFonts w:ascii="Calibri"/>
                <w:sz w:val="22"/>
              </w:rPr>
            </w:pPr>
            <w:r>
              <w:rPr>
                <w:rFonts w:ascii="Calibri"/>
                <w:position w:val="2"/>
                <w:sz w:val="22"/>
              </w:rPr>
              <w:t>ME</w:t>
            </w:r>
            <w:r>
              <w:rPr>
                <w:rFonts w:ascii="Calibri"/>
                <w:sz w:val="14"/>
              </w:rPr>
              <w:t>90Q </w:t>
            </w:r>
            <w:r>
              <w:rPr>
                <w:rFonts w:ascii="Calibri"/>
                <w:position w:val="2"/>
                <w:sz w:val="22"/>
              </w:rPr>
              <w:t>tn</w:t>
            </w:r>
          </w:p>
        </w:tc>
        <w:tc>
          <w:tcPr>
            <w:tcW w:w="845" w:type="dxa"/>
            <w:shd w:val="clear" w:color="auto" w:fill="D9D9D9"/>
          </w:tcPr>
          <w:p>
            <w:pPr>
              <w:pStyle w:val="TableParagraph"/>
              <w:spacing w:before="16"/>
              <w:ind w:left="53" w:right="55"/>
              <w:rPr>
                <w:rFonts w:ascii="Calibri"/>
                <w:sz w:val="22"/>
              </w:rPr>
            </w:pPr>
            <w:r>
              <w:rPr>
                <w:rFonts w:ascii="Calibri"/>
                <w:sz w:val="22"/>
              </w:rPr>
              <w:t>0.7</w:t>
            </w:r>
          </w:p>
        </w:tc>
        <w:tc>
          <w:tcPr>
            <w:tcW w:w="880" w:type="dxa"/>
            <w:shd w:val="clear" w:color="auto" w:fill="D9D9D9"/>
          </w:tcPr>
          <w:p>
            <w:pPr>
              <w:pStyle w:val="TableParagraph"/>
              <w:spacing w:before="16"/>
              <w:ind w:left="99" w:right="121"/>
              <w:rPr>
                <w:rFonts w:ascii="Calibri"/>
                <w:sz w:val="22"/>
              </w:rPr>
            </w:pPr>
            <w:r>
              <w:rPr>
                <w:rFonts w:ascii="Calibri"/>
                <w:sz w:val="22"/>
              </w:rPr>
              <w:t>0.8</w:t>
            </w:r>
          </w:p>
        </w:tc>
        <w:tc>
          <w:tcPr>
            <w:tcW w:w="680" w:type="dxa"/>
            <w:tcBorders>
              <w:right w:val="single" w:sz="8" w:space="0" w:color="000000"/>
            </w:tcBorders>
            <w:shd w:val="clear" w:color="auto" w:fill="D9D9D9"/>
          </w:tcPr>
          <w:p>
            <w:pPr>
              <w:pStyle w:val="TableParagraph"/>
              <w:spacing w:before="16"/>
              <w:ind w:left="151"/>
              <w:jc w:val="left"/>
              <w:rPr>
                <w:rFonts w:ascii="Calibri"/>
                <w:sz w:val="22"/>
              </w:rPr>
            </w:pPr>
            <w:r>
              <w:rPr>
                <w:rFonts w:ascii="Calibri"/>
                <w:sz w:val="22"/>
              </w:rPr>
              <w:t>-0.7</w:t>
            </w:r>
          </w:p>
        </w:tc>
        <w:tc>
          <w:tcPr>
            <w:tcW w:w="848" w:type="dxa"/>
            <w:tcBorders>
              <w:left w:val="single" w:sz="8" w:space="0" w:color="000000"/>
            </w:tcBorders>
            <w:shd w:val="clear" w:color="auto" w:fill="D9D9D9"/>
          </w:tcPr>
          <w:p>
            <w:pPr>
              <w:pStyle w:val="TableParagraph"/>
              <w:spacing w:before="16"/>
              <w:ind w:left="89" w:right="93"/>
              <w:rPr>
                <w:rFonts w:ascii="Calibri"/>
                <w:sz w:val="22"/>
              </w:rPr>
            </w:pPr>
            <w:r>
              <w:rPr>
                <w:rFonts w:ascii="Calibri"/>
                <w:sz w:val="22"/>
              </w:rPr>
              <w:t>0.5</w:t>
            </w:r>
          </w:p>
        </w:tc>
        <w:tc>
          <w:tcPr>
            <w:tcW w:w="879" w:type="dxa"/>
            <w:shd w:val="clear" w:color="auto" w:fill="D9D9D9"/>
          </w:tcPr>
          <w:p>
            <w:pPr>
              <w:pStyle w:val="TableParagraph"/>
              <w:spacing w:before="16"/>
              <w:ind w:left="100" w:right="121"/>
              <w:rPr>
                <w:rFonts w:ascii="Calibri"/>
                <w:sz w:val="22"/>
              </w:rPr>
            </w:pPr>
            <w:r>
              <w:rPr>
                <w:rFonts w:ascii="Calibri"/>
                <w:sz w:val="22"/>
              </w:rPr>
              <w:t>0.4</w:t>
            </w:r>
          </w:p>
        </w:tc>
        <w:tc>
          <w:tcPr>
            <w:tcW w:w="681" w:type="dxa"/>
            <w:tcBorders>
              <w:right w:val="single" w:sz="8" w:space="0" w:color="000000"/>
            </w:tcBorders>
            <w:shd w:val="clear" w:color="auto" w:fill="D9D9D9"/>
          </w:tcPr>
          <w:p>
            <w:pPr>
              <w:pStyle w:val="TableParagraph"/>
              <w:spacing w:before="16"/>
              <w:ind w:left="154"/>
              <w:jc w:val="left"/>
              <w:rPr>
                <w:rFonts w:ascii="Calibri"/>
                <w:sz w:val="22"/>
              </w:rPr>
            </w:pPr>
            <w:r>
              <w:rPr>
                <w:rFonts w:ascii="Calibri"/>
                <w:sz w:val="22"/>
              </w:rPr>
              <w:t>-0.3</w:t>
            </w:r>
          </w:p>
        </w:tc>
        <w:tc>
          <w:tcPr>
            <w:tcW w:w="848" w:type="dxa"/>
            <w:tcBorders>
              <w:left w:val="single" w:sz="8" w:space="0" w:color="000000"/>
            </w:tcBorders>
            <w:shd w:val="clear" w:color="auto" w:fill="D9D9D9"/>
          </w:tcPr>
          <w:p>
            <w:pPr>
              <w:pStyle w:val="TableParagraph"/>
              <w:spacing w:before="16"/>
              <w:ind w:left="89" w:right="89"/>
              <w:rPr>
                <w:rFonts w:ascii="Calibri"/>
                <w:sz w:val="22"/>
              </w:rPr>
            </w:pPr>
            <w:r>
              <w:rPr>
                <w:rFonts w:ascii="Calibri"/>
                <w:sz w:val="22"/>
              </w:rPr>
              <w:t>0.7</w:t>
            </w:r>
          </w:p>
        </w:tc>
        <w:tc>
          <w:tcPr>
            <w:tcW w:w="845" w:type="dxa"/>
            <w:shd w:val="clear" w:color="auto" w:fill="D9D9D9"/>
          </w:tcPr>
          <w:p>
            <w:pPr>
              <w:pStyle w:val="TableParagraph"/>
              <w:spacing w:before="16"/>
              <w:ind w:left="53" w:right="40"/>
              <w:rPr>
                <w:rFonts w:ascii="Calibri"/>
                <w:sz w:val="22"/>
              </w:rPr>
            </w:pPr>
            <w:r>
              <w:rPr>
                <w:rFonts w:ascii="Calibri"/>
                <w:sz w:val="22"/>
              </w:rPr>
              <w:t>1.3</w:t>
            </w:r>
          </w:p>
        </w:tc>
        <w:tc>
          <w:tcPr>
            <w:tcW w:w="575" w:type="dxa"/>
            <w:shd w:val="clear" w:color="auto" w:fill="D9D9D9"/>
          </w:tcPr>
          <w:p>
            <w:pPr>
              <w:pStyle w:val="TableParagraph"/>
              <w:spacing w:before="16"/>
              <w:ind w:right="104"/>
              <w:jc w:val="right"/>
              <w:rPr>
                <w:rFonts w:ascii="Calibri"/>
                <w:sz w:val="22"/>
              </w:rPr>
            </w:pPr>
            <w:r>
              <w:rPr>
                <w:rFonts w:ascii="Calibri"/>
                <w:sz w:val="22"/>
              </w:rPr>
              <w:t>-1.5</w:t>
            </w:r>
          </w:p>
        </w:tc>
      </w:tr>
      <w:tr>
        <w:trPr>
          <w:trHeight w:val="281" w:hRule="atLeast"/>
        </w:trPr>
        <w:tc>
          <w:tcPr>
            <w:tcW w:w="1282" w:type="dxa"/>
            <w:shd w:val="clear" w:color="auto" w:fill="D9D9D9"/>
          </w:tcPr>
          <w:p>
            <w:pPr>
              <w:pStyle w:val="TableParagraph"/>
              <w:spacing w:line="262" w:lineRule="exact"/>
              <w:ind w:left="69"/>
              <w:jc w:val="left"/>
              <w:rPr>
                <w:rFonts w:ascii="Calibri"/>
                <w:sz w:val="22"/>
              </w:rPr>
            </w:pPr>
            <w:r>
              <w:rPr>
                <w:rFonts w:ascii="Calibri"/>
                <w:position w:val="2"/>
                <w:sz w:val="22"/>
              </w:rPr>
              <w:t>MAE</w:t>
            </w:r>
            <w:r>
              <w:rPr>
                <w:rFonts w:ascii="Calibri"/>
                <w:sz w:val="14"/>
              </w:rPr>
              <w:t>90Q </w:t>
            </w:r>
            <w:r>
              <w:rPr>
                <w:rFonts w:ascii="Calibri"/>
                <w:position w:val="2"/>
                <w:sz w:val="22"/>
              </w:rPr>
              <w:t>tn</w:t>
            </w:r>
          </w:p>
        </w:tc>
        <w:tc>
          <w:tcPr>
            <w:tcW w:w="845" w:type="dxa"/>
            <w:shd w:val="clear" w:color="auto" w:fill="D9D9D9"/>
          </w:tcPr>
          <w:p>
            <w:pPr>
              <w:pStyle w:val="TableParagraph"/>
              <w:spacing w:line="262" w:lineRule="exact"/>
              <w:ind w:left="53" w:right="55"/>
              <w:rPr>
                <w:rFonts w:ascii="Calibri"/>
                <w:sz w:val="22"/>
              </w:rPr>
            </w:pPr>
            <w:r>
              <w:rPr>
                <w:rFonts w:ascii="Calibri"/>
                <w:sz w:val="22"/>
              </w:rPr>
              <w:t>1.6</w:t>
            </w:r>
          </w:p>
        </w:tc>
        <w:tc>
          <w:tcPr>
            <w:tcW w:w="880" w:type="dxa"/>
            <w:shd w:val="clear" w:color="auto" w:fill="D9D9D9"/>
          </w:tcPr>
          <w:p>
            <w:pPr>
              <w:pStyle w:val="TableParagraph"/>
              <w:spacing w:line="262" w:lineRule="exact"/>
              <w:ind w:left="99" w:right="121"/>
              <w:rPr>
                <w:rFonts w:ascii="Calibri"/>
                <w:sz w:val="22"/>
              </w:rPr>
            </w:pPr>
            <w:r>
              <w:rPr>
                <w:rFonts w:ascii="Calibri"/>
                <w:sz w:val="22"/>
              </w:rPr>
              <w:t>1.8</w:t>
            </w:r>
          </w:p>
        </w:tc>
        <w:tc>
          <w:tcPr>
            <w:tcW w:w="680" w:type="dxa"/>
            <w:tcBorders>
              <w:right w:val="single" w:sz="8" w:space="0" w:color="000000"/>
            </w:tcBorders>
            <w:shd w:val="clear" w:color="auto" w:fill="D9D9D9"/>
          </w:tcPr>
          <w:p>
            <w:pPr>
              <w:pStyle w:val="TableParagraph"/>
              <w:spacing w:line="262" w:lineRule="exact"/>
              <w:ind w:left="185"/>
              <w:jc w:val="left"/>
              <w:rPr>
                <w:rFonts w:ascii="Calibri"/>
                <w:sz w:val="22"/>
              </w:rPr>
            </w:pPr>
            <w:r>
              <w:rPr>
                <w:rFonts w:ascii="Calibri"/>
                <w:sz w:val="22"/>
              </w:rPr>
              <w:t>0.9</w:t>
            </w:r>
          </w:p>
        </w:tc>
        <w:tc>
          <w:tcPr>
            <w:tcW w:w="848" w:type="dxa"/>
            <w:tcBorders>
              <w:left w:val="single" w:sz="8" w:space="0" w:color="000000"/>
            </w:tcBorders>
            <w:shd w:val="clear" w:color="auto" w:fill="D9D9D9"/>
          </w:tcPr>
          <w:p>
            <w:pPr>
              <w:pStyle w:val="TableParagraph"/>
              <w:spacing w:line="262" w:lineRule="exact"/>
              <w:ind w:left="89" w:right="93"/>
              <w:rPr>
                <w:rFonts w:ascii="Calibri"/>
                <w:sz w:val="22"/>
              </w:rPr>
            </w:pPr>
            <w:r>
              <w:rPr>
                <w:rFonts w:ascii="Calibri"/>
                <w:sz w:val="22"/>
              </w:rPr>
              <w:t>1.6</w:t>
            </w:r>
          </w:p>
        </w:tc>
        <w:tc>
          <w:tcPr>
            <w:tcW w:w="879" w:type="dxa"/>
            <w:shd w:val="clear" w:color="auto" w:fill="D9D9D9"/>
          </w:tcPr>
          <w:p>
            <w:pPr>
              <w:pStyle w:val="TableParagraph"/>
              <w:spacing w:line="262" w:lineRule="exact"/>
              <w:ind w:left="100" w:right="121"/>
              <w:rPr>
                <w:rFonts w:ascii="Calibri"/>
                <w:sz w:val="22"/>
              </w:rPr>
            </w:pPr>
            <w:r>
              <w:rPr>
                <w:rFonts w:ascii="Calibri"/>
                <w:sz w:val="22"/>
              </w:rPr>
              <w:t>1.6</w:t>
            </w:r>
          </w:p>
        </w:tc>
        <w:tc>
          <w:tcPr>
            <w:tcW w:w="681" w:type="dxa"/>
            <w:tcBorders>
              <w:right w:val="single" w:sz="8" w:space="0" w:color="000000"/>
            </w:tcBorders>
            <w:shd w:val="clear" w:color="auto" w:fill="D9D9D9"/>
          </w:tcPr>
          <w:p>
            <w:pPr>
              <w:pStyle w:val="TableParagraph"/>
              <w:spacing w:line="262" w:lineRule="exact"/>
              <w:ind w:left="188"/>
              <w:jc w:val="left"/>
              <w:rPr>
                <w:rFonts w:ascii="Calibri"/>
                <w:sz w:val="22"/>
              </w:rPr>
            </w:pPr>
            <w:r>
              <w:rPr>
                <w:rFonts w:ascii="Calibri"/>
                <w:sz w:val="22"/>
              </w:rPr>
              <w:t>0.8</w:t>
            </w:r>
          </w:p>
        </w:tc>
        <w:tc>
          <w:tcPr>
            <w:tcW w:w="848" w:type="dxa"/>
            <w:tcBorders>
              <w:left w:val="single" w:sz="8" w:space="0" w:color="000000"/>
            </w:tcBorders>
            <w:shd w:val="clear" w:color="auto" w:fill="D9D9D9"/>
          </w:tcPr>
          <w:p>
            <w:pPr>
              <w:pStyle w:val="TableParagraph"/>
              <w:spacing w:line="262" w:lineRule="exact"/>
              <w:ind w:left="89" w:right="89"/>
              <w:rPr>
                <w:rFonts w:ascii="Calibri"/>
                <w:sz w:val="22"/>
              </w:rPr>
            </w:pPr>
            <w:r>
              <w:rPr>
                <w:rFonts w:ascii="Calibri"/>
                <w:sz w:val="22"/>
              </w:rPr>
              <w:t>1.9</w:t>
            </w:r>
          </w:p>
        </w:tc>
        <w:tc>
          <w:tcPr>
            <w:tcW w:w="845" w:type="dxa"/>
            <w:shd w:val="clear" w:color="auto" w:fill="D9D9D9"/>
          </w:tcPr>
          <w:p>
            <w:pPr>
              <w:pStyle w:val="TableParagraph"/>
              <w:spacing w:line="262" w:lineRule="exact"/>
              <w:ind w:left="53" w:right="40"/>
              <w:rPr>
                <w:rFonts w:ascii="Calibri"/>
                <w:sz w:val="22"/>
              </w:rPr>
            </w:pPr>
            <w:r>
              <w:rPr>
                <w:rFonts w:ascii="Calibri"/>
                <w:sz w:val="22"/>
              </w:rPr>
              <w:t>2.6</w:t>
            </w:r>
          </w:p>
        </w:tc>
        <w:tc>
          <w:tcPr>
            <w:tcW w:w="575" w:type="dxa"/>
            <w:shd w:val="clear" w:color="auto" w:fill="D9D9D9"/>
          </w:tcPr>
          <w:p>
            <w:pPr>
              <w:pStyle w:val="TableParagraph"/>
              <w:spacing w:line="262" w:lineRule="exact"/>
              <w:ind w:right="137"/>
              <w:jc w:val="right"/>
              <w:rPr>
                <w:rFonts w:ascii="Calibri"/>
                <w:sz w:val="22"/>
              </w:rPr>
            </w:pPr>
            <w:r>
              <w:rPr>
                <w:rFonts w:ascii="Calibri"/>
                <w:sz w:val="22"/>
              </w:rPr>
              <w:t>1.8</w:t>
            </w:r>
          </w:p>
        </w:tc>
      </w:tr>
    </w:tbl>
    <w:p>
      <w:pPr>
        <w:pStyle w:val="BodyText"/>
        <w:rPr>
          <w:rFonts w:ascii="Calibri"/>
          <w:i/>
          <w:sz w:val="18"/>
        </w:rPr>
      </w:pPr>
    </w:p>
    <w:p>
      <w:pPr>
        <w:pStyle w:val="BodyText"/>
        <w:spacing w:before="6"/>
        <w:rPr>
          <w:rFonts w:ascii="Calibri"/>
          <w:i/>
          <w:sz w:val="18"/>
        </w:rPr>
      </w:pPr>
    </w:p>
    <w:p>
      <w:pPr>
        <w:pStyle w:val="BodyText"/>
        <w:spacing w:line="276" w:lineRule="auto"/>
        <w:ind w:left="525" w:right="728"/>
        <w:jc w:val="both"/>
      </w:pPr>
      <w:r>
        <w:rPr/>
        <w:t>Dette afspejler ikke en generel tidslig forskel i modelperformance, men derimod en tidslig forskel i beliggenheden af Geo’s pejlinger. For kalibreringsperioden indeholder Geo’s data mange pejlinger fra anlægsarbejdet omkring Svendborgmotorvejen, som går igennem det Sydøstlige</w:t>
      </w:r>
      <w:r>
        <w:rPr>
          <w:spacing w:val="-10"/>
        </w:rPr>
        <w:t> </w:t>
      </w:r>
      <w:r>
        <w:rPr/>
        <w:t>område</w:t>
      </w:r>
      <w:r>
        <w:rPr>
          <w:spacing w:val="-9"/>
        </w:rPr>
        <w:t> </w:t>
      </w:r>
      <w:r>
        <w:rPr/>
        <w:t>af</w:t>
      </w:r>
      <w:r>
        <w:rPr>
          <w:spacing w:val="-10"/>
        </w:rPr>
        <w:t> </w:t>
      </w:r>
      <w:r>
        <w:rPr/>
        <w:t>modellen,</w:t>
      </w:r>
      <w:r>
        <w:rPr>
          <w:spacing w:val="-9"/>
        </w:rPr>
        <w:t> </w:t>
      </w:r>
      <w:r>
        <w:rPr/>
        <w:t>som</w:t>
      </w:r>
      <w:r>
        <w:rPr>
          <w:spacing w:val="-7"/>
        </w:rPr>
        <w:t> </w:t>
      </w:r>
      <w:r>
        <w:rPr/>
        <w:t>er</w:t>
      </w:r>
      <w:r>
        <w:rPr>
          <w:spacing w:val="-10"/>
        </w:rPr>
        <w:t> </w:t>
      </w:r>
      <w:r>
        <w:rPr/>
        <w:t>meget</w:t>
      </w:r>
      <w:r>
        <w:rPr>
          <w:spacing w:val="-9"/>
        </w:rPr>
        <w:t> </w:t>
      </w:r>
      <w:r>
        <w:rPr/>
        <w:t>dårligt</w:t>
      </w:r>
      <w:r>
        <w:rPr>
          <w:spacing w:val="-11"/>
        </w:rPr>
        <w:t> </w:t>
      </w:r>
      <w:r>
        <w:rPr/>
        <w:t>beskrevet</w:t>
      </w:r>
      <w:r>
        <w:rPr>
          <w:spacing w:val="-9"/>
        </w:rPr>
        <w:t> </w:t>
      </w:r>
      <w:r>
        <w:rPr/>
        <w:t>generelt,</w:t>
      </w:r>
      <w:r>
        <w:rPr>
          <w:spacing w:val="-9"/>
        </w:rPr>
        <w:t> </w:t>
      </w:r>
      <w:hyperlink w:history="true" w:anchor="_bookmark158">
        <w:r>
          <w:rPr/>
          <w:t>figur</w:t>
        </w:r>
        <w:r>
          <w:rPr>
            <w:spacing w:val="-10"/>
          </w:rPr>
          <w:t> </w:t>
        </w:r>
        <w:r>
          <w:rPr/>
          <w:t>112</w:t>
        </w:r>
        <w:r>
          <w:rPr>
            <w:spacing w:val="-8"/>
          </w:rPr>
          <w:t> </w:t>
        </w:r>
      </w:hyperlink>
      <w:r>
        <w:rPr/>
        <w:t>(venstre). For valideringsperioden ligger hovedparten af Geo’s data i Odense by, hvor modelperfor- mance generelt er bedre. Forskellen i rumlig fordeling af pejlinger og modelfejl er illustreret i </w:t>
      </w:r>
      <w:hyperlink w:history="true" w:anchor="_bookmark158">
        <w:r>
          <w:rPr/>
          <w:t>figur</w:t>
        </w:r>
        <w:r>
          <w:rPr>
            <w:spacing w:val="-1"/>
          </w:rPr>
          <w:t> </w:t>
        </w:r>
        <w:r>
          <w:rPr/>
          <w:t>112</w:t>
        </w:r>
      </w:hyperlink>
      <w:r>
        <w:rPr/>
        <w:t>.</w:t>
      </w:r>
    </w:p>
    <w:p>
      <w:pPr>
        <w:pStyle w:val="BodyText"/>
        <w:spacing w:before="9"/>
        <w:rPr>
          <w:sz w:val="10"/>
        </w:rPr>
      </w:pPr>
      <w:r>
        <w:rPr/>
        <w:drawing>
          <wp:anchor distT="0" distB="0" distL="0" distR="0" allowOverlap="1" layoutInCell="1" locked="0" behindDoc="0" simplePos="0" relativeHeight="84">
            <wp:simplePos x="0" y="0"/>
            <wp:positionH relativeFrom="page">
              <wp:posOffset>1429754</wp:posOffset>
            </wp:positionH>
            <wp:positionV relativeFrom="paragraph">
              <wp:posOffset>103655</wp:posOffset>
            </wp:positionV>
            <wp:extent cx="5071909" cy="3076956"/>
            <wp:effectExtent l="0" t="0" r="0" b="0"/>
            <wp:wrapTopAndBottom/>
            <wp:docPr id="233" name="image132.jpeg" descr="F:\SDFE\Report\H_grids_GEO.png"/>
            <wp:cNvGraphicFramePr>
              <a:graphicFrameLocks noChangeAspect="1"/>
            </wp:cNvGraphicFramePr>
            <a:graphic>
              <a:graphicData uri="http://schemas.openxmlformats.org/drawingml/2006/picture">
                <pic:pic>
                  <pic:nvPicPr>
                    <pic:cNvPr id="234" name="image132.jpeg"/>
                    <pic:cNvPicPr/>
                  </pic:nvPicPr>
                  <pic:blipFill>
                    <a:blip r:embed="rId144" cstate="print"/>
                    <a:stretch>
                      <a:fillRect/>
                    </a:stretch>
                  </pic:blipFill>
                  <pic:spPr>
                    <a:xfrm>
                      <a:off x="0" y="0"/>
                      <a:ext cx="5071909" cy="3076956"/>
                    </a:xfrm>
                    <a:prstGeom prst="rect">
                      <a:avLst/>
                    </a:prstGeom>
                  </pic:spPr>
                </pic:pic>
              </a:graphicData>
            </a:graphic>
          </wp:anchor>
        </w:drawing>
      </w:r>
    </w:p>
    <w:p>
      <w:pPr>
        <w:spacing w:before="193"/>
        <w:ind w:left="525" w:right="751" w:firstLine="0"/>
        <w:jc w:val="both"/>
        <w:rPr>
          <w:rFonts w:ascii="Calibri" w:hAnsi="Calibri"/>
          <w:i/>
          <w:sz w:val="18"/>
        </w:rPr>
      </w:pPr>
      <w:bookmarkStart w:name="_bookmark158" w:id="196"/>
      <w:bookmarkEnd w:id="196"/>
      <w:r>
        <w:rPr/>
      </w:r>
      <w:r>
        <w:rPr>
          <w:rFonts w:ascii="Calibri" w:hAnsi="Calibri"/>
          <w:i/>
          <w:color w:val="44536A"/>
          <w:sz w:val="18"/>
        </w:rPr>
        <w:t>Figur 112 Performance statistik for simuleret trykniveau på modelgrid niveau for 100m Jup+Reg modellen baseret på </w:t>
      </w:r>
      <w:r>
        <w:rPr>
          <w:rFonts w:ascii="Calibri" w:hAnsi="Calibri"/>
          <w:i/>
          <w:color w:val="44536A"/>
          <w:sz w:val="18"/>
        </w:rPr>
        <w:t>Geo’s pejledata for hhv. kalibrering (venstre) og validering (højre). Middelfejl i [m] er angivet som obs – sim.</w:t>
      </w:r>
    </w:p>
    <w:p>
      <w:pPr>
        <w:spacing w:after="0"/>
        <w:jc w:val="both"/>
        <w:rPr>
          <w:rFonts w:ascii="Calibri" w:hAnsi="Calibri"/>
          <w:sz w:val="18"/>
        </w:rPr>
        <w:sectPr>
          <w:pgSz w:w="11910" w:h="16850"/>
          <w:pgMar w:header="0" w:footer="937" w:top="1380" w:bottom="1120" w:left="1460" w:right="680"/>
        </w:sectPr>
      </w:pPr>
    </w:p>
    <w:p>
      <w:pPr>
        <w:pStyle w:val="BodyText"/>
        <w:spacing w:line="276" w:lineRule="auto" w:before="75"/>
        <w:ind w:left="525" w:right="731"/>
        <w:jc w:val="both"/>
      </w:pPr>
      <w:r>
        <w:rPr/>
        <w:t>Den overordnede vurdering af værdien af Geo’s pejle data er, at de udgør et væsentligt bi- drag til validering af modelsimuleringer af det terrænnære grundvandsspejl. Da Geo’s pejle- data typisk indhentes i forbindelse med større bygge og anlægsprojekter har de en tendens til at overrepræsentere specifikke områder eller strækninger og er derfor ikke i samme om- fang som Jupiter data velegnede til model kalibrering, hvor målet er at estimere de bedste model parametre for et helt model område. Desuden kræver anvendelsen af disse data et særligt fokus på kvalitetssikring, da det er væsentligt at kende omstændighederne omkring pejlingerne.</w:t>
      </w:r>
      <w:r>
        <w:rPr>
          <w:spacing w:val="-7"/>
        </w:rPr>
        <w:t> </w:t>
      </w:r>
      <w:r>
        <w:rPr/>
        <w:t>F.eks.</w:t>
      </w:r>
      <w:r>
        <w:rPr>
          <w:spacing w:val="-7"/>
        </w:rPr>
        <w:t> </w:t>
      </w:r>
      <w:r>
        <w:rPr/>
        <w:t>om</w:t>
      </w:r>
      <w:r>
        <w:rPr>
          <w:spacing w:val="-5"/>
        </w:rPr>
        <w:t> </w:t>
      </w:r>
      <w:r>
        <w:rPr/>
        <w:t>pejlingen</w:t>
      </w:r>
      <w:r>
        <w:rPr>
          <w:spacing w:val="-6"/>
        </w:rPr>
        <w:t> </w:t>
      </w:r>
      <w:r>
        <w:rPr/>
        <w:t>er</w:t>
      </w:r>
      <w:r>
        <w:rPr>
          <w:spacing w:val="-7"/>
        </w:rPr>
        <w:t> </w:t>
      </w:r>
      <w:r>
        <w:rPr/>
        <w:t>foretaget</w:t>
      </w:r>
      <w:r>
        <w:rPr>
          <w:spacing w:val="-9"/>
        </w:rPr>
        <w:t> </w:t>
      </w:r>
      <w:r>
        <w:rPr/>
        <w:t>før,</w:t>
      </w:r>
      <w:r>
        <w:rPr>
          <w:spacing w:val="-7"/>
        </w:rPr>
        <w:t> </w:t>
      </w:r>
      <w:r>
        <w:rPr/>
        <w:t>under</w:t>
      </w:r>
      <w:r>
        <w:rPr>
          <w:spacing w:val="-7"/>
        </w:rPr>
        <w:t> </w:t>
      </w:r>
      <w:r>
        <w:rPr/>
        <w:t>eller</w:t>
      </w:r>
      <w:r>
        <w:rPr>
          <w:spacing w:val="-7"/>
        </w:rPr>
        <w:t> </w:t>
      </w:r>
      <w:r>
        <w:rPr/>
        <w:t>efter</w:t>
      </w:r>
      <w:r>
        <w:rPr>
          <w:spacing w:val="-7"/>
        </w:rPr>
        <w:t> </w:t>
      </w:r>
      <w:r>
        <w:rPr/>
        <w:t>anlægsarbejdet.</w:t>
      </w:r>
      <w:r>
        <w:rPr>
          <w:spacing w:val="-7"/>
        </w:rPr>
        <w:t> </w:t>
      </w:r>
      <w:r>
        <w:rPr/>
        <w:t>Om</w:t>
      </w:r>
      <w:r>
        <w:rPr>
          <w:spacing w:val="-5"/>
        </w:rPr>
        <w:t> </w:t>
      </w:r>
      <w:r>
        <w:rPr/>
        <w:t>der</w:t>
      </w:r>
      <w:r>
        <w:rPr>
          <w:spacing w:val="-6"/>
        </w:rPr>
        <w:t> </w:t>
      </w:r>
      <w:r>
        <w:rPr/>
        <w:t>er foretaget grundvandssænkning eller anden afdræning, som kan påvirke pejlingen samt </w:t>
      </w:r>
      <w:r>
        <w:rPr>
          <w:spacing w:val="-3"/>
        </w:rPr>
        <w:t>om </w:t>
      </w:r>
      <w:r>
        <w:rPr/>
        <w:t>den lokale topografi ændres i forbindelse med anlægsarbejdet. Det sidste punkt er især ty- deligt omkring anlægget af Svendborg motorvejen, hvor højdemodellen ændres væsentligt i forbindelse med anlægsarbejdet. Desuden er Geo’s data næsten altid terrænnære og be- skriver derfor ikke forholdene i</w:t>
      </w:r>
      <w:r>
        <w:rPr>
          <w:spacing w:val="-6"/>
        </w:rPr>
        <w:t> </w:t>
      </w:r>
      <w:r>
        <w:rPr/>
        <w:t>dybden.</w:t>
      </w:r>
    </w:p>
    <w:p>
      <w:pPr>
        <w:pStyle w:val="BodyText"/>
        <w:rPr>
          <w:sz w:val="24"/>
        </w:rPr>
      </w:pPr>
    </w:p>
    <w:p>
      <w:pPr>
        <w:pStyle w:val="BodyText"/>
        <w:spacing w:before="10"/>
        <w:rPr>
          <w:sz w:val="27"/>
        </w:rPr>
      </w:pPr>
    </w:p>
    <w:p>
      <w:pPr>
        <w:pStyle w:val="Heading2"/>
        <w:numPr>
          <w:ilvl w:val="1"/>
          <w:numId w:val="15"/>
        </w:numPr>
        <w:tabs>
          <w:tab w:pos="1297" w:val="left" w:leader="none"/>
          <w:tab w:pos="1298" w:val="left" w:leader="none"/>
        </w:tabs>
        <w:spacing w:line="240" w:lineRule="auto" w:before="0" w:after="0"/>
        <w:ind w:left="1298" w:right="0" w:hanging="773"/>
        <w:jc w:val="left"/>
      </w:pPr>
      <w:bookmarkStart w:name="_bookmark159" w:id="197"/>
      <w:bookmarkEnd w:id="197"/>
      <w:r>
        <w:rPr>
          <w:b w:val="0"/>
        </w:rPr>
      </w:r>
      <w:bookmarkStart w:name="_bookmark159" w:id="198"/>
      <w:bookmarkEnd w:id="198"/>
      <w:r>
        <w:rPr/>
        <w:t>V</w:t>
      </w:r>
      <w:r>
        <w:rPr/>
        <w:t>urdering af opnået nøjagtighed i forhold til</w:t>
      </w:r>
      <w:r>
        <w:rPr>
          <w:spacing w:val="-13"/>
        </w:rPr>
        <w:t> </w:t>
      </w:r>
      <w:r>
        <w:rPr/>
        <w:t>DK-modellen</w:t>
      </w:r>
    </w:p>
    <w:p>
      <w:pPr>
        <w:pStyle w:val="BodyText"/>
        <w:spacing w:line="288" w:lineRule="auto" w:before="241"/>
        <w:ind w:left="525" w:right="736"/>
        <w:jc w:val="both"/>
      </w:pPr>
      <w:r>
        <w:rPr/>
        <w:t>Der er lavet en analyse af opnået performance af de udbyggede 100 m og 500 m modeller i forhold til DK-modellen (version af August 2018).</w:t>
      </w:r>
    </w:p>
    <w:p>
      <w:pPr>
        <w:pStyle w:val="BodyText"/>
        <w:spacing w:before="2"/>
        <w:rPr>
          <w:sz w:val="25"/>
        </w:rPr>
      </w:pPr>
    </w:p>
    <w:p>
      <w:pPr>
        <w:pStyle w:val="BodyText"/>
        <w:spacing w:line="288" w:lineRule="auto"/>
        <w:ind w:left="525" w:right="732"/>
        <w:jc w:val="both"/>
      </w:pPr>
      <w:r>
        <w:rPr/>
        <w:t>I analysen er der udtrukket performance i forhold til observationsdata anvendt for Storå og Odense Å med DK model (Baseline modellen, der er anvendt seneste version fra august 2018). </w:t>
      </w:r>
      <w:hyperlink w:history="true" w:anchor="_bookmark160">
        <w:r>
          <w:rPr/>
          <w:t>Tabel 32 </w:t>
        </w:r>
      </w:hyperlink>
      <w:r>
        <w:rPr/>
        <w:t>beskriver resultatet af denne undersøgelse, sammenlignet for Jupiter data</w:t>
      </w:r>
      <w:r>
        <w:rPr>
          <w:position w:val="2"/>
        </w:rPr>
        <w:t> og gældende for kalibreringsperioden for hhv. alle pejlinger (MAE tn) og 90 % (MAE</w:t>
      </w:r>
      <w:r>
        <w:rPr>
          <w:sz w:val="14"/>
        </w:rPr>
        <w:t>90Q</w:t>
      </w:r>
      <w:r>
        <w:rPr>
          <w:position w:val="2"/>
        </w:rPr>
        <w:t>tn).</w:t>
      </w:r>
    </w:p>
    <w:p>
      <w:pPr>
        <w:pStyle w:val="BodyText"/>
        <w:spacing w:before="1"/>
        <w:rPr>
          <w:sz w:val="19"/>
        </w:rPr>
      </w:pPr>
    </w:p>
    <w:p>
      <w:pPr>
        <w:spacing w:before="0"/>
        <w:ind w:left="525" w:right="774" w:firstLine="0"/>
        <w:jc w:val="left"/>
        <w:rPr>
          <w:rFonts w:ascii="Calibri" w:hAnsi="Calibri"/>
          <w:i/>
          <w:sz w:val="18"/>
        </w:rPr>
      </w:pPr>
      <w:bookmarkStart w:name="_bookmark160" w:id="199"/>
      <w:bookmarkEnd w:id="199"/>
      <w:r>
        <w:rPr/>
      </w:r>
      <w:r>
        <w:rPr>
          <w:rFonts w:ascii="Calibri" w:hAnsi="Calibri"/>
          <w:i/>
          <w:color w:val="44536A"/>
          <w:sz w:val="18"/>
        </w:rPr>
        <w:t>Tabel 32 Performance af Baseline model (DK model) sammenlignet med 100 m kalibreret i forhold til Jupiter og Re- </w:t>
      </w:r>
      <w:r>
        <w:rPr>
          <w:rFonts w:ascii="Calibri" w:hAnsi="Calibri"/>
          <w:i/>
          <w:color w:val="44536A"/>
          <w:sz w:val="18"/>
        </w:rPr>
        <w:t>gion pejlinger (100m_Jup+Reg), 100 m model kalibreret i forhold til Jupiter pejlinger (100m_Jup) og 500 m model kalibreret i forhold til Jupiter og Regioners pejledata (500m_Jup+Reg). Middel absolut fejl for 90 % af pejlinger for hhv. kalibrerings- og valideringsperioden (m). Med grønt er markeret hvilken model der er bedst i sammenligningen.</w:t>
      </w:r>
    </w:p>
    <w:p>
      <w:pPr>
        <w:pStyle w:val="BodyText"/>
        <w:spacing w:before="5"/>
        <w:rPr>
          <w:rFonts w:ascii="Calibri"/>
          <w:i/>
          <w:sz w:val="16"/>
        </w:r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99"/>
        <w:gridCol w:w="1700"/>
        <w:gridCol w:w="1697"/>
        <w:gridCol w:w="1699"/>
        <w:gridCol w:w="1700"/>
      </w:tblGrid>
      <w:tr>
        <w:trPr>
          <w:trHeight w:val="246" w:hRule="atLeast"/>
        </w:trPr>
        <w:tc>
          <w:tcPr>
            <w:tcW w:w="1699" w:type="dxa"/>
          </w:tcPr>
          <w:p>
            <w:pPr>
              <w:pStyle w:val="TableParagraph"/>
              <w:spacing w:line="201" w:lineRule="exact"/>
              <w:ind w:left="107"/>
              <w:jc w:val="left"/>
              <w:rPr>
                <w:b/>
                <w:sz w:val="18"/>
              </w:rPr>
            </w:pPr>
            <w:r>
              <w:rPr>
                <w:b/>
                <w:sz w:val="18"/>
              </w:rPr>
              <w:t>Kalibrering</w:t>
            </w:r>
          </w:p>
        </w:tc>
        <w:tc>
          <w:tcPr>
            <w:tcW w:w="1700" w:type="dxa"/>
          </w:tcPr>
          <w:p>
            <w:pPr>
              <w:pStyle w:val="TableParagraph"/>
              <w:spacing w:line="201" w:lineRule="exact"/>
              <w:ind w:left="107"/>
              <w:jc w:val="left"/>
              <w:rPr>
                <w:b/>
                <w:sz w:val="18"/>
              </w:rPr>
            </w:pPr>
            <w:r>
              <w:rPr>
                <w:b/>
                <w:sz w:val="18"/>
              </w:rPr>
              <w:t>100m_Jup+Reg</w:t>
            </w:r>
          </w:p>
        </w:tc>
        <w:tc>
          <w:tcPr>
            <w:tcW w:w="1697" w:type="dxa"/>
          </w:tcPr>
          <w:p>
            <w:pPr>
              <w:pStyle w:val="TableParagraph"/>
              <w:spacing w:line="201" w:lineRule="exact"/>
              <w:ind w:left="107"/>
              <w:jc w:val="left"/>
              <w:rPr>
                <w:b/>
                <w:sz w:val="18"/>
              </w:rPr>
            </w:pPr>
            <w:r>
              <w:rPr>
                <w:b/>
                <w:sz w:val="18"/>
              </w:rPr>
              <w:t>100m_Jup</w:t>
            </w:r>
          </w:p>
        </w:tc>
        <w:tc>
          <w:tcPr>
            <w:tcW w:w="1699" w:type="dxa"/>
          </w:tcPr>
          <w:p>
            <w:pPr>
              <w:pStyle w:val="TableParagraph"/>
              <w:spacing w:line="201" w:lineRule="exact"/>
              <w:ind w:left="107"/>
              <w:jc w:val="left"/>
              <w:rPr>
                <w:b/>
                <w:sz w:val="18"/>
              </w:rPr>
            </w:pPr>
            <w:r>
              <w:rPr>
                <w:b/>
                <w:sz w:val="18"/>
              </w:rPr>
              <w:t>500m_Jup+Reg</w:t>
            </w:r>
          </w:p>
        </w:tc>
        <w:tc>
          <w:tcPr>
            <w:tcW w:w="1700" w:type="dxa"/>
          </w:tcPr>
          <w:p>
            <w:pPr>
              <w:pStyle w:val="TableParagraph"/>
              <w:spacing w:line="201" w:lineRule="exact"/>
              <w:ind w:left="90" w:right="129"/>
              <w:rPr>
                <w:b/>
                <w:sz w:val="18"/>
              </w:rPr>
            </w:pPr>
            <w:r>
              <w:rPr>
                <w:b/>
                <w:sz w:val="18"/>
              </w:rPr>
              <w:t>DK-model-aug18</w:t>
            </w:r>
          </w:p>
        </w:tc>
      </w:tr>
      <w:tr>
        <w:trPr>
          <w:trHeight w:val="249" w:hRule="atLeast"/>
        </w:trPr>
        <w:tc>
          <w:tcPr>
            <w:tcW w:w="8495" w:type="dxa"/>
            <w:gridSpan w:val="5"/>
          </w:tcPr>
          <w:p>
            <w:pPr>
              <w:pStyle w:val="TableParagraph"/>
              <w:spacing w:line="201" w:lineRule="exact"/>
              <w:ind w:left="107"/>
              <w:jc w:val="left"/>
              <w:rPr>
                <w:b/>
                <w:sz w:val="18"/>
              </w:rPr>
            </w:pPr>
            <w:r>
              <w:rPr>
                <w:b/>
                <w:sz w:val="18"/>
              </w:rPr>
              <w:t>Storå</w:t>
            </w:r>
          </w:p>
        </w:tc>
      </w:tr>
      <w:tr>
        <w:trPr>
          <w:trHeight w:val="496" w:hRule="atLeast"/>
        </w:trPr>
        <w:tc>
          <w:tcPr>
            <w:tcW w:w="1699" w:type="dxa"/>
          </w:tcPr>
          <w:p>
            <w:pPr>
              <w:pStyle w:val="TableParagraph"/>
              <w:spacing w:line="206" w:lineRule="exact"/>
              <w:ind w:left="107"/>
              <w:jc w:val="left"/>
              <w:rPr>
                <w:sz w:val="18"/>
              </w:rPr>
            </w:pPr>
            <w:r>
              <w:rPr>
                <w:position w:val="1"/>
                <w:sz w:val="18"/>
              </w:rPr>
              <w:t>MAE</w:t>
            </w:r>
            <w:r>
              <w:rPr>
                <w:sz w:val="12"/>
              </w:rPr>
              <w:t>90Q</w:t>
            </w:r>
            <w:r>
              <w:rPr>
                <w:position w:val="1"/>
                <w:sz w:val="18"/>
              </w:rPr>
              <w:t>tn</w:t>
            </w:r>
          </w:p>
          <w:p>
            <w:pPr>
              <w:pStyle w:val="TableParagraph"/>
              <w:spacing w:before="40"/>
              <w:ind w:left="107"/>
              <w:jc w:val="left"/>
              <w:rPr>
                <w:sz w:val="18"/>
              </w:rPr>
            </w:pPr>
            <w:r>
              <w:rPr>
                <w:sz w:val="18"/>
              </w:rPr>
              <w:t>kalibrering</w:t>
            </w:r>
          </w:p>
        </w:tc>
        <w:tc>
          <w:tcPr>
            <w:tcW w:w="1700" w:type="dxa"/>
          </w:tcPr>
          <w:p>
            <w:pPr>
              <w:pStyle w:val="TableParagraph"/>
              <w:spacing w:line="206" w:lineRule="exact"/>
              <w:ind w:left="624"/>
              <w:jc w:val="left"/>
              <w:rPr>
                <w:sz w:val="18"/>
              </w:rPr>
            </w:pPr>
            <w:r>
              <w:rPr>
                <w:sz w:val="18"/>
              </w:rPr>
              <w:t>1.1 m</w:t>
            </w:r>
          </w:p>
        </w:tc>
        <w:tc>
          <w:tcPr>
            <w:tcW w:w="1697" w:type="dxa"/>
            <w:shd w:val="clear" w:color="auto" w:fill="C5DFB3"/>
          </w:tcPr>
          <w:p>
            <w:pPr>
              <w:pStyle w:val="TableParagraph"/>
              <w:spacing w:line="206" w:lineRule="exact"/>
              <w:ind w:right="608"/>
              <w:jc w:val="right"/>
              <w:rPr>
                <w:sz w:val="18"/>
              </w:rPr>
            </w:pPr>
            <w:r>
              <w:rPr>
                <w:sz w:val="18"/>
              </w:rPr>
              <w:t>1.0 m</w:t>
            </w:r>
          </w:p>
        </w:tc>
        <w:tc>
          <w:tcPr>
            <w:tcW w:w="1699" w:type="dxa"/>
          </w:tcPr>
          <w:p>
            <w:pPr>
              <w:pStyle w:val="TableParagraph"/>
              <w:spacing w:line="206" w:lineRule="exact"/>
              <w:ind w:left="623"/>
              <w:jc w:val="left"/>
              <w:rPr>
                <w:sz w:val="18"/>
              </w:rPr>
            </w:pPr>
            <w:r>
              <w:rPr>
                <w:sz w:val="18"/>
              </w:rPr>
              <w:t>1.2 m</w:t>
            </w:r>
          </w:p>
        </w:tc>
        <w:tc>
          <w:tcPr>
            <w:tcW w:w="1700" w:type="dxa"/>
          </w:tcPr>
          <w:p>
            <w:pPr>
              <w:pStyle w:val="TableParagraph"/>
              <w:spacing w:line="206" w:lineRule="exact"/>
              <w:ind w:left="624"/>
              <w:jc w:val="left"/>
              <w:rPr>
                <w:sz w:val="18"/>
              </w:rPr>
            </w:pPr>
            <w:r>
              <w:rPr>
                <w:sz w:val="18"/>
              </w:rPr>
              <w:t>1.4 m</w:t>
            </w:r>
          </w:p>
        </w:tc>
      </w:tr>
      <w:tr>
        <w:trPr>
          <w:trHeight w:val="496" w:hRule="atLeast"/>
        </w:trPr>
        <w:tc>
          <w:tcPr>
            <w:tcW w:w="1699" w:type="dxa"/>
          </w:tcPr>
          <w:p>
            <w:pPr>
              <w:pStyle w:val="TableParagraph"/>
              <w:spacing w:line="206" w:lineRule="exact"/>
              <w:ind w:left="107"/>
              <w:jc w:val="left"/>
              <w:rPr>
                <w:sz w:val="18"/>
              </w:rPr>
            </w:pPr>
            <w:r>
              <w:rPr>
                <w:position w:val="1"/>
                <w:sz w:val="18"/>
              </w:rPr>
              <w:t>MAE</w:t>
            </w:r>
            <w:r>
              <w:rPr>
                <w:sz w:val="12"/>
              </w:rPr>
              <w:t>90Q</w:t>
            </w:r>
            <w:r>
              <w:rPr>
                <w:position w:val="1"/>
                <w:sz w:val="18"/>
              </w:rPr>
              <w:t>tn</w:t>
            </w:r>
          </w:p>
          <w:p>
            <w:pPr>
              <w:pStyle w:val="TableParagraph"/>
              <w:spacing w:before="43"/>
              <w:ind w:left="107"/>
              <w:jc w:val="left"/>
              <w:rPr>
                <w:sz w:val="18"/>
              </w:rPr>
            </w:pPr>
            <w:r>
              <w:rPr>
                <w:sz w:val="18"/>
              </w:rPr>
              <w:t>validering</w:t>
            </w:r>
          </w:p>
        </w:tc>
        <w:tc>
          <w:tcPr>
            <w:tcW w:w="1700" w:type="dxa"/>
            <w:shd w:val="clear" w:color="auto" w:fill="C5DFB3"/>
          </w:tcPr>
          <w:p>
            <w:pPr>
              <w:pStyle w:val="TableParagraph"/>
              <w:spacing w:line="206" w:lineRule="exact"/>
              <w:ind w:left="624"/>
              <w:jc w:val="left"/>
              <w:rPr>
                <w:sz w:val="18"/>
              </w:rPr>
            </w:pPr>
            <w:r>
              <w:rPr>
                <w:sz w:val="18"/>
              </w:rPr>
              <w:t>1.6 m</w:t>
            </w:r>
          </w:p>
        </w:tc>
        <w:tc>
          <w:tcPr>
            <w:tcW w:w="1697" w:type="dxa"/>
            <w:shd w:val="clear" w:color="auto" w:fill="C5DFB3"/>
          </w:tcPr>
          <w:p>
            <w:pPr>
              <w:pStyle w:val="TableParagraph"/>
              <w:spacing w:line="206" w:lineRule="exact"/>
              <w:ind w:right="608"/>
              <w:jc w:val="right"/>
              <w:rPr>
                <w:sz w:val="18"/>
              </w:rPr>
            </w:pPr>
            <w:r>
              <w:rPr>
                <w:sz w:val="18"/>
              </w:rPr>
              <w:t>1.6 m</w:t>
            </w:r>
          </w:p>
        </w:tc>
        <w:tc>
          <w:tcPr>
            <w:tcW w:w="1699" w:type="dxa"/>
          </w:tcPr>
          <w:p>
            <w:pPr>
              <w:pStyle w:val="TableParagraph"/>
              <w:spacing w:line="206" w:lineRule="exact"/>
              <w:ind w:left="623"/>
              <w:jc w:val="left"/>
              <w:rPr>
                <w:sz w:val="18"/>
              </w:rPr>
            </w:pPr>
            <w:r>
              <w:rPr>
                <w:sz w:val="18"/>
              </w:rPr>
              <w:t>1.7 m</w:t>
            </w:r>
          </w:p>
        </w:tc>
        <w:tc>
          <w:tcPr>
            <w:tcW w:w="1700" w:type="dxa"/>
          </w:tcPr>
          <w:p>
            <w:pPr>
              <w:pStyle w:val="TableParagraph"/>
              <w:spacing w:line="206" w:lineRule="exact"/>
              <w:ind w:left="624"/>
              <w:jc w:val="left"/>
              <w:rPr>
                <w:sz w:val="18"/>
              </w:rPr>
            </w:pPr>
            <w:r>
              <w:rPr>
                <w:sz w:val="18"/>
              </w:rPr>
              <w:t>2.1 m</w:t>
            </w:r>
          </w:p>
        </w:tc>
      </w:tr>
      <w:tr>
        <w:trPr>
          <w:trHeight w:val="249" w:hRule="atLeast"/>
        </w:trPr>
        <w:tc>
          <w:tcPr>
            <w:tcW w:w="8495" w:type="dxa"/>
            <w:gridSpan w:val="5"/>
          </w:tcPr>
          <w:p>
            <w:pPr>
              <w:pStyle w:val="TableParagraph"/>
              <w:spacing w:line="201" w:lineRule="exact"/>
              <w:ind w:left="107"/>
              <w:jc w:val="left"/>
              <w:rPr>
                <w:b/>
                <w:sz w:val="18"/>
              </w:rPr>
            </w:pPr>
            <w:r>
              <w:rPr>
                <w:b/>
                <w:sz w:val="18"/>
              </w:rPr>
              <w:t>Odense å</w:t>
            </w:r>
          </w:p>
        </w:tc>
      </w:tr>
      <w:tr>
        <w:trPr>
          <w:trHeight w:val="496" w:hRule="atLeast"/>
        </w:trPr>
        <w:tc>
          <w:tcPr>
            <w:tcW w:w="1699" w:type="dxa"/>
          </w:tcPr>
          <w:p>
            <w:pPr>
              <w:pStyle w:val="TableParagraph"/>
              <w:spacing w:line="206" w:lineRule="exact"/>
              <w:ind w:left="107"/>
              <w:jc w:val="left"/>
              <w:rPr>
                <w:sz w:val="18"/>
              </w:rPr>
            </w:pPr>
            <w:r>
              <w:rPr>
                <w:position w:val="1"/>
                <w:sz w:val="18"/>
              </w:rPr>
              <w:t>MAE</w:t>
            </w:r>
            <w:r>
              <w:rPr>
                <w:sz w:val="12"/>
              </w:rPr>
              <w:t>90Q</w:t>
            </w:r>
            <w:r>
              <w:rPr>
                <w:position w:val="1"/>
                <w:sz w:val="18"/>
              </w:rPr>
              <w:t>tn</w:t>
            </w:r>
          </w:p>
          <w:p>
            <w:pPr>
              <w:pStyle w:val="TableParagraph"/>
              <w:spacing w:before="40"/>
              <w:ind w:left="107"/>
              <w:jc w:val="left"/>
              <w:rPr>
                <w:sz w:val="18"/>
              </w:rPr>
            </w:pPr>
            <w:r>
              <w:rPr>
                <w:sz w:val="18"/>
              </w:rPr>
              <w:t>kalibrering</w:t>
            </w:r>
          </w:p>
        </w:tc>
        <w:tc>
          <w:tcPr>
            <w:tcW w:w="1700" w:type="dxa"/>
          </w:tcPr>
          <w:p>
            <w:pPr>
              <w:pStyle w:val="TableParagraph"/>
              <w:spacing w:line="206" w:lineRule="exact"/>
              <w:ind w:left="624"/>
              <w:jc w:val="left"/>
              <w:rPr>
                <w:sz w:val="18"/>
              </w:rPr>
            </w:pPr>
            <w:r>
              <w:rPr>
                <w:sz w:val="18"/>
              </w:rPr>
              <w:t>2.0 m</w:t>
            </w:r>
          </w:p>
        </w:tc>
        <w:tc>
          <w:tcPr>
            <w:tcW w:w="1697" w:type="dxa"/>
            <w:shd w:val="clear" w:color="auto" w:fill="C5DFB3"/>
          </w:tcPr>
          <w:p>
            <w:pPr>
              <w:pStyle w:val="TableParagraph"/>
              <w:spacing w:line="206" w:lineRule="exact"/>
              <w:ind w:right="608"/>
              <w:jc w:val="right"/>
              <w:rPr>
                <w:sz w:val="18"/>
              </w:rPr>
            </w:pPr>
            <w:r>
              <w:rPr>
                <w:sz w:val="18"/>
              </w:rPr>
              <w:t>1.9 m</w:t>
            </w:r>
          </w:p>
        </w:tc>
        <w:tc>
          <w:tcPr>
            <w:tcW w:w="1699" w:type="dxa"/>
            <w:shd w:val="clear" w:color="auto" w:fill="C5DFB3"/>
          </w:tcPr>
          <w:p>
            <w:pPr>
              <w:pStyle w:val="TableParagraph"/>
              <w:spacing w:line="206" w:lineRule="exact"/>
              <w:ind w:left="623"/>
              <w:jc w:val="left"/>
              <w:rPr>
                <w:sz w:val="18"/>
              </w:rPr>
            </w:pPr>
            <w:r>
              <w:rPr>
                <w:sz w:val="18"/>
              </w:rPr>
              <w:t>1.9 m</w:t>
            </w:r>
          </w:p>
        </w:tc>
        <w:tc>
          <w:tcPr>
            <w:tcW w:w="1700" w:type="dxa"/>
          </w:tcPr>
          <w:p>
            <w:pPr>
              <w:pStyle w:val="TableParagraph"/>
              <w:spacing w:line="206" w:lineRule="exact"/>
              <w:ind w:left="624"/>
              <w:jc w:val="left"/>
              <w:rPr>
                <w:sz w:val="18"/>
              </w:rPr>
            </w:pPr>
            <w:r>
              <w:rPr>
                <w:sz w:val="18"/>
              </w:rPr>
              <w:t>2.2 m</w:t>
            </w:r>
          </w:p>
        </w:tc>
      </w:tr>
      <w:tr>
        <w:trPr>
          <w:trHeight w:val="496" w:hRule="atLeast"/>
        </w:trPr>
        <w:tc>
          <w:tcPr>
            <w:tcW w:w="1699" w:type="dxa"/>
          </w:tcPr>
          <w:p>
            <w:pPr>
              <w:pStyle w:val="TableParagraph"/>
              <w:spacing w:line="206" w:lineRule="exact"/>
              <w:ind w:left="107"/>
              <w:jc w:val="left"/>
              <w:rPr>
                <w:sz w:val="18"/>
              </w:rPr>
            </w:pPr>
            <w:r>
              <w:rPr>
                <w:position w:val="1"/>
                <w:sz w:val="18"/>
              </w:rPr>
              <w:t>MAE</w:t>
            </w:r>
            <w:r>
              <w:rPr>
                <w:sz w:val="12"/>
              </w:rPr>
              <w:t>90Q</w:t>
            </w:r>
            <w:r>
              <w:rPr>
                <w:position w:val="1"/>
                <w:sz w:val="18"/>
              </w:rPr>
              <w:t>tn</w:t>
            </w:r>
          </w:p>
          <w:p>
            <w:pPr>
              <w:pStyle w:val="TableParagraph"/>
              <w:spacing w:before="43"/>
              <w:ind w:left="107"/>
              <w:jc w:val="left"/>
              <w:rPr>
                <w:sz w:val="18"/>
              </w:rPr>
            </w:pPr>
            <w:r>
              <w:rPr>
                <w:sz w:val="18"/>
              </w:rPr>
              <w:t>validering</w:t>
            </w:r>
          </w:p>
        </w:tc>
        <w:tc>
          <w:tcPr>
            <w:tcW w:w="1700" w:type="dxa"/>
            <w:shd w:val="clear" w:color="auto" w:fill="C5DFB3"/>
          </w:tcPr>
          <w:p>
            <w:pPr>
              <w:pStyle w:val="TableParagraph"/>
              <w:spacing w:line="206" w:lineRule="exact"/>
              <w:ind w:left="624"/>
              <w:jc w:val="left"/>
              <w:rPr>
                <w:sz w:val="18"/>
              </w:rPr>
            </w:pPr>
            <w:r>
              <w:rPr>
                <w:sz w:val="18"/>
              </w:rPr>
              <w:t>1.6 m</w:t>
            </w:r>
          </w:p>
        </w:tc>
        <w:tc>
          <w:tcPr>
            <w:tcW w:w="1697" w:type="dxa"/>
            <w:shd w:val="clear" w:color="auto" w:fill="C5DFB3"/>
          </w:tcPr>
          <w:p>
            <w:pPr>
              <w:pStyle w:val="TableParagraph"/>
              <w:spacing w:line="206" w:lineRule="exact"/>
              <w:ind w:right="608"/>
              <w:jc w:val="right"/>
              <w:rPr>
                <w:sz w:val="18"/>
              </w:rPr>
            </w:pPr>
            <w:r>
              <w:rPr>
                <w:sz w:val="18"/>
              </w:rPr>
              <w:t>1.6 m</w:t>
            </w:r>
          </w:p>
        </w:tc>
        <w:tc>
          <w:tcPr>
            <w:tcW w:w="1699" w:type="dxa"/>
          </w:tcPr>
          <w:p>
            <w:pPr>
              <w:pStyle w:val="TableParagraph"/>
              <w:spacing w:line="206" w:lineRule="exact"/>
              <w:ind w:left="623"/>
              <w:jc w:val="left"/>
              <w:rPr>
                <w:sz w:val="18"/>
              </w:rPr>
            </w:pPr>
            <w:r>
              <w:rPr>
                <w:sz w:val="18"/>
              </w:rPr>
              <w:t>1.9 m</w:t>
            </w:r>
          </w:p>
        </w:tc>
        <w:tc>
          <w:tcPr>
            <w:tcW w:w="1700" w:type="dxa"/>
          </w:tcPr>
          <w:p>
            <w:pPr>
              <w:pStyle w:val="TableParagraph"/>
              <w:spacing w:line="206" w:lineRule="exact"/>
              <w:ind w:left="624"/>
              <w:jc w:val="left"/>
              <w:rPr>
                <w:sz w:val="18"/>
              </w:rPr>
            </w:pPr>
            <w:r>
              <w:rPr>
                <w:sz w:val="18"/>
              </w:rPr>
              <w:t>1.9 m</w:t>
            </w:r>
          </w:p>
        </w:tc>
      </w:tr>
    </w:tbl>
    <w:p>
      <w:pPr>
        <w:pStyle w:val="BodyText"/>
        <w:rPr>
          <w:rFonts w:ascii="Calibri"/>
          <w:i/>
          <w:sz w:val="18"/>
        </w:rPr>
      </w:pPr>
    </w:p>
    <w:p>
      <w:pPr>
        <w:pStyle w:val="BodyText"/>
        <w:spacing w:before="8"/>
        <w:rPr>
          <w:rFonts w:ascii="Calibri"/>
          <w:i/>
          <w:sz w:val="15"/>
        </w:rPr>
      </w:pPr>
    </w:p>
    <w:p>
      <w:pPr>
        <w:pStyle w:val="BodyText"/>
        <w:spacing w:line="288" w:lineRule="auto"/>
        <w:ind w:left="525" w:right="729"/>
        <w:jc w:val="both"/>
      </w:pPr>
      <w:r>
        <w:rPr/>
        <w:t>Det fremgår af </w:t>
      </w:r>
      <w:hyperlink w:history="true" w:anchor="_bookmark160">
        <w:r>
          <w:rPr/>
          <w:t>tabel 32 </w:t>
        </w:r>
      </w:hyperlink>
      <w:r>
        <w:rPr/>
        <w:t>at 100 meter modellen giver en klar bedre performance sammenlig- ned med DK modellen, mens 500 m modellen ligger et sted midt imellem. Det er både den stedspecifikke kalibrering og den forbedrede opløsning der har betydning. I tabel 33 er ud- trukket resultater for vandføringsstationer af performance i forhold til vandbalancen (Fbal, Fbal-Sommer) samt afstrømningsdynamik Nash-Sutcliffe (R2).</w:t>
      </w:r>
    </w:p>
    <w:p>
      <w:pPr>
        <w:spacing w:after="0" w:line="288" w:lineRule="auto"/>
        <w:jc w:val="both"/>
        <w:sectPr>
          <w:pgSz w:w="11910" w:h="16850"/>
          <w:pgMar w:header="0" w:footer="937" w:top="1340" w:bottom="1120" w:left="1460" w:right="680"/>
        </w:sectPr>
      </w:pPr>
    </w:p>
    <w:p>
      <w:pPr>
        <w:spacing w:before="36"/>
        <w:ind w:left="525" w:right="832" w:firstLine="0"/>
        <w:jc w:val="left"/>
        <w:rPr>
          <w:rFonts w:ascii="Calibri" w:hAnsi="Calibri"/>
          <w:i/>
          <w:sz w:val="18"/>
        </w:rPr>
      </w:pPr>
      <w:bookmarkStart w:name="_bookmark161" w:id="200"/>
      <w:bookmarkEnd w:id="200"/>
      <w:r>
        <w:rPr/>
      </w:r>
      <w:r>
        <w:rPr>
          <w:rFonts w:ascii="Calibri" w:hAnsi="Calibri"/>
          <w:i/>
          <w:color w:val="44536A"/>
          <w:sz w:val="18"/>
        </w:rPr>
        <w:t>Tabel 33 Performance af DK model udtrukket fra VandWeb (DK model august 2018) og sammenlignet med 100 me- </w:t>
      </w:r>
      <w:r>
        <w:rPr>
          <w:rFonts w:ascii="Calibri" w:hAnsi="Calibri"/>
          <w:i/>
          <w:color w:val="44536A"/>
          <w:sz w:val="18"/>
        </w:rPr>
        <w:t>ter model. Med grønt er markeret hvilken model der er bedst i sammenligningen.</w:t>
      </w:r>
    </w:p>
    <w:p>
      <w:pPr>
        <w:pStyle w:val="BodyText"/>
        <w:spacing w:before="5" w:after="1"/>
        <w:rPr>
          <w:rFonts w:ascii="Calibri"/>
          <w:i/>
          <w:sz w:val="16"/>
        </w:rPr>
      </w:pPr>
    </w:p>
    <w:tbl>
      <w:tblPr>
        <w:tblW w:w="0" w:type="auto"/>
        <w:jc w:val="left"/>
        <w:tblInd w:w="540" w:type="dxa"/>
        <w:tblBorders>
          <w:top w:val="single" w:sz="6" w:space="0" w:color="D3D3D3"/>
          <w:left w:val="single" w:sz="6" w:space="0" w:color="D3D3D3"/>
          <w:bottom w:val="single" w:sz="6" w:space="0" w:color="D3D3D3"/>
          <w:right w:val="single" w:sz="6" w:space="0" w:color="D3D3D3"/>
          <w:insideH w:val="single" w:sz="6" w:space="0" w:color="D3D3D3"/>
          <w:insideV w:val="single" w:sz="6" w:space="0" w:color="D3D3D3"/>
        </w:tblBorders>
        <w:tblLayout w:type="fixed"/>
        <w:tblCellMar>
          <w:top w:w="0" w:type="dxa"/>
          <w:left w:w="0" w:type="dxa"/>
          <w:bottom w:w="0" w:type="dxa"/>
          <w:right w:w="0" w:type="dxa"/>
        </w:tblCellMar>
        <w:tblLook w:val="01E0"/>
      </w:tblPr>
      <w:tblGrid>
        <w:gridCol w:w="2700"/>
        <w:gridCol w:w="818"/>
        <w:gridCol w:w="818"/>
        <w:gridCol w:w="818"/>
        <w:gridCol w:w="817"/>
        <w:gridCol w:w="819"/>
        <w:gridCol w:w="818"/>
      </w:tblGrid>
      <w:tr>
        <w:trPr>
          <w:trHeight w:val="240" w:hRule="atLeast"/>
        </w:trPr>
        <w:tc>
          <w:tcPr>
            <w:tcW w:w="2700" w:type="dxa"/>
          </w:tcPr>
          <w:p>
            <w:pPr>
              <w:pStyle w:val="TableParagraph"/>
              <w:jc w:val="left"/>
              <w:rPr>
                <w:rFonts w:ascii="Times New Roman"/>
                <w:sz w:val="16"/>
              </w:rPr>
            </w:pPr>
          </w:p>
        </w:tc>
        <w:tc>
          <w:tcPr>
            <w:tcW w:w="1636" w:type="dxa"/>
            <w:gridSpan w:val="2"/>
          </w:tcPr>
          <w:p>
            <w:pPr>
              <w:pStyle w:val="TableParagraph"/>
              <w:spacing w:line="211" w:lineRule="exact" w:before="9"/>
              <w:ind w:left="31"/>
              <w:jc w:val="left"/>
              <w:rPr>
                <w:rFonts w:ascii="Calibri"/>
                <w:b/>
                <w:sz w:val="19"/>
              </w:rPr>
            </w:pPr>
            <w:r>
              <w:rPr>
                <w:rFonts w:ascii="Calibri"/>
                <w:b/>
                <w:sz w:val="19"/>
              </w:rPr>
              <w:t>DK-model</w:t>
            </w:r>
          </w:p>
        </w:tc>
        <w:tc>
          <w:tcPr>
            <w:tcW w:w="818" w:type="dxa"/>
          </w:tcPr>
          <w:p>
            <w:pPr>
              <w:pStyle w:val="TableParagraph"/>
              <w:jc w:val="left"/>
              <w:rPr>
                <w:rFonts w:ascii="Times New Roman"/>
                <w:sz w:val="16"/>
              </w:rPr>
            </w:pPr>
          </w:p>
        </w:tc>
        <w:tc>
          <w:tcPr>
            <w:tcW w:w="1636" w:type="dxa"/>
            <w:gridSpan w:val="2"/>
          </w:tcPr>
          <w:p>
            <w:pPr>
              <w:pStyle w:val="TableParagraph"/>
              <w:spacing w:line="211" w:lineRule="exact" w:before="9"/>
              <w:ind w:left="34"/>
              <w:jc w:val="left"/>
              <w:rPr>
                <w:rFonts w:ascii="Calibri"/>
                <w:b/>
                <w:sz w:val="19"/>
              </w:rPr>
            </w:pPr>
            <w:r>
              <w:rPr>
                <w:rFonts w:ascii="Calibri"/>
                <w:b/>
                <w:sz w:val="19"/>
              </w:rPr>
              <w:t>100 m JUP+Reg</w:t>
            </w:r>
          </w:p>
        </w:tc>
        <w:tc>
          <w:tcPr>
            <w:tcW w:w="818" w:type="dxa"/>
          </w:tcPr>
          <w:p>
            <w:pPr>
              <w:pStyle w:val="TableParagraph"/>
              <w:jc w:val="left"/>
              <w:rPr>
                <w:rFonts w:ascii="Times New Roman"/>
                <w:sz w:val="16"/>
              </w:rPr>
            </w:pPr>
          </w:p>
        </w:tc>
      </w:tr>
      <w:tr>
        <w:trPr>
          <w:trHeight w:val="240" w:hRule="atLeast"/>
        </w:trPr>
        <w:tc>
          <w:tcPr>
            <w:tcW w:w="2700" w:type="dxa"/>
          </w:tcPr>
          <w:p>
            <w:pPr>
              <w:pStyle w:val="TableParagraph"/>
              <w:spacing w:line="211" w:lineRule="exact" w:before="9"/>
              <w:ind w:left="30"/>
              <w:jc w:val="left"/>
              <w:rPr>
                <w:rFonts w:ascii="Calibri"/>
                <w:b/>
                <w:sz w:val="19"/>
              </w:rPr>
            </w:pPr>
            <w:r>
              <w:rPr>
                <w:rFonts w:ascii="Calibri"/>
                <w:b/>
                <w:sz w:val="19"/>
              </w:rPr>
              <w:t>2000-2008 kalibrering</w:t>
            </w:r>
          </w:p>
        </w:tc>
        <w:tc>
          <w:tcPr>
            <w:tcW w:w="818" w:type="dxa"/>
          </w:tcPr>
          <w:p>
            <w:pPr>
              <w:pStyle w:val="TableParagraph"/>
              <w:spacing w:line="211" w:lineRule="exact" w:before="9"/>
              <w:ind w:left="31"/>
              <w:jc w:val="left"/>
              <w:rPr>
                <w:rFonts w:ascii="Calibri"/>
                <w:sz w:val="19"/>
              </w:rPr>
            </w:pPr>
            <w:r>
              <w:rPr>
                <w:rFonts w:ascii="Calibri"/>
                <w:sz w:val="19"/>
              </w:rPr>
              <w:t>Fbal</w:t>
            </w:r>
          </w:p>
        </w:tc>
        <w:tc>
          <w:tcPr>
            <w:tcW w:w="818" w:type="dxa"/>
          </w:tcPr>
          <w:p>
            <w:pPr>
              <w:pStyle w:val="TableParagraph"/>
              <w:spacing w:line="211" w:lineRule="exact" w:before="9"/>
              <w:ind w:left="32"/>
              <w:jc w:val="left"/>
              <w:rPr>
                <w:rFonts w:ascii="Calibri"/>
                <w:sz w:val="19"/>
              </w:rPr>
            </w:pPr>
            <w:r>
              <w:rPr>
                <w:rFonts w:ascii="Calibri"/>
                <w:sz w:val="19"/>
              </w:rPr>
              <w:t>Fbal-S</w:t>
            </w:r>
          </w:p>
        </w:tc>
        <w:tc>
          <w:tcPr>
            <w:tcW w:w="818" w:type="dxa"/>
          </w:tcPr>
          <w:p>
            <w:pPr>
              <w:pStyle w:val="TableParagraph"/>
              <w:spacing w:line="211" w:lineRule="exact" w:before="9"/>
              <w:ind w:left="33"/>
              <w:jc w:val="left"/>
              <w:rPr>
                <w:rFonts w:ascii="Calibri"/>
                <w:sz w:val="19"/>
              </w:rPr>
            </w:pPr>
            <w:r>
              <w:rPr>
                <w:rFonts w:ascii="Calibri"/>
                <w:sz w:val="19"/>
              </w:rPr>
              <w:t>R2</w:t>
            </w:r>
          </w:p>
        </w:tc>
        <w:tc>
          <w:tcPr>
            <w:tcW w:w="817" w:type="dxa"/>
            <w:tcBorders>
              <w:bottom w:val="nil"/>
            </w:tcBorders>
          </w:tcPr>
          <w:p>
            <w:pPr>
              <w:pStyle w:val="TableParagraph"/>
              <w:spacing w:line="211" w:lineRule="exact" w:before="9"/>
              <w:ind w:left="34"/>
              <w:jc w:val="left"/>
              <w:rPr>
                <w:rFonts w:ascii="Calibri"/>
                <w:sz w:val="19"/>
              </w:rPr>
            </w:pPr>
            <w:r>
              <w:rPr>
                <w:rFonts w:ascii="Calibri"/>
                <w:sz w:val="19"/>
              </w:rPr>
              <w:t>Fbal</w:t>
            </w:r>
          </w:p>
        </w:tc>
        <w:tc>
          <w:tcPr>
            <w:tcW w:w="819" w:type="dxa"/>
            <w:tcBorders>
              <w:bottom w:val="nil"/>
            </w:tcBorders>
          </w:tcPr>
          <w:p>
            <w:pPr>
              <w:pStyle w:val="TableParagraph"/>
              <w:spacing w:line="211" w:lineRule="exact" w:before="9"/>
              <w:ind w:left="36"/>
              <w:jc w:val="left"/>
              <w:rPr>
                <w:rFonts w:ascii="Calibri"/>
                <w:sz w:val="19"/>
              </w:rPr>
            </w:pPr>
            <w:r>
              <w:rPr>
                <w:rFonts w:ascii="Calibri"/>
                <w:sz w:val="19"/>
              </w:rPr>
              <w:t>Fbal-S</w:t>
            </w:r>
          </w:p>
        </w:tc>
        <w:tc>
          <w:tcPr>
            <w:tcW w:w="818" w:type="dxa"/>
            <w:tcBorders>
              <w:bottom w:val="nil"/>
            </w:tcBorders>
          </w:tcPr>
          <w:p>
            <w:pPr>
              <w:pStyle w:val="TableParagraph"/>
              <w:spacing w:line="211" w:lineRule="exact" w:before="9"/>
              <w:ind w:left="36"/>
              <w:jc w:val="left"/>
              <w:rPr>
                <w:rFonts w:ascii="Calibri"/>
                <w:sz w:val="19"/>
              </w:rPr>
            </w:pPr>
            <w:r>
              <w:rPr>
                <w:rFonts w:ascii="Calibri"/>
                <w:sz w:val="19"/>
              </w:rPr>
              <w:t>R2</w:t>
            </w:r>
          </w:p>
        </w:tc>
      </w:tr>
      <w:tr>
        <w:trPr>
          <w:trHeight w:val="240" w:hRule="atLeast"/>
        </w:trPr>
        <w:tc>
          <w:tcPr>
            <w:tcW w:w="2700" w:type="dxa"/>
          </w:tcPr>
          <w:p>
            <w:pPr>
              <w:pStyle w:val="TableParagraph"/>
              <w:spacing w:line="211" w:lineRule="exact" w:before="10"/>
              <w:ind w:left="30"/>
              <w:jc w:val="left"/>
              <w:rPr>
                <w:rFonts w:ascii="Calibri" w:hAnsi="Calibri"/>
                <w:sz w:val="19"/>
              </w:rPr>
            </w:pPr>
            <w:r>
              <w:rPr>
                <w:rFonts w:ascii="Calibri" w:hAnsi="Calibri"/>
                <w:sz w:val="19"/>
              </w:rPr>
              <w:t>220048 IdomÅ</w:t>
            </w:r>
          </w:p>
        </w:tc>
        <w:tc>
          <w:tcPr>
            <w:tcW w:w="818" w:type="dxa"/>
          </w:tcPr>
          <w:p>
            <w:pPr>
              <w:pStyle w:val="TableParagraph"/>
              <w:spacing w:line="211" w:lineRule="exact" w:before="10"/>
              <w:ind w:right="7"/>
              <w:jc w:val="right"/>
              <w:rPr>
                <w:rFonts w:ascii="Calibri"/>
                <w:sz w:val="19"/>
              </w:rPr>
            </w:pPr>
            <w:r>
              <w:rPr>
                <w:rFonts w:ascii="Calibri"/>
                <w:sz w:val="19"/>
              </w:rPr>
              <w:t>8.2</w:t>
            </w:r>
          </w:p>
        </w:tc>
        <w:tc>
          <w:tcPr>
            <w:tcW w:w="818" w:type="dxa"/>
          </w:tcPr>
          <w:p>
            <w:pPr>
              <w:pStyle w:val="TableParagraph"/>
              <w:spacing w:line="211" w:lineRule="exact" w:before="10"/>
              <w:ind w:right="6"/>
              <w:jc w:val="right"/>
              <w:rPr>
                <w:rFonts w:ascii="Calibri"/>
                <w:sz w:val="19"/>
              </w:rPr>
            </w:pPr>
            <w:r>
              <w:rPr>
                <w:rFonts w:ascii="Calibri"/>
                <w:sz w:val="19"/>
              </w:rPr>
              <w:t>26.8</w:t>
            </w:r>
          </w:p>
        </w:tc>
        <w:tc>
          <w:tcPr>
            <w:tcW w:w="818" w:type="dxa"/>
            <w:tcBorders>
              <w:right w:val="nil"/>
            </w:tcBorders>
          </w:tcPr>
          <w:p>
            <w:pPr>
              <w:pStyle w:val="TableParagraph"/>
              <w:spacing w:line="211" w:lineRule="exact" w:before="10"/>
              <w:ind w:right="12"/>
              <w:jc w:val="right"/>
              <w:rPr>
                <w:rFonts w:ascii="Calibri"/>
                <w:sz w:val="19"/>
              </w:rPr>
            </w:pPr>
            <w:r>
              <w:rPr>
                <w:rFonts w:ascii="Calibri"/>
                <w:sz w:val="19"/>
              </w:rPr>
              <w:t>0.38</w:t>
            </w:r>
          </w:p>
        </w:tc>
        <w:tc>
          <w:tcPr>
            <w:tcW w:w="817" w:type="dxa"/>
            <w:vMerge w:val="restart"/>
            <w:tcBorders>
              <w:top w:val="nil"/>
              <w:left w:val="nil"/>
              <w:bottom w:val="nil"/>
              <w:right w:val="nil"/>
            </w:tcBorders>
            <w:shd w:val="clear" w:color="auto" w:fill="C5DFB4"/>
          </w:tcPr>
          <w:p>
            <w:pPr>
              <w:pStyle w:val="TableParagraph"/>
              <w:spacing w:before="10"/>
              <w:ind w:right="10"/>
              <w:jc w:val="right"/>
              <w:rPr>
                <w:rFonts w:ascii="Calibri"/>
                <w:b/>
                <w:sz w:val="19"/>
              </w:rPr>
            </w:pPr>
            <w:r>
              <w:rPr>
                <w:rFonts w:ascii="Calibri"/>
                <w:b/>
                <w:spacing w:val="-4"/>
                <w:sz w:val="19"/>
              </w:rPr>
              <w:t>1.6</w:t>
            </w:r>
          </w:p>
          <w:p>
            <w:pPr>
              <w:pStyle w:val="TableParagraph"/>
              <w:spacing w:before="23"/>
              <w:ind w:right="10"/>
              <w:jc w:val="right"/>
              <w:rPr>
                <w:rFonts w:ascii="Calibri"/>
                <w:b/>
                <w:sz w:val="19"/>
              </w:rPr>
            </w:pPr>
            <w:r>
              <w:rPr>
                <w:rFonts w:ascii="Calibri"/>
                <w:b/>
                <w:spacing w:val="-2"/>
                <w:sz w:val="19"/>
              </w:rPr>
              <w:t>-1.4</w:t>
            </w:r>
          </w:p>
          <w:p>
            <w:pPr>
              <w:pStyle w:val="TableParagraph"/>
              <w:spacing w:before="24"/>
              <w:ind w:right="10"/>
              <w:jc w:val="right"/>
              <w:rPr>
                <w:rFonts w:ascii="Calibri"/>
                <w:b/>
                <w:sz w:val="19"/>
              </w:rPr>
            </w:pPr>
            <w:r>
              <w:rPr>
                <w:rFonts w:ascii="Calibri"/>
                <w:b/>
                <w:spacing w:val="-4"/>
                <w:sz w:val="19"/>
              </w:rPr>
              <w:t>0.7</w:t>
            </w:r>
          </w:p>
          <w:p>
            <w:pPr>
              <w:pStyle w:val="TableParagraph"/>
              <w:spacing w:before="24"/>
              <w:ind w:right="10"/>
              <w:jc w:val="right"/>
              <w:rPr>
                <w:rFonts w:ascii="Calibri"/>
                <w:b/>
                <w:sz w:val="19"/>
              </w:rPr>
            </w:pPr>
            <w:r>
              <w:rPr>
                <w:rFonts w:ascii="Calibri"/>
                <w:b/>
                <w:spacing w:val="-2"/>
                <w:sz w:val="19"/>
              </w:rPr>
              <w:t>-4.1</w:t>
            </w:r>
          </w:p>
          <w:p>
            <w:pPr>
              <w:pStyle w:val="TableParagraph"/>
              <w:spacing w:line="211" w:lineRule="exact" w:before="24"/>
              <w:ind w:right="10"/>
              <w:jc w:val="right"/>
              <w:rPr>
                <w:rFonts w:ascii="Calibri"/>
                <w:b/>
                <w:sz w:val="19"/>
              </w:rPr>
            </w:pPr>
            <w:r>
              <w:rPr>
                <w:rFonts w:ascii="Calibri"/>
                <w:b/>
                <w:spacing w:val="-4"/>
                <w:sz w:val="19"/>
              </w:rPr>
              <w:t>1.4</w:t>
            </w:r>
          </w:p>
        </w:tc>
        <w:tc>
          <w:tcPr>
            <w:tcW w:w="819" w:type="dxa"/>
            <w:vMerge w:val="restart"/>
            <w:tcBorders>
              <w:top w:val="nil"/>
              <w:left w:val="nil"/>
              <w:bottom w:val="nil"/>
              <w:right w:val="nil"/>
            </w:tcBorders>
            <w:shd w:val="clear" w:color="auto" w:fill="C5DFB4"/>
          </w:tcPr>
          <w:p>
            <w:pPr>
              <w:pStyle w:val="TableParagraph"/>
              <w:spacing w:before="10"/>
              <w:ind w:right="10"/>
              <w:jc w:val="right"/>
              <w:rPr>
                <w:rFonts w:ascii="Calibri"/>
                <w:b/>
                <w:sz w:val="19"/>
              </w:rPr>
            </w:pPr>
            <w:r>
              <w:rPr>
                <w:rFonts w:ascii="Calibri"/>
                <w:b/>
                <w:spacing w:val="-4"/>
                <w:sz w:val="19"/>
              </w:rPr>
              <w:t>2.4</w:t>
            </w:r>
          </w:p>
          <w:p>
            <w:pPr>
              <w:pStyle w:val="TableParagraph"/>
              <w:spacing w:before="23"/>
              <w:ind w:right="10"/>
              <w:jc w:val="right"/>
              <w:rPr>
                <w:rFonts w:ascii="Calibri"/>
                <w:b/>
                <w:sz w:val="19"/>
              </w:rPr>
            </w:pPr>
            <w:r>
              <w:rPr>
                <w:rFonts w:ascii="Calibri"/>
                <w:b/>
                <w:w w:val="101"/>
                <w:sz w:val="19"/>
              </w:rPr>
              <w:t>2</w:t>
            </w:r>
          </w:p>
          <w:p>
            <w:pPr>
              <w:pStyle w:val="TableParagraph"/>
              <w:spacing w:before="24"/>
              <w:ind w:right="10"/>
              <w:jc w:val="right"/>
              <w:rPr>
                <w:rFonts w:ascii="Calibri"/>
                <w:b/>
                <w:sz w:val="19"/>
              </w:rPr>
            </w:pPr>
            <w:r>
              <w:rPr>
                <w:rFonts w:ascii="Calibri"/>
                <w:b/>
                <w:spacing w:val="-3"/>
                <w:sz w:val="19"/>
              </w:rPr>
              <w:t>-27.1</w:t>
            </w:r>
          </w:p>
          <w:p>
            <w:pPr>
              <w:pStyle w:val="TableParagraph"/>
              <w:spacing w:before="24"/>
              <w:ind w:right="10"/>
              <w:jc w:val="right"/>
              <w:rPr>
                <w:rFonts w:ascii="Calibri"/>
                <w:b/>
                <w:sz w:val="19"/>
              </w:rPr>
            </w:pPr>
            <w:r>
              <w:rPr>
                <w:rFonts w:ascii="Calibri"/>
                <w:b/>
                <w:spacing w:val="-3"/>
                <w:sz w:val="19"/>
              </w:rPr>
              <w:t>-14.7</w:t>
            </w:r>
          </w:p>
          <w:p>
            <w:pPr>
              <w:pStyle w:val="TableParagraph"/>
              <w:spacing w:line="211" w:lineRule="exact" w:before="24"/>
              <w:ind w:right="10"/>
              <w:jc w:val="right"/>
              <w:rPr>
                <w:rFonts w:ascii="Calibri"/>
                <w:b/>
                <w:sz w:val="19"/>
              </w:rPr>
            </w:pPr>
            <w:r>
              <w:rPr>
                <w:rFonts w:ascii="Calibri"/>
                <w:b/>
                <w:spacing w:val="-2"/>
                <w:sz w:val="19"/>
              </w:rPr>
              <w:t>-1.4</w:t>
            </w:r>
          </w:p>
        </w:tc>
        <w:tc>
          <w:tcPr>
            <w:tcW w:w="818" w:type="dxa"/>
            <w:vMerge w:val="restart"/>
            <w:tcBorders>
              <w:top w:val="nil"/>
              <w:left w:val="nil"/>
              <w:bottom w:val="nil"/>
              <w:right w:val="nil"/>
            </w:tcBorders>
            <w:shd w:val="clear" w:color="auto" w:fill="C5DFB4"/>
          </w:tcPr>
          <w:p>
            <w:pPr>
              <w:pStyle w:val="TableParagraph"/>
              <w:spacing w:before="10"/>
              <w:ind w:left="479"/>
              <w:jc w:val="left"/>
              <w:rPr>
                <w:rFonts w:ascii="Calibri"/>
                <w:b/>
                <w:sz w:val="19"/>
              </w:rPr>
            </w:pPr>
            <w:r>
              <w:rPr>
                <w:rFonts w:ascii="Calibri"/>
                <w:b/>
                <w:spacing w:val="-5"/>
                <w:sz w:val="19"/>
              </w:rPr>
              <w:t>0.62</w:t>
            </w:r>
          </w:p>
          <w:p>
            <w:pPr>
              <w:pStyle w:val="TableParagraph"/>
              <w:spacing w:before="23"/>
              <w:ind w:left="479"/>
              <w:jc w:val="left"/>
              <w:rPr>
                <w:rFonts w:ascii="Calibri"/>
                <w:b/>
                <w:sz w:val="19"/>
              </w:rPr>
            </w:pPr>
            <w:r>
              <w:rPr>
                <w:rFonts w:ascii="Calibri"/>
                <w:b/>
                <w:spacing w:val="-5"/>
                <w:sz w:val="19"/>
              </w:rPr>
              <w:t>0.58</w:t>
            </w:r>
          </w:p>
          <w:p>
            <w:pPr>
              <w:pStyle w:val="TableParagraph"/>
              <w:spacing w:before="24"/>
              <w:ind w:left="479"/>
              <w:jc w:val="left"/>
              <w:rPr>
                <w:rFonts w:ascii="Calibri"/>
                <w:b/>
                <w:sz w:val="19"/>
              </w:rPr>
            </w:pPr>
            <w:r>
              <w:rPr>
                <w:rFonts w:ascii="Calibri"/>
                <w:b/>
                <w:spacing w:val="-5"/>
                <w:sz w:val="19"/>
              </w:rPr>
              <w:t>0.88</w:t>
            </w:r>
          </w:p>
          <w:p>
            <w:pPr>
              <w:pStyle w:val="TableParagraph"/>
              <w:spacing w:before="24"/>
              <w:ind w:left="479"/>
              <w:jc w:val="left"/>
              <w:rPr>
                <w:rFonts w:ascii="Calibri"/>
                <w:b/>
                <w:sz w:val="19"/>
              </w:rPr>
            </w:pPr>
            <w:r>
              <w:rPr>
                <w:rFonts w:ascii="Calibri"/>
                <w:b/>
                <w:spacing w:val="-5"/>
                <w:sz w:val="19"/>
              </w:rPr>
              <w:t>0.88</w:t>
            </w:r>
          </w:p>
          <w:p>
            <w:pPr>
              <w:pStyle w:val="TableParagraph"/>
              <w:spacing w:line="211" w:lineRule="exact" w:before="24"/>
              <w:ind w:left="479"/>
              <w:jc w:val="left"/>
              <w:rPr>
                <w:rFonts w:ascii="Calibri"/>
                <w:b/>
                <w:sz w:val="19"/>
              </w:rPr>
            </w:pPr>
            <w:r>
              <w:rPr>
                <w:rFonts w:ascii="Calibri"/>
                <w:b/>
                <w:spacing w:val="-5"/>
                <w:sz w:val="19"/>
              </w:rPr>
              <w:t>0.89</w:t>
            </w:r>
          </w:p>
        </w:tc>
      </w:tr>
      <w:tr>
        <w:trPr>
          <w:trHeight w:val="240" w:hRule="atLeast"/>
        </w:trPr>
        <w:tc>
          <w:tcPr>
            <w:tcW w:w="2700" w:type="dxa"/>
          </w:tcPr>
          <w:p>
            <w:pPr>
              <w:pStyle w:val="TableParagraph"/>
              <w:spacing w:line="211" w:lineRule="exact" w:before="9"/>
              <w:ind w:left="30"/>
              <w:jc w:val="left"/>
              <w:rPr>
                <w:rFonts w:ascii="Calibri" w:hAnsi="Calibri"/>
                <w:sz w:val="19"/>
              </w:rPr>
            </w:pPr>
            <w:r>
              <w:rPr>
                <w:rFonts w:ascii="Calibri" w:hAnsi="Calibri"/>
                <w:sz w:val="19"/>
              </w:rPr>
              <w:t>220050 Lille Å</w:t>
            </w:r>
          </w:p>
        </w:tc>
        <w:tc>
          <w:tcPr>
            <w:tcW w:w="818" w:type="dxa"/>
          </w:tcPr>
          <w:p>
            <w:pPr>
              <w:pStyle w:val="TableParagraph"/>
              <w:spacing w:line="211" w:lineRule="exact" w:before="9"/>
              <w:ind w:right="7"/>
              <w:jc w:val="right"/>
              <w:rPr>
                <w:rFonts w:ascii="Calibri"/>
                <w:sz w:val="19"/>
              </w:rPr>
            </w:pPr>
            <w:r>
              <w:rPr>
                <w:rFonts w:ascii="Calibri"/>
                <w:sz w:val="19"/>
              </w:rPr>
              <w:t>-15</w:t>
            </w:r>
          </w:p>
        </w:tc>
        <w:tc>
          <w:tcPr>
            <w:tcW w:w="818" w:type="dxa"/>
          </w:tcPr>
          <w:p>
            <w:pPr>
              <w:pStyle w:val="TableParagraph"/>
              <w:spacing w:line="211" w:lineRule="exact" w:before="9"/>
              <w:ind w:right="6"/>
              <w:jc w:val="right"/>
              <w:rPr>
                <w:rFonts w:ascii="Calibri"/>
                <w:sz w:val="19"/>
              </w:rPr>
            </w:pPr>
            <w:r>
              <w:rPr>
                <w:rFonts w:ascii="Calibri"/>
                <w:sz w:val="19"/>
              </w:rPr>
              <w:t>-7.1</w:t>
            </w:r>
          </w:p>
        </w:tc>
        <w:tc>
          <w:tcPr>
            <w:tcW w:w="818" w:type="dxa"/>
            <w:tcBorders>
              <w:right w:val="nil"/>
            </w:tcBorders>
          </w:tcPr>
          <w:p>
            <w:pPr>
              <w:pStyle w:val="TableParagraph"/>
              <w:spacing w:line="211" w:lineRule="exact" w:before="9"/>
              <w:ind w:right="12"/>
              <w:jc w:val="right"/>
              <w:rPr>
                <w:rFonts w:ascii="Calibri"/>
                <w:sz w:val="19"/>
              </w:rPr>
            </w:pPr>
            <w:r>
              <w:rPr>
                <w:rFonts w:ascii="Calibri"/>
                <w:sz w:val="19"/>
              </w:rPr>
              <w:t>0.08</w:t>
            </w:r>
          </w:p>
        </w:tc>
        <w:tc>
          <w:tcPr>
            <w:tcW w:w="817" w:type="dxa"/>
            <w:vMerge/>
            <w:tcBorders>
              <w:top w:val="nil"/>
              <w:left w:val="nil"/>
              <w:bottom w:val="nil"/>
              <w:right w:val="nil"/>
            </w:tcBorders>
            <w:shd w:val="clear" w:color="auto" w:fill="C5DFB4"/>
          </w:tcPr>
          <w:p>
            <w:pPr>
              <w:rPr>
                <w:sz w:val="2"/>
                <w:szCs w:val="2"/>
              </w:rPr>
            </w:pPr>
          </w:p>
        </w:tc>
        <w:tc>
          <w:tcPr>
            <w:tcW w:w="819" w:type="dxa"/>
            <w:vMerge/>
            <w:tcBorders>
              <w:top w:val="nil"/>
              <w:left w:val="nil"/>
              <w:bottom w:val="nil"/>
              <w:right w:val="nil"/>
            </w:tcBorders>
            <w:shd w:val="clear" w:color="auto" w:fill="C5DFB4"/>
          </w:tcPr>
          <w:p>
            <w:pPr>
              <w:rPr>
                <w:sz w:val="2"/>
                <w:szCs w:val="2"/>
              </w:rPr>
            </w:pPr>
          </w:p>
        </w:tc>
        <w:tc>
          <w:tcPr>
            <w:tcW w:w="818" w:type="dxa"/>
            <w:vMerge/>
            <w:tcBorders>
              <w:top w:val="nil"/>
              <w:left w:val="nil"/>
              <w:bottom w:val="nil"/>
              <w:right w:val="nil"/>
            </w:tcBorders>
            <w:shd w:val="clear" w:color="auto" w:fill="C5DFB4"/>
          </w:tcPr>
          <w:p>
            <w:pPr>
              <w:rPr>
                <w:sz w:val="2"/>
                <w:szCs w:val="2"/>
              </w:rPr>
            </w:pPr>
          </w:p>
        </w:tc>
      </w:tr>
      <w:tr>
        <w:trPr>
          <w:trHeight w:val="240" w:hRule="atLeast"/>
        </w:trPr>
        <w:tc>
          <w:tcPr>
            <w:tcW w:w="2700" w:type="dxa"/>
          </w:tcPr>
          <w:p>
            <w:pPr>
              <w:pStyle w:val="TableParagraph"/>
              <w:spacing w:line="211" w:lineRule="exact" w:before="9"/>
              <w:ind w:left="30"/>
              <w:jc w:val="left"/>
              <w:rPr>
                <w:rFonts w:ascii="Calibri" w:hAnsi="Calibri"/>
                <w:sz w:val="19"/>
              </w:rPr>
            </w:pPr>
            <w:r>
              <w:rPr>
                <w:rFonts w:ascii="Calibri" w:hAnsi="Calibri"/>
                <w:sz w:val="19"/>
              </w:rPr>
              <w:t>220053 Sunds Nørreå</w:t>
            </w:r>
          </w:p>
        </w:tc>
        <w:tc>
          <w:tcPr>
            <w:tcW w:w="818" w:type="dxa"/>
          </w:tcPr>
          <w:p>
            <w:pPr>
              <w:pStyle w:val="TableParagraph"/>
              <w:spacing w:line="211" w:lineRule="exact" w:before="9"/>
              <w:ind w:right="7"/>
              <w:jc w:val="right"/>
              <w:rPr>
                <w:rFonts w:ascii="Calibri"/>
                <w:sz w:val="19"/>
              </w:rPr>
            </w:pPr>
            <w:r>
              <w:rPr>
                <w:rFonts w:ascii="Calibri"/>
                <w:sz w:val="19"/>
              </w:rPr>
              <w:t>-26.9</w:t>
            </w:r>
          </w:p>
        </w:tc>
        <w:tc>
          <w:tcPr>
            <w:tcW w:w="818" w:type="dxa"/>
            <w:tcBorders>
              <w:bottom w:val="nil"/>
            </w:tcBorders>
          </w:tcPr>
          <w:p>
            <w:pPr>
              <w:pStyle w:val="TableParagraph"/>
              <w:spacing w:line="211" w:lineRule="exact" w:before="9"/>
              <w:ind w:right="6"/>
              <w:jc w:val="right"/>
              <w:rPr>
                <w:rFonts w:ascii="Calibri"/>
                <w:sz w:val="19"/>
              </w:rPr>
            </w:pPr>
            <w:r>
              <w:rPr>
                <w:rFonts w:ascii="Calibri"/>
                <w:sz w:val="19"/>
              </w:rPr>
              <w:t>-46.2</w:t>
            </w:r>
          </w:p>
        </w:tc>
        <w:tc>
          <w:tcPr>
            <w:tcW w:w="818" w:type="dxa"/>
            <w:tcBorders>
              <w:right w:val="nil"/>
            </w:tcBorders>
          </w:tcPr>
          <w:p>
            <w:pPr>
              <w:pStyle w:val="TableParagraph"/>
              <w:spacing w:line="211" w:lineRule="exact" w:before="9"/>
              <w:ind w:right="12"/>
              <w:jc w:val="right"/>
              <w:rPr>
                <w:rFonts w:ascii="Calibri"/>
                <w:sz w:val="19"/>
              </w:rPr>
            </w:pPr>
            <w:r>
              <w:rPr>
                <w:rFonts w:ascii="Calibri"/>
                <w:sz w:val="19"/>
              </w:rPr>
              <w:t>0.57</w:t>
            </w:r>
          </w:p>
        </w:tc>
        <w:tc>
          <w:tcPr>
            <w:tcW w:w="817" w:type="dxa"/>
            <w:vMerge/>
            <w:tcBorders>
              <w:top w:val="nil"/>
              <w:left w:val="nil"/>
              <w:bottom w:val="nil"/>
              <w:right w:val="nil"/>
            </w:tcBorders>
            <w:shd w:val="clear" w:color="auto" w:fill="C5DFB4"/>
          </w:tcPr>
          <w:p>
            <w:pPr>
              <w:rPr>
                <w:sz w:val="2"/>
                <w:szCs w:val="2"/>
              </w:rPr>
            </w:pPr>
          </w:p>
        </w:tc>
        <w:tc>
          <w:tcPr>
            <w:tcW w:w="819" w:type="dxa"/>
            <w:vMerge/>
            <w:tcBorders>
              <w:top w:val="nil"/>
              <w:left w:val="nil"/>
              <w:bottom w:val="nil"/>
              <w:right w:val="nil"/>
            </w:tcBorders>
            <w:shd w:val="clear" w:color="auto" w:fill="C5DFB4"/>
          </w:tcPr>
          <w:p>
            <w:pPr>
              <w:rPr>
                <w:sz w:val="2"/>
                <w:szCs w:val="2"/>
              </w:rPr>
            </w:pPr>
          </w:p>
        </w:tc>
        <w:tc>
          <w:tcPr>
            <w:tcW w:w="818" w:type="dxa"/>
            <w:vMerge/>
            <w:tcBorders>
              <w:top w:val="nil"/>
              <w:left w:val="nil"/>
              <w:bottom w:val="nil"/>
              <w:right w:val="nil"/>
            </w:tcBorders>
            <w:shd w:val="clear" w:color="auto" w:fill="C5DFB4"/>
          </w:tcPr>
          <w:p>
            <w:pPr>
              <w:rPr>
                <w:sz w:val="2"/>
                <w:szCs w:val="2"/>
              </w:rPr>
            </w:pPr>
          </w:p>
        </w:tc>
      </w:tr>
      <w:tr>
        <w:trPr>
          <w:trHeight w:val="240" w:hRule="atLeast"/>
        </w:trPr>
        <w:tc>
          <w:tcPr>
            <w:tcW w:w="2700" w:type="dxa"/>
          </w:tcPr>
          <w:p>
            <w:pPr>
              <w:pStyle w:val="TableParagraph"/>
              <w:spacing w:line="211" w:lineRule="exact" w:before="10"/>
              <w:ind w:left="30"/>
              <w:jc w:val="left"/>
              <w:rPr>
                <w:rFonts w:ascii="Calibri" w:hAnsi="Calibri"/>
                <w:sz w:val="19"/>
              </w:rPr>
            </w:pPr>
            <w:r>
              <w:rPr>
                <w:rFonts w:ascii="Calibri" w:hAnsi="Calibri"/>
                <w:sz w:val="19"/>
              </w:rPr>
              <w:t>220059 Storå Rens</w:t>
            </w:r>
          </w:p>
        </w:tc>
        <w:tc>
          <w:tcPr>
            <w:tcW w:w="818" w:type="dxa"/>
            <w:tcBorders>
              <w:right w:val="nil"/>
            </w:tcBorders>
          </w:tcPr>
          <w:p>
            <w:pPr>
              <w:pStyle w:val="TableParagraph"/>
              <w:spacing w:line="211" w:lineRule="exact" w:before="10"/>
              <w:ind w:right="14"/>
              <w:jc w:val="right"/>
              <w:rPr>
                <w:rFonts w:ascii="Calibri"/>
                <w:sz w:val="19"/>
              </w:rPr>
            </w:pPr>
            <w:r>
              <w:rPr>
                <w:rFonts w:ascii="Calibri"/>
                <w:sz w:val="19"/>
              </w:rPr>
              <w:t>-9.3</w:t>
            </w:r>
          </w:p>
        </w:tc>
        <w:tc>
          <w:tcPr>
            <w:tcW w:w="818" w:type="dxa"/>
            <w:tcBorders>
              <w:top w:val="nil"/>
              <w:left w:val="nil"/>
              <w:bottom w:val="nil"/>
              <w:right w:val="nil"/>
            </w:tcBorders>
            <w:shd w:val="clear" w:color="auto" w:fill="C5DFB4"/>
          </w:tcPr>
          <w:p>
            <w:pPr>
              <w:pStyle w:val="TableParagraph"/>
              <w:spacing w:line="211" w:lineRule="exact" w:before="10"/>
              <w:ind w:right="14"/>
              <w:jc w:val="right"/>
              <w:rPr>
                <w:rFonts w:ascii="Calibri"/>
                <w:sz w:val="19"/>
              </w:rPr>
            </w:pPr>
            <w:r>
              <w:rPr>
                <w:rFonts w:ascii="Calibri"/>
                <w:sz w:val="19"/>
              </w:rPr>
              <w:t>-7.7</w:t>
            </w:r>
          </w:p>
        </w:tc>
        <w:tc>
          <w:tcPr>
            <w:tcW w:w="818" w:type="dxa"/>
            <w:tcBorders>
              <w:left w:val="nil"/>
              <w:right w:val="nil"/>
            </w:tcBorders>
          </w:tcPr>
          <w:p>
            <w:pPr>
              <w:pStyle w:val="TableParagraph"/>
              <w:spacing w:line="211" w:lineRule="exact" w:before="10"/>
              <w:ind w:right="12"/>
              <w:jc w:val="right"/>
              <w:rPr>
                <w:rFonts w:ascii="Calibri"/>
                <w:sz w:val="19"/>
              </w:rPr>
            </w:pPr>
            <w:r>
              <w:rPr>
                <w:rFonts w:ascii="Calibri"/>
                <w:sz w:val="19"/>
              </w:rPr>
              <w:t>0.72</w:t>
            </w:r>
          </w:p>
        </w:tc>
        <w:tc>
          <w:tcPr>
            <w:tcW w:w="817" w:type="dxa"/>
            <w:vMerge/>
            <w:tcBorders>
              <w:top w:val="nil"/>
              <w:left w:val="nil"/>
              <w:bottom w:val="nil"/>
              <w:right w:val="nil"/>
            </w:tcBorders>
            <w:shd w:val="clear" w:color="auto" w:fill="C5DFB4"/>
          </w:tcPr>
          <w:p>
            <w:pPr>
              <w:rPr>
                <w:sz w:val="2"/>
                <w:szCs w:val="2"/>
              </w:rPr>
            </w:pPr>
          </w:p>
        </w:tc>
        <w:tc>
          <w:tcPr>
            <w:tcW w:w="819" w:type="dxa"/>
            <w:vMerge/>
            <w:tcBorders>
              <w:top w:val="nil"/>
              <w:left w:val="nil"/>
              <w:bottom w:val="nil"/>
              <w:right w:val="nil"/>
            </w:tcBorders>
            <w:shd w:val="clear" w:color="auto" w:fill="C5DFB4"/>
          </w:tcPr>
          <w:p>
            <w:pPr>
              <w:rPr>
                <w:sz w:val="2"/>
                <w:szCs w:val="2"/>
              </w:rPr>
            </w:pPr>
          </w:p>
        </w:tc>
        <w:tc>
          <w:tcPr>
            <w:tcW w:w="818" w:type="dxa"/>
            <w:vMerge/>
            <w:tcBorders>
              <w:top w:val="nil"/>
              <w:left w:val="nil"/>
              <w:bottom w:val="nil"/>
              <w:right w:val="nil"/>
            </w:tcBorders>
            <w:shd w:val="clear" w:color="auto" w:fill="C5DFB4"/>
          </w:tcPr>
          <w:p>
            <w:pPr>
              <w:rPr>
                <w:sz w:val="2"/>
                <w:szCs w:val="2"/>
              </w:rPr>
            </w:pPr>
          </w:p>
        </w:tc>
      </w:tr>
      <w:tr>
        <w:trPr>
          <w:trHeight w:val="240" w:hRule="atLeast"/>
        </w:trPr>
        <w:tc>
          <w:tcPr>
            <w:tcW w:w="2700" w:type="dxa"/>
          </w:tcPr>
          <w:p>
            <w:pPr>
              <w:pStyle w:val="TableParagraph"/>
              <w:spacing w:line="211" w:lineRule="exact" w:before="9"/>
              <w:ind w:left="30"/>
              <w:jc w:val="left"/>
              <w:rPr>
                <w:rFonts w:ascii="Calibri" w:hAnsi="Calibri"/>
                <w:sz w:val="19"/>
              </w:rPr>
            </w:pPr>
            <w:r>
              <w:rPr>
                <w:rFonts w:ascii="Calibri" w:hAnsi="Calibri"/>
                <w:sz w:val="19"/>
              </w:rPr>
              <w:t>220062 Storå å udløb</w:t>
            </w:r>
          </w:p>
        </w:tc>
        <w:tc>
          <w:tcPr>
            <w:tcW w:w="818" w:type="dxa"/>
          </w:tcPr>
          <w:p>
            <w:pPr>
              <w:pStyle w:val="TableParagraph"/>
              <w:spacing w:line="211" w:lineRule="exact" w:before="9"/>
              <w:ind w:right="2"/>
              <w:jc w:val="right"/>
              <w:rPr>
                <w:rFonts w:ascii="Calibri"/>
                <w:sz w:val="19"/>
              </w:rPr>
            </w:pPr>
            <w:r>
              <w:rPr>
                <w:rFonts w:ascii="Calibri"/>
                <w:sz w:val="19"/>
              </w:rPr>
              <w:t>-9</w:t>
            </w:r>
          </w:p>
        </w:tc>
        <w:tc>
          <w:tcPr>
            <w:tcW w:w="818" w:type="dxa"/>
            <w:tcBorders>
              <w:top w:val="nil"/>
            </w:tcBorders>
          </w:tcPr>
          <w:p>
            <w:pPr>
              <w:pStyle w:val="TableParagraph"/>
              <w:spacing w:line="211" w:lineRule="exact" w:before="9"/>
              <w:ind w:right="6"/>
              <w:jc w:val="right"/>
              <w:rPr>
                <w:rFonts w:ascii="Calibri"/>
                <w:sz w:val="19"/>
              </w:rPr>
            </w:pPr>
            <w:r>
              <w:rPr>
                <w:rFonts w:ascii="Calibri"/>
                <w:sz w:val="19"/>
              </w:rPr>
              <w:t>-2.7</w:t>
            </w:r>
          </w:p>
        </w:tc>
        <w:tc>
          <w:tcPr>
            <w:tcW w:w="818" w:type="dxa"/>
            <w:tcBorders>
              <w:right w:val="nil"/>
            </w:tcBorders>
          </w:tcPr>
          <w:p>
            <w:pPr>
              <w:pStyle w:val="TableParagraph"/>
              <w:spacing w:line="211" w:lineRule="exact" w:before="9"/>
              <w:ind w:right="12"/>
              <w:jc w:val="right"/>
              <w:rPr>
                <w:rFonts w:ascii="Calibri"/>
                <w:sz w:val="19"/>
              </w:rPr>
            </w:pPr>
            <w:r>
              <w:rPr>
                <w:rFonts w:ascii="Calibri"/>
                <w:sz w:val="19"/>
              </w:rPr>
              <w:t>0.58</w:t>
            </w:r>
          </w:p>
        </w:tc>
        <w:tc>
          <w:tcPr>
            <w:tcW w:w="817" w:type="dxa"/>
            <w:vMerge/>
            <w:tcBorders>
              <w:top w:val="nil"/>
              <w:left w:val="nil"/>
              <w:bottom w:val="nil"/>
              <w:right w:val="nil"/>
            </w:tcBorders>
            <w:shd w:val="clear" w:color="auto" w:fill="C5DFB4"/>
          </w:tcPr>
          <w:p>
            <w:pPr>
              <w:rPr>
                <w:sz w:val="2"/>
                <w:szCs w:val="2"/>
              </w:rPr>
            </w:pPr>
          </w:p>
        </w:tc>
        <w:tc>
          <w:tcPr>
            <w:tcW w:w="819" w:type="dxa"/>
            <w:vMerge/>
            <w:tcBorders>
              <w:top w:val="nil"/>
              <w:left w:val="nil"/>
              <w:bottom w:val="nil"/>
              <w:right w:val="nil"/>
            </w:tcBorders>
            <w:shd w:val="clear" w:color="auto" w:fill="C5DFB4"/>
          </w:tcPr>
          <w:p>
            <w:pPr>
              <w:rPr>
                <w:sz w:val="2"/>
                <w:szCs w:val="2"/>
              </w:rPr>
            </w:pPr>
          </w:p>
        </w:tc>
        <w:tc>
          <w:tcPr>
            <w:tcW w:w="818" w:type="dxa"/>
            <w:vMerge/>
            <w:tcBorders>
              <w:top w:val="nil"/>
              <w:left w:val="nil"/>
              <w:bottom w:val="nil"/>
              <w:right w:val="nil"/>
            </w:tcBorders>
            <w:shd w:val="clear" w:color="auto" w:fill="C5DFB4"/>
          </w:tcPr>
          <w:p>
            <w:pPr>
              <w:rPr>
                <w:sz w:val="2"/>
                <w:szCs w:val="2"/>
              </w:rPr>
            </w:pPr>
          </w:p>
        </w:tc>
      </w:tr>
      <w:tr>
        <w:trPr>
          <w:trHeight w:val="240" w:hRule="atLeast"/>
        </w:trPr>
        <w:tc>
          <w:tcPr>
            <w:tcW w:w="2700" w:type="dxa"/>
          </w:tcPr>
          <w:p>
            <w:pPr>
              <w:pStyle w:val="TableParagraph"/>
              <w:jc w:val="left"/>
              <w:rPr>
                <w:rFonts w:ascii="Times New Roman"/>
                <w:sz w:val="16"/>
              </w:rPr>
            </w:pPr>
          </w:p>
        </w:tc>
        <w:tc>
          <w:tcPr>
            <w:tcW w:w="818" w:type="dxa"/>
          </w:tcPr>
          <w:p>
            <w:pPr>
              <w:pStyle w:val="TableParagraph"/>
              <w:jc w:val="left"/>
              <w:rPr>
                <w:rFonts w:ascii="Times New Roman"/>
                <w:sz w:val="16"/>
              </w:rPr>
            </w:pPr>
          </w:p>
        </w:tc>
        <w:tc>
          <w:tcPr>
            <w:tcW w:w="818" w:type="dxa"/>
          </w:tcPr>
          <w:p>
            <w:pPr>
              <w:pStyle w:val="TableParagraph"/>
              <w:jc w:val="left"/>
              <w:rPr>
                <w:rFonts w:ascii="Times New Roman"/>
                <w:sz w:val="16"/>
              </w:rPr>
            </w:pPr>
          </w:p>
        </w:tc>
        <w:tc>
          <w:tcPr>
            <w:tcW w:w="818" w:type="dxa"/>
          </w:tcPr>
          <w:p>
            <w:pPr>
              <w:pStyle w:val="TableParagraph"/>
              <w:jc w:val="left"/>
              <w:rPr>
                <w:rFonts w:ascii="Times New Roman"/>
                <w:sz w:val="16"/>
              </w:rPr>
            </w:pPr>
          </w:p>
        </w:tc>
        <w:tc>
          <w:tcPr>
            <w:tcW w:w="817" w:type="dxa"/>
            <w:tcBorders>
              <w:top w:val="nil"/>
              <w:bottom w:val="nil"/>
            </w:tcBorders>
          </w:tcPr>
          <w:p>
            <w:pPr>
              <w:pStyle w:val="TableParagraph"/>
              <w:jc w:val="left"/>
              <w:rPr>
                <w:rFonts w:ascii="Times New Roman"/>
                <w:sz w:val="16"/>
              </w:rPr>
            </w:pPr>
          </w:p>
        </w:tc>
        <w:tc>
          <w:tcPr>
            <w:tcW w:w="819" w:type="dxa"/>
            <w:tcBorders>
              <w:top w:val="nil"/>
              <w:bottom w:val="nil"/>
            </w:tcBorders>
          </w:tcPr>
          <w:p>
            <w:pPr>
              <w:pStyle w:val="TableParagraph"/>
              <w:jc w:val="left"/>
              <w:rPr>
                <w:rFonts w:ascii="Times New Roman"/>
                <w:sz w:val="16"/>
              </w:rPr>
            </w:pPr>
          </w:p>
        </w:tc>
        <w:tc>
          <w:tcPr>
            <w:tcW w:w="818" w:type="dxa"/>
            <w:tcBorders>
              <w:top w:val="nil"/>
              <w:bottom w:val="nil"/>
            </w:tcBorders>
          </w:tcPr>
          <w:p>
            <w:pPr>
              <w:pStyle w:val="TableParagraph"/>
              <w:jc w:val="left"/>
              <w:rPr>
                <w:rFonts w:ascii="Times New Roman"/>
                <w:sz w:val="16"/>
              </w:rPr>
            </w:pPr>
          </w:p>
        </w:tc>
      </w:tr>
      <w:tr>
        <w:trPr>
          <w:trHeight w:val="240" w:hRule="atLeast"/>
        </w:trPr>
        <w:tc>
          <w:tcPr>
            <w:tcW w:w="2700" w:type="dxa"/>
          </w:tcPr>
          <w:p>
            <w:pPr>
              <w:pStyle w:val="TableParagraph"/>
              <w:spacing w:line="211" w:lineRule="exact" w:before="10"/>
              <w:ind w:left="30"/>
              <w:jc w:val="left"/>
              <w:rPr>
                <w:rFonts w:ascii="Calibri" w:hAnsi="Calibri"/>
                <w:sz w:val="19"/>
              </w:rPr>
            </w:pPr>
            <w:r>
              <w:rPr>
                <w:rFonts w:ascii="Calibri" w:hAnsi="Calibri"/>
                <w:sz w:val="19"/>
              </w:rPr>
              <w:t>450001 Odense å, NS Ejby M</w:t>
            </w:r>
          </w:p>
        </w:tc>
        <w:tc>
          <w:tcPr>
            <w:tcW w:w="818" w:type="dxa"/>
            <w:tcBorders>
              <w:bottom w:val="nil"/>
            </w:tcBorders>
          </w:tcPr>
          <w:p>
            <w:pPr>
              <w:pStyle w:val="TableParagraph"/>
              <w:spacing w:line="211" w:lineRule="exact" w:before="10"/>
              <w:ind w:right="7"/>
              <w:jc w:val="right"/>
              <w:rPr>
                <w:rFonts w:ascii="Calibri"/>
                <w:sz w:val="19"/>
              </w:rPr>
            </w:pPr>
            <w:r>
              <w:rPr>
                <w:rFonts w:ascii="Calibri"/>
                <w:sz w:val="19"/>
              </w:rPr>
              <w:t>-1.6</w:t>
            </w:r>
          </w:p>
        </w:tc>
        <w:tc>
          <w:tcPr>
            <w:tcW w:w="818" w:type="dxa"/>
          </w:tcPr>
          <w:p>
            <w:pPr>
              <w:pStyle w:val="TableParagraph"/>
              <w:spacing w:line="211" w:lineRule="exact" w:before="10"/>
              <w:ind w:right="6"/>
              <w:jc w:val="right"/>
              <w:rPr>
                <w:rFonts w:ascii="Calibri"/>
                <w:sz w:val="19"/>
              </w:rPr>
            </w:pPr>
            <w:r>
              <w:rPr>
                <w:rFonts w:ascii="Calibri"/>
                <w:sz w:val="19"/>
              </w:rPr>
              <w:t>12.7</w:t>
            </w:r>
          </w:p>
        </w:tc>
        <w:tc>
          <w:tcPr>
            <w:tcW w:w="818" w:type="dxa"/>
            <w:tcBorders>
              <w:right w:val="nil"/>
            </w:tcBorders>
          </w:tcPr>
          <w:p>
            <w:pPr>
              <w:pStyle w:val="TableParagraph"/>
              <w:spacing w:line="211" w:lineRule="exact" w:before="10"/>
              <w:ind w:right="12"/>
              <w:jc w:val="right"/>
              <w:rPr>
                <w:rFonts w:ascii="Calibri"/>
                <w:sz w:val="19"/>
              </w:rPr>
            </w:pPr>
            <w:r>
              <w:rPr>
                <w:rFonts w:ascii="Calibri"/>
                <w:sz w:val="19"/>
              </w:rPr>
              <w:t>0.82</w:t>
            </w:r>
          </w:p>
        </w:tc>
        <w:tc>
          <w:tcPr>
            <w:tcW w:w="817" w:type="dxa"/>
            <w:tcBorders>
              <w:top w:val="nil"/>
              <w:left w:val="nil"/>
              <w:bottom w:val="nil"/>
              <w:right w:val="nil"/>
            </w:tcBorders>
            <w:shd w:val="clear" w:color="auto" w:fill="C5DFB4"/>
          </w:tcPr>
          <w:p>
            <w:pPr>
              <w:pStyle w:val="TableParagraph"/>
              <w:spacing w:line="211" w:lineRule="exact" w:before="10"/>
              <w:ind w:right="10"/>
              <w:jc w:val="right"/>
              <w:rPr>
                <w:rFonts w:ascii="Calibri"/>
                <w:b/>
                <w:sz w:val="19"/>
              </w:rPr>
            </w:pPr>
            <w:r>
              <w:rPr>
                <w:rFonts w:ascii="Calibri"/>
                <w:b/>
                <w:sz w:val="19"/>
              </w:rPr>
              <w:t>4.4</w:t>
            </w:r>
          </w:p>
        </w:tc>
        <w:tc>
          <w:tcPr>
            <w:tcW w:w="819" w:type="dxa"/>
            <w:tcBorders>
              <w:top w:val="nil"/>
              <w:left w:val="nil"/>
              <w:bottom w:val="nil"/>
              <w:right w:val="nil"/>
            </w:tcBorders>
            <w:shd w:val="clear" w:color="auto" w:fill="C5DFB4"/>
          </w:tcPr>
          <w:p>
            <w:pPr>
              <w:pStyle w:val="TableParagraph"/>
              <w:spacing w:line="211" w:lineRule="exact" w:before="10"/>
              <w:ind w:right="10"/>
              <w:jc w:val="right"/>
              <w:rPr>
                <w:rFonts w:ascii="Calibri"/>
                <w:b/>
                <w:sz w:val="19"/>
              </w:rPr>
            </w:pPr>
            <w:r>
              <w:rPr>
                <w:rFonts w:ascii="Calibri"/>
                <w:b/>
                <w:sz w:val="19"/>
              </w:rPr>
              <w:t>-3.7</w:t>
            </w:r>
          </w:p>
        </w:tc>
        <w:tc>
          <w:tcPr>
            <w:tcW w:w="818" w:type="dxa"/>
            <w:tcBorders>
              <w:top w:val="nil"/>
              <w:left w:val="nil"/>
              <w:bottom w:val="nil"/>
              <w:right w:val="nil"/>
            </w:tcBorders>
            <w:shd w:val="clear" w:color="auto" w:fill="C5DFB4"/>
          </w:tcPr>
          <w:p>
            <w:pPr>
              <w:pStyle w:val="TableParagraph"/>
              <w:spacing w:line="211" w:lineRule="exact" w:before="10"/>
              <w:ind w:right="9"/>
              <w:jc w:val="right"/>
              <w:rPr>
                <w:rFonts w:ascii="Calibri"/>
                <w:b/>
                <w:sz w:val="19"/>
              </w:rPr>
            </w:pPr>
            <w:r>
              <w:rPr>
                <w:rFonts w:ascii="Calibri"/>
                <w:b/>
                <w:sz w:val="19"/>
              </w:rPr>
              <w:t>0.88</w:t>
            </w:r>
          </w:p>
        </w:tc>
      </w:tr>
      <w:tr>
        <w:trPr>
          <w:trHeight w:val="240" w:hRule="atLeast"/>
        </w:trPr>
        <w:tc>
          <w:tcPr>
            <w:tcW w:w="2700" w:type="dxa"/>
            <w:tcBorders>
              <w:right w:val="nil"/>
            </w:tcBorders>
          </w:tcPr>
          <w:p>
            <w:pPr>
              <w:pStyle w:val="TableParagraph"/>
              <w:spacing w:line="211" w:lineRule="exact" w:before="9"/>
              <w:ind w:left="30"/>
              <w:jc w:val="left"/>
              <w:rPr>
                <w:rFonts w:ascii="Calibri" w:hAnsi="Calibri"/>
                <w:sz w:val="19"/>
              </w:rPr>
            </w:pPr>
            <w:r>
              <w:rPr>
                <w:rFonts w:ascii="Calibri" w:hAnsi="Calibri"/>
                <w:sz w:val="19"/>
              </w:rPr>
              <w:t>450003 Odense å, Kratholm</w:t>
            </w:r>
          </w:p>
        </w:tc>
        <w:tc>
          <w:tcPr>
            <w:tcW w:w="818" w:type="dxa"/>
            <w:vMerge w:val="restart"/>
            <w:tcBorders>
              <w:top w:val="nil"/>
              <w:left w:val="nil"/>
              <w:bottom w:val="nil"/>
              <w:right w:val="nil"/>
            </w:tcBorders>
            <w:shd w:val="clear" w:color="auto" w:fill="C5DFB4"/>
          </w:tcPr>
          <w:p>
            <w:pPr>
              <w:pStyle w:val="TableParagraph"/>
              <w:spacing w:before="9"/>
              <w:ind w:right="14"/>
              <w:jc w:val="right"/>
              <w:rPr>
                <w:rFonts w:ascii="Calibri"/>
                <w:sz w:val="19"/>
              </w:rPr>
            </w:pPr>
            <w:r>
              <w:rPr>
                <w:rFonts w:ascii="Calibri"/>
                <w:spacing w:val="-1"/>
                <w:sz w:val="19"/>
              </w:rPr>
              <w:t>-0.2</w:t>
            </w:r>
          </w:p>
          <w:p>
            <w:pPr>
              <w:pStyle w:val="TableParagraph"/>
              <w:spacing w:line="211" w:lineRule="exact" w:before="24"/>
              <w:ind w:right="14"/>
              <w:jc w:val="right"/>
              <w:rPr>
                <w:rFonts w:ascii="Calibri"/>
                <w:sz w:val="19"/>
              </w:rPr>
            </w:pPr>
            <w:r>
              <w:rPr>
                <w:rFonts w:ascii="Calibri"/>
                <w:spacing w:val="-2"/>
                <w:sz w:val="19"/>
              </w:rPr>
              <w:t>3.9</w:t>
            </w:r>
          </w:p>
        </w:tc>
        <w:tc>
          <w:tcPr>
            <w:tcW w:w="818" w:type="dxa"/>
            <w:tcBorders>
              <w:left w:val="nil"/>
            </w:tcBorders>
          </w:tcPr>
          <w:p>
            <w:pPr>
              <w:pStyle w:val="TableParagraph"/>
              <w:spacing w:line="211" w:lineRule="exact" w:before="9"/>
              <w:ind w:right="6"/>
              <w:jc w:val="right"/>
              <w:rPr>
                <w:rFonts w:ascii="Calibri"/>
                <w:sz w:val="19"/>
              </w:rPr>
            </w:pPr>
            <w:r>
              <w:rPr>
                <w:rFonts w:ascii="Calibri"/>
                <w:sz w:val="19"/>
              </w:rPr>
              <w:t>20.9</w:t>
            </w:r>
          </w:p>
        </w:tc>
        <w:tc>
          <w:tcPr>
            <w:tcW w:w="818" w:type="dxa"/>
            <w:tcBorders>
              <w:bottom w:val="nil"/>
            </w:tcBorders>
          </w:tcPr>
          <w:p>
            <w:pPr>
              <w:pStyle w:val="TableParagraph"/>
              <w:spacing w:line="211" w:lineRule="exact" w:before="9"/>
              <w:ind w:right="5"/>
              <w:jc w:val="right"/>
              <w:rPr>
                <w:rFonts w:ascii="Calibri"/>
                <w:sz w:val="19"/>
              </w:rPr>
            </w:pPr>
            <w:r>
              <w:rPr>
                <w:rFonts w:ascii="Calibri"/>
                <w:sz w:val="19"/>
              </w:rPr>
              <w:t>0.83</w:t>
            </w:r>
          </w:p>
        </w:tc>
        <w:tc>
          <w:tcPr>
            <w:tcW w:w="817" w:type="dxa"/>
            <w:tcBorders>
              <w:top w:val="nil"/>
              <w:right w:val="nil"/>
            </w:tcBorders>
          </w:tcPr>
          <w:p>
            <w:pPr>
              <w:pStyle w:val="TableParagraph"/>
              <w:spacing w:line="211" w:lineRule="exact" w:before="9"/>
              <w:ind w:right="10"/>
              <w:jc w:val="right"/>
              <w:rPr>
                <w:rFonts w:ascii="Calibri"/>
                <w:b/>
                <w:sz w:val="19"/>
              </w:rPr>
            </w:pPr>
            <w:r>
              <w:rPr>
                <w:rFonts w:ascii="Calibri"/>
                <w:b/>
                <w:sz w:val="19"/>
              </w:rPr>
              <w:t>6.1</w:t>
            </w:r>
          </w:p>
        </w:tc>
        <w:tc>
          <w:tcPr>
            <w:tcW w:w="819" w:type="dxa"/>
            <w:tcBorders>
              <w:top w:val="nil"/>
              <w:left w:val="nil"/>
              <w:bottom w:val="nil"/>
              <w:right w:val="nil"/>
            </w:tcBorders>
            <w:shd w:val="clear" w:color="auto" w:fill="C5DFB4"/>
          </w:tcPr>
          <w:p>
            <w:pPr>
              <w:pStyle w:val="TableParagraph"/>
              <w:spacing w:line="211" w:lineRule="exact" w:before="9"/>
              <w:ind w:right="10"/>
              <w:jc w:val="right"/>
              <w:rPr>
                <w:rFonts w:ascii="Calibri"/>
                <w:b/>
                <w:sz w:val="19"/>
              </w:rPr>
            </w:pPr>
            <w:r>
              <w:rPr>
                <w:rFonts w:ascii="Calibri"/>
                <w:b/>
                <w:sz w:val="19"/>
              </w:rPr>
              <w:t>-1.2</w:t>
            </w:r>
          </w:p>
        </w:tc>
        <w:tc>
          <w:tcPr>
            <w:tcW w:w="818" w:type="dxa"/>
            <w:tcBorders>
              <w:top w:val="nil"/>
              <w:left w:val="nil"/>
              <w:bottom w:val="nil"/>
              <w:right w:val="nil"/>
            </w:tcBorders>
            <w:shd w:val="clear" w:color="auto" w:fill="C5DFB4"/>
          </w:tcPr>
          <w:p>
            <w:pPr>
              <w:pStyle w:val="TableParagraph"/>
              <w:spacing w:line="211" w:lineRule="exact" w:before="9"/>
              <w:ind w:right="9"/>
              <w:jc w:val="right"/>
              <w:rPr>
                <w:rFonts w:ascii="Calibri"/>
                <w:b/>
                <w:sz w:val="19"/>
              </w:rPr>
            </w:pPr>
            <w:r>
              <w:rPr>
                <w:rFonts w:ascii="Calibri"/>
                <w:b/>
                <w:sz w:val="19"/>
              </w:rPr>
              <w:t>0.88</w:t>
            </w:r>
          </w:p>
        </w:tc>
      </w:tr>
      <w:tr>
        <w:trPr>
          <w:trHeight w:val="240" w:hRule="atLeast"/>
        </w:trPr>
        <w:tc>
          <w:tcPr>
            <w:tcW w:w="2700" w:type="dxa"/>
            <w:tcBorders>
              <w:right w:val="nil"/>
            </w:tcBorders>
          </w:tcPr>
          <w:p>
            <w:pPr>
              <w:pStyle w:val="TableParagraph"/>
              <w:spacing w:line="211" w:lineRule="exact" w:before="9"/>
              <w:ind w:left="30"/>
              <w:jc w:val="left"/>
              <w:rPr>
                <w:rFonts w:ascii="Calibri" w:hAnsi="Calibri"/>
                <w:sz w:val="19"/>
              </w:rPr>
            </w:pPr>
            <w:r>
              <w:rPr>
                <w:rFonts w:ascii="Calibri" w:hAnsi="Calibri"/>
                <w:sz w:val="19"/>
              </w:rPr>
              <w:t>450004 Odense å, Nørre Broby</w:t>
            </w:r>
          </w:p>
        </w:tc>
        <w:tc>
          <w:tcPr>
            <w:tcW w:w="818" w:type="dxa"/>
            <w:vMerge/>
            <w:tcBorders>
              <w:top w:val="nil"/>
              <w:left w:val="nil"/>
              <w:bottom w:val="nil"/>
              <w:right w:val="nil"/>
            </w:tcBorders>
            <w:shd w:val="clear" w:color="auto" w:fill="C5DFB4"/>
          </w:tcPr>
          <w:p>
            <w:pPr>
              <w:rPr>
                <w:sz w:val="2"/>
                <w:szCs w:val="2"/>
              </w:rPr>
            </w:pPr>
          </w:p>
        </w:tc>
        <w:tc>
          <w:tcPr>
            <w:tcW w:w="818" w:type="dxa"/>
            <w:tcBorders>
              <w:left w:val="nil"/>
              <w:right w:val="nil"/>
            </w:tcBorders>
          </w:tcPr>
          <w:p>
            <w:pPr>
              <w:pStyle w:val="TableParagraph"/>
              <w:spacing w:line="211" w:lineRule="exact" w:before="9"/>
              <w:ind w:right="13"/>
              <w:jc w:val="right"/>
              <w:rPr>
                <w:rFonts w:ascii="Calibri"/>
                <w:sz w:val="19"/>
              </w:rPr>
            </w:pPr>
            <w:r>
              <w:rPr>
                <w:rFonts w:ascii="Calibri"/>
                <w:sz w:val="19"/>
              </w:rPr>
              <w:t>17.6</w:t>
            </w:r>
          </w:p>
        </w:tc>
        <w:tc>
          <w:tcPr>
            <w:tcW w:w="818" w:type="dxa"/>
            <w:tcBorders>
              <w:top w:val="nil"/>
              <w:left w:val="nil"/>
              <w:bottom w:val="nil"/>
              <w:right w:val="nil"/>
            </w:tcBorders>
            <w:shd w:val="clear" w:color="auto" w:fill="C5DFB4"/>
          </w:tcPr>
          <w:p>
            <w:pPr>
              <w:pStyle w:val="TableParagraph"/>
              <w:spacing w:line="211" w:lineRule="exact" w:before="9"/>
              <w:ind w:right="12"/>
              <w:jc w:val="right"/>
              <w:rPr>
                <w:rFonts w:ascii="Calibri"/>
                <w:sz w:val="19"/>
              </w:rPr>
            </w:pPr>
            <w:r>
              <w:rPr>
                <w:rFonts w:ascii="Calibri"/>
                <w:sz w:val="19"/>
              </w:rPr>
              <w:t>0.85</w:t>
            </w:r>
          </w:p>
        </w:tc>
        <w:tc>
          <w:tcPr>
            <w:tcW w:w="817" w:type="dxa"/>
            <w:tcBorders>
              <w:left w:val="nil"/>
              <w:bottom w:val="nil"/>
              <w:right w:val="nil"/>
            </w:tcBorders>
          </w:tcPr>
          <w:p>
            <w:pPr>
              <w:pStyle w:val="TableParagraph"/>
              <w:spacing w:line="211" w:lineRule="exact" w:before="9"/>
              <w:ind w:right="10"/>
              <w:jc w:val="right"/>
              <w:rPr>
                <w:rFonts w:ascii="Calibri"/>
                <w:b/>
                <w:sz w:val="19"/>
              </w:rPr>
            </w:pPr>
            <w:r>
              <w:rPr>
                <w:rFonts w:ascii="Calibri"/>
                <w:b/>
                <w:sz w:val="19"/>
              </w:rPr>
              <w:t>13.8</w:t>
            </w:r>
          </w:p>
        </w:tc>
        <w:tc>
          <w:tcPr>
            <w:tcW w:w="819" w:type="dxa"/>
            <w:tcBorders>
              <w:top w:val="nil"/>
              <w:left w:val="nil"/>
              <w:bottom w:val="nil"/>
              <w:right w:val="nil"/>
            </w:tcBorders>
            <w:shd w:val="clear" w:color="auto" w:fill="C5DFB4"/>
          </w:tcPr>
          <w:p>
            <w:pPr>
              <w:pStyle w:val="TableParagraph"/>
              <w:spacing w:line="211" w:lineRule="exact" w:before="9"/>
              <w:ind w:right="10"/>
              <w:jc w:val="right"/>
              <w:rPr>
                <w:rFonts w:ascii="Calibri"/>
                <w:b/>
                <w:sz w:val="19"/>
              </w:rPr>
            </w:pPr>
            <w:r>
              <w:rPr>
                <w:rFonts w:ascii="Calibri"/>
                <w:b/>
                <w:sz w:val="19"/>
              </w:rPr>
              <w:t>7.6</w:t>
            </w:r>
          </w:p>
        </w:tc>
        <w:tc>
          <w:tcPr>
            <w:tcW w:w="818" w:type="dxa"/>
            <w:tcBorders>
              <w:top w:val="nil"/>
              <w:left w:val="nil"/>
            </w:tcBorders>
          </w:tcPr>
          <w:p>
            <w:pPr>
              <w:pStyle w:val="TableParagraph"/>
              <w:spacing w:line="211" w:lineRule="exact" w:before="9"/>
              <w:ind w:right="2"/>
              <w:jc w:val="right"/>
              <w:rPr>
                <w:rFonts w:ascii="Calibri"/>
                <w:b/>
                <w:sz w:val="19"/>
              </w:rPr>
            </w:pPr>
            <w:r>
              <w:rPr>
                <w:rFonts w:ascii="Calibri"/>
                <w:b/>
                <w:sz w:val="19"/>
              </w:rPr>
              <w:t>0.82</w:t>
            </w:r>
          </w:p>
        </w:tc>
      </w:tr>
      <w:tr>
        <w:trPr>
          <w:trHeight w:val="240" w:hRule="atLeast"/>
        </w:trPr>
        <w:tc>
          <w:tcPr>
            <w:tcW w:w="2700" w:type="dxa"/>
          </w:tcPr>
          <w:p>
            <w:pPr>
              <w:pStyle w:val="TableParagraph"/>
              <w:spacing w:line="211" w:lineRule="exact" w:before="9"/>
              <w:ind w:left="30"/>
              <w:jc w:val="left"/>
              <w:rPr>
                <w:rFonts w:ascii="Calibri" w:hAnsi="Calibri"/>
                <w:sz w:val="19"/>
              </w:rPr>
            </w:pPr>
            <w:r>
              <w:rPr>
                <w:rFonts w:ascii="Calibri" w:hAnsi="Calibri"/>
                <w:sz w:val="19"/>
              </w:rPr>
              <w:t>450005 Stavis å st 8.25</w:t>
            </w:r>
          </w:p>
        </w:tc>
        <w:tc>
          <w:tcPr>
            <w:tcW w:w="818" w:type="dxa"/>
            <w:tcBorders>
              <w:top w:val="nil"/>
            </w:tcBorders>
          </w:tcPr>
          <w:p>
            <w:pPr>
              <w:pStyle w:val="TableParagraph"/>
              <w:spacing w:line="211" w:lineRule="exact" w:before="9"/>
              <w:ind w:right="7"/>
              <w:jc w:val="right"/>
              <w:rPr>
                <w:rFonts w:ascii="Calibri"/>
                <w:sz w:val="19"/>
              </w:rPr>
            </w:pPr>
            <w:r>
              <w:rPr>
                <w:rFonts w:ascii="Calibri"/>
                <w:sz w:val="19"/>
              </w:rPr>
              <w:t>-19.8</w:t>
            </w:r>
          </w:p>
        </w:tc>
        <w:tc>
          <w:tcPr>
            <w:tcW w:w="818" w:type="dxa"/>
            <w:tcBorders>
              <w:right w:val="nil"/>
            </w:tcBorders>
          </w:tcPr>
          <w:p>
            <w:pPr>
              <w:pStyle w:val="TableParagraph"/>
              <w:spacing w:line="211" w:lineRule="exact" w:before="9"/>
              <w:ind w:right="13"/>
              <w:jc w:val="right"/>
              <w:rPr>
                <w:rFonts w:ascii="Calibri"/>
                <w:sz w:val="19"/>
              </w:rPr>
            </w:pPr>
            <w:r>
              <w:rPr>
                <w:rFonts w:ascii="Calibri"/>
                <w:sz w:val="19"/>
              </w:rPr>
              <w:t>-50.7</w:t>
            </w:r>
          </w:p>
        </w:tc>
        <w:tc>
          <w:tcPr>
            <w:tcW w:w="818" w:type="dxa"/>
            <w:tcBorders>
              <w:top w:val="nil"/>
              <w:left w:val="nil"/>
              <w:bottom w:val="nil"/>
              <w:right w:val="nil"/>
            </w:tcBorders>
            <w:shd w:val="clear" w:color="auto" w:fill="C5DFB4"/>
          </w:tcPr>
          <w:p>
            <w:pPr>
              <w:pStyle w:val="TableParagraph"/>
              <w:spacing w:line="211" w:lineRule="exact" w:before="9"/>
              <w:ind w:right="12"/>
              <w:jc w:val="right"/>
              <w:rPr>
                <w:rFonts w:ascii="Calibri"/>
                <w:sz w:val="19"/>
              </w:rPr>
            </w:pPr>
            <w:r>
              <w:rPr>
                <w:rFonts w:ascii="Calibri"/>
                <w:sz w:val="19"/>
              </w:rPr>
              <w:t>0.82</w:t>
            </w:r>
          </w:p>
        </w:tc>
        <w:tc>
          <w:tcPr>
            <w:tcW w:w="817" w:type="dxa"/>
            <w:tcBorders>
              <w:top w:val="nil"/>
              <w:left w:val="nil"/>
              <w:bottom w:val="nil"/>
              <w:right w:val="nil"/>
            </w:tcBorders>
            <w:shd w:val="clear" w:color="auto" w:fill="C5DFB4"/>
          </w:tcPr>
          <w:p>
            <w:pPr>
              <w:pStyle w:val="TableParagraph"/>
              <w:spacing w:line="211" w:lineRule="exact" w:before="9"/>
              <w:ind w:right="10"/>
              <w:jc w:val="right"/>
              <w:rPr>
                <w:rFonts w:ascii="Calibri"/>
                <w:b/>
                <w:sz w:val="19"/>
              </w:rPr>
            </w:pPr>
            <w:r>
              <w:rPr>
                <w:rFonts w:ascii="Calibri"/>
                <w:b/>
                <w:sz w:val="19"/>
              </w:rPr>
              <w:t>3.3</w:t>
            </w:r>
          </w:p>
        </w:tc>
        <w:tc>
          <w:tcPr>
            <w:tcW w:w="819" w:type="dxa"/>
            <w:tcBorders>
              <w:top w:val="nil"/>
              <w:left w:val="nil"/>
              <w:bottom w:val="nil"/>
              <w:right w:val="nil"/>
            </w:tcBorders>
            <w:shd w:val="clear" w:color="auto" w:fill="C5DFB4"/>
          </w:tcPr>
          <w:p>
            <w:pPr>
              <w:pStyle w:val="TableParagraph"/>
              <w:spacing w:line="211" w:lineRule="exact" w:before="9"/>
              <w:ind w:right="10"/>
              <w:jc w:val="right"/>
              <w:rPr>
                <w:rFonts w:ascii="Calibri"/>
                <w:b/>
                <w:sz w:val="19"/>
              </w:rPr>
            </w:pPr>
            <w:r>
              <w:rPr>
                <w:rFonts w:ascii="Calibri"/>
                <w:b/>
                <w:sz w:val="19"/>
              </w:rPr>
              <w:t>-39.7</w:t>
            </w:r>
          </w:p>
        </w:tc>
        <w:tc>
          <w:tcPr>
            <w:tcW w:w="818" w:type="dxa"/>
            <w:tcBorders>
              <w:left w:val="nil"/>
              <w:bottom w:val="nil"/>
            </w:tcBorders>
          </w:tcPr>
          <w:p>
            <w:pPr>
              <w:pStyle w:val="TableParagraph"/>
              <w:spacing w:line="211" w:lineRule="exact" w:before="9"/>
              <w:ind w:right="2"/>
              <w:jc w:val="right"/>
              <w:rPr>
                <w:rFonts w:ascii="Calibri"/>
                <w:b/>
                <w:sz w:val="19"/>
              </w:rPr>
            </w:pPr>
            <w:r>
              <w:rPr>
                <w:rFonts w:ascii="Calibri"/>
                <w:b/>
                <w:sz w:val="19"/>
              </w:rPr>
              <w:t>0.73</w:t>
            </w:r>
          </w:p>
        </w:tc>
      </w:tr>
      <w:tr>
        <w:trPr>
          <w:trHeight w:val="240" w:hRule="atLeast"/>
        </w:trPr>
        <w:tc>
          <w:tcPr>
            <w:tcW w:w="2700" w:type="dxa"/>
          </w:tcPr>
          <w:p>
            <w:pPr>
              <w:pStyle w:val="TableParagraph"/>
              <w:spacing w:line="211" w:lineRule="exact" w:before="9"/>
              <w:ind w:left="30"/>
              <w:jc w:val="left"/>
              <w:rPr>
                <w:rFonts w:ascii="Calibri" w:hAnsi="Calibri"/>
                <w:sz w:val="19"/>
              </w:rPr>
            </w:pPr>
            <w:r>
              <w:rPr>
                <w:rFonts w:ascii="Calibri" w:hAnsi="Calibri"/>
                <w:sz w:val="19"/>
              </w:rPr>
              <w:t>450043 Lindved å 1.20</w:t>
            </w:r>
          </w:p>
        </w:tc>
        <w:tc>
          <w:tcPr>
            <w:tcW w:w="818" w:type="dxa"/>
            <w:tcBorders>
              <w:bottom w:val="nil"/>
            </w:tcBorders>
          </w:tcPr>
          <w:p>
            <w:pPr>
              <w:pStyle w:val="TableParagraph"/>
              <w:spacing w:line="211" w:lineRule="exact" w:before="9"/>
              <w:ind w:right="7"/>
              <w:jc w:val="right"/>
              <w:rPr>
                <w:rFonts w:ascii="Calibri"/>
                <w:sz w:val="19"/>
              </w:rPr>
            </w:pPr>
            <w:r>
              <w:rPr>
                <w:rFonts w:ascii="Calibri"/>
                <w:sz w:val="19"/>
              </w:rPr>
              <w:t>-9.3</w:t>
            </w:r>
          </w:p>
        </w:tc>
        <w:tc>
          <w:tcPr>
            <w:tcW w:w="818" w:type="dxa"/>
            <w:tcBorders>
              <w:bottom w:val="nil"/>
            </w:tcBorders>
          </w:tcPr>
          <w:p>
            <w:pPr>
              <w:pStyle w:val="TableParagraph"/>
              <w:spacing w:line="211" w:lineRule="exact" w:before="9"/>
              <w:ind w:right="6"/>
              <w:jc w:val="right"/>
              <w:rPr>
                <w:rFonts w:ascii="Calibri"/>
                <w:sz w:val="19"/>
              </w:rPr>
            </w:pPr>
            <w:r>
              <w:rPr>
                <w:rFonts w:ascii="Calibri"/>
                <w:sz w:val="19"/>
              </w:rPr>
              <w:t>20.7</w:t>
            </w:r>
          </w:p>
        </w:tc>
        <w:tc>
          <w:tcPr>
            <w:tcW w:w="818" w:type="dxa"/>
            <w:tcBorders>
              <w:top w:val="nil"/>
              <w:right w:val="nil"/>
            </w:tcBorders>
          </w:tcPr>
          <w:p>
            <w:pPr>
              <w:pStyle w:val="TableParagraph"/>
              <w:spacing w:line="211" w:lineRule="exact" w:before="9"/>
              <w:ind w:right="12"/>
              <w:jc w:val="right"/>
              <w:rPr>
                <w:rFonts w:ascii="Calibri"/>
                <w:sz w:val="19"/>
              </w:rPr>
            </w:pPr>
            <w:r>
              <w:rPr>
                <w:rFonts w:ascii="Calibri"/>
                <w:sz w:val="19"/>
              </w:rPr>
              <w:t>0.58</w:t>
            </w:r>
          </w:p>
        </w:tc>
        <w:tc>
          <w:tcPr>
            <w:tcW w:w="817" w:type="dxa"/>
            <w:tcBorders>
              <w:top w:val="nil"/>
              <w:left w:val="nil"/>
              <w:bottom w:val="nil"/>
              <w:right w:val="nil"/>
            </w:tcBorders>
            <w:shd w:val="clear" w:color="auto" w:fill="C5DFB4"/>
          </w:tcPr>
          <w:p>
            <w:pPr>
              <w:pStyle w:val="TableParagraph"/>
              <w:spacing w:line="211" w:lineRule="exact" w:before="9"/>
              <w:ind w:right="10"/>
              <w:jc w:val="right"/>
              <w:rPr>
                <w:rFonts w:ascii="Calibri"/>
                <w:b/>
                <w:sz w:val="19"/>
              </w:rPr>
            </w:pPr>
            <w:r>
              <w:rPr>
                <w:rFonts w:ascii="Calibri"/>
                <w:b/>
                <w:sz w:val="19"/>
              </w:rPr>
              <w:t>-2.3</w:t>
            </w:r>
          </w:p>
        </w:tc>
        <w:tc>
          <w:tcPr>
            <w:tcW w:w="819" w:type="dxa"/>
            <w:tcBorders>
              <w:top w:val="nil"/>
              <w:left w:val="nil"/>
              <w:bottom w:val="nil"/>
              <w:right w:val="nil"/>
            </w:tcBorders>
            <w:shd w:val="clear" w:color="auto" w:fill="C5DFB4"/>
          </w:tcPr>
          <w:p>
            <w:pPr>
              <w:pStyle w:val="TableParagraph"/>
              <w:spacing w:line="211" w:lineRule="exact" w:before="9"/>
              <w:ind w:right="10"/>
              <w:jc w:val="right"/>
              <w:rPr>
                <w:rFonts w:ascii="Calibri"/>
                <w:b/>
                <w:sz w:val="19"/>
              </w:rPr>
            </w:pPr>
            <w:r>
              <w:rPr>
                <w:rFonts w:ascii="Calibri"/>
                <w:b/>
                <w:sz w:val="19"/>
              </w:rPr>
              <w:t>6.4</w:t>
            </w:r>
          </w:p>
        </w:tc>
        <w:tc>
          <w:tcPr>
            <w:tcW w:w="818" w:type="dxa"/>
            <w:tcBorders>
              <w:top w:val="nil"/>
              <w:left w:val="nil"/>
              <w:bottom w:val="nil"/>
              <w:right w:val="nil"/>
            </w:tcBorders>
            <w:shd w:val="clear" w:color="auto" w:fill="C5DFB4"/>
          </w:tcPr>
          <w:p>
            <w:pPr>
              <w:pStyle w:val="TableParagraph"/>
              <w:spacing w:line="211" w:lineRule="exact" w:before="9"/>
              <w:ind w:right="9"/>
              <w:jc w:val="right"/>
              <w:rPr>
                <w:rFonts w:ascii="Calibri"/>
                <w:b/>
                <w:sz w:val="19"/>
              </w:rPr>
            </w:pPr>
            <w:r>
              <w:rPr>
                <w:rFonts w:ascii="Calibri"/>
                <w:b/>
                <w:sz w:val="19"/>
              </w:rPr>
              <w:t>0.88</w:t>
            </w:r>
          </w:p>
        </w:tc>
      </w:tr>
      <w:tr>
        <w:trPr>
          <w:trHeight w:val="240" w:hRule="atLeast"/>
        </w:trPr>
        <w:tc>
          <w:tcPr>
            <w:tcW w:w="2700" w:type="dxa"/>
            <w:tcBorders>
              <w:right w:val="nil"/>
            </w:tcBorders>
          </w:tcPr>
          <w:p>
            <w:pPr>
              <w:pStyle w:val="TableParagraph"/>
              <w:spacing w:line="211" w:lineRule="exact" w:before="10"/>
              <w:ind w:left="30"/>
              <w:jc w:val="left"/>
              <w:rPr>
                <w:rFonts w:ascii="Calibri" w:hAnsi="Calibri"/>
                <w:sz w:val="19"/>
              </w:rPr>
            </w:pPr>
            <w:r>
              <w:rPr>
                <w:rFonts w:ascii="Calibri" w:hAnsi="Calibri"/>
                <w:sz w:val="19"/>
              </w:rPr>
              <w:t>450045 Odense å afløb Arreskov</w:t>
            </w:r>
          </w:p>
        </w:tc>
        <w:tc>
          <w:tcPr>
            <w:tcW w:w="818" w:type="dxa"/>
            <w:tcBorders>
              <w:top w:val="nil"/>
              <w:left w:val="nil"/>
              <w:bottom w:val="nil"/>
              <w:right w:val="nil"/>
            </w:tcBorders>
            <w:shd w:val="clear" w:color="auto" w:fill="C5DFB4"/>
          </w:tcPr>
          <w:p>
            <w:pPr>
              <w:pStyle w:val="TableParagraph"/>
              <w:spacing w:line="211" w:lineRule="exact" w:before="10"/>
              <w:ind w:right="15"/>
              <w:jc w:val="right"/>
              <w:rPr>
                <w:rFonts w:ascii="Calibri"/>
                <w:sz w:val="19"/>
              </w:rPr>
            </w:pPr>
            <w:r>
              <w:rPr>
                <w:rFonts w:ascii="Calibri"/>
                <w:sz w:val="19"/>
              </w:rPr>
              <w:t>-16.5</w:t>
            </w:r>
          </w:p>
        </w:tc>
        <w:tc>
          <w:tcPr>
            <w:tcW w:w="818" w:type="dxa"/>
            <w:tcBorders>
              <w:top w:val="nil"/>
              <w:left w:val="nil"/>
              <w:bottom w:val="nil"/>
              <w:right w:val="nil"/>
            </w:tcBorders>
            <w:shd w:val="clear" w:color="auto" w:fill="C5DFB4"/>
          </w:tcPr>
          <w:p>
            <w:pPr>
              <w:pStyle w:val="TableParagraph"/>
              <w:spacing w:line="211" w:lineRule="exact" w:before="10"/>
              <w:ind w:right="13"/>
              <w:jc w:val="right"/>
              <w:rPr>
                <w:rFonts w:ascii="Calibri"/>
                <w:sz w:val="19"/>
              </w:rPr>
            </w:pPr>
            <w:r>
              <w:rPr>
                <w:rFonts w:ascii="Calibri"/>
                <w:sz w:val="19"/>
              </w:rPr>
              <w:t>4.3</w:t>
            </w:r>
          </w:p>
        </w:tc>
        <w:tc>
          <w:tcPr>
            <w:tcW w:w="818" w:type="dxa"/>
            <w:tcBorders>
              <w:left w:val="nil"/>
            </w:tcBorders>
          </w:tcPr>
          <w:p>
            <w:pPr>
              <w:pStyle w:val="TableParagraph"/>
              <w:spacing w:line="211" w:lineRule="exact" w:before="10"/>
              <w:ind w:right="5"/>
              <w:jc w:val="right"/>
              <w:rPr>
                <w:rFonts w:ascii="Calibri"/>
                <w:sz w:val="19"/>
              </w:rPr>
            </w:pPr>
            <w:r>
              <w:rPr>
                <w:rFonts w:ascii="Calibri"/>
                <w:sz w:val="19"/>
              </w:rPr>
              <w:t>0.37</w:t>
            </w:r>
          </w:p>
        </w:tc>
        <w:tc>
          <w:tcPr>
            <w:tcW w:w="817" w:type="dxa"/>
            <w:tcBorders>
              <w:top w:val="nil"/>
              <w:bottom w:val="nil"/>
            </w:tcBorders>
          </w:tcPr>
          <w:p>
            <w:pPr>
              <w:pStyle w:val="TableParagraph"/>
              <w:spacing w:line="211" w:lineRule="exact" w:before="10"/>
              <w:ind w:right="3"/>
              <w:jc w:val="right"/>
              <w:rPr>
                <w:rFonts w:ascii="Calibri"/>
                <w:b/>
                <w:sz w:val="19"/>
              </w:rPr>
            </w:pPr>
            <w:r>
              <w:rPr>
                <w:rFonts w:ascii="Calibri"/>
                <w:b/>
                <w:sz w:val="19"/>
              </w:rPr>
              <w:t>-23.6</w:t>
            </w:r>
          </w:p>
        </w:tc>
        <w:tc>
          <w:tcPr>
            <w:tcW w:w="819" w:type="dxa"/>
            <w:tcBorders>
              <w:top w:val="nil"/>
              <w:bottom w:val="nil"/>
              <w:right w:val="nil"/>
            </w:tcBorders>
          </w:tcPr>
          <w:p>
            <w:pPr>
              <w:pStyle w:val="TableParagraph"/>
              <w:spacing w:line="211" w:lineRule="exact" w:before="10"/>
              <w:ind w:right="10"/>
              <w:jc w:val="right"/>
              <w:rPr>
                <w:rFonts w:ascii="Calibri"/>
                <w:b/>
                <w:sz w:val="19"/>
              </w:rPr>
            </w:pPr>
            <w:r>
              <w:rPr>
                <w:rFonts w:ascii="Calibri"/>
                <w:b/>
                <w:sz w:val="19"/>
              </w:rPr>
              <w:t>-23.2</w:t>
            </w:r>
          </w:p>
        </w:tc>
        <w:tc>
          <w:tcPr>
            <w:tcW w:w="818" w:type="dxa"/>
            <w:tcBorders>
              <w:top w:val="nil"/>
              <w:left w:val="nil"/>
              <w:bottom w:val="nil"/>
              <w:right w:val="nil"/>
            </w:tcBorders>
            <w:shd w:val="clear" w:color="auto" w:fill="C5DFB4"/>
          </w:tcPr>
          <w:p>
            <w:pPr>
              <w:pStyle w:val="TableParagraph"/>
              <w:spacing w:line="211" w:lineRule="exact" w:before="10"/>
              <w:ind w:right="9"/>
              <w:jc w:val="right"/>
              <w:rPr>
                <w:rFonts w:ascii="Calibri"/>
                <w:b/>
                <w:sz w:val="19"/>
              </w:rPr>
            </w:pPr>
            <w:r>
              <w:rPr>
                <w:rFonts w:ascii="Calibri"/>
                <w:b/>
                <w:sz w:val="19"/>
              </w:rPr>
              <w:t>0.42</w:t>
            </w:r>
          </w:p>
        </w:tc>
      </w:tr>
      <w:tr>
        <w:trPr>
          <w:trHeight w:val="237" w:hRule="atLeast"/>
        </w:trPr>
        <w:tc>
          <w:tcPr>
            <w:tcW w:w="2700" w:type="dxa"/>
          </w:tcPr>
          <w:p>
            <w:pPr>
              <w:pStyle w:val="TableParagraph"/>
              <w:spacing w:line="208" w:lineRule="exact" w:before="9"/>
              <w:ind w:left="30"/>
              <w:jc w:val="left"/>
              <w:rPr>
                <w:rFonts w:ascii="Calibri"/>
                <w:sz w:val="19"/>
              </w:rPr>
            </w:pPr>
            <w:r>
              <w:rPr>
                <w:rFonts w:ascii="Calibri"/>
                <w:sz w:val="19"/>
              </w:rPr>
              <w:t>450058 Gels 3.45</w:t>
            </w:r>
          </w:p>
        </w:tc>
        <w:tc>
          <w:tcPr>
            <w:tcW w:w="818" w:type="dxa"/>
            <w:tcBorders>
              <w:top w:val="nil"/>
            </w:tcBorders>
          </w:tcPr>
          <w:p>
            <w:pPr>
              <w:pStyle w:val="TableParagraph"/>
              <w:spacing w:line="208" w:lineRule="exact" w:before="9"/>
              <w:ind w:right="7"/>
              <w:jc w:val="right"/>
              <w:rPr>
                <w:rFonts w:ascii="Calibri"/>
                <w:sz w:val="19"/>
              </w:rPr>
            </w:pPr>
            <w:r>
              <w:rPr>
                <w:rFonts w:ascii="Calibri"/>
                <w:sz w:val="19"/>
              </w:rPr>
              <w:t>2.3</w:t>
            </w:r>
          </w:p>
        </w:tc>
        <w:tc>
          <w:tcPr>
            <w:tcW w:w="818" w:type="dxa"/>
            <w:tcBorders>
              <w:top w:val="nil"/>
            </w:tcBorders>
          </w:tcPr>
          <w:p>
            <w:pPr>
              <w:pStyle w:val="TableParagraph"/>
              <w:spacing w:line="208" w:lineRule="exact" w:before="9"/>
              <w:ind w:right="6"/>
              <w:jc w:val="right"/>
              <w:rPr>
                <w:rFonts w:ascii="Calibri"/>
                <w:sz w:val="19"/>
              </w:rPr>
            </w:pPr>
            <w:r>
              <w:rPr>
                <w:rFonts w:ascii="Calibri"/>
                <w:sz w:val="19"/>
              </w:rPr>
              <w:t>30.9</w:t>
            </w:r>
          </w:p>
        </w:tc>
        <w:tc>
          <w:tcPr>
            <w:tcW w:w="818" w:type="dxa"/>
            <w:tcBorders>
              <w:bottom w:val="nil"/>
              <w:right w:val="nil"/>
            </w:tcBorders>
          </w:tcPr>
          <w:p>
            <w:pPr>
              <w:pStyle w:val="TableParagraph"/>
              <w:spacing w:line="208" w:lineRule="exact" w:before="9"/>
              <w:ind w:right="12"/>
              <w:jc w:val="right"/>
              <w:rPr>
                <w:rFonts w:ascii="Calibri"/>
                <w:sz w:val="19"/>
              </w:rPr>
            </w:pPr>
            <w:r>
              <w:rPr>
                <w:rFonts w:ascii="Calibri"/>
                <w:sz w:val="19"/>
              </w:rPr>
              <w:t>0.57</w:t>
            </w:r>
          </w:p>
        </w:tc>
        <w:tc>
          <w:tcPr>
            <w:tcW w:w="817" w:type="dxa"/>
            <w:tcBorders>
              <w:top w:val="nil"/>
              <w:left w:val="nil"/>
              <w:bottom w:val="nil"/>
              <w:right w:val="nil"/>
            </w:tcBorders>
            <w:shd w:val="clear" w:color="auto" w:fill="C5DFB4"/>
          </w:tcPr>
          <w:p>
            <w:pPr>
              <w:pStyle w:val="TableParagraph"/>
              <w:spacing w:line="208" w:lineRule="exact" w:before="9"/>
              <w:ind w:right="10"/>
              <w:jc w:val="right"/>
              <w:rPr>
                <w:rFonts w:ascii="Calibri"/>
                <w:b/>
                <w:sz w:val="19"/>
              </w:rPr>
            </w:pPr>
            <w:r>
              <w:rPr>
                <w:rFonts w:ascii="Calibri"/>
                <w:b/>
                <w:sz w:val="19"/>
              </w:rPr>
              <w:t>-0.4</w:t>
            </w:r>
          </w:p>
        </w:tc>
        <w:tc>
          <w:tcPr>
            <w:tcW w:w="819" w:type="dxa"/>
            <w:tcBorders>
              <w:top w:val="nil"/>
              <w:left w:val="nil"/>
              <w:bottom w:val="nil"/>
              <w:right w:val="nil"/>
            </w:tcBorders>
            <w:shd w:val="clear" w:color="auto" w:fill="C5DFB4"/>
          </w:tcPr>
          <w:p>
            <w:pPr>
              <w:pStyle w:val="TableParagraph"/>
              <w:spacing w:line="208" w:lineRule="exact" w:before="9"/>
              <w:ind w:right="10"/>
              <w:jc w:val="right"/>
              <w:rPr>
                <w:rFonts w:ascii="Calibri"/>
                <w:b/>
                <w:sz w:val="19"/>
              </w:rPr>
            </w:pPr>
            <w:r>
              <w:rPr>
                <w:rFonts w:ascii="Calibri"/>
                <w:b/>
                <w:sz w:val="19"/>
              </w:rPr>
              <w:t>0.6</w:t>
            </w:r>
          </w:p>
        </w:tc>
        <w:tc>
          <w:tcPr>
            <w:tcW w:w="818" w:type="dxa"/>
            <w:tcBorders>
              <w:top w:val="nil"/>
              <w:left w:val="nil"/>
              <w:bottom w:val="nil"/>
              <w:right w:val="nil"/>
            </w:tcBorders>
            <w:shd w:val="clear" w:color="auto" w:fill="C5DFB4"/>
          </w:tcPr>
          <w:p>
            <w:pPr>
              <w:pStyle w:val="TableParagraph"/>
              <w:spacing w:line="208" w:lineRule="exact" w:before="9"/>
              <w:ind w:right="9"/>
              <w:jc w:val="right"/>
              <w:rPr>
                <w:rFonts w:ascii="Calibri"/>
                <w:b/>
                <w:sz w:val="19"/>
              </w:rPr>
            </w:pPr>
            <w:r>
              <w:rPr>
                <w:rFonts w:ascii="Calibri"/>
                <w:b/>
                <w:sz w:val="19"/>
              </w:rPr>
              <w:t>0.82</w:t>
            </w:r>
          </w:p>
        </w:tc>
      </w:tr>
      <w:tr>
        <w:trPr>
          <w:trHeight w:val="246" w:hRule="atLeast"/>
        </w:trPr>
        <w:tc>
          <w:tcPr>
            <w:tcW w:w="2700" w:type="dxa"/>
          </w:tcPr>
          <w:p>
            <w:pPr>
              <w:pStyle w:val="TableParagraph"/>
              <w:spacing w:line="214" w:lineRule="exact" w:before="13"/>
              <w:ind w:left="30"/>
              <w:jc w:val="left"/>
              <w:rPr>
                <w:rFonts w:ascii="Calibri"/>
                <w:sz w:val="19"/>
              </w:rPr>
            </w:pPr>
            <w:r>
              <w:rPr>
                <w:rFonts w:ascii="Calibri"/>
                <w:sz w:val="19"/>
              </w:rPr>
              <w:t>MAE 12 stationer:</w:t>
            </w:r>
          </w:p>
        </w:tc>
        <w:tc>
          <w:tcPr>
            <w:tcW w:w="818" w:type="dxa"/>
          </w:tcPr>
          <w:p>
            <w:pPr>
              <w:pStyle w:val="TableParagraph"/>
              <w:spacing w:line="214" w:lineRule="exact" w:before="13"/>
              <w:ind w:right="7"/>
              <w:jc w:val="right"/>
              <w:rPr>
                <w:rFonts w:ascii="Calibri"/>
                <w:sz w:val="19"/>
              </w:rPr>
            </w:pPr>
            <w:r>
              <w:rPr>
                <w:rFonts w:ascii="Calibri"/>
                <w:sz w:val="19"/>
              </w:rPr>
              <w:t>10.2</w:t>
            </w:r>
          </w:p>
        </w:tc>
        <w:tc>
          <w:tcPr>
            <w:tcW w:w="818" w:type="dxa"/>
            <w:tcBorders>
              <w:right w:val="nil"/>
            </w:tcBorders>
          </w:tcPr>
          <w:p>
            <w:pPr>
              <w:pStyle w:val="TableParagraph"/>
              <w:spacing w:line="214" w:lineRule="exact" w:before="13"/>
              <w:ind w:right="13"/>
              <w:jc w:val="right"/>
              <w:rPr>
                <w:rFonts w:ascii="Calibri"/>
                <w:sz w:val="19"/>
              </w:rPr>
            </w:pPr>
            <w:r>
              <w:rPr>
                <w:rFonts w:ascii="Calibri"/>
                <w:sz w:val="19"/>
              </w:rPr>
              <w:t>20.7</w:t>
            </w:r>
          </w:p>
        </w:tc>
        <w:tc>
          <w:tcPr>
            <w:tcW w:w="818" w:type="dxa"/>
            <w:tcBorders>
              <w:top w:val="nil"/>
              <w:left w:val="nil"/>
              <w:bottom w:val="nil"/>
              <w:right w:val="nil"/>
            </w:tcBorders>
          </w:tcPr>
          <w:p>
            <w:pPr>
              <w:pStyle w:val="TableParagraph"/>
              <w:spacing w:line="214" w:lineRule="exact" w:before="13"/>
              <w:ind w:right="12"/>
              <w:jc w:val="right"/>
              <w:rPr>
                <w:rFonts w:ascii="Calibri"/>
                <w:sz w:val="19"/>
              </w:rPr>
            </w:pPr>
            <w:r>
              <w:rPr>
                <w:rFonts w:ascii="Calibri"/>
                <w:sz w:val="19"/>
              </w:rPr>
              <w:t>0.60</w:t>
            </w:r>
          </w:p>
        </w:tc>
        <w:tc>
          <w:tcPr>
            <w:tcW w:w="817" w:type="dxa"/>
            <w:tcBorders>
              <w:top w:val="nil"/>
              <w:left w:val="nil"/>
              <w:bottom w:val="nil"/>
              <w:right w:val="nil"/>
            </w:tcBorders>
            <w:shd w:val="clear" w:color="auto" w:fill="E7E6E6"/>
          </w:tcPr>
          <w:p>
            <w:pPr>
              <w:pStyle w:val="TableParagraph"/>
              <w:spacing w:line="214" w:lineRule="exact" w:before="13"/>
              <w:ind w:right="10"/>
              <w:jc w:val="right"/>
              <w:rPr>
                <w:rFonts w:ascii="Calibri"/>
                <w:sz w:val="19"/>
              </w:rPr>
            </w:pPr>
            <w:r>
              <w:rPr>
                <w:rFonts w:ascii="Calibri"/>
                <w:sz w:val="19"/>
              </w:rPr>
              <w:t>5.3</w:t>
            </w:r>
          </w:p>
        </w:tc>
        <w:tc>
          <w:tcPr>
            <w:tcW w:w="819" w:type="dxa"/>
            <w:tcBorders>
              <w:top w:val="nil"/>
              <w:left w:val="nil"/>
              <w:bottom w:val="nil"/>
              <w:right w:val="nil"/>
            </w:tcBorders>
            <w:shd w:val="clear" w:color="auto" w:fill="E7E6E6"/>
          </w:tcPr>
          <w:p>
            <w:pPr>
              <w:pStyle w:val="TableParagraph"/>
              <w:spacing w:line="214" w:lineRule="exact" w:before="13"/>
              <w:ind w:right="10"/>
              <w:jc w:val="right"/>
              <w:rPr>
                <w:rFonts w:ascii="Calibri"/>
                <w:sz w:val="19"/>
              </w:rPr>
            </w:pPr>
            <w:r>
              <w:rPr>
                <w:rFonts w:ascii="Calibri"/>
                <w:sz w:val="19"/>
              </w:rPr>
              <w:t>10.8</w:t>
            </w:r>
          </w:p>
        </w:tc>
        <w:tc>
          <w:tcPr>
            <w:tcW w:w="818" w:type="dxa"/>
            <w:tcBorders>
              <w:top w:val="nil"/>
              <w:left w:val="nil"/>
              <w:bottom w:val="nil"/>
              <w:right w:val="nil"/>
            </w:tcBorders>
            <w:shd w:val="clear" w:color="auto" w:fill="E7E6E6"/>
          </w:tcPr>
          <w:p>
            <w:pPr>
              <w:pStyle w:val="TableParagraph"/>
              <w:spacing w:line="214" w:lineRule="exact" w:before="13"/>
              <w:ind w:right="9"/>
              <w:jc w:val="right"/>
              <w:rPr>
                <w:rFonts w:ascii="Calibri"/>
                <w:sz w:val="19"/>
              </w:rPr>
            </w:pPr>
            <w:r>
              <w:rPr>
                <w:rFonts w:ascii="Calibri"/>
                <w:sz w:val="19"/>
              </w:rPr>
              <w:t>0.77</w:t>
            </w:r>
          </w:p>
        </w:tc>
      </w:tr>
      <w:tr>
        <w:trPr>
          <w:trHeight w:val="238" w:hRule="atLeast"/>
        </w:trPr>
        <w:tc>
          <w:tcPr>
            <w:tcW w:w="2700" w:type="dxa"/>
            <w:tcBorders>
              <w:bottom w:val="nil"/>
            </w:tcBorders>
          </w:tcPr>
          <w:p>
            <w:pPr>
              <w:pStyle w:val="TableParagraph"/>
              <w:spacing w:line="211" w:lineRule="exact" w:before="7"/>
              <w:ind w:left="30"/>
              <w:jc w:val="left"/>
              <w:rPr>
                <w:rFonts w:ascii="Calibri"/>
                <w:sz w:val="19"/>
              </w:rPr>
            </w:pPr>
            <w:r>
              <w:rPr>
                <w:rFonts w:ascii="Calibri"/>
                <w:sz w:val="19"/>
              </w:rPr>
              <w:t>Bedst</w:t>
            </w:r>
          </w:p>
        </w:tc>
        <w:tc>
          <w:tcPr>
            <w:tcW w:w="818" w:type="dxa"/>
            <w:tcBorders>
              <w:bottom w:val="nil"/>
            </w:tcBorders>
          </w:tcPr>
          <w:p>
            <w:pPr>
              <w:pStyle w:val="TableParagraph"/>
              <w:spacing w:line="211" w:lineRule="exact" w:before="7"/>
              <w:ind w:right="7"/>
              <w:jc w:val="right"/>
              <w:rPr>
                <w:rFonts w:ascii="Calibri"/>
                <w:sz w:val="19"/>
              </w:rPr>
            </w:pPr>
            <w:r>
              <w:rPr>
                <w:rFonts w:ascii="Calibri"/>
                <w:w w:val="101"/>
                <w:sz w:val="19"/>
              </w:rPr>
              <w:t>3</w:t>
            </w:r>
          </w:p>
        </w:tc>
        <w:tc>
          <w:tcPr>
            <w:tcW w:w="818" w:type="dxa"/>
            <w:tcBorders>
              <w:bottom w:val="nil"/>
            </w:tcBorders>
          </w:tcPr>
          <w:p>
            <w:pPr>
              <w:pStyle w:val="TableParagraph"/>
              <w:spacing w:line="211" w:lineRule="exact" w:before="7"/>
              <w:ind w:right="5"/>
              <w:jc w:val="right"/>
              <w:rPr>
                <w:rFonts w:ascii="Calibri"/>
                <w:sz w:val="19"/>
              </w:rPr>
            </w:pPr>
            <w:r>
              <w:rPr>
                <w:rFonts w:ascii="Calibri"/>
                <w:w w:val="101"/>
                <w:sz w:val="19"/>
              </w:rPr>
              <w:t>2</w:t>
            </w:r>
          </w:p>
        </w:tc>
        <w:tc>
          <w:tcPr>
            <w:tcW w:w="818" w:type="dxa"/>
            <w:tcBorders>
              <w:top w:val="nil"/>
              <w:bottom w:val="nil"/>
            </w:tcBorders>
          </w:tcPr>
          <w:p>
            <w:pPr>
              <w:pStyle w:val="TableParagraph"/>
              <w:spacing w:line="211" w:lineRule="exact" w:before="7"/>
              <w:ind w:right="4"/>
              <w:jc w:val="right"/>
              <w:rPr>
                <w:rFonts w:ascii="Calibri"/>
                <w:sz w:val="19"/>
              </w:rPr>
            </w:pPr>
            <w:r>
              <w:rPr>
                <w:rFonts w:ascii="Calibri"/>
                <w:w w:val="101"/>
                <w:sz w:val="19"/>
              </w:rPr>
              <w:t>2</w:t>
            </w:r>
          </w:p>
        </w:tc>
        <w:tc>
          <w:tcPr>
            <w:tcW w:w="817" w:type="dxa"/>
            <w:tcBorders>
              <w:top w:val="nil"/>
              <w:bottom w:val="nil"/>
            </w:tcBorders>
          </w:tcPr>
          <w:p>
            <w:pPr>
              <w:pStyle w:val="TableParagraph"/>
              <w:spacing w:line="211" w:lineRule="exact" w:before="7"/>
              <w:ind w:right="10"/>
              <w:jc w:val="right"/>
              <w:rPr>
                <w:rFonts w:ascii="Calibri"/>
                <w:b/>
                <w:sz w:val="19"/>
              </w:rPr>
            </w:pPr>
            <w:r>
              <w:rPr>
                <w:rFonts w:ascii="Calibri"/>
                <w:b/>
                <w:sz w:val="19"/>
              </w:rPr>
              <w:t>10</w:t>
            </w:r>
          </w:p>
        </w:tc>
        <w:tc>
          <w:tcPr>
            <w:tcW w:w="819" w:type="dxa"/>
            <w:tcBorders>
              <w:top w:val="nil"/>
              <w:bottom w:val="nil"/>
            </w:tcBorders>
          </w:tcPr>
          <w:p>
            <w:pPr>
              <w:pStyle w:val="TableParagraph"/>
              <w:spacing w:line="211" w:lineRule="exact" w:before="7"/>
              <w:ind w:right="10"/>
              <w:jc w:val="right"/>
              <w:rPr>
                <w:rFonts w:ascii="Calibri"/>
                <w:b/>
                <w:sz w:val="19"/>
              </w:rPr>
            </w:pPr>
            <w:r>
              <w:rPr>
                <w:rFonts w:ascii="Calibri"/>
                <w:b/>
                <w:sz w:val="19"/>
              </w:rPr>
              <w:t>10</w:t>
            </w:r>
          </w:p>
        </w:tc>
        <w:tc>
          <w:tcPr>
            <w:tcW w:w="818" w:type="dxa"/>
            <w:tcBorders>
              <w:top w:val="nil"/>
              <w:bottom w:val="nil"/>
            </w:tcBorders>
          </w:tcPr>
          <w:p>
            <w:pPr>
              <w:pStyle w:val="TableParagraph"/>
              <w:spacing w:line="211" w:lineRule="exact" w:before="7"/>
              <w:ind w:right="9"/>
              <w:jc w:val="right"/>
              <w:rPr>
                <w:rFonts w:ascii="Calibri"/>
                <w:b/>
                <w:sz w:val="19"/>
              </w:rPr>
            </w:pPr>
            <w:r>
              <w:rPr>
                <w:rFonts w:ascii="Calibri"/>
                <w:b/>
                <w:sz w:val="19"/>
              </w:rPr>
              <w:t>10</w:t>
            </w:r>
          </w:p>
        </w:tc>
      </w:tr>
    </w:tbl>
    <w:p>
      <w:pPr>
        <w:pStyle w:val="BodyText"/>
        <w:spacing w:before="10"/>
        <w:rPr>
          <w:rFonts w:ascii="Calibri"/>
          <w:i/>
          <w:sz w:val="15"/>
        </w:rPr>
      </w:pPr>
    </w:p>
    <w:tbl>
      <w:tblPr>
        <w:tblW w:w="0" w:type="auto"/>
        <w:jc w:val="left"/>
        <w:tblInd w:w="539" w:type="dxa"/>
        <w:tblBorders>
          <w:top w:val="single" w:sz="6" w:space="0" w:color="D3D3D3"/>
          <w:left w:val="single" w:sz="6" w:space="0" w:color="D3D3D3"/>
          <w:bottom w:val="single" w:sz="6" w:space="0" w:color="D3D3D3"/>
          <w:right w:val="single" w:sz="6" w:space="0" w:color="D3D3D3"/>
          <w:insideH w:val="single" w:sz="6" w:space="0" w:color="D3D3D3"/>
          <w:insideV w:val="single" w:sz="6" w:space="0" w:color="D3D3D3"/>
        </w:tblBorders>
        <w:tblLayout w:type="fixed"/>
        <w:tblCellMar>
          <w:top w:w="0" w:type="dxa"/>
          <w:left w:w="0" w:type="dxa"/>
          <w:bottom w:w="0" w:type="dxa"/>
          <w:right w:w="0" w:type="dxa"/>
        </w:tblCellMar>
        <w:tblLook w:val="01E0"/>
      </w:tblPr>
      <w:tblGrid>
        <w:gridCol w:w="2589"/>
        <w:gridCol w:w="833"/>
        <w:gridCol w:w="833"/>
        <w:gridCol w:w="833"/>
        <w:gridCol w:w="833"/>
        <w:gridCol w:w="833"/>
        <w:gridCol w:w="833"/>
      </w:tblGrid>
      <w:tr>
        <w:trPr>
          <w:trHeight w:val="244" w:hRule="atLeast"/>
        </w:trPr>
        <w:tc>
          <w:tcPr>
            <w:tcW w:w="2589" w:type="dxa"/>
          </w:tcPr>
          <w:p>
            <w:pPr>
              <w:pStyle w:val="TableParagraph"/>
              <w:jc w:val="left"/>
              <w:rPr>
                <w:rFonts w:ascii="Times New Roman"/>
                <w:sz w:val="16"/>
              </w:rPr>
            </w:pPr>
          </w:p>
        </w:tc>
        <w:tc>
          <w:tcPr>
            <w:tcW w:w="1666" w:type="dxa"/>
            <w:gridSpan w:val="2"/>
          </w:tcPr>
          <w:p>
            <w:pPr>
              <w:pStyle w:val="TableParagraph"/>
              <w:spacing w:line="212" w:lineRule="exact" w:before="12"/>
              <w:ind w:left="31"/>
              <w:jc w:val="left"/>
              <w:rPr>
                <w:rFonts w:ascii="Calibri"/>
                <w:b/>
                <w:sz w:val="19"/>
              </w:rPr>
            </w:pPr>
            <w:r>
              <w:rPr>
                <w:rFonts w:ascii="Calibri"/>
                <w:b/>
                <w:w w:val="105"/>
                <w:sz w:val="19"/>
              </w:rPr>
              <w:t>DK-model</w:t>
            </w:r>
          </w:p>
        </w:tc>
        <w:tc>
          <w:tcPr>
            <w:tcW w:w="833" w:type="dxa"/>
          </w:tcPr>
          <w:p>
            <w:pPr>
              <w:pStyle w:val="TableParagraph"/>
              <w:jc w:val="left"/>
              <w:rPr>
                <w:rFonts w:ascii="Times New Roman"/>
                <w:sz w:val="16"/>
              </w:rPr>
            </w:pPr>
          </w:p>
        </w:tc>
        <w:tc>
          <w:tcPr>
            <w:tcW w:w="1666" w:type="dxa"/>
            <w:gridSpan w:val="2"/>
          </w:tcPr>
          <w:p>
            <w:pPr>
              <w:pStyle w:val="TableParagraph"/>
              <w:spacing w:line="212" w:lineRule="exact" w:before="12"/>
              <w:ind w:left="31"/>
              <w:jc w:val="left"/>
              <w:rPr>
                <w:rFonts w:ascii="Calibri"/>
                <w:b/>
                <w:sz w:val="19"/>
              </w:rPr>
            </w:pPr>
            <w:r>
              <w:rPr>
                <w:rFonts w:ascii="Calibri"/>
                <w:b/>
                <w:w w:val="105"/>
                <w:sz w:val="19"/>
              </w:rPr>
              <w:t>100 m JUP+Reg</w:t>
            </w:r>
          </w:p>
        </w:tc>
        <w:tc>
          <w:tcPr>
            <w:tcW w:w="833" w:type="dxa"/>
          </w:tcPr>
          <w:p>
            <w:pPr>
              <w:pStyle w:val="TableParagraph"/>
              <w:jc w:val="left"/>
              <w:rPr>
                <w:rFonts w:ascii="Times New Roman"/>
                <w:sz w:val="16"/>
              </w:rPr>
            </w:pPr>
          </w:p>
        </w:tc>
      </w:tr>
      <w:tr>
        <w:trPr>
          <w:trHeight w:val="244" w:hRule="atLeast"/>
        </w:trPr>
        <w:tc>
          <w:tcPr>
            <w:tcW w:w="2589" w:type="dxa"/>
          </w:tcPr>
          <w:p>
            <w:pPr>
              <w:pStyle w:val="TableParagraph"/>
              <w:spacing w:line="212" w:lineRule="exact" w:before="13"/>
              <w:ind w:left="31"/>
              <w:jc w:val="left"/>
              <w:rPr>
                <w:rFonts w:ascii="Calibri"/>
                <w:b/>
                <w:sz w:val="19"/>
              </w:rPr>
            </w:pPr>
            <w:r>
              <w:rPr>
                <w:rFonts w:ascii="Calibri"/>
                <w:b/>
                <w:w w:val="105"/>
                <w:sz w:val="19"/>
              </w:rPr>
              <w:t>2009-2015 validering</w:t>
            </w:r>
          </w:p>
        </w:tc>
        <w:tc>
          <w:tcPr>
            <w:tcW w:w="833" w:type="dxa"/>
          </w:tcPr>
          <w:p>
            <w:pPr>
              <w:pStyle w:val="TableParagraph"/>
              <w:spacing w:line="212" w:lineRule="exact" w:before="13"/>
              <w:ind w:left="31"/>
              <w:jc w:val="left"/>
              <w:rPr>
                <w:rFonts w:ascii="Calibri"/>
                <w:sz w:val="19"/>
              </w:rPr>
            </w:pPr>
            <w:r>
              <w:rPr>
                <w:rFonts w:ascii="Calibri"/>
                <w:w w:val="105"/>
                <w:sz w:val="19"/>
              </w:rPr>
              <w:t>Fbal</w:t>
            </w:r>
          </w:p>
        </w:tc>
        <w:tc>
          <w:tcPr>
            <w:tcW w:w="833" w:type="dxa"/>
          </w:tcPr>
          <w:p>
            <w:pPr>
              <w:pStyle w:val="TableParagraph"/>
              <w:spacing w:line="212" w:lineRule="exact" w:before="13"/>
              <w:ind w:left="31"/>
              <w:jc w:val="left"/>
              <w:rPr>
                <w:rFonts w:ascii="Calibri"/>
                <w:sz w:val="19"/>
              </w:rPr>
            </w:pPr>
            <w:r>
              <w:rPr>
                <w:rFonts w:ascii="Calibri"/>
                <w:w w:val="105"/>
                <w:sz w:val="19"/>
              </w:rPr>
              <w:t>Fbal-S</w:t>
            </w:r>
          </w:p>
        </w:tc>
        <w:tc>
          <w:tcPr>
            <w:tcW w:w="833" w:type="dxa"/>
          </w:tcPr>
          <w:p>
            <w:pPr>
              <w:pStyle w:val="TableParagraph"/>
              <w:spacing w:line="212" w:lineRule="exact" w:before="13"/>
              <w:ind w:left="31"/>
              <w:jc w:val="left"/>
              <w:rPr>
                <w:rFonts w:ascii="Calibri"/>
                <w:sz w:val="19"/>
              </w:rPr>
            </w:pPr>
            <w:r>
              <w:rPr>
                <w:rFonts w:ascii="Calibri"/>
                <w:w w:val="105"/>
                <w:sz w:val="19"/>
              </w:rPr>
              <w:t>R2</w:t>
            </w:r>
          </w:p>
        </w:tc>
        <w:tc>
          <w:tcPr>
            <w:tcW w:w="833" w:type="dxa"/>
            <w:tcBorders>
              <w:bottom w:val="nil"/>
            </w:tcBorders>
          </w:tcPr>
          <w:p>
            <w:pPr>
              <w:pStyle w:val="TableParagraph"/>
              <w:spacing w:line="212" w:lineRule="exact" w:before="13"/>
              <w:ind w:left="31"/>
              <w:jc w:val="left"/>
              <w:rPr>
                <w:rFonts w:ascii="Calibri"/>
                <w:sz w:val="19"/>
              </w:rPr>
            </w:pPr>
            <w:r>
              <w:rPr>
                <w:rFonts w:ascii="Calibri"/>
                <w:w w:val="105"/>
                <w:sz w:val="19"/>
              </w:rPr>
              <w:t>Fbal</w:t>
            </w:r>
          </w:p>
        </w:tc>
        <w:tc>
          <w:tcPr>
            <w:tcW w:w="833" w:type="dxa"/>
            <w:tcBorders>
              <w:bottom w:val="nil"/>
            </w:tcBorders>
          </w:tcPr>
          <w:p>
            <w:pPr>
              <w:pStyle w:val="TableParagraph"/>
              <w:spacing w:line="212" w:lineRule="exact" w:before="13"/>
              <w:ind w:left="31"/>
              <w:jc w:val="left"/>
              <w:rPr>
                <w:rFonts w:ascii="Calibri"/>
                <w:sz w:val="19"/>
              </w:rPr>
            </w:pPr>
            <w:r>
              <w:rPr>
                <w:rFonts w:ascii="Calibri"/>
                <w:w w:val="105"/>
                <w:sz w:val="19"/>
              </w:rPr>
              <w:t>Fbal-S</w:t>
            </w:r>
          </w:p>
        </w:tc>
        <w:tc>
          <w:tcPr>
            <w:tcW w:w="833" w:type="dxa"/>
            <w:tcBorders>
              <w:bottom w:val="nil"/>
            </w:tcBorders>
          </w:tcPr>
          <w:p>
            <w:pPr>
              <w:pStyle w:val="TableParagraph"/>
              <w:spacing w:line="212" w:lineRule="exact" w:before="13"/>
              <w:ind w:left="31"/>
              <w:jc w:val="left"/>
              <w:rPr>
                <w:rFonts w:ascii="Calibri"/>
                <w:sz w:val="19"/>
              </w:rPr>
            </w:pPr>
            <w:r>
              <w:rPr>
                <w:rFonts w:ascii="Calibri"/>
                <w:w w:val="105"/>
                <w:sz w:val="19"/>
              </w:rPr>
              <w:t>R2</w:t>
            </w:r>
          </w:p>
        </w:tc>
      </w:tr>
      <w:tr>
        <w:trPr>
          <w:trHeight w:val="245" w:hRule="atLeast"/>
        </w:trPr>
        <w:tc>
          <w:tcPr>
            <w:tcW w:w="2589" w:type="dxa"/>
            <w:tcBorders>
              <w:left w:val="nil"/>
            </w:tcBorders>
          </w:tcPr>
          <w:p>
            <w:pPr>
              <w:pStyle w:val="TableParagraph"/>
              <w:spacing w:line="212" w:lineRule="exact" w:before="13"/>
              <w:ind w:left="39"/>
              <w:jc w:val="left"/>
              <w:rPr>
                <w:rFonts w:ascii="Calibri" w:hAnsi="Calibri"/>
                <w:sz w:val="19"/>
              </w:rPr>
            </w:pPr>
            <w:r>
              <w:rPr>
                <w:rFonts w:ascii="Calibri" w:hAnsi="Calibri"/>
                <w:w w:val="105"/>
                <w:sz w:val="19"/>
              </w:rPr>
              <w:t>220048 IdomÅ</w:t>
            </w:r>
          </w:p>
        </w:tc>
        <w:tc>
          <w:tcPr>
            <w:tcW w:w="833" w:type="dxa"/>
          </w:tcPr>
          <w:p>
            <w:pPr>
              <w:pStyle w:val="TableParagraph"/>
              <w:spacing w:line="212" w:lineRule="exact" w:before="13"/>
              <w:ind w:right="8"/>
              <w:jc w:val="right"/>
              <w:rPr>
                <w:rFonts w:ascii="Calibri"/>
                <w:sz w:val="19"/>
              </w:rPr>
            </w:pPr>
            <w:r>
              <w:rPr>
                <w:rFonts w:ascii="Calibri"/>
                <w:sz w:val="19"/>
              </w:rPr>
              <w:t>9.7</w:t>
            </w:r>
          </w:p>
        </w:tc>
        <w:tc>
          <w:tcPr>
            <w:tcW w:w="833" w:type="dxa"/>
          </w:tcPr>
          <w:p>
            <w:pPr>
              <w:pStyle w:val="TableParagraph"/>
              <w:spacing w:line="212" w:lineRule="exact" w:before="13"/>
              <w:ind w:right="9"/>
              <w:jc w:val="right"/>
              <w:rPr>
                <w:rFonts w:ascii="Calibri"/>
                <w:sz w:val="19"/>
              </w:rPr>
            </w:pPr>
            <w:r>
              <w:rPr>
                <w:rFonts w:ascii="Calibri"/>
                <w:sz w:val="19"/>
              </w:rPr>
              <w:t>24.3</w:t>
            </w:r>
          </w:p>
        </w:tc>
        <w:tc>
          <w:tcPr>
            <w:tcW w:w="833" w:type="dxa"/>
            <w:tcBorders>
              <w:right w:val="nil"/>
            </w:tcBorders>
          </w:tcPr>
          <w:p>
            <w:pPr>
              <w:pStyle w:val="TableParagraph"/>
              <w:spacing w:line="212" w:lineRule="exact" w:before="13"/>
              <w:ind w:right="16"/>
              <w:jc w:val="right"/>
              <w:rPr>
                <w:rFonts w:ascii="Calibri"/>
                <w:sz w:val="19"/>
              </w:rPr>
            </w:pPr>
            <w:r>
              <w:rPr>
                <w:rFonts w:ascii="Calibri"/>
                <w:sz w:val="19"/>
              </w:rPr>
              <w:t>0.29</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b/>
                <w:sz w:val="19"/>
              </w:rPr>
            </w:pPr>
            <w:r>
              <w:rPr>
                <w:rFonts w:ascii="Calibri"/>
                <w:b/>
                <w:sz w:val="19"/>
              </w:rPr>
              <w:t>6.3</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b/>
                <w:sz w:val="19"/>
              </w:rPr>
            </w:pPr>
            <w:r>
              <w:rPr>
                <w:rFonts w:ascii="Calibri"/>
                <w:b/>
                <w:sz w:val="19"/>
              </w:rPr>
              <w:t>0.5</w:t>
            </w:r>
          </w:p>
        </w:tc>
        <w:tc>
          <w:tcPr>
            <w:tcW w:w="833" w:type="dxa"/>
            <w:tcBorders>
              <w:top w:val="nil"/>
              <w:left w:val="nil"/>
              <w:bottom w:val="nil"/>
              <w:right w:val="nil"/>
            </w:tcBorders>
            <w:shd w:val="clear" w:color="auto" w:fill="C5DFB4"/>
          </w:tcPr>
          <w:p>
            <w:pPr>
              <w:pStyle w:val="TableParagraph"/>
              <w:spacing w:line="212" w:lineRule="exact" w:before="13"/>
              <w:ind w:right="17"/>
              <w:jc w:val="right"/>
              <w:rPr>
                <w:rFonts w:ascii="Calibri"/>
                <w:b/>
                <w:sz w:val="19"/>
              </w:rPr>
            </w:pPr>
            <w:r>
              <w:rPr>
                <w:rFonts w:ascii="Calibri"/>
                <w:b/>
                <w:sz w:val="19"/>
              </w:rPr>
              <w:t>0.46</w:t>
            </w:r>
          </w:p>
        </w:tc>
      </w:tr>
      <w:tr>
        <w:trPr>
          <w:trHeight w:val="245" w:hRule="atLeast"/>
        </w:trPr>
        <w:tc>
          <w:tcPr>
            <w:tcW w:w="2589" w:type="dxa"/>
            <w:tcBorders>
              <w:left w:val="nil"/>
            </w:tcBorders>
          </w:tcPr>
          <w:p>
            <w:pPr>
              <w:pStyle w:val="TableParagraph"/>
              <w:spacing w:line="212" w:lineRule="exact" w:before="13"/>
              <w:ind w:left="39"/>
              <w:jc w:val="left"/>
              <w:rPr>
                <w:rFonts w:ascii="Calibri" w:hAnsi="Calibri"/>
                <w:sz w:val="19"/>
              </w:rPr>
            </w:pPr>
            <w:r>
              <w:rPr>
                <w:rFonts w:ascii="Calibri" w:hAnsi="Calibri"/>
                <w:w w:val="105"/>
                <w:sz w:val="19"/>
              </w:rPr>
              <w:t>220050 Lille Å</w:t>
            </w:r>
          </w:p>
        </w:tc>
        <w:tc>
          <w:tcPr>
            <w:tcW w:w="833" w:type="dxa"/>
          </w:tcPr>
          <w:p>
            <w:pPr>
              <w:pStyle w:val="TableParagraph"/>
              <w:spacing w:line="212" w:lineRule="exact" w:before="13"/>
              <w:ind w:right="9"/>
              <w:jc w:val="right"/>
              <w:rPr>
                <w:rFonts w:ascii="Calibri"/>
                <w:sz w:val="19"/>
              </w:rPr>
            </w:pPr>
            <w:r>
              <w:rPr>
                <w:rFonts w:ascii="Calibri"/>
                <w:sz w:val="19"/>
              </w:rPr>
              <w:t>-12.1</w:t>
            </w:r>
          </w:p>
        </w:tc>
        <w:tc>
          <w:tcPr>
            <w:tcW w:w="833" w:type="dxa"/>
          </w:tcPr>
          <w:p>
            <w:pPr>
              <w:pStyle w:val="TableParagraph"/>
              <w:spacing w:line="212" w:lineRule="exact" w:before="13"/>
              <w:ind w:right="9"/>
              <w:jc w:val="right"/>
              <w:rPr>
                <w:rFonts w:ascii="Calibri"/>
                <w:sz w:val="19"/>
              </w:rPr>
            </w:pPr>
            <w:r>
              <w:rPr>
                <w:rFonts w:ascii="Calibri"/>
                <w:sz w:val="19"/>
              </w:rPr>
              <w:t>-8.7</w:t>
            </w:r>
          </w:p>
        </w:tc>
        <w:tc>
          <w:tcPr>
            <w:tcW w:w="833" w:type="dxa"/>
            <w:tcBorders>
              <w:right w:val="nil"/>
            </w:tcBorders>
          </w:tcPr>
          <w:p>
            <w:pPr>
              <w:pStyle w:val="TableParagraph"/>
              <w:spacing w:line="212" w:lineRule="exact" w:before="13"/>
              <w:ind w:right="16"/>
              <w:jc w:val="right"/>
              <w:rPr>
                <w:rFonts w:ascii="Calibri"/>
                <w:sz w:val="19"/>
              </w:rPr>
            </w:pPr>
            <w:r>
              <w:rPr>
                <w:rFonts w:ascii="Calibri"/>
                <w:sz w:val="19"/>
              </w:rPr>
              <w:t>0.32</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b/>
                <w:sz w:val="19"/>
              </w:rPr>
            </w:pPr>
            <w:r>
              <w:rPr>
                <w:rFonts w:ascii="Calibri"/>
                <w:b/>
                <w:sz w:val="19"/>
              </w:rPr>
              <w:t>3.1</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b/>
                <w:sz w:val="19"/>
              </w:rPr>
            </w:pPr>
            <w:r>
              <w:rPr>
                <w:rFonts w:ascii="Calibri"/>
                <w:b/>
                <w:sz w:val="19"/>
              </w:rPr>
              <w:t>1.6</w:t>
            </w:r>
          </w:p>
        </w:tc>
        <w:tc>
          <w:tcPr>
            <w:tcW w:w="833" w:type="dxa"/>
            <w:tcBorders>
              <w:top w:val="nil"/>
              <w:left w:val="nil"/>
              <w:bottom w:val="nil"/>
              <w:right w:val="nil"/>
            </w:tcBorders>
            <w:shd w:val="clear" w:color="auto" w:fill="C5DFB4"/>
          </w:tcPr>
          <w:p>
            <w:pPr>
              <w:pStyle w:val="TableParagraph"/>
              <w:spacing w:line="212" w:lineRule="exact" w:before="13"/>
              <w:ind w:right="17"/>
              <w:jc w:val="right"/>
              <w:rPr>
                <w:rFonts w:ascii="Calibri"/>
                <w:b/>
                <w:sz w:val="19"/>
              </w:rPr>
            </w:pPr>
            <w:r>
              <w:rPr>
                <w:rFonts w:ascii="Calibri"/>
                <w:b/>
                <w:sz w:val="19"/>
              </w:rPr>
              <w:t>0.73</w:t>
            </w:r>
          </w:p>
        </w:tc>
      </w:tr>
      <w:tr>
        <w:trPr>
          <w:trHeight w:val="244" w:hRule="atLeast"/>
        </w:trPr>
        <w:tc>
          <w:tcPr>
            <w:tcW w:w="2589" w:type="dxa"/>
            <w:tcBorders>
              <w:left w:val="nil"/>
            </w:tcBorders>
          </w:tcPr>
          <w:p>
            <w:pPr>
              <w:pStyle w:val="TableParagraph"/>
              <w:spacing w:line="212" w:lineRule="exact" w:before="13"/>
              <w:ind w:left="39"/>
              <w:jc w:val="left"/>
              <w:rPr>
                <w:rFonts w:ascii="Calibri" w:hAnsi="Calibri"/>
                <w:sz w:val="19"/>
              </w:rPr>
            </w:pPr>
            <w:r>
              <w:rPr>
                <w:rFonts w:ascii="Calibri" w:hAnsi="Calibri"/>
                <w:w w:val="105"/>
                <w:sz w:val="19"/>
              </w:rPr>
              <w:t>220053 Sunds Nørreå</w:t>
            </w:r>
          </w:p>
        </w:tc>
        <w:tc>
          <w:tcPr>
            <w:tcW w:w="833" w:type="dxa"/>
          </w:tcPr>
          <w:p>
            <w:pPr>
              <w:pStyle w:val="TableParagraph"/>
              <w:spacing w:line="212" w:lineRule="exact" w:before="13"/>
              <w:ind w:right="9"/>
              <w:jc w:val="right"/>
              <w:rPr>
                <w:rFonts w:ascii="Calibri"/>
                <w:sz w:val="19"/>
              </w:rPr>
            </w:pPr>
            <w:r>
              <w:rPr>
                <w:rFonts w:ascii="Calibri"/>
                <w:sz w:val="19"/>
              </w:rPr>
              <w:t>-49.3</w:t>
            </w:r>
          </w:p>
        </w:tc>
        <w:tc>
          <w:tcPr>
            <w:tcW w:w="833" w:type="dxa"/>
          </w:tcPr>
          <w:p>
            <w:pPr>
              <w:pStyle w:val="TableParagraph"/>
              <w:spacing w:line="212" w:lineRule="exact" w:before="13"/>
              <w:ind w:right="9"/>
              <w:jc w:val="right"/>
              <w:rPr>
                <w:rFonts w:ascii="Calibri"/>
                <w:sz w:val="19"/>
              </w:rPr>
            </w:pPr>
            <w:r>
              <w:rPr>
                <w:rFonts w:ascii="Calibri"/>
                <w:sz w:val="19"/>
              </w:rPr>
              <w:t>-78.6</w:t>
            </w:r>
          </w:p>
        </w:tc>
        <w:tc>
          <w:tcPr>
            <w:tcW w:w="833" w:type="dxa"/>
            <w:tcBorders>
              <w:right w:val="nil"/>
            </w:tcBorders>
          </w:tcPr>
          <w:p>
            <w:pPr>
              <w:pStyle w:val="TableParagraph"/>
              <w:spacing w:line="212" w:lineRule="exact" w:before="13"/>
              <w:ind w:right="16"/>
              <w:jc w:val="right"/>
              <w:rPr>
                <w:rFonts w:ascii="Calibri"/>
                <w:sz w:val="19"/>
              </w:rPr>
            </w:pPr>
            <w:r>
              <w:rPr>
                <w:rFonts w:ascii="Calibri"/>
                <w:sz w:val="19"/>
              </w:rPr>
              <w:t>0.19</w:t>
            </w:r>
          </w:p>
        </w:tc>
        <w:tc>
          <w:tcPr>
            <w:tcW w:w="833" w:type="dxa"/>
            <w:tcBorders>
              <w:top w:val="nil"/>
              <w:left w:val="nil"/>
              <w:bottom w:val="nil"/>
              <w:right w:val="nil"/>
            </w:tcBorders>
            <w:shd w:val="clear" w:color="auto" w:fill="C5DFB4"/>
          </w:tcPr>
          <w:p>
            <w:pPr>
              <w:pStyle w:val="TableParagraph"/>
              <w:spacing w:line="212" w:lineRule="exact" w:before="13"/>
              <w:ind w:right="11"/>
              <w:jc w:val="right"/>
              <w:rPr>
                <w:rFonts w:ascii="Calibri"/>
                <w:b/>
                <w:sz w:val="19"/>
              </w:rPr>
            </w:pPr>
            <w:r>
              <w:rPr>
                <w:rFonts w:ascii="Calibri"/>
                <w:b/>
                <w:sz w:val="19"/>
              </w:rPr>
              <w:t>-7</w:t>
            </w:r>
          </w:p>
        </w:tc>
        <w:tc>
          <w:tcPr>
            <w:tcW w:w="833" w:type="dxa"/>
            <w:tcBorders>
              <w:top w:val="nil"/>
              <w:left w:val="nil"/>
              <w:bottom w:val="nil"/>
              <w:right w:val="nil"/>
            </w:tcBorders>
            <w:shd w:val="clear" w:color="auto" w:fill="C5DFB4"/>
          </w:tcPr>
          <w:p>
            <w:pPr>
              <w:pStyle w:val="TableParagraph"/>
              <w:spacing w:line="212" w:lineRule="exact" w:before="13"/>
              <w:ind w:right="17"/>
              <w:jc w:val="right"/>
              <w:rPr>
                <w:rFonts w:ascii="Calibri"/>
                <w:b/>
                <w:sz w:val="19"/>
              </w:rPr>
            </w:pPr>
            <w:r>
              <w:rPr>
                <w:rFonts w:ascii="Calibri"/>
                <w:b/>
                <w:sz w:val="19"/>
              </w:rPr>
              <w:t>-51.1</w:t>
            </w:r>
          </w:p>
        </w:tc>
        <w:tc>
          <w:tcPr>
            <w:tcW w:w="833" w:type="dxa"/>
            <w:tcBorders>
              <w:top w:val="nil"/>
              <w:left w:val="nil"/>
              <w:bottom w:val="nil"/>
              <w:right w:val="nil"/>
            </w:tcBorders>
            <w:shd w:val="clear" w:color="auto" w:fill="C5DFB4"/>
          </w:tcPr>
          <w:p>
            <w:pPr>
              <w:pStyle w:val="TableParagraph"/>
              <w:spacing w:line="212" w:lineRule="exact" w:before="13"/>
              <w:ind w:right="17"/>
              <w:jc w:val="right"/>
              <w:rPr>
                <w:rFonts w:ascii="Calibri"/>
                <w:b/>
                <w:sz w:val="19"/>
              </w:rPr>
            </w:pPr>
            <w:r>
              <w:rPr>
                <w:rFonts w:ascii="Calibri"/>
                <w:b/>
                <w:sz w:val="19"/>
              </w:rPr>
              <w:t>0.89</w:t>
            </w:r>
          </w:p>
        </w:tc>
      </w:tr>
      <w:tr>
        <w:trPr>
          <w:trHeight w:val="245" w:hRule="atLeast"/>
        </w:trPr>
        <w:tc>
          <w:tcPr>
            <w:tcW w:w="2589" w:type="dxa"/>
            <w:tcBorders>
              <w:left w:val="nil"/>
            </w:tcBorders>
          </w:tcPr>
          <w:p>
            <w:pPr>
              <w:pStyle w:val="TableParagraph"/>
              <w:spacing w:line="212" w:lineRule="exact" w:before="13"/>
              <w:ind w:left="39"/>
              <w:jc w:val="left"/>
              <w:rPr>
                <w:rFonts w:ascii="Calibri" w:hAnsi="Calibri"/>
                <w:sz w:val="19"/>
              </w:rPr>
            </w:pPr>
            <w:r>
              <w:rPr>
                <w:rFonts w:ascii="Calibri" w:hAnsi="Calibri"/>
                <w:w w:val="105"/>
                <w:sz w:val="19"/>
              </w:rPr>
              <w:t>220059 Storå Rens</w:t>
            </w:r>
          </w:p>
        </w:tc>
        <w:tc>
          <w:tcPr>
            <w:tcW w:w="833" w:type="dxa"/>
            <w:tcBorders>
              <w:bottom w:val="nil"/>
            </w:tcBorders>
          </w:tcPr>
          <w:p>
            <w:pPr>
              <w:pStyle w:val="TableParagraph"/>
              <w:jc w:val="left"/>
              <w:rPr>
                <w:rFonts w:ascii="Times New Roman"/>
                <w:sz w:val="16"/>
              </w:rPr>
            </w:pPr>
          </w:p>
        </w:tc>
        <w:tc>
          <w:tcPr>
            <w:tcW w:w="833" w:type="dxa"/>
          </w:tcPr>
          <w:p>
            <w:pPr>
              <w:pStyle w:val="TableParagraph"/>
              <w:jc w:val="left"/>
              <w:rPr>
                <w:rFonts w:ascii="Times New Roman"/>
                <w:sz w:val="16"/>
              </w:rPr>
            </w:pPr>
          </w:p>
        </w:tc>
        <w:tc>
          <w:tcPr>
            <w:tcW w:w="833" w:type="dxa"/>
          </w:tcPr>
          <w:p>
            <w:pPr>
              <w:pStyle w:val="TableParagraph"/>
              <w:jc w:val="left"/>
              <w:rPr>
                <w:rFonts w:ascii="Times New Roman"/>
                <w:sz w:val="16"/>
              </w:rPr>
            </w:pPr>
          </w:p>
        </w:tc>
        <w:tc>
          <w:tcPr>
            <w:tcW w:w="833" w:type="dxa"/>
            <w:tcBorders>
              <w:top w:val="nil"/>
            </w:tcBorders>
          </w:tcPr>
          <w:p>
            <w:pPr>
              <w:pStyle w:val="TableParagraph"/>
              <w:jc w:val="left"/>
              <w:rPr>
                <w:rFonts w:ascii="Times New Roman"/>
                <w:sz w:val="16"/>
              </w:rPr>
            </w:pPr>
          </w:p>
        </w:tc>
        <w:tc>
          <w:tcPr>
            <w:tcW w:w="833" w:type="dxa"/>
            <w:tcBorders>
              <w:top w:val="nil"/>
              <w:bottom w:val="nil"/>
            </w:tcBorders>
          </w:tcPr>
          <w:p>
            <w:pPr>
              <w:pStyle w:val="TableParagraph"/>
              <w:jc w:val="left"/>
              <w:rPr>
                <w:rFonts w:ascii="Times New Roman"/>
                <w:sz w:val="16"/>
              </w:rPr>
            </w:pPr>
          </w:p>
        </w:tc>
        <w:tc>
          <w:tcPr>
            <w:tcW w:w="833" w:type="dxa"/>
            <w:tcBorders>
              <w:top w:val="nil"/>
              <w:bottom w:val="nil"/>
            </w:tcBorders>
          </w:tcPr>
          <w:p>
            <w:pPr>
              <w:pStyle w:val="TableParagraph"/>
              <w:jc w:val="left"/>
              <w:rPr>
                <w:rFonts w:ascii="Times New Roman"/>
                <w:sz w:val="16"/>
              </w:rPr>
            </w:pPr>
          </w:p>
        </w:tc>
      </w:tr>
      <w:tr>
        <w:trPr>
          <w:trHeight w:val="245" w:hRule="atLeast"/>
        </w:trPr>
        <w:tc>
          <w:tcPr>
            <w:tcW w:w="2589" w:type="dxa"/>
            <w:tcBorders>
              <w:left w:val="nil"/>
              <w:right w:val="nil"/>
            </w:tcBorders>
          </w:tcPr>
          <w:p>
            <w:pPr>
              <w:pStyle w:val="TableParagraph"/>
              <w:spacing w:line="212" w:lineRule="exact" w:before="13"/>
              <w:ind w:left="39"/>
              <w:jc w:val="left"/>
              <w:rPr>
                <w:rFonts w:ascii="Calibri" w:hAnsi="Calibri"/>
                <w:sz w:val="19"/>
              </w:rPr>
            </w:pPr>
            <w:r>
              <w:rPr>
                <w:rFonts w:ascii="Calibri" w:hAnsi="Calibri"/>
                <w:w w:val="105"/>
                <w:sz w:val="19"/>
              </w:rPr>
              <w:t>220062 Storå å udløb</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sz w:val="19"/>
              </w:rPr>
            </w:pPr>
            <w:r>
              <w:rPr>
                <w:rFonts w:ascii="Calibri"/>
                <w:sz w:val="19"/>
              </w:rPr>
              <w:t>-3.4</w:t>
            </w:r>
          </w:p>
        </w:tc>
        <w:tc>
          <w:tcPr>
            <w:tcW w:w="833" w:type="dxa"/>
            <w:tcBorders>
              <w:left w:val="nil"/>
            </w:tcBorders>
          </w:tcPr>
          <w:p>
            <w:pPr>
              <w:pStyle w:val="TableParagraph"/>
              <w:spacing w:line="212" w:lineRule="exact" w:before="13"/>
              <w:ind w:right="9"/>
              <w:jc w:val="right"/>
              <w:rPr>
                <w:rFonts w:ascii="Calibri"/>
                <w:sz w:val="19"/>
              </w:rPr>
            </w:pPr>
            <w:r>
              <w:rPr>
                <w:rFonts w:ascii="Calibri"/>
                <w:sz w:val="19"/>
              </w:rPr>
              <w:t>-5.6</w:t>
            </w:r>
          </w:p>
        </w:tc>
        <w:tc>
          <w:tcPr>
            <w:tcW w:w="833" w:type="dxa"/>
          </w:tcPr>
          <w:p>
            <w:pPr>
              <w:pStyle w:val="TableParagraph"/>
              <w:spacing w:line="212" w:lineRule="exact" w:before="13"/>
              <w:ind w:right="9"/>
              <w:jc w:val="right"/>
              <w:rPr>
                <w:rFonts w:ascii="Calibri"/>
                <w:sz w:val="19"/>
              </w:rPr>
            </w:pPr>
            <w:r>
              <w:rPr>
                <w:rFonts w:ascii="Calibri"/>
                <w:sz w:val="19"/>
              </w:rPr>
              <w:t>0.65</w:t>
            </w:r>
          </w:p>
        </w:tc>
        <w:tc>
          <w:tcPr>
            <w:tcW w:w="833" w:type="dxa"/>
            <w:tcBorders>
              <w:right w:val="nil"/>
            </w:tcBorders>
          </w:tcPr>
          <w:p>
            <w:pPr>
              <w:pStyle w:val="TableParagraph"/>
              <w:spacing w:line="212" w:lineRule="exact" w:before="13"/>
              <w:ind w:right="16"/>
              <w:jc w:val="right"/>
              <w:rPr>
                <w:rFonts w:ascii="Calibri"/>
                <w:b/>
                <w:sz w:val="19"/>
              </w:rPr>
            </w:pPr>
            <w:r>
              <w:rPr>
                <w:rFonts w:ascii="Calibri"/>
                <w:b/>
                <w:sz w:val="19"/>
              </w:rPr>
              <w:t>8.8</w:t>
            </w:r>
          </w:p>
        </w:tc>
        <w:tc>
          <w:tcPr>
            <w:tcW w:w="833" w:type="dxa"/>
            <w:tcBorders>
              <w:top w:val="nil"/>
              <w:left w:val="nil"/>
              <w:bottom w:val="nil"/>
              <w:right w:val="nil"/>
            </w:tcBorders>
            <w:shd w:val="clear" w:color="auto" w:fill="C5DFB4"/>
          </w:tcPr>
          <w:p>
            <w:pPr>
              <w:pStyle w:val="TableParagraph"/>
              <w:spacing w:line="212" w:lineRule="exact" w:before="13"/>
              <w:ind w:right="17"/>
              <w:jc w:val="right"/>
              <w:rPr>
                <w:rFonts w:ascii="Calibri"/>
                <w:b/>
                <w:sz w:val="19"/>
              </w:rPr>
            </w:pPr>
            <w:r>
              <w:rPr>
                <w:rFonts w:ascii="Calibri"/>
                <w:b/>
                <w:sz w:val="19"/>
              </w:rPr>
              <w:t>-2.5</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b/>
                <w:sz w:val="19"/>
              </w:rPr>
            </w:pPr>
            <w:r>
              <w:rPr>
                <w:rFonts w:ascii="Calibri"/>
                <w:b/>
                <w:sz w:val="19"/>
              </w:rPr>
              <w:t>0.8</w:t>
            </w:r>
          </w:p>
        </w:tc>
      </w:tr>
      <w:tr>
        <w:trPr>
          <w:trHeight w:val="244" w:hRule="atLeast"/>
        </w:trPr>
        <w:tc>
          <w:tcPr>
            <w:tcW w:w="2589" w:type="dxa"/>
          </w:tcPr>
          <w:p>
            <w:pPr>
              <w:pStyle w:val="TableParagraph"/>
              <w:jc w:val="left"/>
              <w:rPr>
                <w:rFonts w:ascii="Times New Roman"/>
                <w:sz w:val="16"/>
              </w:rPr>
            </w:pPr>
          </w:p>
        </w:tc>
        <w:tc>
          <w:tcPr>
            <w:tcW w:w="833" w:type="dxa"/>
            <w:tcBorders>
              <w:top w:val="nil"/>
              <w:bottom w:val="nil"/>
            </w:tcBorders>
          </w:tcPr>
          <w:p>
            <w:pPr>
              <w:pStyle w:val="TableParagraph"/>
              <w:jc w:val="left"/>
              <w:rPr>
                <w:rFonts w:ascii="Times New Roman"/>
                <w:sz w:val="16"/>
              </w:rPr>
            </w:pPr>
          </w:p>
        </w:tc>
        <w:tc>
          <w:tcPr>
            <w:tcW w:w="833" w:type="dxa"/>
          </w:tcPr>
          <w:p>
            <w:pPr>
              <w:pStyle w:val="TableParagraph"/>
              <w:jc w:val="left"/>
              <w:rPr>
                <w:rFonts w:ascii="Times New Roman"/>
                <w:sz w:val="16"/>
              </w:rPr>
            </w:pPr>
          </w:p>
        </w:tc>
        <w:tc>
          <w:tcPr>
            <w:tcW w:w="833" w:type="dxa"/>
            <w:tcBorders>
              <w:bottom w:val="nil"/>
            </w:tcBorders>
          </w:tcPr>
          <w:p>
            <w:pPr>
              <w:pStyle w:val="TableParagraph"/>
              <w:jc w:val="left"/>
              <w:rPr>
                <w:rFonts w:ascii="Times New Roman"/>
                <w:sz w:val="16"/>
              </w:rPr>
            </w:pPr>
          </w:p>
        </w:tc>
        <w:tc>
          <w:tcPr>
            <w:tcW w:w="833" w:type="dxa"/>
          </w:tcPr>
          <w:p>
            <w:pPr>
              <w:pStyle w:val="TableParagraph"/>
              <w:jc w:val="left"/>
              <w:rPr>
                <w:rFonts w:ascii="Times New Roman"/>
                <w:sz w:val="16"/>
              </w:rPr>
            </w:pPr>
          </w:p>
        </w:tc>
        <w:tc>
          <w:tcPr>
            <w:tcW w:w="833" w:type="dxa"/>
            <w:tcBorders>
              <w:top w:val="nil"/>
              <w:bottom w:val="nil"/>
            </w:tcBorders>
          </w:tcPr>
          <w:p>
            <w:pPr>
              <w:pStyle w:val="TableParagraph"/>
              <w:jc w:val="left"/>
              <w:rPr>
                <w:rFonts w:ascii="Times New Roman"/>
                <w:sz w:val="16"/>
              </w:rPr>
            </w:pPr>
          </w:p>
        </w:tc>
        <w:tc>
          <w:tcPr>
            <w:tcW w:w="833" w:type="dxa"/>
            <w:tcBorders>
              <w:top w:val="nil"/>
            </w:tcBorders>
          </w:tcPr>
          <w:p>
            <w:pPr>
              <w:pStyle w:val="TableParagraph"/>
              <w:jc w:val="left"/>
              <w:rPr>
                <w:rFonts w:ascii="Times New Roman"/>
                <w:sz w:val="16"/>
              </w:rPr>
            </w:pPr>
          </w:p>
        </w:tc>
      </w:tr>
      <w:tr>
        <w:trPr>
          <w:trHeight w:val="245" w:hRule="atLeast"/>
        </w:trPr>
        <w:tc>
          <w:tcPr>
            <w:tcW w:w="2589" w:type="dxa"/>
            <w:tcBorders>
              <w:left w:val="nil"/>
              <w:right w:val="nil"/>
            </w:tcBorders>
          </w:tcPr>
          <w:p>
            <w:pPr>
              <w:pStyle w:val="TableParagraph"/>
              <w:spacing w:line="212" w:lineRule="exact" w:before="13"/>
              <w:ind w:left="39"/>
              <w:jc w:val="left"/>
              <w:rPr>
                <w:rFonts w:ascii="Calibri" w:hAnsi="Calibri"/>
                <w:sz w:val="19"/>
              </w:rPr>
            </w:pPr>
            <w:r>
              <w:rPr>
                <w:rFonts w:ascii="Calibri" w:hAnsi="Calibri"/>
                <w:w w:val="105"/>
                <w:sz w:val="19"/>
              </w:rPr>
              <w:t>450001 Odense å, NS Ejby M</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sz w:val="19"/>
              </w:rPr>
            </w:pPr>
            <w:r>
              <w:rPr>
                <w:rFonts w:ascii="Calibri"/>
                <w:sz w:val="19"/>
              </w:rPr>
              <w:t>13.5</w:t>
            </w:r>
          </w:p>
        </w:tc>
        <w:tc>
          <w:tcPr>
            <w:tcW w:w="833" w:type="dxa"/>
            <w:tcBorders>
              <w:left w:val="nil"/>
              <w:right w:val="nil"/>
            </w:tcBorders>
          </w:tcPr>
          <w:p>
            <w:pPr>
              <w:pStyle w:val="TableParagraph"/>
              <w:spacing w:line="212" w:lineRule="exact" w:before="13"/>
              <w:ind w:right="16"/>
              <w:jc w:val="right"/>
              <w:rPr>
                <w:rFonts w:ascii="Calibri"/>
                <w:sz w:val="19"/>
              </w:rPr>
            </w:pPr>
            <w:r>
              <w:rPr>
                <w:rFonts w:ascii="Calibri"/>
                <w:sz w:val="19"/>
              </w:rPr>
              <w:t>25.7</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sz w:val="19"/>
              </w:rPr>
            </w:pPr>
            <w:r>
              <w:rPr>
                <w:rFonts w:ascii="Calibri"/>
                <w:sz w:val="19"/>
              </w:rPr>
              <w:t>0.75</w:t>
            </w:r>
          </w:p>
        </w:tc>
        <w:tc>
          <w:tcPr>
            <w:tcW w:w="833" w:type="dxa"/>
            <w:tcBorders>
              <w:left w:val="nil"/>
              <w:right w:val="nil"/>
            </w:tcBorders>
          </w:tcPr>
          <w:p>
            <w:pPr>
              <w:pStyle w:val="TableParagraph"/>
              <w:spacing w:line="212" w:lineRule="exact" w:before="13"/>
              <w:ind w:right="16"/>
              <w:jc w:val="right"/>
              <w:rPr>
                <w:rFonts w:ascii="Calibri"/>
                <w:b/>
                <w:sz w:val="19"/>
              </w:rPr>
            </w:pPr>
            <w:r>
              <w:rPr>
                <w:rFonts w:ascii="Calibri"/>
                <w:b/>
                <w:sz w:val="19"/>
              </w:rPr>
              <w:t>21.2</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b/>
                <w:sz w:val="19"/>
              </w:rPr>
            </w:pPr>
            <w:r>
              <w:rPr>
                <w:rFonts w:ascii="Calibri"/>
                <w:b/>
                <w:sz w:val="19"/>
              </w:rPr>
              <w:t>16.7</w:t>
            </w:r>
          </w:p>
        </w:tc>
        <w:tc>
          <w:tcPr>
            <w:tcW w:w="833" w:type="dxa"/>
            <w:tcBorders>
              <w:left w:val="nil"/>
            </w:tcBorders>
          </w:tcPr>
          <w:p>
            <w:pPr>
              <w:pStyle w:val="TableParagraph"/>
              <w:spacing w:line="212" w:lineRule="exact" w:before="13"/>
              <w:ind w:right="9"/>
              <w:jc w:val="right"/>
              <w:rPr>
                <w:rFonts w:ascii="Calibri"/>
                <w:b/>
                <w:sz w:val="19"/>
              </w:rPr>
            </w:pPr>
            <w:r>
              <w:rPr>
                <w:rFonts w:ascii="Calibri"/>
                <w:b/>
                <w:sz w:val="19"/>
              </w:rPr>
              <w:t>0.66</w:t>
            </w:r>
          </w:p>
        </w:tc>
      </w:tr>
      <w:tr>
        <w:trPr>
          <w:trHeight w:val="245" w:hRule="atLeast"/>
        </w:trPr>
        <w:tc>
          <w:tcPr>
            <w:tcW w:w="2589" w:type="dxa"/>
            <w:tcBorders>
              <w:left w:val="nil"/>
              <w:right w:val="nil"/>
            </w:tcBorders>
          </w:tcPr>
          <w:p>
            <w:pPr>
              <w:pStyle w:val="TableParagraph"/>
              <w:spacing w:line="212" w:lineRule="exact" w:before="13"/>
              <w:ind w:left="39"/>
              <w:jc w:val="left"/>
              <w:rPr>
                <w:rFonts w:ascii="Calibri" w:hAnsi="Calibri"/>
                <w:sz w:val="19"/>
              </w:rPr>
            </w:pPr>
            <w:r>
              <w:rPr>
                <w:rFonts w:ascii="Calibri" w:hAnsi="Calibri"/>
                <w:w w:val="105"/>
                <w:sz w:val="19"/>
              </w:rPr>
              <w:t>450003 Odense å, Kratholm</w:t>
            </w:r>
          </w:p>
        </w:tc>
        <w:tc>
          <w:tcPr>
            <w:tcW w:w="833" w:type="dxa"/>
            <w:tcBorders>
              <w:top w:val="nil"/>
              <w:left w:val="nil"/>
              <w:bottom w:val="nil"/>
              <w:right w:val="nil"/>
            </w:tcBorders>
            <w:shd w:val="clear" w:color="auto" w:fill="C5DFB4"/>
          </w:tcPr>
          <w:p>
            <w:pPr>
              <w:pStyle w:val="TableParagraph"/>
              <w:spacing w:line="212" w:lineRule="exact" w:before="13"/>
              <w:ind w:right="23"/>
              <w:jc w:val="right"/>
              <w:rPr>
                <w:rFonts w:ascii="Calibri"/>
                <w:sz w:val="19"/>
              </w:rPr>
            </w:pPr>
            <w:r>
              <w:rPr>
                <w:rFonts w:ascii="Calibri"/>
                <w:sz w:val="19"/>
              </w:rPr>
              <w:t>19</w:t>
            </w:r>
          </w:p>
        </w:tc>
        <w:tc>
          <w:tcPr>
            <w:tcW w:w="833" w:type="dxa"/>
            <w:tcBorders>
              <w:left w:val="nil"/>
              <w:right w:val="nil"/>
            </w:tcBorders>
          </w:tcPr>
          <w:p>
            <w:pPr>
              <w:pStyle w:val="TableParagraph"/>
              <w:spacing w:line="212" w:lineRule="exact" w:before="13"/>
              <w:ind w:right="16"/>
              <w:jc w:val="right"/>
              <w:rPr>
                <w:rFonts w:ascii="Calibri"/>
                <w:sz w:val="19"/>
              </w:rPr>
            </w:pPr>
            <w:r>
              <w:rPr>
                <w:rFonts w:ascii="Calibri"/>
                <w:sz w:val="19"/>
              </w:rPr>
              <w:t>41.2</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sz w:val="19"/>
              </w:rPr>
            </w:pPr>
            <w:r>
              <w:rPr>
                <w:rFonts w:ascii="Calibri"/>
                <w:sz w:val="19"/>
              </w:rPr>
              <w:t>0.74</w:t>
            </w:r>
          </w:p>
        </w:tc>
        <w:tc>
          <w:tcPr>
            <w:tcW w:w="833" w:type="dxa"/>
            <w:tcBorders>
              <w:left w:val="nil"/>
              <w:right w:val="nil"/>
            </w:tcBorders>
          </w:tcPr>
          <w:p>
            <w:pPr>
              <w:pStyle w:val="TableParagraph"/>
              <w:spacing w:line="212" w:lineRule="exact" w:before="13"/>
              <w:ind w:right="16"/>
              <w:jc w:val="right"/>
              <w:rPr>
                <w:rFonts w:ascii="Calibri"/>
                <w:b/>
                <w:sz w:val="19"/>
              </w:rPr>
            </w:pPr>
            <w:r>
              <w:rPr>
                <w:rFonts w:ascii="Calibri"/>
                <w:b/>
                <w:sz w:val="19"/>
              </w:rPr>
              <w:t>26.5</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b/>
                <w:sz w:val="19"/>
              </w:rPr>
            </w:pPr>
            <w:r>
              <w:rPr>
                <w:rFonts w:ascii="Calibri"/>
                <w:b/>
                <w:sz w:val="19"/>
              </w:rPr>
              <w:t>29.7</w:t>
            </w:r>
          </w:p>
        </w:tc>
        <w:tc>
          <w:tcPr>
            <w:tcW w:w="833" w:type="dxa"/>
            <w:tcBorders>
              <w:left w:val="nil"/>
            </w:tcBorders>
          </w:tcPr>
          <w:p>
            <w:pPr>
              <w:pStyle w:val="TableParagraph"/>
              <w:spacing w:line="212" w:lineRule="exact" w:before="13"/>
              <w:ind w:right="9"/>
              <w:jc w:val="right"/>
              <w:rPr>
                <w:rFonts w:ascii="Calibri"/>
                <w:b/>
                <w:sz w:val="19"/>
              </w:rPr>
            </w:pPr>
            <w:r>
              <w:rPr>
                <w:rFonts w:ascii="Calibri"/>
                <w:b/>
                <w:sz w:val="19"/>
              </w:rPr>
              <w:t>0.65</w:t>
            </w:r>
          </w:p>
        </w:tc>
      </w:tr>
      <w:tr>
        <w:trPr>
          <w:trHeight w:val="244" w:hRule="atLeast"/>
        </w:trPr>
        <w:tc>
          <w:tcPr>
            <w:tcW w:w="2589" w:type="dxa"/>
            <w:tcBorders>
              <w:right w:val="nil"/>
            </w:tcBorders>
          </w:tcPr>
          <w:p>
            <w:pPr>
              <w:pStyle w:val="TableParagraph"/>
              <w:spacing w:line="212" w:lineRule="exact" w:before="13"/>
              <w:ind w:left="31"/>
              <w:jc w:val="left"/>
              <w:rPr>
                <w:rFonts w:ascii="Calibri" w:hAnsi="Calibri"/>
                <w:sz w:val="19"/>
              </w:rPr>
            </w:pPr>
            <w:r>
              <w:rPr>
                <w:rFonts w:ascii="Calibri" w:hAnsi="Calibri"/>
                <w:w w:val="105"/>
                <w:sz w:val="19"/>
              </w:rPr>
              <w:t>450004 Odense å, Nørre Broby</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sz w:val="19"/>
              </w:rPr>
            </w:pPr>
            <w:r>
              <w:rPr>
                <w:rFonts w:ascii="Calibri"/>
                <w:sz w:val="19"/>
              </w:rPr>
              <w:t>18.2</w:t>
            </w:r>
          </w:p>
        </w:tc>
        <w:tc>
          <w:tcPr>
            <w:tcW w:w="833" w:type="dxa"/>
            <w:tcBorders>
              <w:left w:val="nil"/>
              <w:right w:val="nil"/>
            </w:tcBorders>
          </w:tcPr>
          <w:p>
            <w:pPr>
              <w:pStyle w:val="TableParagraph"/>
              <w:spacing w:line="212" w:lineRule="exact" w:before="13"/>
              <w:ind w:right="16"/>
              <w:jc w:val="right"/>
              <w:rPr>
                <w:rFonts w:ascii="Calibri"/>
                <w:sz w:val="19"/>
              </w:rPr>
            </w:pPr>
            <w:r>
              <w:rPr>
                <w:rFonts w:ascii="Calibri"/>
                <w:sz w:val="19"/>
              </w:rPr>
              <w:t>36.4</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sz w:val="19"/>
              </w:rPr>
            </w:pPr>
            <w:r>
              <w:rPr>
                <w:rFonts w:ascii="Calibri"/>
                <w:sz w:val="19"/>
              </w:rPr>
              <w:t>0.71</w:t>
            </w:r>
          </w:p>
        </w:tc>
        <w:tc>
          <w:tcPr>
            <w:tcW w:w="833" w:type="dxa"/>
            <w:tcBorders>
              <w:left w:val="nil"/>
              <w:right w:val="nil"/>
            </w:tcBorders>
          </w:tcPr>
          <w:p>
            <w:pPr>
              <w:pStyle w:val="TableParagraph"/>
              <w:spacing w:line="212" w:lineRule="exact" w:before="13"/>
              <w:ind w:right="16"/>
              <w:jc w:val="right"/>
              <w:rPr>
                <w:rFonts w:ascii="Calibri"/>
                <w:b/>
                <w:sz w:val="19"/>
              </w:rPr>
            </w:pPr>
            <w:r>
              <w:rPr>
                <w:rFonts w:ascii="Calibri"/>
                <w:b/>
                <w:sz w:val="19"/>
              </w:rPr>
              <w:t>29.4</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b/>
                <w:sz w:val="19"/>
              </w:rPr>
            </w:pPr>
            <w:r>
              <w:rPr>
                <w:rFonts w:ascii="Calibri"/>
                <w:b/>
                <w:sz w:val="19"/>
              </w:rPr>
              <w:t>33.1</w:t>
            </w:r>
          </w:p>
        </w:tc>
        <w:tc>
          <w:tcPr>
            <w:tcW w:w="833" w:type="dxa"/>
            <w:tcBorders>
              <w:left w:val="nil"/>
            </w:tcBorders>
          </w:tcPr>
          <w:p>
            <w:pPr>
              <w:pStyle w:val="TableParagraph"/>
              <w:spacing w:line="212" w:lineRule="exact" w:before="13"/>
              <w:ind w:right="9"/>
              <w:jc w:val="right"/>
              <w:rPr>
                <w:rFonts w:ascii="Calibri"/>
                <w:b/>
                <w:sz w:val="19"/>
              </w:rPr>
            </w:pPr>
            <w:r>
              <w:rPr>
                <w:rFonts w:ascii="Calibri"/>
                <w:b/>
                <w:sz w:val="19"/>
              </w:rPr>
              <w:t>0.6</w:t>
            </w:r>
          </w:p>
        </w:tc>
      </w:tr>
      <w:tr>
        <w:trPr>
          <w:trHeight w:val="245" w:hRule="atLeast"/>
        </w:trPr>
        <w:tc>
          <w:tcPr>
            <w:tcW w:w="2589" w:type="dxa"/>
            <w:tcBorders>
              <w:right w:val="nil"/>
            </w:tcBorders>
          </w:tcPr>
          <w:p>
            <w:pPr>
              <w:pStyle w:val="TableParagraph"/>
              <w:spacing w:line="212" w:lineRule="exact" w:before="13"/>
              <w:ind w:left="31"/>
              <w:jc w:val="left"/>
              <w:rPr>
                <w:rFonts w:ascii="Calibri" w:hAnsi="Calibri"/>
                <w:sz w:val="19"/>
              </w:rPr>
            </w:pPr>
            <w:r>
              <w:rPr>
                <w:rFonts w:ascii="Calibri" w:hAnsi="Calibri"/>
                <w:w w:val="105"/>
                <w:sz w:val="19"/>
              </w:rPr>
              <w:t>450005 Stavis å st 8.25</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sz w:val="19"/>
              </w:rPr>
            </w:pPr>
            <w:r>
              <w:rPr>
                <w:rFonts w:ascii="Calibri"/>
                <w:sz w:val="19"/>
              </w:rPr>
              <w:t>-6.6</w:t>
            </w:r>
          </w:p>
        </w:tc>
        <w:tc>
          <w:tcPr>
            <w:tcW w:w="833" w:type="dxa"/>
            <w:tcBorders>
              <w:left w:val="nil"/>
              <w:right w:val="nil"/>
            </w:tcBorders>
          </w:tcPr>
          <w:p>
            <w:pPr>
              <w:pStyle w:val="TableParagraph"/>
              <w:spacing w:line="212" w:lineRule="exact" w:before="13"/>
              <w:ind w:right="16"/>
              <w:jc w:val="right"/>
              <w:rPr>
                <w:rFonts w:ascii="Calibri"/>
                <w:sz w:val="19"/>
              </w:rPr>
            </w:pPr>
            <w:r>
              <w:rPr>
                <w:rFonts w:ascii="Calibri"/>
                <w:sz w:val="19"/>
              </w:rPr>
              <w:t>-27.4</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sz w:val="19"/>
              </w:rPr>
            </w:pPr>
            <w:r>
              <w:rPr>
                <w:rFonts w:ascii="Calibri"/>
                <w:sz w:val="19"/>
              </w:rPr>
              <w:t>0.75</w:t>
            </w:r>
          </w:p>
        </w:tc>
        <w:tc>
          <w:tcPr>
            <w:tcW w:w="833" w:type="dxa"/>
            <w:tcBorders>
              <w:left w:val="nil"/>
              <w:right w:val="nil"/>
            </w:tcBorders>
          </w:tcPr>
          <w:p>
            <w:pPr>
              <w:pStyle w:val="TableParagraph"/>
              <w:spacing w:line="212" w:lineRule="exact" w:before="13"/>
              <w:ind w:right="16"/>
              <w:jc w:val="right"/>
              <w:rPr>
                <w:rFonts w:ascii="Calibri"/>
                <w:b/>
                <w:sz w:val="19"/>
              </w:rPr>
            </w:pPr>
            <w:r>
              <w:rPr>
                <w:rFonts w:ascii="Calibri"/>
                <w:b/>
                <w:sz w:val="19"/>
              </w:rPr>
              <w:t>17.8</w:t>
            </w:r>
          </w:p>
        </w:tc>
        <w:tc>
          <w:tcPr>
            <w:tcW w:w="833" w:type="dxa"/>
            <w:tcBorders>
              <w:top w:val="nil"/>
              <w:left w:val="nil"/>
              <w:bottom w:val="nil"/>
              <w:right w:val="nil"/>
            </w:tcBorders>
            <w:shd w:val="clear" w:color="auto" w:fill="C5DFB4"/>
          </w:tcPr>
          <w:p>
            <w:pPr>
              <w:pStyle w:val="TableParagraph"/>
              <w:spacing w:line="212" w:lineRule="exact" w:before="13"/>
              <w:ind w:right="17"/>
              <w:jc w:val="right"/>
              <w:rPr>
                <w:rFonts w:ascii="Calibri"/>
                <w:b/>
                <w:sz w:val="19"/>
              </w:rPr>
            </w:pPr>
            <w:r>
              <w:rPr>
                <w:rFonts w:ascii="Calibri"/>
                <w:b/>
                <w:sz w:val="19"/>
              </w:rPr>
              <w:t>-11.9</w:t>
            </w:r>
          </w:p>
        </w:tc>
        <w:tc>
          <w:tcPr>
            <w:tcW w:w="833" w:type="dxa"/>
            <w:tcBorders>
              <w:left w:val="nil"/>
              <w:bottom w:val="nil"/>
            </w:tcBorders>
          </w:tcPr>
          <w:p>
            <w:pPr>
              <w:pStyle w:val="TableParagraph"/>
              <w:spacing w:line="212" w:lineRule="exact" w:before="13"/>
              <w:ind w:right="9"/>
              <w:jc w:val="right"/>
              <w:rPr>
                <w:rFonts w:ascii="Calibri"/>
                <w:b/>
                <w:sz w:val="19"/>
              </w:rPr>
            </w:pPr>
            <w:r>
              <w:rPr>
                <w:rFonts w:ascii="Calibri"/>
                <w:b/>
                <w:sz w:val="19"/>
              </w:rPr>
              <w:t>0.63</w:t>
            </w:r>
          </w:p>
        </w:tc>
      </w:tr>
      <w:tr>
        <w:trPr>
          <w:trHeight w:val="244" w:hRule="atLeast"/>
        </w:trPr>
        <w:tc>
          <w:tcPr>
            <w:tcW w:w="2589" w:type="dxa"/>
            <w:tcBorders>
              <w:left w:val="nil"/>
              <w:right w:val="nil"/>
            </w:tcBorders>
          </w:tcPr>
          <w:p>
            <w:pPr>
              <w:pStyle w:val="TableParagraph"/>
              <w:spacing w:line="212" w:lineRule="exact" w:before="13"/>
              <w:ind w:left="39"/>
              <w:jc w:val="left"/>
              <w:rPr>
                <w:rFonts w:ascii="Calibri" w:hAnsi="Calibri"/>
                <w:sz w:val="19"/>
              </w:rPr>
            </w:pPr>
            <w:r>
              <w:rPr>
                <w:rFonts w:ascii="Calibri" w:hAnsi="Calibri"/>
                <w:w w:val="105"/>
                <w:sz w:val="19"/>
              </w:rPr>
              <w:t>450043 Lindved å 1.20</w:t>
            </w:r>
          </w:p>
        </w:tc>
        <w:tc>
          <w:tcPr>
            <w:tcW w:w="833" w:type="dxa"/>
            <w:tcBorders>
              <w:top w:val="nil"/>
              <w:left w:val="nil"/>
              <w:bottom w:val="nil"/>
              <w:right w:val="nil"/>
            </w:tcBorders>
            <w:shd w:val="clear" w:color="auto" w:fill="C5DFB4"/>
          </w:tcPr>
          <w:p>
            <w:pPr>
              <w:pStyle w:val="TableParagraph"/>
              <w:spacing w:line="212" w:lineRule="exact" w:before="13"/>
              <w:ind w:right="15"/>
              <w:jc w:val="right"/>
              <w:rPr>
                <w:rFonts w:ascii="Calibri"/>
                <w:sz w:val="19"/>
              </w:rPr>
            </w:pPr>
            <w:r>
              <w:rPr>
                <w:rFonts w:ascii="Calibri"/>
                <w:sz w:val="19"/>
              </w:rPr>
              <w:t>7.5</w:t>
            </w:r>
          </w:p>
        </w:tc>
        <w:tc>
          <w:tcPr>
            <w:tcW w:w="833" w:type="dxa"/>
            <w:tcBorders>
              <w:left w:val="nil"/>
            </w:tcBorders>
          </w:tcPr>
          <w:p>
            <w:pPr>
              <w:pStyle w:val="TableParagraph"/>
              <w:spacing w:line="212" w:lineRule="exact" w:before="13"/>
              <w:ind w:right="9"/>
              <w:jc w:val="right"/>
              <w:rPr>
                <w:rFonts w:ascii="Calibri"/>
                <w:sz w:val="19"/>
              </w:rPr>
            </w:pPr>
            <w:r>
              <w:rPr>
                <w:rFonts w:ascii="Calibri"/>
                <w:sz w:val="19"/>
              </w:rPr>
              <w:t>27.5</w:t>
            </w:r>
          </w:p>
        </w:tc>
        <w:tc>
          <w:tcPr>
            <w:tcW w:w="833" w:type="dxa"/>
            <w:tcBorders>
              <w:top w:val="nil"/>
            </w:tcBorders>
          </w:tcPr>
          <w:p>
            <w:pPr>
              <w:pStyle w:val="TableParagraph"/>
              <w:spacing w:line="212" w:lineRule="exact" w:before="13"/>
              <w:ind w:right="9"/>
              <w:jc w:val="right"/>
              <w:rPr>
                <w:rFonts w:ascii="Calibri"/>
                <w:sz w:val="19"/>
              </w:rPr>
            </w:pPr>
            <w:r>
              <w:rPr>
                <w:rFonts w:ascii="Calibri"/>
                <w:sz w:val="19"/>
              </w:rPr>
              <w:t>0.46</w:t>
            </w:r>
          </w:p>
        </w:tc>
        <w:tc>
          <w:tcPr>
            <w:tcW w:w="833" w:type="dxa"/>
            <w:tcBorders>
              <w:bottom w:val="nil"/>
              <w:right w:val="nil"/>
            </w:tcBorders>
          </w:tcPr>
          <w:p>
            <w:pPr>
              <w:pStyle w:val="TableParagraph"/>
              <w:spacing w:line="212" w:lineRule="exact" w:before="13"/>
              <w:ind w:right="16"/>
              <w:jc w:val="right"/>
              <w:rPr>
                <w:rFonts w:ascii="Calibri"/>
                <w:b/>
                <w:sz w:val="19"/>
              </w:rPr>
            </w:pPr>
            <w:r>
              <w:rPr>
                <w:rFonts w:ascii="Calibri"/>
                <w:b/>
                <w:sz w:val="19"/>
              </w:rPr>
              <w:t>15.1</w:t>
            </w:r>
          </w:p>
        </w:tc>
        <w:tc>
          <w:tcPr>
            <w:tcW w:w="833" w:type="dxa"/>
            <w:tcBorders>
              <w:top w:val="nil"/>
              <w:left w:val="nil"/>
              <w:bottom w:val="nil"/>
              <w:right w:val="nil"/>
            </w:tcBorders>
            <w:shd w:val="clear" w:color="auto" w:fill="C5DFB4"/>
          </w:tcPr>
          <w:p>
            <w:pPr>
              <w:pStyle w:val="TableParagraph"/>
              <w:spacing w:line="212" w:lineRule="exact" w:before="13"/>
              <w:ind w:right="16"/>
              <w:jc w:val="right"/>
              <w:rPr>
                <w:rFonts w:ascii="Calibri"/>
                <w:b/>
                <w:sz w:val="19"/>
              </w:rPr>
            </w:pPr>
            <w:r>
              <w:rPr>
                <w:rFonts w:ascii="Calibri"/>
                <w:b/>
                <w:sz w:val="19"/>
              </w:rPr>
              <w:t>19.4</w:t>
            </w:r>
          </w:p>
        </w:tc>
        <w:tc>
          <w:tcPr>
            <w:tcW w:w="833" w:type="dxa"/>
            <w:tcBorders>
              <w:top w:val="nil"/>
              <w:left w:val="nil"/>
              <w:bottom w:val="nil"/>
              <w:right w:val="nil"/>
            </w:tcBorders>
            <w:shd w:val="clear" w:color="auto" w:fill="C5DFB4"/>
          </w:tcPr>
          <w:p>
            <w:pPr>
              <w:pStyle w:val="TableParagraph"/>
              <w:spacing w:line="212" w:lineRule="exact" w:before="13"/>
              <w:ind w:right="17"/>
              <w:jc w:val="right"/>
              <w:rPr>
                <w:rFonts w:ascii="Calibri"/>
                <w:b/>
                <w:sz w:val="19"/>
              </w:rPr>
            </w:pPr>
            <w:r>
              <w:rPr>
                <w:rFonts w:ascii="Calibri"/>
                <w:b/>
                <w:sz w:val="19"/>
              </w:rPr>
              <w:t>0.71</w:t>
            </w:r>
          </w:p>
        </w:tc>
      </w:tr>
      <w:tr>
        <w:trPr>
          <w:trHeight w:val="244" w:hRule="atLeast"/>
        </w:trPr>
        <w:tc>
          <w:tcPr>
            <w:tcW w:w="2589" w:type="dxa"/>
            <w:tcBorders>
              <w:left w:val="nil"/>
            </w:tcBorders>
          </w:tcPr>
          <w:p>
            <w:pPr>
              <w:pStyle w:val="TableParagraph"/>
              <w:spacing w:line="212" w:lineRule="exact" w:before="13"/>
              <w:ind w:left="39"/>
              <w:jc w:val="left"/>
              <w:rPr>
                <w:rFonts w:ascii="Calibri" w:hAnsi="Calibri"/>
                <w:sz w:val="19"/>
              </w:rPr>
            </w:pPr>
            <w:r>
              <w:rPr>
                <w:rFonts w:ascii="Calibri" w:hAnsi="Calibri"/>
                <w:spacing w:val="-7"/>
                <w:w w:val="105"/>
                <w:sz w:val="19"/>
              </w:rPr>
              <w:t>450045</w:t>
            </w:r>
            <w:r>
              <w:rPr>
                <w:rFonts w:ascii="Calibri" w:hAnsi="Calibri"/>
                <w:spacing w:val="-20"/>
                <w:w w:val="105"/>
                <w:sz w:val="19"/>
              </w:rPr>
              <w:t> </w:t>
            </w:r>
            <w:r>
              <w:rPr>
                <w:rFonts w:ascii="Calibri" w:hAnsi="Calibri"/>
                <w:w w:val="105"/>
                <w:sz w:val="19"/>
              </w:rPr>
              <w:t>Odense</w:t>
            </w:r>
            <w:r>
              <w:rPr>
                <w:rFonts w:ascii="Calibri" w:hAnsi="Calibri"/>
                <w:spacing w:val="-8"/>
                <w:w w:val="105"/>
                <w:sz w:val="19"/>
              </w:rPr>
              <w:t> </w:t>
            </w:r>
            <w:r>
              <w:rPr>
                <w:rFonts w:ascii="Calibri" w:hAnsi="Calibri"/>
                <w:w w:val="105"/>
                <w:sz w:val="19"/>
              </w:rPr>
              <w:t>å</w:t>
            </w:r>
            <w:r>
              <w:rPr>
                <w:rFonts w:ascii="Calibri" w:hAnsi="Calibri"/>
                <w:spacing w:val="-16"/>
                <w:w w:val="105"/>
                <w:sz w:val="19"/>
              </w:rPr>
              <w:t> </w:t>
            </w:r>
            <w:r>
              <w:rPr>
                <w:rFonts w:ascii="Calibri" w:hAnsi="Calibri"/>
                <w:w w:val="105"/>
                <w:sz w:val="19"/>
              </w:rPr>
              <w:t>afløb</w:t>
            </w:r>
            <w:r>
              <w:rPr>
                <w:rFonts w:ascii="Calibri" w:hAnsi="Calibri"/>
                <w:spacing w:val="-12"/>
                <w:w w:val="105"/>
                <w:sz w:val="19"/>
              </w:rPr>
              <w:t> </w:t>
            </w:r>
            <w:r>
              <w:rPr>
                <w:rFonts w:ascii="Calibri" w:hAnsi="Calibri"/>
                <w:w w:val="105"/>
                <w:sz w:val="19"/>
              </w:rPr>
              <w:t>Arreskov</w:t>
            </w:r>
          </w:p>
        </w:tc>
        <w:tc>
          <w:tcPr>
            <w:tcW w:w="833" w:type="dxa"/>
            <w:tcBorders>
              <w:top w:val="nil"/>
            </w:tcBorders>
          </w:tcPr>
          <w:p>
            <w:pPr>
              <w:pStyle w:val="TableParagraph"/>
              <w:spacing w:line="212" w:lineRule="exact" w:before="13"/>
              <w:ind w:right="8"/>
              <w:jc w:val="right"/>
              <w:rPr>
                <w:rFonts w:ascii="Calibri"/>
                <w:sz w:val="19"/>
              </w:rPr>
            </w:pPr>
            <w:r>
              <w:rPr>
                <w:rFonts w:ascii="Calibri"/>
                <w:sz w:val="19"/>
              </w:rPr>
              <w:t>13.2</w:t>
            </w:r>
          </w:p>
        </w:tc>
        <w:tc>
          <w:tcPr>
            <w:tcW w:w="833" w:type="dxa"/>
          </w:tcPr>
          <w:p>
            <w:pPr>
              <w:pStyle w:val="TableParagraph"/>
              <w:spacing w:line="212" w:lineRule="exact" w:before="13"/>
              <w:ind w:right="9"/>
              <w:jc w:val="right"/>
              <w:rPr>
                <w:rFonts w:ascii="Calibri"/>
                <w:sz w:val="19"/>
              </w:rPr>
            </w:pPr>
            <w:r>
              <w:rPr>
                <w:rFonts w:ascii="Calibri"/>
                <w:sz w:val="19"/>
              </w:rPr>
              <w:t>28.1</w:t>
            </w:r>
          </w:p>
        </w:tc>
        <w:tc>
          <w:tcPr>
            <w:tcW w:w="833" w:type="dxa"/>
            <w:tcBorders>
              <w:right w:val="nil"/>
            </w:tcBorders>
          </w:tcPr>
          <w:p>
            <w:pPr>
              <w:pStyle w:val="TableParagraph"/>
              <w:spacing w:line="212" w:lineRule="exact" w:before="13"/>
              <w:ind w:right="16"/>
              <w:jc w:val="right"/>
              <w:rPr>
                <w:rFonts w:ascii="Calibri"/>
                <w:sz w:val="19"/>
              </w:rPr>
            </w:pPr>
            <w:r>
              <w:rPr>
                <w:rFonts w:ascii="Calibri"/>
                <w:sz w:val="19"/>
              </w:rPr>
              <w:t>0.61</w:t>
            </w:r>
          </w:p>
        </w:tc>
        <w:tc>
          <w:tcPr>
            <w:tcW w:w="833" w:type="dxa"/>
            <w:vMerge w:val="restart"/>
            <w:tcBorders>
              <w:top w:val="nil"/>
              <w:left w:val="nil"/>
              <w:bottom w:val="nil"/>
              <w:right w:val="nil"/>
            </w:tcBorders>
            <w:shd w:val="clear" w:color="auto" w:fill="C5DFB4"/>
          </w:tcPr>
          <w:p>
            <w:pPr>
              <w:pStyle w:val="TableParagraph"/>
              <w:spacing w:before="13"/>
              <w:ind w:right="16"/>
              <w:jc w:val="right"/>
              <w:rPr>
                <w:rFonts w:ascii="Calibri"/>
                <w:b/>
                <w:sz w:val="19"/>
              </w:rPr>
            </w:pPr>
            <w:r>
              <w:rPr>
                <w:rFonts w:ascii="Calibri"/>
                <w:b/>
                <w:spacing w:val="-4"/>
                <w:sz w:val="19"/>
              </w:rPr>
              <w:t>9.7</w:t>
            </w:r>
          </w:p>
          <w:p>
            <w:pPr>
              <w:pStyle w:val="TableParagraph"/>
              <w:spacing w:line="209" w:lineRule="exact" w:before="28"/>
              <w:ind w:right="16"/>
              <w:jc w:val="right"/>
              <w:rPr>
                <w:rFonts w:ascii="Calibri"/>
                <w:b/>
                <w:sz w:val="19"/>
              </w:rPr>
            </w:pPr>
            <w:r>
              <w:rPr>
                <w:rFonts w:ascii="Calibri"/>
                <w:b/>
                <w:spacing w:val="-4"/>
                <w:sz w:val="19"/>
              </w:rPr>
              <w:t>1.2</w:t>
            </w:r>
          </w:p>
        </w:tc>
        <w:tc>
          <w:tcPr>
            <w:tcW w:w="833" w:type="dxa"/>
            <w:vMerge w:val="restart"/>
            <w:tcBorders>
              <w:top w:val="nil"/>
              <w:left w:val="nil"/>
              <w:bottom w:val="nil"/>
              <w:right w:val="nil"/>
            </w:tcBorders>
            <w:shd w:val="clear" w:color="auto" w:fill="C5DFB4"/>
          </w:tcPr>
          <w:p>
            <w:pPr>
              <w:pStyle w:val="TableParagraph"/>
              <w:spacing w:before="13"/>
              <w:ind w:left="480"/>
              <w:jc w:val="left"/>
              <w:rPr>
                <w:rFonts w:ascii="Calibri"/>
                <w:b/>
                <w:sz w:val="19"/>
              </w:rPr>
            </w:pPr>
            <w:r>
              <w:rPr>
                <w:rFonts w:ascii="Calibri"/>
                <w:b/>
                <w:spacing w:val="-5"/>
                <w:w w:val="105"/>
                <w:sz w:val="19"/>
              </w:rPr>
              <w:t>12.2</w:t>
            </w:r>
          </w:p>
          <w:p>
            <w:pPr>
              <w:pStyle w:val="TableParagraph"/>
              <w:spacing w:line="209" w:lineRule="exact" w:before="28"/>
              <w:ind w:left="480"/>
              <w:jc w:val="left"/>
              <w:rPr>
                <w:rFonts w:ascii="Calibri"/>
                <w:b/>
                <w:sz w:val="19"/>
              </w:rPr>
            </w:pPr>
            <w:r>
              <w:rPr>
                <w:rFonts w:ascii="Calibri"/>
                <w:b/>
                <w:spacing w:val="-5"/>
                <w:w w:val="105"/>
                <w:sz w:val="19"/>
              </w:rPr>
              <w:t>11.2</w:t>
            </w:r>
          </w:p>
        </w:tc>
        <w:tc>
          <w:tcPr>
            <w:tcW w:w="833" w:type="dxa"/>
            <w:vMerge w:val="restart"/>
            <w:tcBorders>
              <w:top w:val="nil"/>
              <w:left w:val="nil"/>
              <w:bottom w:val="nil"/>
              <w:right w:val="nil"/>
            </w:tcBorders>
            <w:shd w:val="clear" w:color="auto" w:fill="C5DFB4"/>
          </w:tcPr>
          <w:p>
            <w:pPr>
              <w:pStyle w:val="TableParagraph"/>
              <w:spacing w:before="13"/>
              <w:ind w:left="480"/>
              <w:jc w:val="left"/>
              <w:rPr>
                <w:rFonts w:ascii="Calibri"/>
                <w:b/>
                <w:sz w:val="19"/>
              </w:rPr>
            </w:pPr>
            <w:r>
              <w:rPr>
                <w:rFonts w:ascii="Calibri"/>
                <w:b/>
                <w:spacing w:val="-5"/>
                <w:w w:val="105"/>
                <w:sz w:val="19"/>
              </w:rPr>
              <w:t>0.64</w:t>
            </w:r>
          </w:p>
          <w:p>
            <w:pPr>
              <w:pStyle w:val="TableParagraph"/>
              <w:spacing w:line="209" w:lineRule="exact" w:before="28"/>
              <w:ind w:left="480"/>
              <w:jc w:val="left"/>
              <w:rPr>
                <w:rFonts w:ascii="Calibri"/>
                <w:b/>
                <w:sz w:val="19"/>
              </w:rPr>
            </w:pPr>
            <w:r>
              <w:rPr>
                <w:rFonts w:ascii="Calibri"/>
                <w:b/>
                <w:spacing w:val="-5"/>
                <w:w w:val="105"/>
                <w:sz w:val="19"/>
              </w:rPr>
              <w:t>0.61</w:t>
            </w:r>
          </w:p>
        </w:tc>
      </w:tr>
      <w:tr>
        <w:trPr>
          <w:trHeight w:val="241" w:hRule="atLeast"/>
        </w:trPr>
        <w:tc>
          <w:tcPr>
            <w:tcW w:w="2589" w:type="dxa"/>
            <w:tcBorders>
              <w:left w:val="nil"/>
            </w:tcBorders>
          </w:tcPr>
          <w:p>
            <w:pPr>
              <w:pStyle w:val="TableParagraph"/>
              <w:spacing w:line="209" w:lineRule="exact" w:before="13"/>
              <w:ind w:left="39"/>
              <w:jc w:val="left"/>
              <w:rPr>
                <w:rFonts w:ascii="Calibri"/>
                <w:sz w:val="19"/>
              </w:rPr>
            </w:pPr>
            <w:r>
              <w:rPr>
                <w:rFonts w:ascii="Calibri"/>
                <w:w w:val="105"/>
                <w:sz w:val="19"/>
              </w:rPr>
              <w:t>450058 Gels 3.45</w:t>
            </w:r>
          </w:p>
        </w:tc>
        <w:tc>
          <w:tcPr>
            <w:tcW w:w="833" w:type="dxa"/>
          </w:tcPr>
          <w:p>
            <w:pPr>
              <w:pStyle w:val="TableParagraph"/>
              <w:spacing w:line="209" w:lineRule="exact" w:before="13"/>
              <w:ind w:right="8"/>
              <w:jc w:val="right"/>
              <w:rPr>
                <w:rFonts w:ascii="Calibri"/>
                <w:sz w:val="19"/>
              </w:rPr>
            </w:pPr>
            <w:r>
              <w:rPr>
                <w:rFonts w:ascii="Calibri"/>
                <w:sz w:val="19"/>
              </w:rPr>
              <w:t>4.1</w:t>
            </w:r>
          </w:p>
        </w:tc>
        <w:tc>
          <w:tcPr>
            <w:tcW w:w="833" w:type="dxa"/>
          </w:tcPr>
          <w:p>
            <w:pPr>
              <w:pStyle w:val="TableParagraph"/>
              <w:spacing w:line="209" w:lineRule="exact" w:before="13"/>
              <w:ind w:right="9"/>
              <w:jc w:val="right"/>
              <w:rPr>
                <w:rFonts w:ascii="Calibri"/>
                <w:sz w:val="19"/>
              </w:rPr>
            </w:pPr>
            <w:r>
              <w:rPr>
                <w:rFonts w:ascii="Calibri"/>
                <w:sz w:val="19"/>
              </w:rPr>
              <w:t>34.6</w:t>
            </w:r>
          </w:p>
        </w:tc>
        <w:tc>
          <w:tcPr>
            <w:tcW w:w="833" w:type="dxa"/>
            <w:tcBorders>
              <w:bottom w:val="nil"/>
              <w:right w:val="nil"/>
            </w:tcBorders>
          </w:tcPr>
          <w:p>
            <w:pPr>
              <w:pStyle w:val="TableParagraph"/>
              <w:spacing w:line="209" w:lineRule="exact" w:before="13"/>
              <w:ind w:right="16"/>
              <w:jc w:val="right"/>
              <w:rPr>
                <w:rFonts w:ascii="Calibri"/>
                <w:sz w:val="19"/>
              </w:rPr>
            </w:pPr>
            <w:r>
              <w:rPr>
                <w:rFonts w:ascii="Calibri"/>
                <w:sz w:val="19"/>
              </w:rPr>
              <w:t>0.34</w:t>
            </w:r>
          </w:p>
        </w:tc>
        <w:tc>
          <w:tcPr>
            <w:tcW w:w="833" w:type="dxa"/>
            <w:vMerge/>
            <w:tcBorders>
              <w:top w:val="nil"/>
              <w:left w:val="nil"/>
              <w:bottom w:val="nil"/>
              <w:right w:val="nil"/>
            </w:tcBorders>
            <w:shd w:val="clear" w:color="auto" w:fill="C5DFB4"/>
          </w:tcPr>
          <w:p>
            <w:pPr>
              <w:rPr>
                <w:sz w:val="2"/>
                <w:szCs w:val="2"/>
              </w:rPr>
            </w:pPr>
          </w:p>
        </w:tc>
        <w:tc>
          <w:tcPr>
            <w:tcW w:w="833" w:type="dxa"/>
            <w:vMerge/>
            <w:tcBorders>
              <w:top w:val="nil"/>
              <w:left w:val="nil"/>
              <w:bottom w:val="nil"/>
              <w:right w:val="nil"/>
            </w:tcBorders>
            <w:shd w:val="clear" w:color="auto" w:fill="C5DFB4"/>
          </w:tcPr>
          <w:p>
            <w:pPr>
              <w:rPr>
                <w:sz w:val="2"/>
                <w:szCs w:val="2"/>
              </w:rPr>
            </w:pPr>
          </w:p>
        </w:tc>
        <w:tc>
          <w:tcPr>
            <w:tcW w:w="833" w:type="dxa"/>
            <w:vMerge/>
            <w:tcBorders>
              <w:top w:val="nil"/>
              <w:left w:val="nil"/>
              <w:bottom w:val="nil"/>
              <w:right w:val="nil"/>
            </w:tcBorders>
            <w:shd w:val="clear" w:color="auto" w:fill="C5DFB4"/>
          </w:tcPr>
          <w:p>
            <w:pPr>
              <w:rPr>
                <w:sz w:val="2"/>
                <w:szCs w:val="2"/>
              </w:rPr>
            </w:pPr>
          </w:p>
        </w:tc>
      </w:tr>
      <w:tr>
        <w:trPr>
          <w:trHeight w:val="251" w:hRule="atLeast"/>
        </w:trPr>
        <w:tc>
          <w:tcPr>
            <w:tcW w:w="2589" w:type="dxa"/>
            <w:tcBorders>
              <w:left w:val="nil"/>
            </w:tcBorders>
          </w:tcPr>
          <w:p>
            <w:pPr>
              <w:pStyle w:val="TableParagraph"/>
              <w:spacing w:line="215" w:lineRule="exact" w:before="16"/>
              <w:ind w:left="39"/>
              <w:jc w:val="left"/>
              <w:rPr>
                <w:rFonts w:ascii="Calibri"/>
                <w:sz w:val="19"/>
              </w:rPr>
            </w:pPr>
            <w:r>
              <w:rPr>
                <w:rFonts w:ascii="Calibri"/>
                <w:w w:val="105"/>
                <w:sz w:val="19"/>
              </w:rPr>
              <w:t>MAE 12 stationer:</w:t>
            </w:r>
          </w:p>
        </w:tc>
        <w:tc>
          <w:tcPr>
            <w:tcW w:w="833" w:type="dxa"/>
          </w:tcPr>
          <w:p>
            <w:pPr>
              <w:pStyle w:val="TableParagraph"/>
              <w:spacing w:line="215" w:lineRule="exact" w:before="16"/>
              <w:ind w:right="8"/>
              <w:jc w:val="right"/>
              <w:rPr>
                <w:rFonts w:ascii="Calibri"/>
                <w:sz w:val="19"/>
              </w:rPr>
            </w:pPr>
            <w:r>
              <w:rPr>
                <w:rFonts w:ascii="Calibri"/>
                <w:sz w:val="19"/>
              </w:rPr>
              <w:t>13.1</w:t>
            </w:r>
          </w:p>
        </w:tc>
        <w:tc>
          <w:tcPr>
            <w:tcW w:w="833" w:type="dxa"/>
            <w:tcBorders>
              <w:right w:val="nil"/>
            </w:tcBorders>
          </w:tcPr>
          <w:p>
            <w:pPr>
              <w:pStyle w:val="TableParagraph"/>
              <w:spacing w:line="215" w:lineRule="exact" w:before="16"/>
              <w:ind w:right="16"/>
              <w:jc w:val="right"/>
              <w:rPr>
                <w:rFonts w:ascii="Calibri"/>
                <w:sz w:val="19"/>
              </w:rPr>
            </w:pPr>
            <w:r>
              <w:rPr>
                <w:rFonts w:ascii="Calibri"/>
                <w:sz w:val="19"/>
              </w:rPr>
              <w:t>28.2</w:t>
            </w:r>
          </w:p>
        </w:tc>
        <w:tc>
          <w:tcPr>
            <w:tcW w:w="833" w:type="dxa"/>
            <w:tcBorders>
              <w:top w:val="nil"/>
              <w:left w:val="nil"/>
              <w:bottom w:val="nil"/>
              <w:right w:val="nil"/>
            </w:tcBorders>
          </w:tcPr>
          <w:p>
            <w:pPr>
              <w:pStyle w:val="TableParagraph"/>
              <w:spacing w:line="215" w:lineRule="exact" w:before="16"/>
              <w:ind w:right="16"/>
              <w:jc w:val="right"/>
              <w:rPr>
                <w:rFonts w:ascii="Calibri"/>
                <w:sz w:val="19"/>
              </w:rPr>
            </w:pPr>
            <w:r>
              <w:rPr>
                <w:rFonts w:ascii="Calibri"/>
                <w:sz w:val="19"/>
              </w:rPr>
              <w:t>0.48</w:t>
            </w:r>
          </w:p>
        </w:tc>
        <w:tc>
          <w:tcPr>
            <w:tcW w:w="833" w:type="dxa"/>
            <w:tcBorders>
              <w:top w:val="nil"/>
              <w:left w:val="nil"/>
              <w:bottom w:val="nil"/>
              <w:right w:val="nil"/>
            </w:tcBorders>
            <w:shd w:val="clear" w:color="auto" w:fill="E7E6E6"/>
          </w:tcPr>
          <w:p>
            <w:pPr>
              <w:pStyle w:val="TableParagraph"/>
              <w:spacing w:line="215" w:lineRule="exact" w:before="16"/>
              <w:ind w:right="17"/>
              <w:jc w:val="right"/>
              <w:rPr>
                <w:rFonts w:ascii="Calibri"/>
                <w:sz w:val="19"/>
              </w:rPr>
            </w:pPr>
            <w:r>
              <w:rPr>
                <w:rFonts w:ascii="Calibri"/>
                <w:sz w:val="19"/>
              </w:rPr>
              <w:t>12.2</w:t>
            </w:r>
          </w:p>
        </w:tc>
        <w:tc>
          <w:tcPr>
            <w:tcW w:w="833" w:type="dxa"/>
            <w:tcBorders>
              <w:top w:val="nil"/>
              <w:left w:val="nil"/>
              <w:bottom w:val="nil"/>
              <w:right w:val="nil"/>
            </w:tcBorders>
            <w:shd w:val="clear" w:color="auto" w:fill="E7E6E6"/>
          </w:tcPr>
          <w:p>
            <w:pPr>
              <w:pStyle w:val="TableParagraph"/>
              <w:spacing w:line="215" w:lineRule="exact" w:before="16"/>
              <w:ind w:right="17"/>
              <w:jc w:val="right"/>
              <w:rPr>
                <w:rFonts w:ascii="Calibri"/>
                <w:sz w:val="19"/>
              </w:rPr>
            </w:pPr>
            <w:r>
              <w:rPr>
                <w:rFonts w:ascii="Calibri"/>
                <w:sz w:val="19"/>
              </w:rPr>
              <w:t>15.8</w:t>
            </w:r>
          </w:p>
        </w:tc>
        <w:tc>
          <w:tcPr>
            <w:tcW w:w="833" w:type="dxa"/>
            <w:tcBorders>
              <w:top w:val="nil"/>
              <w:left w:val="nil"/>
              <w:bottom w:val="nil"/>
              <w:right w:val="nil"/>
            </w:tcBorders>
            <w:shd w:val="clear" w:color="auto" w:fill="E7E6E6"/>
          </w:tcPr>
          <w:p>
            <w:pPr>
              <w:pStyle w:val="TableParagraph"/>
              <w:spacing w:line="215" w:lineRule="exact" w:before="16"/>
              <w:ind w:right="17"/>
              <w:jc w:val="right"/>
              <w:rPr>
                <w:rFonts w:ascii="Calibri"/>
                <w:sz w:val="19"/>
              </w:rPr>
            </w:pPr>
            <w:r>
              <w:rPr>
                <w:rFonts w:ascii="Calibri"/>
                <w:sz w:val="19"/>
              </w:rPr>
              <w:t>0.62</w:t>
            </w:r>
          </w:p>
        </w:tc>
      </w:tr>
      <w:tr>
        <w:trPr>
          <w:trHeight w:val="240" w:hRule="atLeast"/>
        </w:trPr>
        <w:tc>
          <w:tcPr>
            <w:tcW w:w="2589" w:type="dxa"/>
          </w:tcPr>
          <w:p>
            <w:pPr>
              <w:pStyle w:val="TableParagraph"/>
              <w:spacing w:line="210" w:lineRule="exact" w:before="10"/>
              <w:ind w:left="31"/>
              <w:jc w:val="left"/>
              <w:rPr>
                <w:rFonts w:ascii="Calibri"/>
                <w:sz w:val="19"/>
              </w:rPr>
            </w:pPr>
            <w:r>
              <w:rPr>
                <w:rFonts w:ascii="Calibri"/>
                <w:w w:val="105"/>
                <w:sz w:val="19"/>
              </w:rPr>
              <w:t>Bedst</w:t>
            </w:r>
          </w:p>
        </w:tc>
        <w:tc>
          <w:tcPr>
            <w:tcW w:w="833" w:type="dxa"/>
          </w:tcPr>
          <w:p>
            <w:pPr>
              <w:pStyle w:val="TableParagraph"/>
              <w:spacing w:line="210" w:lineRule="exact" w:before="10"/>
              <w:ind w:right="8"/>
              <w:jc w:val="right"/>
              <w:rPr>
                <w:rFonts w:ascii="Calibri"/>
                <w:b/>
                <w:sz w:val="19"/>
              </w:rPr>
            </w:pPr>
            <w:r>
              <w:rPr>
                <w:rFonts w:ascii="Calibri"/>
                <w:b/>
                <w:w w:val="102"/>
                <w:sz w:val="19"/>
              </w:rPr>
              <w:t>6</w:t>
            </w:r>
          </w:p>
        </w:tc>
        <w:tc>
          <w:tcPr>
            <w:tcW w:w="833" w:type="dxa"/>
          </w:tcPr>
          <w:p>
            <w:pPr>
              <w:pStyle w:val="TableParagraph"/>
              <w:spacing w:line="210" w:lineRule="exact" w:before="10"/>
              <w:ind w:right="8"/>
              <w:jc w:val="right"/>
              <w:rPr>
                <w:rFonts w:ascii="Calibri"/>
                <w:b/>
                <w:sz w:val="19"/>
              </w:rPr>
            </w:pPr>
            <w:r>
              <w:rPr>
                <w:rFonts w:ascii="Calibri"/>
                <w:b/>
                <w:w w:val="102"/>
                <w:sz w:val="19"/>
              </w:rPr>
              <w:t>0</w:t>
            </w:r>
          </w:p>
        </w:tc>
        <w:tc>
          <w:tcPr>
            <w:tcW w:w="833" w:type="dxa"/>
            <w:tcBorders>
              <w:top w:val="nil"/>
            </w:tcBorders>
          </w:tcPr>
          <w:p>
            <w:pPr>
              <w:pStyle w:val="TableParagraph"/>
              <w:spacing w:line="210" w:lineRule="exact" w:before="10"/>
              <w:ind w:right="8"/>
              <w:jc w:val="right"/>
              <w:rPr>
                <w:rFonts w:ascii="Calibri"/>
                <w:b/>
                <w:sz w:val="19"/>
              </w:rPr>
            </w:pPr>
            <w:r>
              <w:rPr>
                <w:rFonts w:ascii="Calibri"/>
                <w:b/>
                <w:w w:val="102"/>
                <w:sz w:val="19"/>
              </w:rPr>
              <w:t>4</w:t>
            </w:r>
          </w:p>
        </w:tc>
        <w:tc>
          <w:tcPr>
            <w:tcW w:w="833" w:type="dxa"/>
            <w:tcBorders>
              <w:top w:val="nil"/>
            </w:tcBorders>
          </w:tcPr>
          <w:p>
            <w:pPr>
              <w:pStyle w:val="TableParagraph"/>
              <w:spacing w:line="210" w:lineRule="exact" w:before="10"/>
              <w:ind w:right="8"/>
              <w:jc w:val="right"/>
              <w:rPr>
                <w:rFonts w:ascii="Calibri"/>
                <w:b/>
                <w:sz w:val="19"/>
              </w:rPr>
            </w:pPr>
            <w:r>
              <w:rPr>
                <w:rFonts w:ascii="Calibri"/>
                <w:b/>
                <w:w w:val="102"/>
                <w:sz w:val="19"/>
              </w:rPr>
              <w:t>5</w:t>
            </w:r>
          </w:p>
        </w:tc>
        <w:tc>
          <w:tcPr>
            <w:tcW w:w="833" w:type="dxa"/>
            <w:tcBorders>
              <w:top w:val="nil"/>
            </w:tcBorders>
          </w:tcPr>
          <w:p>
            <w:pPr>
              <w:pStyle w:val="TableParagraph"/>
              <w:spacing w:line="210" w:lineRule="exact" w:before="10"/>
              <w:ind w:right="17"/>
              <w:jc w:val="right"/>
              <w:rPr>
                <w:rFonts w:ascii="Calibri"/>
                <w:b/>
                <w:sz w:val="19"/>
              </w:rPr>
            </w:pPr>
            <w:r>
              <w:rPr>
                <w:rFonts w:ascii="Calibri"/>
                <w:b/>
                <w:sz w:val="19"/>
              </w:rPr>
              <w:t>11</w:t>
            </w:r>
          </w:p>
        </w:tc>
        <w:tc>
          <w:tcPr>
            <w:tcW w:w="833" w:type="dxa"/>
            <w:tcBorders>
              <w:top w:val="nil"/>
            </w:tcBorders>
          </w:tcPr>
          <w:p>
            <w:pPr>
              <w:pStyle w:val="TableParagraph"/>
              <w:spacing w:line="210" w:lineRule="exact" w:before="10"/>
              <w:ind w:right="9"/>
              <w:jc w:val="right"/>
              <w:rPr>
                <w:rFonts w:ascii="Calibri"/>
                <w:b/>
                <w:sz w:val="19"/>
              </w:rPr>
            </w:pPr>
            <w:r>
              <w:rPr>
                <w:rFonts w:ascii="Calibri"/>
                <w:b/>
                <w:w w:val="102"/>
                <w:sz w:val="19"/>
              </w:rPr>
              <w:t>7</w:t>
            </w:r>
          </w:p>
        </w:tc>
      </w:tr>
    </w:tbl>
    <w:p>
      <w:pPr>
        <w:pStyle w:val="BodyText"/>
        <w:spacing w:before="9"/>
        <w:rPr>
          <w:rFonts w:ascii="Calibri"/>
          <w:i/>
          <w:sz w:val="16"/>
        </w:rPr>
      </w:pPr>
    </w:p>
    <w:p>
      <w:pPr>
        <w:pStyle w:val="BodyText"/>
        <w:spacing w:line="288" w:lineRule="auto"/>
        <w:ind w:left="525" w:right="731"/>
        <w:jc w:val="both"/>
      </w:pPr>
      <w:r>
        <w:rPr/>
        <w:t>Det fremgår af </w:t>
      </w:r>
      <w:hyperlink w:history="true" w:anchor="_bookmark161">
        <w:r>
          <w:rPr/>
          <w:t>tabel 33</w:t>
        </w:r>
      </w:hyperlink>
      <w:r>
        <w:rPr/>
        <w:t>, at 100 m modellen for kalibreringsperioden giver en klart forbedret vandbalance både på årsbasis og for sommerperioden svarende til en halvering i forhold til baseline modellen. Afstrømningsdynamik (NSE) forbedres fra 0.60 i gennemsnit for de 12 stationer</w:t>
      </w:r>
      <w:r>
        <w:rPr>
          <w:spacing w:val="-5"/>
        </w:rPr>
        <w:t> </w:t>
      </w:r>
      <w:r>
        <w:rPr/>
        <w:t>til</w:t>
      </w:r>
      <w:r>
        <w:rPr>
          <w:spacing w:val="-4"/>
        </w:rPr>
        <w:t> </w:t>
      </w:r>
      <w:r>
        <w:rPr/>
        <w:t>0.77.</w:t>
      </w:r>
      <w:r>
        <w:rPr>
          <w:spacing w:val="-6"/>
        </w:rPr>
        <w:t> </w:t>
      </w:r>
      <w:r>
        <w:rPr/>
        <w:t>Specielt</w:t>
      </w:r>
      <w:r>
        <w:rPr>
          <w:spacing w:val="-8"/>
        </w:rPr>
        <w:t> </w:t>
      </w:r>
      <w:r>
        <w:rPr/>
        <w:t>afstrømningsdynamik</w:t>
      </w:r>
      <w:r>
        <w:rPr>
          <w:spacing w:val="-5"/>
        </w:rPr>
        <w:t> </w:t>
      </w:r>
      <w:r>
        <w:rPr/>
        <w:t>er</w:t>
      </w:r>
      <w:r>
        <w:rPr>
          <w:spacing w:val="-5"/>
        </w:rPr>
        <w:t> </w:t>
      </w:r>
      <w:r>
        <w:rPr/>
        <w:t>vigtig</w:t>
      </w:r>
      <w:r>
        <w:rPr>
          <w:spacing w:val="-6"/>
        </w:rPr>
        <w:t> </w:t>
      </w:r>
      <w:r>
        <w:rPr/>
        <w:t>for</w:t>
      </w:r>
      <w:r>
        <w:rPr>
          <w:spacing w:val="-5"/>
        </w:rPr>
        <w:t> </w:t>
      </w:r>
      <w:r>
        <w:rPr/>
        <w:t>en</w:t>
      </w:r>
      <w:r>
        <w:rPr>
          <w:spacing w:val="-7"/>
        </w:rPr>
        <w:t> </w:t>
      </w:r>
      <w:r>
        <w:rPr/>
        <w:t>præcis</w:t>
      </w:r>
      <w:r>
        <w:rPr>
          <w:spacing w:val="-5"/>
        </w:rPr>
        <w:t> </w:t>
      </w:r>
      <w:r>
        <w:rPr/>
        <w:t>simulering</w:t>
      </w:r>
      <w:r>
        <w:rPr>
          <w:spacing w:val="-4"/>
        </w:rPr>
        <w:t> </w:t>
      </w:r>
      <w:r>
        <w:rPr/>
        <w:t>af</w:t>
      </w:r>
      <w:r>
        <w:rPr>
          <w:spacing w:val="-4"/>
        </w:rPr>
        <w:t> </w:t>
      </w:r>
      <w:r>
        <w:rPr/>
        <w:t>store</w:t>
      </w:r>
      <w:r>
        <w:rPr>
          <w:spacing w:val="-4"/>
        </w:rPr>
        <w:t> </w:t>
      </w:r>
      <w:r>
        <w:rPr>
          <w:spacing w:val="-3"/>
        </w:rPr>
        <w:t>og </w:t>
      </w:r>
      <w:r>
        <w:rPr/>
        <w:t>små afstrømninger. For valideringsperioden er 100 m modellen klart bedst for Storå, hvor- imod</w:t>
      </w:r>
      <w:r>
        <w:rPr>
          <w:spacing w:val="-8"/>
        </w:rPr>
        <w:t> </w:t>
      </w:r>
      <w:r>
        <w:rPr/>
        <w:t>Odense</w:t>
      </w:r>
      <w:r>
        <w:rPr>
          <w:spacing w:val="-7"/>
        </w:rPr>
        <w:t> </w:t>
      </w:r>
      <w:r>
        <w:rPr/>
        <w:t>Å</w:t>
      </w:r>
      <w:r>
        <w:rPr>
          <w:spacing w:val="-7"/>
        </w:rPr>
        <w:t> </w:t>
      </w:r>
      <w:r>
        <w:rPr/>
        <w:t>viser,</w:t>
      </w:r>
      <w:r>
        <w:rPr>
          <w:spacing w:val="-9"/>
        </w:rPr>
        <w:t> </w:t>
      </w:r>
      <w:r>
        <w:rPr/>
        <w:t>at</w:t>
      </w:r>
      <w:r>
        <w:rPr>
          <w:spacing w:val="-8"/>
        </w:rPr>
        <w:t> </w:t>
      </w:r>
      <w:r>
        <w:rPr/>
        <w:t>DK</w:t>
      </w:r>
      <w:r>
        <w:rPr>
          <w:spacing w:val="-7"/>
        </w:rPr>
        <w:t> </w:t>
      </w:r>
      <w:r>
        <w:rPr/>
        <w:t>model</w:t>
      </w:r>
      <w:r>
        <w:rPr>
          <w:spacing w:val="-8"/>
        </w:rPr>
        <w:t> </w:t>
      </w:r>
      <w:r>
        <w:rPr/>
        <w:t>har</w:t>
      </w:r>
      <w:r>
        <w:rPr>
          <w:spacing w:val="-8"/>
        </w:rPr>
        <w:t> </w:t>
      </w:r>
      <w:r>
        <w:rPr/>
        <w:t>bedre</w:t>
      </w:r>
      <w:r>
        <w:rPr>
          <w:spacing w:val="-8"/>
        </w:rPr>
        <w:t> </w:t>
      </w:r>
      <w:r>
        <w:rPr/>
        <w:t>performance</w:t>
      </w:r>
      <w:r>
        <w:rPr>
          <w:spacing w:val="-7"/>
        </w:rPr>
        <w:t> </w:t>
      </w:r>
      <w:r>
        <w:rPr/>
        <w:t>for</w:t>
      </w:r>
      <w:r>
        <w:rPr>
          <w:spacing w:val="-8"/>
        </w:rPr>
        <w:t> </w:t>
      </w:r>
      <w:r>
        <w:rPr/>
        <w:t>de</w:t>
      </w:r>
      <w:r>
        <w:rPr>
          <w:spacing w:val="-7"/>
        </w:rPr>
        <w:t> </w:t>
      </w:r>
      <w:r>
        <w:rPr/>
        <w:t>større</w:t>
      </w:r>
      <w:r>
        <w:rPr>
          <w:spacing w:val="-8"/>
        </w:rPr>
        <w:t> </w:t>
      </w:r>
      <w:r>
        <w:rPr/>
        <w:t>vandløb</w:t>
      </w:r>
      <w:r>
        <w:rPr>
          <w:spacing w:val="-7"/>
        </w:rPr>
        <w:t> </w:t>
      </w:r>
      <w:r>
        <w:rPr/>
        <w:t>for</w:t>
      </w:r>
      <w:r>
        <w:rPr>
          <w:spacing w:val="-8"/>
        </w:rPr>
        <w:t> </w:t>
      </w:r>
      <w:r>
        <w:rPr/>
        <w:t>årsvand- balancen</w:t>
      </w:r>
      <w:r>
        <w:rPr>
          <w:spacing w:val="-13"/>
        </w:rPr>
        <w:t> </w:t>
      </w:r>
      <w:r>
        <w:rPr/>
        <w:t>(Fbal)</w:t>
      </w:r>
      <w:r>
        <w:rPr>
          <w:spacing w:val="-14"/>
        </w:rPr>
        <w:t> </w:t>
      </w:r>
      <w:r>
        <w:rPr/>
        <w:t>og</w:t>
      </w:r>
      <w:r>
        <w:rPr>
          <w:spacing w:val="-13"/>
        </w:rPr>
        <w:t> </w:t>
      </w:r>
      <w:r>
        <w:rPr/>
        <w:t>afstrømningsdynamik</w:t>
      </w:r>
      <w:r>
        <w:rPr>
          <w:spacing w:val="-11"/>
        </w:rPr>
        <w:t> </w:t>
      </w:r>
      <w:r>
        <w:rPr/>
        <w:t>(NSE),</w:t>
      </w:r>
      <w:r>
        <w:rPr>
          <w:spacing w:val="-13"/>
        </w:rPr>
        <w:t> </w:t>
      </w:r>
      <w:r>
        <w:rPr/>
        <w:t>hvorimod</w:t>
      </w:r>
      <w:r>
        <w:rPr>
          <w:spacing w:val="-13"/>
        </w:rPr>
        <w:t> </w:t>
      </w:r>
      <w:r>
        <w:rPr/>
        <w:t>100</w:t>
      </w:r>
      <w:r>
        <w:rPr>
          <w:spacing w:val="-13"/>
        </w:rPr>
        <w:t> </w:t>
      </w:r>
      <w:r>
        <w:rPr/>
        <w:t>m</w:t>
      </w:r>
      <w:r>
        <w:rPr>
          <w:spacing w:val="-14"/>
        </w:rPr>
        <w:t> </w:t>
      </w:r>
      <w:r>
        <w:rPr/>
        <w:t>model</w:t>
      </w:r>
      <w:r>
        <w:rPr>
          <w:spacing w:val="-12"/>
        </w:rPr>
        <w:t> </w:t>
      </w:r>
      <w:r>
        <w:rPr/>
        <w:t>er</w:t>
      </w:r>
      <w:r>
        <w:rPr>
          <w:spacing w:val="-13"/>
        </w:rPr>
        <w:t> </w:t>
      </w:r>
      <w:r>
        <w:rPr/>
        <w:t>bedst</w:t>
      </w:r>
      <w:r>
        <w:rPr>
          <w:spacing w:val="-14"/>
        </w:rPr>
        <w:t> </w:t>
      </w:r>
      <w:r>
        <w:rPr/>
        <w:t>i</w:t>
      </w:r>
      <w:r>
        <w:rPr>
          <w:spacing w:val="-12"/>
        </w:rPr>
        <w:t> </w:t>
      </w:r>
      <w:r>
        <w:rPr/>
        <w:t>små</w:t>
      </w:r>
      <w:r>
        <w:rPr>
          <w:spacing w:val="-13"/>
        </w:rPr>
        <w:t> </w:t>
      </w:r>
      <w:r>
        <w:rPr/>
        <w:t>vand- løb, og til simulering af sommervandbalancen</w:t>
      </w:r>
      <w:r>
        <w:rPr>
          <w:spacing w:val="-5"/>
        </w:rPr>
        <w:t> </w:t>
      </w:r>
      <w:r>
        <w:rPr/>
        <w:t>(Fbal-S).</w:t>
      </w:r>
    </w:p>
    <w:p>
      <w:pPr>
        <w:pStyle w:val="BodyText"/>
        <w:spacing w:before="3"/>
        <w:rPr>
          <w:sz w:val="25"/>
        </w:rPr>
      </w:pPr>
    </w:p>
    <w:p>
      <w:pPr>
        <w:pStyle w:val="BodyText"/>
        <w:spacing w:line="288" w:lineRule="auto" w:before="1"/>
        <w:ind w:left="525" w:right="733"/>
        <w:jc w:val="both"/>
      </w:pPr>
      <w:r>
        <w:rPr/>
        <w:t>Den</w:t>
      </w:r>
      <w:r>
        <w:rPr>
          <w:spacing w:val="-14"/>
        </w:rPr>
        <w:t> </w:t>
      </w:r>
      <w:r>
        <w:rPr/>
        <w:t>generelt</w:t>
      </w:r>
      <w:r>
        <w:rPr>
          <w:spacing w:val="-14"/>
        </w:rPr>
        <w:t> </w:t>
      </w:r>
      <w:r>
        <w:rPr/>
        <w:t>lidt</w:t>
      </w:r>
      <w:r>
        <w:rPr>
          <w:spacing w:val="-15"/>
        </w:rPr>
        <w:t> </w:t>
      </w:r>
      <w:r>
        <w:rPr/>
        <w:t>dårligere</w:t>
      </w:r>
      <w:r>
        <w:rPr>
          <w:spacing w:val="-14"/>
        </w:rPr>
        <w:t> </w:t>
      </w:r>
      <w:r>
        <w:rPr/>
        <w:t>modelperformance</w:t>
      </w:r>
      <w:r>
        <w:rPr>
          <w:spacing w:val="-14"/>
        </w:rPr>
        <w:t> </w:t>
      </w:r>
      <w:r>
        <w:rPr/>
        <w:t>for</w:t>
      </w:r>
      <w:r>
        <w:rPr>
          <w:spacing w:val="-14"/>
        </w:rPr>
        <w:t> </w:t>
      </w:r>
      <w:r>
        <w:rPr/>
        <w:t>valideringsperioden</w:t>
      </w:r>
      <w:r>
        <w:rPr>
          <w:spacing w:val="-14"/>
        </w:rPr>
        <w:t> </w:t>
      </w:r>
      <w:r>
        <w:rPr/>
        <w:t>i</w:t>
      </w:r>
      <w:r>
        <w:rPr>
          <w:spacing w:val="-12"/>
        </w:rPr>
        <w:t> </w:t>
      </w:r>
      <w:r>
        <w:rPr/>
        <w:t>forhold</w:t>
      </w:r>
      <w:r>
        <w:rPr>
          <w:spacing w:val="-14"/>
        </w:rPr>
        <w:t> </w:t>
      </w:r>
      <w:r>
        <w:rPr/>
        <w:t>til</w:t>
      </w:r>
      <w:r>
        <w:rPr>
          <w:spacing w:val="-12"/>
        </w:rPr>
        <w:t> </w:t>
      </w:r>
      <w:r>
        <w:rPr/>
        <w:t>kalibrerings- perioden, se </w:t>
      </w:r>
      <w:hyperlink w:history="true" w:anchor="_bookmark160">
        <w:r>
          <w:rPr/>
          <w:t>tabel 32 </w:t>
        </w:r>
      </w:hyperlink>
      <w:r>
        <w:rPr/>
        <w:t>og 33) er der gjort lidt nærmere rede for i Appendix 2 for trend i mid- delfejl i trykniveau og vandbalancefejl for hhv. kalibrerings- og valideringsperioden er sam- menlignet</w:t>
      </w:r>
      <w:r>
        <w:rPr>
          <w:spacing w:val="-8"/>
        </w:rPr>
        <w:t> </w:t>
      </w:r>
      <w:r>
        <w:rPr/>
        <w:t>for</w:t>
      </w:r>
      <w:r>
        <w:rPr>
          <w:spacing w:val="-8"/>
        </w:rPr>
        <w:t> </w:t>
      </w:r>
      <w:r>
        <w:rPr/>
        <w:t>100</w:t>
      </w:r>
      <w:r>
        <w:rPr>
          <w:spacing w:val="-7"/>
        </w:rPr>
        <w:t> </w:t>
      </w:r>
      <w:r>
        <w:rPr/>
        <w:t>m</w:t>
      </w:r>
      <w:r>
        <w:rPr>
          <w:spacing w:val="-8"/>
        </w:rPr>
        <w:t> </w:t>
      </w:r>
      <w:r>
        <w:rPr/>
        <w:t>model</w:t>
      </w:r>
      <w:r>
        <w:rPr>
          <w:spacing w:val="-7"/>
        </w:rPr>
        <w:t> </w:t>
      </w:r>
      <w:r>
        <w:rPr/>
        <w:t>og</w:t>
      </w:r>
      <w:r>
        <w:rPr>
          <w:spacing w:val="-7"/>
        </w:rPr>
        <w:t> </w:t>
      </w:r>
      <w:r>
        <w:rPr/>
        <w:t>DK</w:t>
      </w:r>
      <w:r>
        <w:rPr>
          <w:spacing w:val="-9"/>
        </w:rPr>
        <w:t> </w:t>
      </w:r>
      <w:r>
        <w:rPr/>
        <w:t>model.</w:t>
      </w:r>
      <w:r>
        <w:rPr>
          <w:spacing w:val="-8"/>
        </w:rPr>
        <w:t> </w:t>
      </w:r>
      <w:r>
        <w:rPr/>
        <w:t>Indholdet</w:t>
      </w:r>
      <w:r>
        <w:rPr>
          <w:spacing w:val="-7"/>
        </w:rPr>
        <w:t> </w:t>
      </w:r>
      <w:r>
        <w:rPr/>
        <w:t>i</w:t>
      </w:r>
      <w:r>
        <w:rPr>
          <w:spacing w:val="-7"/>
        </w:rPr>
        <w:t> </w:t>
      </w:r>
      <w:r>
        <w:rPr/>
        <w:t>Appendix</w:t>
      </w:r>
      <w:r>
        <w:rPr>
          <w:spacing w:val="-7"/>
        </w:rPr>
        <w:t> </w:t>
      </w:r>
      <w:r>
        <w:rPr/>
        <w:t>2</w:t>
      </w:r>
      <w:r>
        <w:rPr>
          <w:spacing w:val="-7"/>
        </w:rPr>
        <w:t> </w:t>
      </w:r>
      <w:r>
        <w:rPr/>
        <w:t>er</w:t>
      </w:r>
      <w:r>
        <w:rPr>
          <w:spacing w:val="-8"/>
        </w:rPr>
        <w:t> </w:t>
      </w:r>
      <w:r>
        <w:rPr/>
        <w:t>ikke</w:t>
      </w:r>
      <w:r>
        <w:rPr>
          <w:spacing w:val="-7"/>
        </w:rPr>
        <w:t> </w:t>
      </w:r>
      <w:r>
        <w:rPr/>
        <w:t>centralt</w:t>
      </w:r>
      <w:r>
        <w:rPr>
          <w:spacing w:val="-11"/>
        </w:rPr>
        <w:t> </w:t>
      </w:r>
      <w:r>
        <w:rPr/>
        <w:t>for</w:t>
      </w:r>
      <w:r>
        <w:rPr>
          <w:spacing w:val="-8"/>
        </w:rPr>
        <w:t> </w:t>
      </w:r>
      <w:r>
        <w:rPr/>
        <w:t>opgaven.</w:t>
      </w:r>
    </w:p>
    <w:p>
      <w:pPr>
        <w:spacing w:after="0" w:line="288" w:lineRule="auto"/>
        <w:jc w:val="both"/>
        <w:sectPr>
          <w:pgSz w:w="11910" w:h="16850"/>
          <w:pgMar w:header="0" w:footer="937" w:top="1380" w:bottom="1120" w:left="1460" w:right="680"/>
        </w:sectPr>
      </w:pPr>
    </w:p>
    <w:p>
      <w:pPr>
        <w:pStyle w:val="BodyText"/>
        <w:spacing w:before="4"/>
        <w:rPr>
          <w:rFonts w:ascii="Times New Roman"/>
          <w:sz w:val="17"/>
        </w:rPr>
      </w:pPr>
    </w:p>
    <w:p>
      <w:pPr>
        <w:spacing w:after="0"/>
        <w:rPr>
          <w:rFonts w:ascii="Times New Roman"/>
          <w:sz w:val="17"/>
        </w:rPr>
        <w:sectPr>
          <w:footerReference w:type="default" r:id="rId145"/>
          <w:pgSz w:w="11910" w:h="16850"/>
          <w:pgMar w:footer="857" w:header="0" w:top="1600" w:bottom="1040" w:left="1460" w:right="680"/>
        </w:sectPr>
      </w:pPr>
    </w:p>
    <w:p>
      <w:pPr>
        <w:pStyle w:val="Heading1"/>
        <w:numPr>
          <w:ilvl w:val="0"/>
          <w:numId w:val="16"/>
        </w:numPr>
        <w:tabs>
          <w:tab w:pos="1091" w:val="left" w:leader="none"/>
          <w:tab w:pos="1092" w:val="left" w:leader="none"/>
        </w:tabs>
        <w:spacing w:line="240" w:lineRule="auto" w:before="73" w:after="0"/>
        <w:ind w:left="525" w:right="1224" w:firstLine="0"/>
        <w:jc w:val="left"/>
      </w:pPr>
      <w:bookmarkStart w:name="_bookmark162" w:id="201"/>
      <w:bookmarkEnd w:id="201"/>
      <w:r>
        <w:rPr>
          <w:b w:val="0"/>
        </w:rPr>
      </w:r>
      <w:bookmarkStart w:name="_bookmark162" w:id="202"/>
      <w:bookmarkEnd w:id="202"/>
      <w:r>
        <w:rPr/>
        <w:t>D</w:t>
      </w:r>
      <w:r>
        <w:rPr/>
        <w:t>iskussion af anvendelsesmuligheder, delmål og</w:t>
      </w:r>
      <w:r>
        <w:rPr>
          <w:spacing w:val="-1"/>
        </w:rPr>
        <w:t> </w:t>
      </w:r>
      <w:r>
        <w:rPr/>
        <w:t>løsninger</w:t>
      </w:r>
    </w:p>
    <w:p>
      <w:pPr>
        <w:pStyle w:val="BodyText"/>
        <w:spacing w:line="288" w:lineRule="auto" w:before="243"/>
        <w:ind w:left="525" w:right="731"/>
        <w:jc w:val="both"/>
      </w:pPr>
      <w:r>
        <w:rPr/>
        <w:t>I nærværende kapitel diskuteres anvendelsesmuligheder i forhold til vandforvaltning, klima- tilpasning og beredskab, grad af opfyldelse af de </w:t>
      </w:r>
      <w:r>
        <w:rPr>
          <w:spacing w:val="-2"/>
        </w:rPr>
        <w:t>tre </w:t>
      </w:r>
      <w:r>
        <w:rPr/>
        <w:t>hypoteser og fem delmål samt de fire løsningsscenarier. FODS 6.1 metodeudviklingsprojektet fungerer som et </w:t>
      </w:r>
      <w:r>
        <w:rPr>
          <w:i/>
        </w:rPr>
        <w:t>forudsætningspro- </w:t>
      </w:r>
      <w:r>
        <w:rPr>
          <w:i/>
        </w:rPr>
        <w:t>jekt</w:t>
      </w:r>
      <w:r>
        <w:rPr>
          <w:i/>
          <w:spacing w:val="-15"/>
        </w:rPr>
        <w:t> </w:t>
      </w:r>
      <w:r>
        <w:rPr/>
        <w:t>for,</w:t>
      </w:r>
      <w:r>
        <w:rPr>
          <w:spacing w:val="-16"/>
        </w:rPr>
        <w:t> </w:t>
      </w:r>
      <w:r>
        <w:rPr/>
        <w:t>at</w:t>
      </w:r>
      <w:r>
        <w:rPr>
          <w:spacing w:val="-14"/>
        </w:rPr>
        <w:t> </w:t>
      </w:r>
      <w:r>
        <w:rPr/>
        <w:t>der</w:t>
      </w:r>
      <w:r>
        <w:rPr>
          <w:spacing w:val="-15"/>
        </w:rPr>
        <w:t> </w:t>
      </w:r>
      <w:r>
        <w:rPr/>
        <w:t>kan</w:t>
      </w:r>
      <w:r>
        <w:rPr>
          <w:spacing w:val="-14"/>
        </w:rPr>
        <w:t> </w:t>
      </w:r>
      <w:r>
        <w:rPr/>
        <w:t>tages</w:t>
      </w:r>
      <w:r>
        <w:rPr>
          <w:spacing w:val="-13"/>
        </w:rPr>
        <w:t> </w:t>
      </w:r>
      <w:r>
        <w:rPr/>
        <w:t>beslutning</w:t>
      </w:r>
      <w:r>
        <w:rPr>
          <w:spacing w:val="-14"/>
        </w:rPr>
        <w:t> </w:t>
      </w:r>
      <w:r>
        <w:rPr/>
        <w:t>om</w:t>
      </w:r>
      <w:r>
        <w:rPr>
          <w:spacing w:val="-13"/>
        </w:rPr>
        <w:t> </w:t>
      </w:r>
      <w:r>
        <w:rPr/>
        <w:t>landsdækkende</w:t>
      </w:r>
      <w:r>
        <w:rPr>
          <w:spacing w:val="-13"/>
        </w:rPr>
        <w:t> </w:t>
      </w:r>
      <w:r>
        <w:rPr/>
        <w:t>implementering</w:t>
      </w:r>
      <w:r>
        <w:rPr>
          <w:spacing w:val="-14"/>
        </w:rPr>
        <w:t> </w:t>
      </w:r>
      <w:r>
        <w:rPr/>
        <w:t>af</w:t>
      </w:r>
      <w:r>
        <w:rPr>
          <w:spacing w:val="-15"/>
        </w:rPr>
        <w:t> </w:t>
      </w:r>
      <w:r>
        <w:rPr/>
        <w:t>modelberegninger om terrænnært grundvand, vandstand og oversvømmelser, samt at gøre disse tilgængelige i et </w:t>
      </w:r>
      <w:r>
        <w:rPr>
          <w:i/>
        </w:rPr>
        <w:t>Hydrologisk Informations- og Prognosesystem</w:t>
      </w:r>
      <w:r>
        <w:rPr>
          <w:i/>
          <w:spacing w:val="-11"/>
        </w:rPr>
        <w:t> </w:t>
      </w:r>
      <w:r>
        <w:rPr/>
        <w:t>(HIP).</w:t>
      </w:r>
    </w:p>
    <w:p>
      <w:pPr>
        <w:pStyle w:val="BodyText"/>
        <w:rPr>
          <w:sz w:val="24"/>
        </w:rPr>
      </w:pPr>
    </w:p>
    <w:p>
      <w:pPr>
        <w:pStyle w:val="BodyText"/>
        <w:spacing w:before="10"/>
      </w:pPr>
    </w:p>
    <w:p>
      <w:pPr>
        <w:pStyle w:val="Heading2"/>
        <w:numPr>
          <w:ilvl w:val="1"/>
          <w:numId w:val="17"/>
        </w:numPr>
        <w:tabs>
          <w:tab w:pos="1141" w:val="left" w:leader="none"/>
          <w:tab w:pos="1142" w:val="left" w:leader="none"/>
        </w:tabs>
        <w:spacing w:line="240" w:lineRule="auto" w:before="1" w:after="0"/>
        <w:ind w:left="525" w:right="916" w:firstLine="0"/>
        <w:jc w:val="left"/>
      </w:pPr>
      <w:bookmarkStart w:name="_bookmark163" w:id="203"/>
      <w:bookmarkEnd w:id="203"/>
      <w:r>
        <w:rPr>
          <w:b w:val="0"/>
        </w:rPr>
      </w:r>
      <w:bookmarkStart w:name="_bookmark163" w:id="204"/>
      <w:bookmarkEnd w:id="204"/>
      <w:r>
        <w:rPr/>
        <w:t>D</w:t>
      </w:r>
      <w:r>
        <w:rPr/>
        <w:t>iskussion af resultater af workshop 15. juni med projekt- og</w:t>
      </w:r>
      <w:r>
        <w:rPr>
          <w:spacing w:val="-2"/>
        </w:rPr>
        <w:t> </w:t>
      </w:r>
      <w:r>
        <w:rPr/>
        <w:t>følgegruppe</w:t>
      </w:r>
    </w:p>
    <w:p>
      <w:pPr>
        <w:pStyle w:val="BodyText"/>
        <w:spacing w:line="276" w:lineRule="auto" w:before="240"/>
        <w:ind w:left="525" w:right="732"/>
        <w:jc w:val="both"/>
      </w:pPr>
      <w:r>
        <w:rPr/>
        <w:t>Workshoppen havde til formål, at præsentere ”metodeprojektets” resultater og diskutere an- vendelsesmuligheder</w:t>
      </w:r>
      <w:r>
        <w:rPr>
          <w:spacing w:val="-17"/>
        </w:rPr>
        <w:t> </w:t>
      </w:r>
      <w:r>
        <w:rPr/>
        <w:t>med</w:t>
      </w:r>
      <w:r>
        <w:rPr>
          <w:spacing w:val="-17"/>
        </w:rPr>
        <w:t> </w:t>
      </w:r>
      <w:r>
        <w:rPr/>
        <w:t>projektgruppen</w:t>
      </w:r>
      <w:r>
        <w:rPr>
          <w:spacing w:val="-13"/>
        </w:rPr>
        <w:t> </w:t>
      </w:r>
      <w:r>
        <w:rPr/>
        <w:t>og</w:t>
      </w:r>
      <w:r>
        <w:rPr>
          <w:spacing w:val="-14"/>
        </w:rPr>
        <w:t> </w:t>
      </w:r>
      <w:r>
        <w:rPr/>
        <w:t>følgegruppen.</w:t>
      </w:r>
      <w:r>
        <w:rPr>
          <w:spacing w:val="-14"/>
        </w:rPr>
        <w:t> </w:t>
      </w:r>
      <w:r>
        <w:rPr/>
        <w:t>Om</w:t>
      </w:r>
      <w:r>
        <w:rPr>
          <w:spacing w:val="-15"/>
        </w:rPr>
        <w:t> </w:t>
      </w:r>
      <w:r>
        <w:rPr/>
        <w:t>formiddagen</w:t>
      </w:r>
      <w:r>
        <w:rPr>
          <w:spacing w:val="-13"/>
        </w:rPr>
        <w:t> </w:t>
      </w:r>
      <w:r>
        <w:rPr/>
        <w:t>blev</w:t>
      </w:r>
      <w:r>
        <w:rPr>
          <w:spacing w:val="-17"/>
        </w:rPr>
        <w:t> </w:t>
      </w:r>
      <w:r>
        <w:rPr/>
        <w:t>FODS</w:t>
      </w:r>
      <w:r>
        <w:rPr>
          <w:spacing w:val="-12"/>
        </w:rPr>
        <w:t> </w:t>
      </w:r>
      <w:r>
        <w:rPr/>
        <w:t>6.1 og arbejdet med HIP introduceret, der blev givet en kort introduktion til DK-model data, re- sultater og anvendelser, formål og succeskriterier for nærværende projekt blev præciseret. På workshoppen blev resultater af nærværende metodeprojekt</w:t>
      </w:r>
      <w:r>
        <w:rPr>
          <w:spacing w:val="-14"/>
        </w:rPr>
        <w:t> </w:t>
      </w:r>
      <w:r>
        <w:rPr/>
        <w:t>præsenteret.</w:t>
      </w:r>
    </w:p>
    <w:p>
      <w:pPr>
        <w:pStyle w:val="BodyText"/>
      </w:pPr>
    </w:p>
    <w:p>
      <w:pPr>
        <w:pStyle w:val="BodyText"/>
        <w:spacing w:line="276" w:lineRule="auto"/>
        <w:ind w:left="525" w:right="732"/>
        <w:jc w:val="both"/>
      </w:pPr>
      <w:r>
        <w:rPr/>
        <w:t>Om eftermiddagen blev mulige anvendelser af modelberegninger drøftet. Hvem kan bruge dem og hvordan kan de bruges? Hvordan skal beregninger gøres tilgængelige? Der var her oplæg ved Jes Pedersen, Region Midtjylland, Ole Kristensen, Holstebro kommune og Alan Lunde, Vestforsyning samt Lars Troldborg, GEUS, hvorefter der var diskussion i grupper med udgangspunkt i udarbejdede kort (se kapitel 7), samt udleveret spørgeskema der blev udfyldt på eller efter mødet.</w:t>
      </w:r>
    </w:p>
    <w:p>
      <w:pPr>
        <w:pStyle w:val="BodyText"/>
        <w:spacing w:before="10"/>
        <w:rPr>
          <w:sz w:val="20"/>
        </w:rPr>
      </w:pPr>
    </w:p>
    <w:p>
      <w:pPr>
        <w:pStyle w:val="Heading5"/>
        <w:jc w:val="both"/>
        <w:rPr>
          <w:i/>
        </w:rPr>
      </w:pPr>
      <w:r>
        <w:rPr>
          <w:i/>
        </w:rPr>
        <w:t>Screening af terrænnært grundvand (Jes Pedersen, Region Midtjylland)</w:t>
      </w:r>
    </w:p>
    <w:p>
      <w:pPr>
        <w:pStyle w:val="BodyText"/>
        <w:spacing w:line="288" w:lineRule="auto" w:before="37"/>
        <w:ind w:left="525" w:right="732"/>
        <w:jc w:val="both"/>
      </w:pPr>
      <w:r>
        <w:rPr/>
        <w:t>Jes Pedersen fra Region Midtjylland fortalte, at der er behov for bedre muligheder til scree- ning af terrænnært grundvand i planlægningssammenhæng, herunder udpegning af pro- blemområder, klimasikring, modellering af effekter af klimaforandringer (hvor modeller som FODS 6.1 modeller for Storå og Odense Å er vigtige), samt risikovurdering af spredning af jordforurening. Det betragtes også som en gevinst, hvis der kan gives adgang til randbetin- gelser for opsætning af detaljerede modeller, fx modeller fra grundvandskortlægningen eller andre</w:t>
      </w:r>
      <w:r>
        <w:rPr>
          <w:spacing w:val="-13"/>
        </w:rPr>
        <w:t> </w:t>
      </w:r>
      <w:r>
        <w:rPr/>
        <w:t>kortlægninger.</w:t>
      </w:r>
      <w:r>
        <w:rPr>
          <w:spacing w:val="-13"/>
        </w:rPr>
        <w:t> </w:t>
      </w:r>
      <w:r>
        <w:rPr/>
        <w:t>Vigtigheden</w:t>
      </w:r>
      <w:r>
        <w:rPr>
          <w:spacing w:val="-10"/>
        </w:rPr>
        <w:t> </w:t>
      </w:r>
      <w:r>
        <w:rPr/>
        <w:t>af</w:t>
      </w:r>
      <w:r>
        <w:rPr>
          <w:spacing w:val="-10"/>
        </w:rPr>
        <w:t> </w:t>
      </w:r>
      <w:r>
        <w:rPr/>
        <w:t>at</w:t>
      </w:r>
      <w:r>
        <w:rPr>
          <w:spacing w:val="-12"/>
        </w:rPr>
        <w:t> </w:t>
      </w:r>
      <w:r>
        <w:rPr/>
        <w:t>indsamle</w:t>
      </w:r>
      <w:r>
        <w:rPr>
          <w:spacing w:val="-13"/>
        </w:rPr>
        <w:t> </w:t>
      </w:r>
      <w:r>
        <w:rPr/>
        <w:t>flere</w:t>
      </w:r>
      <w:r>
        <w:rPr>
          <w:spacing w:val="-11"/>
        </w:rPr>
        <w:t> </w:t>
      </w:r>
      <w:r>
        <w:rPr/>
        <w:t>målinger</w:t>
      </w:r>
      <w:r>
        <w:rPr>
          <w:spacing w:val="-11"/>
        </w:rPr>
        <w:t> </w:t>
      </w:r>
      <w:r>
        <w:rPr/>
        <w:t>(inkl.</w:t>
      </w:r>
      <w:r>
        <w:rPr>
          <w:spacing w:val="-12"/>
        </w:rPr>
        <w:t> </w:t>
      </w:r>
      <w:r>
        <w:rPr/>
        <w:t>tidsserier)</w:t>
      </w:r>
      <w:r>
        <w:rPr>
          <w:spacing w:val="-12"/>
        </w:rPr>
        <w:t> </w:t>
      </w:r>
      <w:r>
        <w:rPr/>
        <w:t>af</w:t>
      </w:r>
      <w:r>
        <w:rPr>
          <w:spacing w:val="-10"/>
        </w:rPr>
        <w:t> </w:t>
      </w:r>
      <w:r>
        <w:rPr/>
        <w:t>det</w:t>
      </w:r>
      <w:r>
        <w:rPr>
          <w:spacing w:val="-12"/>
        </w:rPr>
        <w:t> </w:t>
      </w:r>
      <w:r>
        <w:rPr/>
        <w:t>terræn- nære grundvand understreges. Der har ikke været tradition for at foretage målinger af det terrænnære grundvand i Danmark, hvorimod man har langt flere data om dette i Tyskland, Holland</w:t>
      </w:r>
      <w:r>
        <w:rPr>
          <w:spacing w:val="-10"/>
        </w:rPr>
        <w:t> </w:t>
      </w:r>
      <w:r>
        <w:rPr/>
        <w:t>og</w:t>
      </w:r>
      <w:r>
        <w:rPr>
          <w:spacing w:val="-9"/>
        </w:rPr>
        <w:t> </w:t>
      </w:r>
      <w:r>
        <w:rPr/>
        <w:t>Belgien,</w:t>
      </w:r>
      <w:r>
        <w:rPr>
          <w:spacing w:val="-8"/>
        </w:rPr>
        <w:t> </w:t>
      </w:r>
      <w:r>
        <w:rPr/>
        <w:t>hvor</w:t>
      </w:r>
      <w:r>
        <w:rPr>
          <w:spacing w:val="-10"/>
        </w:rPr>
        <w:t> </w:t>
      </w:r>
      <w:r>
        <w:rPr/>
        <w:t>man</w:t>
      </w:r>
      <w:r>
        <w:rPr>
          <w:spacing w:val="-7"/>
        </w:rPr>
        <w:t> </w:t>
      </w:r>
      <w:r>
        <w:rPr/>
        <w:t>også</w:t>
      </w:r>
      <w:r>
        <w:rPr>
          <w:spacing w:val="-10"/>
        </w:rPr>
        <w:t> </w:t>
      </w:r>
      <w:r>
        <w:rPr/>
        <w:t>bruger</w:t>
      </w:r>
      <w:r>
        <w:rPr>
          <w:spacing w:val="-10"/>
        </w:rPr>
        <w:t> </w:t>
      </w:r>
      <w:r>
        <w:rPr/>
        <w:t>dem</w:t>
      </w:r>
      <w:r>
        <w:rPr>
          <w:spacing w:val="-6"/>
        </w:rPr>
        <w:t> </w:t>
      </w:r>
      <w:r>
        <w:rPr/>
        <w:t>til</w:t>
      </w:r>
      <w:r>
        <w:rPr>
          <w:spacing w:val="-6"/>
        </w:rPr>
        <w:t> </w:t>
      </w:r>
      <w:r>
        <w:rPr/>
        <w:t>styring</w:t>
      </w:r>
      <w:r>
        <w:rPr>
          <w:spacing w:val="-8"/>
        </w:rPr>
        <w:t> </w:t>
      </w:r>
      <w:r>
        <w:rPr/>
        <w:t>af</w:t>
      </w:r>
      <w:r>
        <w:rPr>
          <w:spacing w:val="-8"/>
        </w:rPr>
        <w:t> </w:t>
      </w:r>
      <w:r>
        <w:rPr/>
        <w:t>grundvandsspejlet.</w:t>
      </w:r>
      <w:r>
        <w:rPr>
          <w:spacing w:val="-8"/>
        </w:rPr>
        <w:t> </w:t>
      </w:r>
      <w:r>
        <w:rPr/>
        <w:t>Der</w:t>
      </w:r>
      <w:r>
        <w:rPr>
          <w:spacing w:val="-8"/>
        </w:rPr>
        <w:t> </w:t>
      </w:r>
      <w:r>
        <w:rPr/>
        <w:t>afsluttes med et spændende spørgsmål, ”hvad kan vi bruge vandet til?”, hvilket er noget som Region Midtjylland vil arbejde videre</w:t>
      </w:r>
      <w:r>
        <w:rPr>
          <w:spacing w:val="-4"/>
        </w:rPr>
        <w:t> </w:t>
      </w:r>
      <w:r>
        <w:rPr/>
        <w:t>med.</w:t>
      </w:r>
    </w:p>
    <w:p>
      <w:pPr>
        <w:pStyle w:val="BodyText"/>
        <w:spacing w:before="1"/>
        <w:rPr>
          <w:sz w:val="25"/>
        </w:rPr>
      </w:pPr>
    </w:p>
    <w:p>
      <w:pPr>
        <w:spacing w:line="288" w:lineRule="auto" w:before="0"/>
        <w:ind w:left="525" w:right="732" w:firstLine="0"/>
        <w:jc w:val="both"/>
        <w:rPr>
          <w:i/>
          <w:sz w:val="21"/>
        </w:rPr>
      </w:pPr>
      <w:r>
        <w:rPr>
          <w:i/>
          <w:sz w:val="21"/>
        </w:rPr>
        <w:t>Der</w:t>
      </w:r>
      <w:r>
        <w:rPr>
          <w:i/>
          <w:spacing w:val="-12"/>
          <w:sz w:val="21"/>
        </w:rPr>
        <w:t> </w:t>
      </w:r>
      <w:r>
        <w:rPr>
          <w:i/>
          <w:sz w:val="21"/>
        </w:rPr>
        <w:t>spørges</w:t>
      </w:r>
      <w:r>
        <w:rPr>
          <w:i/>
          <w:spacing w:val="-11"/>
          <w:sz w:val="21"/>
        </w:rPr>
        <w:t> </w:t>
      </w:r>
      <w:r>
        <w:rPr>
          <w:i/>
          <w:sz w:val="21"/>
        </w:rPr>
        <w:t>til</w:t>
      </w:r>
      <w:r>
        <w:rPr>
          <w:i/>
          <w:spacing w:val="-12"/>
          <w:sz w:val="21"/>
        </w:rPr>
        <w:t> </w:t>
      </w:r>
      <w:r>
        <w:rPr>
          <w:i/>
          <w:sz w:val="21"/>
        </w:rPr>
        <w:t>anvendelsesmulighederne</w:t>
      </w:r>
      <w:r>
        <w:rPr>
          <w:i/>
          <w:spacing w:val="-11"/>
          <w:sz w:val="21"/>
        </w:rPr>
        <w:t> </w:t>
      </w:r>
      <w:r>
        <w:rPr>
          <w:i/>
          <w:sz w:val="21"/>
        </w:rPr>
        <w:t>for</w:t>
      </w:r>
      <w:r>
        <w:rPr>
          <w:i/>
          <w:spacing w:val="-11"/>
          <w:sz w:val="21"/>
        </w:rPr>
        <w:t> </w:t>
      </w:r>
      <w:r>
        <w:rPr>
          <w:i/>
          <w:sz w:val="21"/>
        </w:rPr>
        <w:t>værktøjet,</w:t>
      </w:r>
      <w:r>
        <w:rPr>
          <w:i/>
          <w:spacing w:val="-12"/>
          <w:sz w:val="21"/>
        </w:rPr>
        <w:t> </w:t>
      </w:r>
      <w:r>
        <w:rPr>
          <w:i/>
          <w:sz w:val="21"/>
        </w:rPr>
        <w:t>og</w:t>
      </w:r>
      <w:r>
        <w:rPr>
          <w:i/>
          <w:spacing w:val="-13"/>
          <w:sz w:val="21"/>
        </w:rPr>
        <w:t> </w:t>
      </w:r>
      <w:r>
        <w:rPr>
          <w:i/>
          <w:sz w:val="21"/>
        </w:rPr>
        <w:t>om</w:t>
      </w:r>
      <w:r>
        <w:rPr>
          <w:i/>
          <w:spacing w:val="-16"/>
          <w:sz w:val="21"/>
        </w:rPr>
        <w:t> </w:t>
      </w:r>
      <w:r>
        <w:rPr>
          <w:i/>
          <w:sz w:val="21"/>
        </w:rPr>
        <w:t>der</w:t>
      </w:r>
      <w:r>
        <w:rPr>
          <w:i/>
          <w:spacing w:val="-9"/>
          <w:sz w:val="21"/>
        </w:rPr>
        <w:t> </w:t>
      </w:r>
      <w:r>
        <w:rPr>
          <w:i/>
          <w:sz w:val="21"/>
        </w:rPr>
        <w:t>mon</w:t>
      </w:r>
      <w:r>
        <w:rPr>
          <w:i/>
          <w:spacing w:val="-10"/>
          <w:sz w:val="21"/>
        </w:rPr>
        <w:t> </w:t>
      </w:r>
      <w:r>
        <w:rPr>
          <w:i/>
          <w:sz w:val="21"/>
        </w:rPr>
        <w:t>er</w:t>
      </w:r>
      <w:r>
        <w:rPr>
          <w:i/>
          <w:spacing w:val="-11"/>
          <w:sz w:val="21"/>
        </w:rPr>
        <w:t> </w:t>
      </w:r>
      <w:r>
        <w:rPr>
          <w:i/>
          <w:sz w:val="21"/>
        </w:rPr>
        <w:t>virksomheder,</w:t>
      </w:r>
      <w:r>
        <w:rPr>
          <w:i/>
          <w:spacing w:val="-12"/>
          <w:sz w:val="21"/>
        </w:rPr>
        <w:t> </w:t>
      </w:r>
      <w:r>
        <w:rPr>
          <w:i/>
          <w:sz w:val="21"/>
        </w:rPr>
        <w:t>der </w:t>
      </w:r>
      <w:r>
        <w:rPr>
          <w:i/>
          <w:sz w:val="21"/>
        </w:rPr>
        <w:t>vil kunne finde på at pumpe vandet op, og få det ud i vandløbene. Værdien af terrænnære grundvandsdata</w:t>
      </w:r>
      <w:r>
        <w:rPr>
          <w:i/>
          <w:spacing w:val="-13"/>
          <w:sz w:val="21"/>
        </w:rPr>
        <w:t> </w:t>
      </w:r>
      <w:r>
        <w:rPr>
          <w:i/>
          <w:sz w:val="21"/>
        </w:rPr>
        <w:t>kommenteres</w:t>
      </w:r>
      <w:r>
        <w:rPr>
          <w:i/>
          <w:spacing w:val="-14"/>
          <w:sz w:val="21"/>
        </w:rPr>
        <w:t> </w:t>
      </w:r>
      <w:r>
        <w:rPr>
          <w:i/>
          <w:sz w:val="21"/>
        </w:rPr>
        <w:t>at</w:t>
      </w:r>
      <w:r>
        <w:rPr>
          <w:i/>
          <w:spacing w:val="-13"/>
          <w:sz w:val="21"/>
        </w:rPr>
        <w:t> </w:t>
      </w:r>
      <w:r>
        <w:rPr>
          <w:i/>
          <w:sz w:val="21"/>
        </w:rPr>
        <w:t>være</w:t>
      </w:r>
      <w:r>
        <w:rPr>
          <w:i/>
          <w:spacing w:val="-13"/>
          <w:sz w:val="21"/>
        </w:rPr>
        <w:t> </w:t>
      </w:r>
      <w:r>
        <w:rPr>
          <w:i/>
          <w:sz w:val="21"/>
        </w:rPr>
        <w:t>meget</w:t>
      </w:r>
      <w:r>
        <w:rPr>
          <w:i/>
          <w:spacing w:val="-14"/>
          <w:sz w:val="21"/>
        </w:rPr>
        <w:t> </w:t>
      </w:r>
      <w:r>
        <w:rPr>
          <w:i/>
          <w:sz w:val="21"/>
        </w:rPr>
        <w:t>høj,</w:t>
      </w:r>
      <w:r>
        <w:rPr>
          <w:i/>
          <w:spacing w:val="-13"/>
          <w:sz w:val="21"/>
        </w:rPr>
        <w:t> </w:t>
      </w:r>
      <w:r>
        <w:rPr>
          <w:i/>
          <w:sz w:val="21"/>
        </w:rPr>
        <w:t>og</w:t>
      </w:r>
      <w:r>
        <w:rPr>
          <w:i/>
          <w:spacing w:val="-13"/>
          <w:sz w:val="21"/>
        </w:rPr>
        <w:t> </w:t>
      </w:r>
      <w:r>
        <w:rPr>
          <w:i/>
          <w:sz w:val="21"/>
        </w:rPr>
        <w:t>det</w:t>
      </w:r>
      <w:r>
        <w:rPr>
          <w:i/>
          <w:spacing w:val="-13"/>
          <w:sz w:val="21"/>
        </w:rPr>
        <w:t> </w:t>
      </w:r>
      <w:r>
        <w:rPr>
          <w:i/>
          <w:sz w:val="21"/>
        </w:rPr>
        <w:t>beklages,</w:t>
      </w:r>
      <w:r>
        <w:rPr>
          <w:i/>
          <w:spacing w:val="-14"/>
          <w:sz w:val="21"/>
        </w:rPr>
        <w:t> </w:t>
      </w:r>
      <w:r>
        <w:rPr>
          <w:i/>
          <w:sz w:val="21"/>
        </w:rPr>
        <w:t>at</w:t>
      </w:r>
      <w:r>
        <w:rPr>
          <w:i/>
          <w:spacing w:val="-14"/>
          <w:sz w:val="21"/>
        </w:rPr>
        <w:t> </w:t>
      </w:r>
      <w:r>
        <w:rPr>
          <w:i/>
          <w:sz w:val="21"/>
        </w:rPr>
        <w:t>der</w:t>
      </w:r>
      <w:r>
        <w:rPr>
          <w:i/>
          <w:spacing w:val="-13"/>
          <w:sz w:val="21"/>
        </w:rPr>
        <w:t> </w:t>
      </w:r>
      <w:r>
        <w:rPr>
          <w:i/>
          <w:sz w:val="21"/>
        </w:rPr>
        <w:t>kun</w:t>
      </w:r>
      <w:r>
        <w:rPr>
          <w:i/>
          <w:spacing w:val="-15"/>
          <w:sz w:val="21"/>
        </w:rPr>
        <w:t> </w:t>
      </w:r>
      <w:r>
        <w:rPr>
          <w:i/>
          <w:sz w:val="21"/>
        </w:rPr>
        <w:t>findes</w:t>
      </w:r>
      <w:r>
        <w:rPr>
          <w:i/>
          <w:spacing w:val="-12"/>
          <w:sz w:val="21"/>
        </w:rPr>
        <w:t> </w:t>
      </w:r>
      <w:r>
        <w:rPr>
          <w:i/>
          <w:sz w:val="21"/>
        </w:rPr>
        <w:t>få</w:t>
      </w:r>
      <w:r>
        <w:rPr>
          <w:i/>
          <w:spacing w:val="-13"/>
          <w:sz w:val="21"/>
        </w:rPr>
        <w:t> </w:t>
      </w:r>
      <w:r>
        <w:rPr>
          <w:i/>
          <w:sz w:val="21"/>
        </w:rPr>
        <w:t>målte tidsserier i Danmark. Det er muligt at placere sensorer, der kan levere gode data, og det koster meget lidt. Der spørges til, om Region Midtjylland vil have værdi af adgang til model- beregnede</w:t>
      </w:r>
      <w:r>
        <w:rPr>
          <w:i/>
          <w:spacing w:val="-11"/>
          <w:sz w:val="21"/>
        </w:rPr>
        <w:t> </w:t>
      </w:r>
      <w:r>
        <w:rPr>
          <w:i/>
          <w:sz w:val="21"/>
        </w:rPr>
        <w:t>historiske</w:t>
      </w:r>
      <w:r>
        <w:rPr>
          <w:i/>
          <w:spacing w:val="-10"/>
          <w:sz w:val="21"/>
        </w:rPr>
        <w:t> </w:t>
      </w:r>
      <w:r>
        <w:rPr>
          <w:i/>
          <w:sz w:val="21"/>
        </w:rPr>
        <w:t>tidsserier</w:t>
      </w:r>
      <w:r>
        <w:rPr>
          <w:i/>
          <w:spacing w:val="-11"/>
          <w:sz w:val="21"/>
        </w:rPr>
        <w:t> </w:t>
      </w:r>
      <w:r>
        <w:rPr>
          <w:i/>
          <w:sz w:val="21"/>
        </w:rPr>
        <w:t>af</w:t>
      </w:r>
      <w:r>
        <w:rPr>
          <w:i/>
          <w:spacing w:val="-11"/>
          <w:sz w:val="21"/>
        </w:rPr>
        <w:t> </w:t>
      </w:r>
      <w:r>
        <w:rPr>
          <w:i/>
          <w:sz w:val="21"/>
        </w:rPr>
        <w:t>terrænnært</w:t>
      </w:r>
      <w:r>
        <w:rPr>
          <w:i/>
          <w:spacing w:val="-11"/>
          <w:sz w:val="21"/>
        </w:rPr>
        <w:t> </w:t>
      </w:r>
      <w:r>
        <w:rPr>
          <w:i/>
          <w:sz w:val="21"/>
        </w:rPr>
        <w:t>grundvand.</w:t>
      </w:r>
      <w:r>
        <w:rPr>
          <w:i/>
          <w:spacing w:val="-11"/>
          <w:sz w:val="21"/>
        </w:rPr>
        <w:t> </w:t>
      </w:r>
      <w:r>
        <w:rPr>
          <w:i/>
          <w:sz w:val="21"/>
        </w:rPr>
        <w:t>Beregninger</w:t>
      </w:r>
      <w:r>
        <w:rPr>
          <w:i/>
          <w:spacing w:val="-10"/>
          <w:sz w:val="21"/>
        </w:rPr>
        <w:t> </w:t>
      </w:r>
      <w:r>
        <w:rPr>
          <w:i/>
          <w:sz w:val="21"/>
        </w:rPr>
        <w:t>for</w:t>
      </w:r>
      <w:r>
        <w:rPr>
          <w:i/>
          <w:spacing w:val="-10"/>
          <w:sz w:val="21"/>
        </w:rPr>
        <w:t> </w:t>
      </w:r>
      <w:r>
        <w:rPr>
          <w:i/>
          <w:sz w:val="21"/>
        </w:rPr>
        <w:t>en</w:t>
      </w:r>
      <w:r>
        <w:rPr>
          <w:i/>
          <w:spacing w:val="-9"/>
          <w:sz w:val="21"/>
        </w:rPr>
        <w:t> </w:t>
      </w:r>
      <w:r>
        <w:rPr>
          <w:i/>
          <w:sz w:val="21"/>
        </w:rPr>
        <w:t>25-års</w:t>
      </w:r>
      <w:r>
        <w:rPr>
          <w:i/>
          <w:spacing w:val="-10"/>
          <w:sz w:val="21"/>
        </w:rPr>
        <w:t> </w:t>
      </w:r>
      <w:r>
        <w:rPr>
          <w:i/>
          <w:sz w:val="21"/>
        </w:rPr>
        <w:t>historisk</w:t>
      </w:r>
    </w:p>
    <w:p>
      <w:pPr>
        <w:spacing w:after="0" w:line="288" w:lineRule="auto"/>
        <w:jc w:val="both"/>
        <w:rPr>
          <w:sz w:val="21"/>
        </w:rPr>
        <w:sectPr>
          <w:footerReference w:type="default" r:id="rId146"/>
          <w:pgSz w:w="11910" w:h="16850"/>
          <w:pgMar w:footer="857" w:header="0" w:top="1340" w:bottom="1040" w:left="1460" w:right="680"/>
          <w:pgNumType w:start="141"/>
        </w:sectPr>
      </w:pPr>
    </w:p>
    <w:p>
      <w:pPr>
        <w:spacing w:line="288" w:lineRule="auto" w:before="75"/>
        <w:ind w:left="525" w:right="733" w:firstLine="0"/>
        <w:jc w:val="both"/>
        <w:rPr>
          <w:i/>
          <w:sz w:val="21"/>
        </w:rPr>
      </w:pPr>
      <w:r>
        <w:rPr>
          <w:i/>
          <w:sz w:val="21"/>
        </w:rPr>
        <w:t>periode er nødvendigt for at kunne foretage efterfølgende beregninger af klimaforandringer- </w:t>
      </w:r>
      <w:r>
        <w:rPr>
          <w:i/>
          <w:sz w:val="21"/>
        </w:rPr>
        <w:t>nes effekt. Der udtrykkes interesse for at få tilgængeliggjort de historiske modelberegninger sammen med de beregnede effekter af klimaforandringer.</w:t>
      </w:r>
    </w:p>
    <w:p>
      <w:pPr>
        <w:pStyle w:val="BodyText"/>
        <w:spacing w:before="2"/>
        <w:rPr>
          <w:i/>
          <w:sz w:val="25"/>
        </w:rPr>
      </w:pPr>
    </w:p>
    <w:p>
      <w:pPr>
        <w:pStyle w:val="Heading5"/>
        <w:spacing w:line="288" w:lineRule="auto" w:before="1"/>
        <w:ind w:right="733"/>
        <w:jc w:val="both"/>
      </w:pPr>
      <w:r>
        <w:rPr>
          <w:i/>
        </w:rPr>
        <w:t>Klimasikring Holstebro – hydrologisk overbliksværktøj (Alan Lunde, Holstebro kom- </w:t>
      </w:r>
      <w:r>
        <w:rPr/>
        <w:t>mune)</w:t>
      </w:r>
    </w:p>
    <w:p>
      <w:pPr>
        <w:pStyle w:val="BodyText"/>
        <w:spacing w:line="288" w:lineRule="auto"/>
        <w:ind w:left="525" w:right="733"/>
        <w:jc w:val="both"/>
      </w:pPr>
      <w:r>
        <w:rPr/>
        <w:t>Alan Lunde fra Vestforsyning fortæller på vegne af Ole Kristensen, Holstebro kommune, og sig</w:t>
      </w:r>
      <w:r>
        <w:rPr>
          <w:spacing w:val="-5"/>
        </w:rPr>
        <w:t> </w:t>
      </w:r>
      <w:r>
        <w:rPr/>
        <w:t>selv</w:t>
      </w:r>
      <w:r>
        <w:rPr>
          <w:spacing w:val="-6"/>
        </w:rPr>
        <w:t> </w:t>
      </w:r>
      <w:r>
        <w:rPr/>
        <w:t>om</w:t>
      </w:r>
      <w:r>
        <w:rPr>
          <w:spacing w:val="-5"/>
        </w:rPr>
        <w:t> </w:t>
      </w:r>
      <w:r>
        <w:rPr/>
        <w:t>flaskehalssituation</w:t>
      </w:r>
      <w:r>
        <w:rPr>
          <w:spacing w:val="-6"/>
        </w:rPr>
        <w:t> </w:t>
      </w:r>
      <w:r>
        <w:rPr/>
        <w:t>for</w:t>
      </w:r>
      <w:r>
        <w:rPr>
          <w:spacing w:val="-7"/>
        </w:rPr>
        <w:t> </w:t>
      </w:r>
      <w:r>
        <w:rPr/>
        <w:t>Holstebro</w:t>
      </w:r>
      <w:r>
        <w:rPr>
          <w:spacing w:val="-7"/>
        </w:rPr>
        <w:t> </w:t>
      </w:r>
      <w:r>
        <w:rPr/>
        <w:t>med</w:t>
      </w:r>
      <w:r>
        <w:rPr>
          <w:spacing w:val="-4"/>
        </w:rPr>
        <w:t> </w:t>
      </w:r>
      <w:r>
        <w:rPr/>
        <w:t>hyppigere</w:t>
      </w:r>
      <w:r>
        <w:rPr>
          <w:spacing w:val="-4"/>
        </w:rPr>
        <w:t> </w:t>
      </w:r>
      <w:r>
        <w:rPr/>
        <w:t>oversvømmelser</w:t>
      </w:r>
      <w:r>
        <w:rPr>
          <w:spacing w:val="-4"/>
        </w:rPr>
        <w:t> </w:t>
      </w:r>
      <w:r>
        <w:rPr/>
        <w:t>i</w:t>
      </w:r>
      <w:r>
        <w:rPr>
          <w:spacing w:val="-5"/>
        </w:rPr>
        <w:t> </w:t>
      </w:r>
      <w:r>
        <w:rPr/>
        <w:t>de</w:t>
      </w:r>
      <w:r>
        <w:rPr>
          <w:spacing w:val="-4"/>
        </w:rPr>
        <w:t> </w:t>
      </w:r>
      <w:r>
        <w:rPr/>
        <w:t>senere</w:t>
      </w:r>
      <w:r>
        <w:rPr>
          <w:spacing w:val="-6"/>
        </w:rPr>
        <w:t> </w:t>
      </w:r>
      <w:r>
        <w:rPr/>
        <w:t>år, samt</w:t>
      </w:r>
      <w:r>
        <w:rPr>
          <w:spacing w:val="-13"/>
        </w:rPr>
        <w:t> </w:t>
      </w:r>
      <w:r>
        <w:rPr/>
        <w:t>om</w:t>
      </w:r>
      <w:r>
        <w:rPr>
          <w:spacing w:val="-10"/>
        </w:rPr>
        <w:t> </w:t>
      </w:r>
      <w:r>
        <w:rPr/>
        <w:t>udfordringer</w:t>
      </w:r>
      <w:r>
        <w:rPr>
          <w:spacing w:val="-12"/>
        </w:rPr>
        <w:t> </w:t>
      </w:r>
      <w:r>
        <w:rPr/>
        <w:t>i</w:t>
      </w:r>
      <w:r>
        <w:rPr>
          <w:spacing w:val="-12"/>
        </w:rPr>
        <w:t> </w:t>
      </w:r>
      <w:r>
        <w:rPr/>
        <w:t>forbindelse</w:t>
      </w:r>
      <w:r>
        <w:rPr>
          <w:spacing w:val="-14"/>
        </w:rPr>
        <w:t> </w:t>
      </w:r>
      <w:r>
        <w:rPr/>
        <w:t>med</w:t>
      </w:r>
      <w:r>
        <w:rPr>
          <w:spacing w:val="-11"/>
        </w:rPr>
        <w:t> </w:t>
      </w:r>
      <w:r>
        <w:rPr/>
        <w:t>planlagte</w:t>
      </w:r>
      <w:r>
        <w:rPr>
          <w:spacing w:val="-11"/>
        </w:rPr>
        <w:t> </w:t>
      </w:r>
      <w:r>
        <w:rPr/>
        <w:t>tiltag</w:t>
      </w:r>
      <w:r>
        <w:rPr>
          <w:spacing w:val="-11"/>
        </w:rPr>
        <w:t> </w:t>
      </w:r>
      <w:r>
        <w:rPr/>
        <w:t>til</w:t>
      </w:r>
      <w:r>
        <w:rPr>
          <w:spacing w:val="-13"/>
        </w:rPr>
        <w:t> </w:t>
      </w:r>
      <w:r>
        <w:rPr/>
        <w:t>klimasikring</w:t>
      </w:r>
      <w:r>
        <w:rPr>
          <w:spacing w:val="-11"/>
        </w:rPr>
        <w:t> </w:t>
      </w:r>
      <w:r>
        <w:rPr/>
        <w:t>af</w:t>
      </w:r>
      <w:r>
        <w:rPr>
          <w:spacing w:val="-13"/>
        </w:rPr>
        <w:t> </w:t>
      </w:r>
      <w:r>
        <w:rPr/>
        <w:t>Holstebro</w:t>
      </w:r>
      <w:r>
        <w:rPr>
          <w:spacing w:val="-12"/>
        </w:rPr>
        <w:t> </w:t>
      </w:r>
      <w:r>
        <w:rPr/>
        <w:t>mod</w:t>
      </w:r>
      <w:r>
        <w:rPr>
          <w:spacing w:val="-10"/>
        </w:rPr>
        <w:t> </w:t>
      </w:r>
      <w:r>
        <w:rPr/>
        <w:t>over- svømmelser. Forskellige styringskriterier skal tage hensyn til natur- og kulturværdier og er afgørende</w:t>
      </w:r>
      <w:r>
        <w:rPr>
          <w:spacing w:val="-12"/>
        </w:rPr>
        <w:t> </w:t>
      </w:r>
      <w:r>
        <w:rPr/>
        <w:t>for</w:t>
      </w:r>
      <w:r>
        <w:rPr>
          <w:spacing w:val="-12"/>
        </w:rPr>
        <w:t> </w:t>
      </w:r>
      <w:r>
        <w:rPr/>
        <w:t>hvilke</w:t>
      </w:r>
      <w:r>
        <w:rPr>
          <w:spacing w:val="-12"/>
        </w:rPr>
        <w:t> </w:t>
      </w:r>
      <w:r>
        <w:rPr/>
        <w:t>dele</w:t>
      </w:r>
      <w:r>
        <w:rPr>
          <w:spacing w:val="-12"/>
        </w:rPr>
        <w:t> </w:t>
      </w:r>
      <w:r>
        <w:rPr/>
        <w:t>af</w:t>
      </w:r>
      <w:r>
        <w:rPr>
          <w:spacing w:val="-11"/>
        </w:rPr>
        <w:t> </w:t>
      </w:r>
      <w:r>
        <w:rPr/>
        <w:t>Holstebro,</w:t>
      </w:r>
      <w:r>
        <w:rPr>
          <w:spacing w:val="-11"/>
        </w:rPr>
        <w:t> </w:t>
      </w:r>
      <w:r>
        <w:rPr/>
        <w:t>der</w:t>
      </w:r>
      <w:r>
        <w:rPr>
          <w:spacing w:val="-10"/>
        </w:rPr>
        <w:t> </w:t>
      </w:r>
      <w:r>
        <w:rPr/>
        <w:t>beskyttes.</w:t>
      </w:r>
      <w:r>
        <w:rPr>
          <w:spacing w:val="-10"/>
        </w:rPr>
        <w:t> </w:t>
      </w:r>
      <w:r>
        <w:rPr/>
        <w:t>Styringsredskabet</w:t>
      </w:r>
      <w:r>
        <w:rPr>
          <w:spacing w:val="-10"/>
        </w:rPr>
        <w:t> </w:t>
      </w:r>
      <w:r>
        <w:rPr/>
        <w:t>bør</w:t>
      </w:r>
      <w:r>
        <w:rPr>
          <w:spacing w:val="-10"/>
        </w:rPr>
        <w:t> </w:t>
      </w:r>
      <w:r>
        <w:rPr/>
        <w:t>baseres</w:t>
      </w:r>
      <w:r>
        <w:rPr>
          <w:spacing w:val="-10"/>
        </w:rPr>
        <w:t> </w:t>
      </w:r>
      <w:r>
        <w:rPr/>
        <w:t>på</w:t>
      </w:r>
      <w:r>
        <w:rPr>
          <w:spacing w:val="-10"/>
        </w:rPr>
        <w:t> </w:t>
      </w:r>
      <w:r>
        <w:rPr/>
        <w:t>data fra hele oplandet, herunder grundvandsniveau, vandstand/flow, nedbørsmængder og tem- peratur. For at udvikle styringsredskab skal der være adgang til historiske data. Deltagelse i FODS 6.1 projektet har medført nyt kendskab til en række ”ukendte” målestationer og histo- riske data. Det er et problem, at data ikke samles i ens formater eller i samme database, og det ses som en fordel, hvis data samles og anvendes i DK-modellen, samt hvis både data og modelberegninger tilgængeliggøres, herunder at der tilgængeliggøres</w:t>
      </w:r>
      <w:r>
        <w:rPr>
          <w:spacing w:val="-27"/>
        </w:rPr>
        <w:t> </w:t>
      </w:r>
      <w:r>
        <w:rPr/>
        <w:t>modelberegninger af</w:t>
      </w:r>
      <w:r>
        <w:rPr>
          <w:spacing w:val="-11"/>
        </w:rPr>
        <w:t> </w:t>
      </w:r>
      <w:r>
        <w:rPr/>
        <w:t>randbetingelser,</w:t>
      </w:r>
      <w:r>
        <w:rPr>
          <w:spacing w:val="-13"/>
        </w:rPr>
        <w:t> </w:t>
      </w:r>
      <w:r>
        <w:rPr/>
        <w:t>således</w:t>
      </w:r>
      <w:r>
        <w:rPr>
          <w:spacing w:val="-11"/>
        </w:rPr>
        <w:t> </w:t>
      </w:r>
      <w:r>
        <w:rPr/>
        <w:t>at</w:t>
      </w:r>
      <w:r>
        <w:rPr>
          <w:spacing w:val="-12"/>
        </w:rPr>
        <w:t> </w:t>
      </w:r>
      <w:r>
        <w:rPr/>
        <w:t>disse</w:t>
      </w:r>
      <w:r>
        <w:rPr>
          <w:spacing w:val="-11"/>
        </w:rPr>
        <w:t> </w:t>
      </w:r>
      <w:r>
        <w:rPr/>
        <w:t>kan</w:t>
      </w:r>
      <w:r>
        <w:rPr>
          <w:spacing w:val="-10"/>
        </w:rPr>
        <w:t> </w:t>
      </w:r>
      <w:r>
        <w:rPr/>
        <w:t>kombineres</w:t>
      </w:r>
      <w:r>
        <w:rPr>
          <w:spacing w:val="-11"/>
        </w:rPr>
        <w:t> </w:t>
      </w:r>
      <w:r>
        <w:rPr/>
        <w:t>med</w:t>
      </w:r>
      <w:r>
        <w:rPr>
          <w:spacing w:val="-12"/>
        </w:rPr>
        <w:t> </w:t>
      </w:r>
      <w:r>
        <w:rPr/>
        <w:t>lokale</w:t>
      </w:r>
      <w:r>
        <w:rPr>
          <w:spacing w:val="-11"/>
        </w:rPr>
        <w:t> </w:t>
      </w:r>
      <w:r>
        <w:rPr/>
        <w:t>data</w:t>
      </w:r>
      <w:r>
        <w:rPr>
          <w:spacing w:val="-11"/>
        </w:rPr>
        <w:t> </w:t>
      </w:r>
      <w:r>
        <w:rPr/>
        <w:t>til</w:t>
      </w:r>
      <w:r>
        <w:rPr>
          <w:spacing w:val="-10"/>
        </w:rPr>
        <w:t> </w:t>
      </w:r>
      <w:r>
        <w:rPr/>
        <w:t>udvikling</w:t>
      </w:r>
      <w:r>
        <w:rPr>
          <w:spacing w:val="-11"/>
        </w:rPr>
        <w:t> </w:t>
      </w:r>
      <w:r>
        <w:rPr/>
        <w:t>af</w:t>
      </w:r>
      <w:r>
        <w:rPr>
          <w:spacing w:val="-10"/>
        </w:rPr>
        <w:t> </w:t>
      </w:r>
      <w:r>
        <w:rPr/>
        <w:t>en</w:t>
      </w:r>
      <w:r>
        <w:rPr>
          <w:spacing w:val="-10"/>
        </w:rPr>
        <w:t> </w:t>
      </w:r>
      <w:r>
        <w:rPr/>
        <w:t>model med højere nøjagtighed (10 cm for vandstand). Holstebro kan se et stort potentiale til brug for både klimasikring og strategisk planlægning. Det ses som en fordel, hvis der leveres lø- bende (”dynamiske”) modelberegninger (realtid: vandstand pr time og grundvand pr døgn), at data kan hentes online til lokal anvendelse, samt at alle data kan hentes fra ét</w:t>
      </w:r>
      <w:r>
        <w:rPr>
          <w:spacing w:val="-28"/>
        </w:rPr>
        <w:t> </w:t>
      </w:r>
      <w:r>
        <w:rPr/>
        <w:t>sted.</w:t>
      </w:r>
    </w:p>
    <w:p>
      <w:pPr>
        <w:pStyle w:val="BodyText"/>
        <w:spacing w:before="2"/>
        <w:rPr>
          <w:sz w:val="25"/>
        </w:rPr>
      </w:pPr>
    </w:p>
    <w:p>
      <w:pPr>
        <w:spacing w:line="288" w:lineRule="auto" w:before="0"/>
        <w:ind w:left="525" w:right="734" w:firstLine="0"/>
        <w:jc w:val="both"/>
        <w:rPr>
          <w:i/>
          <w:sz w:val="21"/>
        </w:rPr>
      </w:pPr>
      <w:r>
        <w:rPr>
          <w:i/>
          <w:sz w:val="21"/>
        </w:rPr>
        <w:t>Der</w:t>
      </w:r>
      <w:r>
        <w:rPr>
          <w:i/>
          <w:spacing w:val="-14"/>
          <w:sz w:val="21"/>
        </w:rPr>
        <w:t> </w:t>
      </w:r>
      <w:r>
        <w:rPr>
          <w:i/>
          <w:sz w:val="21"/>
        </w:rPr>
        <w:t>spørges</w:t>
      </w:r>
      <w:r>
        <w:rPr>
          <w:i/>
          <w:spacing w:val="-12"/>
          <w:sz w:val="21"/>
        </w:rPr>
        <w:t> </w:t>
      </w:r>
      <w:r>
        <w:rPr>
          <w:i/>
          <w:sz w:val="21"/>
        </w:rPr>
        <w:t>til</w:t>
      </w:r>
      <w:r>
        <w:rPr>
          <w:i/>
          <w:spacing w:val="-12"/>
          <w:sz w:val="21"/>
        </w:rPr>
        <w:t> </w:t>
      </w:r>
      <w:r>
        <w:rPr>
          <w:i/>
          <w:sz w:val="21"/>
        </w:rPr>
        <w:t>betydningen</w:t>
      </w:r>
      <w:r>
        <w:rPr>
          <w:i/>
          <w:spacing w:val="-12"/>
          <w:sz w:val="21"/>
        </w:rPr>
        <w:t> </w:t>
      </w:r>
      <w:r>
        <w:rPr>
          <w:i/>
          <w:sz w:val="21"/>
        </w:rPr>
        <w:t>af</w:t>
      </w:r>
      <w:r>
        <w:rPr>
          <w:i/>
          <w:spacing w:val="-13"/>
          <w:sz w:val="21"/>
        </w:rPr>
        <w:t> </w:t>
      </w:r>
      <w:r>
        <w:rPr>
          <w:i/>
          <w:sz w:val="21"/>
        </w:rPr>
        <w:t>dynamiske</w:t>
      </w:r>
      <w:r>
        <w:rPr>
          <w:i/>
          <w:spacing w:val="-11"/>
          <w:sz w:val="21"/>
        </w:rPr>
        <w:t> </w:t>
      </w:r>
      <w:r>
        <w:rPr>
          <w:i/>
          <w:sz w:val="21"/>
        </w:rPr>
        <w:t>modelberegninger,</w:t>
      </w:r>
      <w:r>
        <w:rPr>
          <w:i/>
          <w:spacing w:val="-13"/>
          <w:sz w:val="21"/>
        </w:rPr>
        <w:t> </w:t>
      </w:r>
      <w:r>
        <w:rPr>
          <w:i/>
          <w:sz w:val="21"/>
        </w:rPr>
        <w:t>og</w:t>
      </w:r>
      <w:r>
        <w:rPr>
          <w:i/>
          <w:spacing w:val="-12"/>
          <w:sz w:val="21"/>
        </w:rPr>
        <w:t> </w:t>
      </w:r>
      <w:r>
        <w:rPr>
          <w:i/>
          <w:sz w:val="21"/>
        </w:rPr>
        <w:t>det</w:t>
      </w:r>
      <w:r>
        <w:rPr>
          <w:i/>
          <w:spacing w:val="-14"/>
          <w:sz w:val="21"/>
        </w:rPr>
        <w:t> </w:t>
      </w:r>
      <w:r>
        <w:rPr>
          <w:i/>
          <w:sz w:val="21"/>
        </w:rPr>
        <w:t>uddybes,</w:t>
      </w:r>
      <w:r>
        <w:rPr>
          <w:i/>
          <w:spacing w:val="-13"/>
          <w:sz w:val="21"/>
        </w:rPr>
        <w:t> </w:t>
      </w:r>
      <w:r>
        <w:rPr>
          <w:i/>
          <w:sz w:val="21"/>
        </w:rPr>
        <w:t>at</w:t>
      </w:r>
      <w:r>
        <w:rPr>
          <w:i/>
          <w:spacing w:val="-13"/>
          <w:sz w:val="21"/>
        </w:rPr>
        <w:t> </w:t>
      </w:r>
      <w:r>
        <w:rPr>
          <w:i/>
          <w:sz w:val="21"/>
        </w:rPr>
        <w:t>det</w:t>
      </w:r>
      <w:r>
        <w:rPr>
          <w:i/>
          <w:spacing w:val="-14"/>
          <w:sz w:val="21"/>
        </w:rPr>
        <w:t> </w:t>
      </w:r>
      <w:r>
        <w:rPr>
          <w:i/>
          <w:sz w:val="21"/>
        </w:rPr>
        <w:t>ses</w:t>
      </w:r>
      <w:r>
        <w:rPr>
          <w:i/>
          <w:spacing w:val="-12"/>
          <w:sz w:val="21"/>
        </w:rPr>
        <w:t> </w:t>
      </w:r>
      <w:r>
        <w:rPr>
          <w:i/>
          <w:sz w:val="21"/>
        </w:rPr>
        <w:t>som </w:t>
      </w:r>
      <w:r>
        <w:rPr>
          <w:i/>
          <w:sz w:val="21"/>
        </w:rPr>
        <w:t>en fordel, hvis DK-modellen samler data og foretager beregninger kontinuerligt, således at der kan få beregninger hver dag, samt prognoser for kommende</w:t>
      </w:r>
      <w:r>
        <w:rPr>
          <w:i/>
          <w:spacing w:val="-14"/>
          <w:sz w:val="21"/>
        </w:rPr>
        <w:t> </w:t>
      </w:r>
      <w:r>
        <w:rPr>
          <w:i/>
          <w:sz w:val="21"/>
        </w:rPr>
        <w:t>periode.</w:t>
      </w:r>
    </w:p>
    <w:p>
      <w:pPr>
        <w:pStyle w:val="BodyText"/>
        <w:spacing w:before="7"/>
        <w:rPr>
          <w:i/>
          <w:sz w:val="29"/>
        </w:rPr>
      </w:pPr>
    </w:p>
    <w:p>
      <w:pPr>
        <w:spacing w:line="292" w:lineRule="auto" w:before="0"/>
        <w:ind w:left="525" w:right="843" w:firstLine="0"/>
        <w:jc w:val="left"/>
        <w:rPr>
          <w:b/>
          <w:i/>
          <w:sz w:val="20"/>
        </w:rPr>
      </w:pPr>
      <w:r>
        <w:rPr>
          <w:b/>
          <w:i/>
          <w:sz w:val="20"/>
        </w:rPr>
        <w:t>Anvendelser af modelberegninger (randbetingelser) til klimasikring (Lars Troldborg, </w:t>
      </w:r>
      <w:r>
        <w:rPr>
          <w:b/>
          <w:i/>
          <w:sz w:val="20"/>
        </w:rPr>
        <w:t>GEUS)</w:t>
      </w:r>
    </w:p>
    <w:p>
      <w:pPr>
        <w:pStyle w:val="BodyText"/>
        <w:spacing w:line="228" w:lineRule="exact"/>
        <w:ind w:left="525"/>
        <w:jc w:val="both"/>
      </w:pPr>
      <w:r>
        <w:rPr/>
        <w:t>Lars Troldborg fra GEUS giver et eksempel på udvikling af en lokal model ud fra randbetin-</w:t>
      </w:r>
    </w:p>
    <w:p>
      <w:pPr>
        <w:pStyle w:val="BodyText"/>
        <w:spacing w:line="278" w:lineRule="auto" w:before="37"/>
        <w:ind w:left="525" w:right="732"/>
        <w:jc w:val="both"/>
      </w:pPr>
      <w:r>
        <w:rPr/>
        <w:t>gelser,</w:t>
      </w:r>
      <w:r>
        <w:rPr>
          <w:spacing w:val="-8"/>
        </w:rPr>
        <w:t> </w:t>
      </w:r>
      <w:r>
        <w:rPr/>
        <w:t>der</w:t>
      </w:r>
      <w:r>
        <w:rPr>
          <w:spacing w:val="-6"/>
        </w:rPr>
        <w:t> </w:t>
      </w:r>
      <w:r>
        <w:rPr/>
        <w:t>er</w:t>
      </w:r>
      <w:r>
        <w:rPr>
          <w:spacing w:val="-7"/>
        </w:rPr>
        <w:t> </w:t>
      </w:r>
      <w:r>
        <w:rPr/>
        <w:t>trukket</w:t>
      </w:r>
      <w:r>
        <w:rPr>
          <w:spacing w:val="-7"/>
        </w:rPr>
        <w:t> </w:t>
      </w:r>
      <w:r>
        <w:rPr/>
        <w:t>ud</w:t>
      </w:r>
      <w:r>
        <w:rPr>
          <w:spacing w:val="-8"/>
        </w:rPr>
        <w:t> </w:t>
      </w:r>
      <w:r>
        <w:rPr/>
        <w:t>fra</w:t>
      </w:r>
      <w:r>
        <w:rPr>
          <w:spacing w:val="-6"/>
        </w:rPr>
        <w:t> </w:t>
      </w:r>
      <w:r>
        <w:rPr/>
        <w:t>en</w:t>
      </w:r>
      <w:r>
        <w:rPr>
          <w:spacing w:val="-6"/>
        </w:rPr>
        <w:t> </w:t>
      </w:r>
      <w:r>
        <w:rPr/>
        <w:t>regional</w:t>
      </w:r>
      <w:r>
        <w:rPr>
          <w:spacing w:val="-5"/>
        </w:rPr>
        <w:t> </w:t>
      </w:r>
      <w:r>
        <w:rPr/>
        <w:t>grundvandsmodel.</w:t>
      </w:r>
      <w:r>
        <w:rPr>
          <w:spacing w:val="-7"/>
        </w:rPr>
        <w:t> </w:t>
      </w:r>
      <w:r>
        <w:rPr/>
        <w:t>Eksemplet</w:t>
      </w:r>
      <w:r>
        <w:rPr>
          <w:spacing w:val="-7"/>
        </w:rPr>
        <w:t> </w:t>
      </w:r>
      <w:r>
        <w:rPr/>
        <w:t>er</w:t>
      </w:r>
      <w:r>
        <w:rPr>
          <w:spacing w:val="-7"/>
        </w:rPr>
        <w:t> </w:t>
      </w:r>
      <w:r>
        <w:rPr/>
        <w:t>fra</w:t>
      </w:r>
      <w:r>
        <w:rPr>
          <w:spacing w:val="-6"/>
        </w:rPr>
        <w:t> </w:t>
      </w:r>
      <w:r>
        <w:rPr/>
        <w:t>et</w:t>
      </w:r>
      <w:r>
        <w:rPr>
          <w:spacing w:val="-9"/>
        </w:rPr>
        <w:t> </w:t>
      </w:r>
      <w:r>
        <w:rPr/>
        <w:t>projekt,</w:t>
      </w:r>
      <w:r>
        <w:rPr>
          <w:spacing w:val="-7"/>
        </w:rPr>
        <w:t> </w:t>
      </w:r>
      <w:r>
        <w:rPr/>
        <w:t>der</w:t>
      </w:r>
      <w:r>
        <w:rPr>
          <w:spacing w:val="-6"/>
        </w:rPr>
        <w:t> </w:t>
      </w:r>
      <w:r>
        <w:rPr/>
        <w:t>er udført for Vejdirektoratet i forbindelse med klimasikring af Silkeborgmotorvejen mod højtstå- ende grundvand. Randbetingelser er først leveret fra en regional model (500 m grid) til en modelopsætning, der dækker et mindre område (100 m grid), og derfra er der atter overført randbetingelser til et endnu mindre lokalt afgrænset modelområde (20 m grid). Der er an- vendt</w:t>
      </w:r>
      <w:r>
        <w:rPr>
          <w:spacing w:val="-10"/>
        </w:rPr>
        <w:t> </w:t>
      </w:r>
      <w:r>
        <w:rPr/>
        <w:t>supplerende</w:t>
      </w:r>
      <w:r>
        <w:rPr>
          <w:spacing w:val="-9"/>
        </w:rPr>
        <w:t> </w:t>
      </w:r>
      <w:r>
        <w:rPr/>
        <w:t>lokale</w:t>
      </w:r>
      <w:r>
        <w:rPr>
          <w:spacing w:val="-9"/>
        </w:rPr>
        <w:t> </w:t>
      </w:r>
      <w:r>
        <w:rPr/>
        <w:t>geologiske</w:t>
      </w:r>
      <w:r>
        <w:rPr>
          <w:spacing w:val="-9"/>
        </w:rPr>
        <w:t> </w:t>
      </w:r>
      <w:r>
        <w:rPr/>
        <w:t>data</w:t>
      </w:r>
      <w:r>
        <w:rPr>
          <w:spacing w:val="-9"/>
        </w:rPr>
        <w:t> </w:t>
      </w:r>
      <w:r>
        <w:rPr/>
        <w:t>og</w:t>
      </w:r>
      <w:r>
        <w:rPr>
          <w:spacing w:val="-8"/>
        </w:rPr>
        <w:t> </w:t>
      </w:r>
      <w:r>
        <w:rPr/>
        <w:t>hydrologiske</w:t>
      </w:r>
      <w:r>
        <w:rPr>
          <w:spacing w:val="-9"/>
        </w:rPr>
        <w:t> </w:t>
      </w:r>
      <w:r>
        <w:rPr/>
        <w:t>observationer</w:t>
      </w:r>
      <w:r>
        <w:rPr>
          <w:spacing w:val="-10"/>
        </w:rPr>
        <w:t> </w:t>
      </w:r>
      <w:r>
        <w:rPr/>
        <w:t>til</w:t>
      </w:r>
      <w:r>
        <w:rPr>
          <w:spacing w:val="-5"/>
        </w:rPr>
        <w:t> </w:t>
      </w:r>
      <w:r>
        <w:rPr/>
        <w:t>forbedring</w:t>
      </w:r>
      <w:r>
        <w:rPr>
          <w:spacing w:val="-9"/>
        </w:rPr>
        <w:t> </w:t>
      </w:r>
      <w:r>
        <w:rPr/>
        <w:t>af</w:t>
      </w:r>
      <w:r>
        <w:rPr>
          <w:spacing w:val="-7"/>
        </w:rPr>
        <w:t> </w:t>
      </w:r>
      <w:r>
        <w:rPr/>
        <w:t>den lokale model i 20 m grid. Simuleringer er foretaget både i historisk tid og for det forventede fremtidige klima. Det er fluktuationerne i dybden til det terrænnære grundvand, der er rele- vante i denne sammenhæng, snarere end medianværdien for dybden til det terrænnære grundvand. Der vises også resultater fra et andet klimatilpasningsprojekt, hvortil der er an- vendt en lokalskala model, og hvor effekter af forskellige klimatilpasningstiltag er simuleret. Modelberegninger viser, at effekten af klimatilpasningstiltag, f.eks. nedsivning af vand lokalt i</w:t>
      </w:r>
      <w:r>
        <w:rPr>
          <w:spacing w:val="-4"/>
        </w:rPr>
        <w:t> </w:t>
      </w:r>
      <w:r>
        <w:rPr/>
        <w:t>stedet</w:t>
      </w:r>
      <w:r>
        <w:rPr>
          <w:spacing w:val="-4"/>
        </w:rPr>
        <w:t> </w:t>
      </w:r>
      <w:r>
        <w:rPr/>
        <w:t>for</w:t>
      </w:r>
      <w:r>
        <w:rPr>
          <w:spacing w:val="-4"/>
        </w:rPr>
        <w:t> </w:t>
      </w:r>
      <w:r>
        <w:rPr/>
        <w:t>via</w:t>
      </w:r>
      <w:r>
        <w:rPr>
          <w:spacing w:val="-4"/>
        </w:rPr>
        <w:t> </w:t>
      </w:r>
      <w:r>
        <w:rPr/>
        <w:t>eksisterende</w:t>
      </w:r>
      <w:r>
        <w:rPr>
          <w:spacing w:val="-4"/>
        </w:rPr>
        <w:t> </w:t>
      </w:r>
      <w:r>
        <w:rPr/>
        <w:t>regnvandssystem,</w:t>
      </w:r>
      <w:r>
        <w:rPr>
          <w:spacing w:val="-7"/>
        </w:rPr>
        <w:t> </w:t>
      </w:r>
      <w:r>
        <w:rPr/>
        <w:t>kan</w:t>
      </w:r>
      <w:r>
        <w:rPr>
          <w:spacing w:val="-4"/>
        </w:rPr>
        <w:t> </w:t>
      </w:r>
      <w:r>
        <w:rPr/>
        <w:t>have</w:t>
      </w:r>
      <w:r>
        <w:rPr>
          <w:spacing w:val="-4"/>
        </w:rPr>
        <w:t> </w:t>
      </w:r>
      <w:r>
        <w:rPr/>
        <w:t>meget</w:t>
      </w:r>
      <w:r>
        <w:rPr>
          <w:spacing w:val="-5"/>
        </w:rPr>
        <w:t> </w:t>
      </w:r>
      <w:r>
        <w:rPr/>
        <w:t>større</w:t>
      </w:r>
      <w:r>
        <w:rPr>
          <w:spacing w:val="-4"/>
        </w:rPr>
        <w:t> </w:t>
      </w:r>
      <w:r>
        <w:rPr/>
        <w:t>betydning</w:t>
      </w:r>
      <w:r>
        <w:rPr>
          <w:spacing w:val="-4"/>
        </w:rPr>
        <w:t> </w:t>
      </w:r>
      <w:r>
        <w:rPr/>
        <w:t>for</w:t>
      </w:r>
      <w:r>
        <w:rPr>
          <w:spacing w:val="-4"/>
        </w:rPr>
        <w:t> </w:t>
      </w:r>
      <w:r>
        <w:rPr/>
        <w:t>ændrin- ger i det terrænnære grundvand end selve klimaforandringernes effekt. Hvor klimaændrin- gerne i sig selv måske kun har 20 cm effekt, så kan klimatilpasningsløsningerne lokalt have op mod 1 m effekt på det terrænnære</w:t>
      </w:r>
      <w:r>
        <w:rPr>
          <w:spacing w:val="-12"/>
        </w:rPr>
        <w:t> </w:t>
      </w:r>
      <w:r>
        <w:rPr/>
        <w:t>grundvand.</w:t>
      </w:r>
    </w:p>
    <w:p>
      <w:pPr>
        <w:spacing w:after="0" w:line="278" w:lineRule="auto"/>
        <w:jc w:val="both"/>
        <w:sectPr>
          <w:pgSz w:w="11910" w:h="16850"/>
          <w:pgMar w:header="0" w:footer="857" w:top="1340" w:bottom="1120" w:left="1460" w:right="680"/>
        </w:sectPr>
      </w:pPr>
    </w:p>
    <w:p>
      <w:pPr>
        <w:spacing w:line="292" w:lineRule="auto" w:before="63"/>
        <w:ind w:left="525" w:right="732" w:firstLine="0"/>
        <w:jc w:val="both"/>
        <w:rPr>
          <w:i/>
          <w:sz w:val="20"/>
        </w:rPr>
      </w:pPr>
      <w:r>
        <w:rPr>
          <w:i/>
          <w:sz w:val="20"/>
        </w:rPr>
        <w:t>Der spørges til, hvordan man vurderer forskel i effekter af højintensiv 2-timers stormflod i forhold </w:t>
      </w:r>
      <w:r>
        <w:rPr>
          <w:i/>
          <w:sz w:val="20"/>
        </w:rPr>
        <w:t>til</w:t>
      </w:r>
      <w:r>
        <w:rPr>
          <w:i/>
          <w:spacing w:val="-11"/>
          <w:sz w:val="20"/>
        </w:rPr>
        <w:t> </w:t>
      </w:r>
      <w:r>
        <w:rPr>
          <w:i/>
          <w:sz w:val="20"/>
        </w:rPr>
        <w:t>hvis</w:t>
      </w:r>
      <w:r>
        <w:rPr>
          <w:i/>
          <w:spacing w:val="-8"/>
          <w:sz w:val="20"/>
        </w:rPr>
        <w:t> </w:t>
      </w:r>
      <w:r>
        <w:rPr>
          <w:i/>
          <w:sz w:val="20"/>
        </w:rPr>
        <w:t>der</w:t>
      </w:r>
      <w:r>
        <w:rPr>
          <w:i/>
          <w:spacing w:val="-8"/>
          <w:sz w:val="20"/>
        </w:rPr>
        <w:t> </w:t>
      </w:r>
      <w:r>
        <w:rPr>
          <w:i/>
          <w:sz w:val="20"/>
        </w:rPr>
        <w:t>er</w:t>
      </w:r>
      <w:r>
        <w:rPr>
          <w:i/>
          <w:spacing w:val="-9"/>
          <w:sz w:val="20"/>
        </w:rPr>
        <w:t> </w:t>
      </w:r>
      <w:r>
        <w:rPr>
          <w:i/>
          <w:sz w:val="20"/>
        </w:rPr>
        <w:t>fx</w:t>
      </w:r>
      <w:r>
        <w:rPr>
          <w:i/>
          <w:spacing w:val="-8"/>
          <w:sz w:val="20"/>
        </w:rPr>
        <w:t> </w:t>
      </w:r>
      <w:r>
        <w:rPr>
          <w:i/>
          <w:sz w:val="20"/>
        </w:rPr>
        <w:t>4</w:t>
      </w:r>
      <w:r>
        <w:rPr>
          <w:i/>
          <w:spacing w:val="-9"/>
          <w:sz w:val="20"/>
        </w:rPr>
        <w:t> </w:t>
      </w:r>
      <w:r>
        <w:rPr>
          <w:i/>
          <w:sz w:val="20"/>
        </w:rPr>
        <w:t>dage</w:t>
      </w:r>
      <w:r>
        <w:rPr>
          <w:i/>
          <w:spacing w:val="-11"/>
          <w:sz w:val="20"/>
        </w:rPr>
        <w:t> </w:t>
      </w:r>
      <w:r>
        <w:rPr>
          <w:i/>
          <w:sz w:val="20"/>
        </w:rPr>
        <w:t>mellem</w:t>
      </w:r>
      <w:r>
        <w:rPr>
          <w:i/>
          <w:spacing w:val="-10"/>
          <w:sz w:val="20"/>
        </w:rPr>
        <w:t> </w:t>
      </w:r>
      <w:r>
        <w:rPr>
          <w:i/>
          <w:sz w:val="20"/>
        </w:rPr>
        <w:t>hændelser.</w:t>
      </w:r>
      <w:r>
        <w:rPr>
          <w:i/>
          <w:spacing w:val="-9"/>
          <w:sz w:val="20"/>
        </w:rPr>
        <w:t> </w:t>
      </w:r>
      <w:r>
        <w:rPr>
          <w:i/>
          <w:sz w:val="20"/>
        </w:rPr>
        <w:t>Det</w:t>
      </w:r>
      <w:r>
        <w:rPr>
          <w:i/>
          <w:spacing w:val="-10"/>
          <w:sz w:val="20"/>
        </w:rPr>
        <w:t> </w:t>
      </w:r>
      <w:r>
        <w:rPr>
          <w:i/>
          <w:sz w:val="20"/>
        </w:rPr>
        <w:t>er</w:t>
      </w:r>
      <w:r>
        <w:rPr>
          <w:i/>
          <w:spacing w:val="-8"/>
          <w:sz w:val="20"/>
        </w:rPr>
        <w:t> </w:t>
      </w:r>
      <w:r>
        <w:rPr>
          <w:i/>
          <w:sz w:val="20"/>
        </w:rPr>
        <w:t>ikke</w:t>
      </w:r>
      <w:r>
        <w:rPr>
          <w:i/>
          <w:spacing w:val="-9"/>
          <w:sz w:val="20"/>
        </w:rPr>
        <w:t> </w:t>
      </w:r>
      <w:r>
        <w:rPr>
          <w:i/>
          <w:sz w:val="20"/>
        </w:rPr>
        <w:t>muligt</w:t>
      </w:r>
      <w:r>
        <w:rPr>
          <w:i/>
          <w:spacing w:val="-11"/>
          <w:sz w:val="20"/>
        </w:rPr>
        <w:t> </w:t>
      </w:r>
      <w:r>
        <w:rPr>
          <w:i/>
          <w:sz w:val="20"/>
        </w:rPr>
        <w:t>at</w:t>
      </w:r>
      <w:r>
        <w:rPr>
          <w:i/>
          <w:spacing w:val="-9"/>
          <w:sz w:val="20"/>
        </w:rPr>
        <w:t> </w:t>
      </w:r>
      <w:r>
        <w:rPr>
          <w:i/>
          <w:sz w:val="20"/>
        </w:rPr>
        <w:t>vide</w:t>
      </w:r>
      <w:r>
        <w:rPr>
          <w:i/>
          <w:spacing w:val="-10"/>
          <w:sz w:val="20"/>
        </w:rPr>
        <w:t> </w:t>
      </w:r>
      <w:r>
        <w:rPr>
          <w:i/>
          <w:sz w:val="20"/>
        </w:rPr>
        <w:t>på</w:t>
      </w:r>
      <w:r>
        <w:rPr>
          <w:i/>
          <w:spacing w:val="-9"/>
          <w:sz w:val="20"/>
        </w:rPr>
        <w:t> </w:t>
      </w:r>
      <w:r>
        <w:rPr>
          <w:i/>
          <w:sz w:val="20"/>
        </w:rPr>
        <w:t>forhånd,</w:t>
      </w:r>
      <w:r>
        <w:rPr>
          <w:i/>
          <w:spacing w:val="-10"/>
          <w:sz w:val="20"/>
        </w:rPr>
        <w:t> </w:t>
      </w:r>
      <w:r>
        <w:rPr>
          <w:i/>
          <w:sz w:val="20"/>
        </w:rPr>
        <w:t>hvad</w:t>
      </w:r>
      <w:r>
        <w:rPr>
          <w:i/>
          <w:spacing w:val="-10"/>
          <w:sz w:val="20"/>
        </w:rPr>
        <w:t> </w:t>
      </w:r>
      <w:r>
        <w:rPr>
          <w:i/>
          <w:sz w:val="20"/>
        </w:rPr>
        <w:t>der</w:t>
      </w:r>
      <w:r>
        <w:rPr>
          <w:i/>
          <w:spacing w:val="-8"/>
          <w:sz w:val="20"/>
        </w:rPr>
        <w:t> </w:t>
      </w:r>
      <w:r>
        <w:rPr>
          <w:i/>
          <w:sz w:val="20"/>
        </w:rPr>
        <w:t>rammer hårdest, men man kan i lokalområderne simulere, hvad der vil være det værste for motorvejen. For</w:t>
      </w:r>
      <w:r>
        <w:rPr>
          <w:i/>
          <w:spacing w:val="-7"/>
          <w:sz w:val="20"/>
        </w:rPr>
        <w:t> </w:t>
      </w:r>
      <w:r>
        <w:rPr>
          <w:i/>
          <w:sz w:val="20"/>
        </w:rPr>
        <w:t>Vejdirektoratet</w:t>
      </w:r>
      <w:r>
        <w:rPr>
          <w:i/>
          <w:spacing w:val="-7"/>
          <w:sz w:val="20"/>
        </w:rPr>
        <w:t> </w:t>
      </w:r>
      <w:r>
        <w:rPr>
          <w:i/>
          <w:sz w:val="20"/>
        </w:rPr>
        <w:t>er</w:t>
      </w:r>
      <w:r>
        <w:rPr>
          <w:i/>
          <w:spacing w:val="-4"/>
          <w:sz w:val="20"/>
        </w:rPr>
        <w:t> </w:t>
      </w:r>
      <w:r>
        <w:rPr>
          <w:i/>
          <w:sz w:val="20"/>
        </w:rPr>
        <w:t>det</w:t>
      </w:r>
      <w:r>
        <w:rPr>
          <w:i/>
          <w:spacing w:val="-6"/>
          <w:sz w:val="20"/>
        </w:rPr>
        <w:t> </w:t>
      </w:r>
      <w:r>
        <w:rPr>
          <w:i/>
          <w:sz w:val="20"/>
        </w:rPr>
        <w:t>relevant</w:t>
      </w:r>
      <w:r>
        <w:rPr>
          <w:i/>
          <w:spacing w:val="-5"/>
          <w:sz w:val="20"/>
        </w:rPr>
        <w:t> </w:t>
      </w:r>
      <w:r>
        <w:rPr>
          <w:i/>
          <w:sz w:val="20"/>
        </w:rPr>
        <w:t>at</w:t>
      </w:r>
      <w:r>
        <w:rPr>
          <w:i/>
          <w:spacing w:val="-7"/>
          <w:sz w:val="20"/>
        </w:rPr>
        <w:t> </w:t>
      </w:r>
      <w:r>
        <w:rPr>
          <w:i/>
          <w:sz w:val="20"/>
        </w:rPr>
        <w:t>vide,</w:t>
      </w:r>
      <w:r>
        <w:rPr>
          <w:i/>
          <w:spacing w:val="-8"/>
          <w:sz w:val="20"/>
        </w:rPr>
        <w:t> </w:t>
      </w:r>
      <w:r>
        <w:rPr>
          <w:i/>
          <w:sz w:val="20"/>
        </w:rPr>
        <w:t>hvornår</w:t>
      </w:r>
      <w:r>
        <w:rPr>
          <w:i/>
          <w:spacing w:val="-6"/>
          <w:sz w:val="20"/>
        </w:rPr>
        <w:t> </w:t>
      </w:r>
      <w:r>
        <w:rPr>
          <w:i/>
          <w:sz w:val="20"/>
        </w:rPr>
        <w:t>(hvad</w:t>
      </w:r>
      <w:r>
        <w:rPr>
          <w:i/>
          <w:spacing w:val="-7"/>
          <w:sz w:val="20"/>
        </w:rPr>
        <w:t> </w:t>
      </w:r>
      <w:r>
        <w:rPr>
          <w:i/>
          <w:sz w:val="20"/>
        </w:rPr>
        <w:t>der</w:t>
      </w:r>
      <w:r>
        <w:rPr>
          <w:i/>
          <w:spacing w:val="-6"/>
          <w:sz w:val="20"/>
        </w:rPr>
        <w:t> </w:t>
      </w:r>
      <w:r>
        <w:rPr>
          <w:i/>
          <w:sz w:val="20"/>
        </w:rPr>
        <w:t>skal</w:t>
      </w:r>
      <w:r>
        <w:rPr>
          <w:i/>
          <w:spacing w:val="-9"/>
          <w:sz w:val="20"/>
        </w:rPr>
        <w:t> </w:t>
      </w:r>
      <w:r>
        <w:rPr>
          <w:i/>
          <w:sz w:val="20"/>
        </w:rPr>
        <w:t>til</w:t>
      </w:r>
      <w:r>
        <w:rPr>
          <w:i/>
          <w:spacing w:val="-5"/>
          <w:sz w:val="20"/>
        </w:rPr>
        <w:t> </w:t>
      </w:r>
      <w:r>
        <w:rPr>
          <w:i/>
          <w:sz w:val="20"/>
        </w:rPr>
        <w:t>for</w:t>
      </w:r>
      <w:r>
        <w:rPr>
          <w:i/>
          <w:spacing w:val="-6"/>
          <w:sz w:val="20"/>
        </w:rPr>
        <w:t> </w:t>
      </w:r>
      <w:r>
        <w:rPr>
          <w:i/>
          <w:sz w:val="20"/>
        </w:rPr>
        <w:t>at)</w:t>
      </w:r>
      <w:r>
        <w:rPr>
          <w:i/>
          <w:spacing w:val="-5"/>
          <w:sz w:val="20"/>
        </w:rPr>
        <w:t> </w:t>
      </w:r>
      <w:r>
        <w:rPr>
          <w:i/>
          <w:sz w:val="20"/>
        </w:rPr>
        <w:t>grundvandsspejlet</w:t>
      </w:r>
      <w:r>
        <w:rPr>
          <w:i/>
          <w:spacing w:val="-5"/>
          <w:sz w:val="20"/>
        </w:rPr>
        <w:t> </w:t>
      </w:r>
      <w:r>
        <w:rPr>
          <w:i/>
          <w:spacing w:val="2"/>
          <w:sz w:val="20"/>
        </w:rPr>
        <w:t>står </w:t>
      </w:r>
      <w:r>
        <w:rPr>
          <w:i/>
          <w:sz w:val="20"/>
        </w:rPr>
        <w:t>højest.</w:t>
      </w:r>
    </w:p>
    <w:p>
      <w:pPr>
        <w:pStyle w:val="BodyText"/>
        <w:spacing w:before="11"/>
        <w:rPr>
          <w:i/>
          <w:sz w:val="19"/>
        </w:rPr>
      </w:pPr>
    </w:p>
    <w:p>
      <w:pPr>
        <w:pStyle w:val="BodyText"/>
        <w:ind w:left="525"/>
      </w:pPr>
      <w:r>
        <w:rPr/>
        <w:t>Der gives i den afsluttende plenumdiskussion udtryk for, at:</w:t>
      </w:r>
    </w:p>
    <w:p>
      <w:pPr>
        <w:pStyle w:val="ListParagraph"/>
        <w:numPr>
          <w:ilvl w:val="2"/>
          <w:numId w:val="17"/>
        </w:numPr>
        <w:tabs>
          <w:tab w:pos="1246" w:val="left" w:leader="none"/>
        </w:tabs>
        <w:spacing w:line="288" w:lineRule="auto" w:before="85" w:after="0"/>
        <w:ind w:left="1245" w:right="744" w:hanging="360"/>
        <w:jc w:val="both"/>
        <w:rPr>
          <w:sz w:val="20"/>
        </w:rPr>
      </w:pPr>
      <w:r>
        <w:rPr>
          <w:sz w:val="20"/>
        </w:rPr>
        <w:t>det</w:t>
      </w:r>
      <w:r>
        <w:rPr>
          <w:spacing w:val="-3"/>
          <w:sz w:val="20"/>
        </w:rPr>
        <w:t> </w:t>
      </w:r>
      <w:r>
        <w:rPr>
          <w:sz w:val="20"/>
        </w:rPr>
        <w:t>er</w:t>
      </w:r>
      <w:r>
        <w:rPr>
          <w:spacing w:val="-1"/>
          <w:sz w:val="20"/>
        </w:rPr>
        <w:t> </w:t>
      </w:r>
      <w:r>
        <w:rPr>
          <w:sz w:val="20"/>
        </w:rPr>
        <w:t>vigtigt</w:t>
      </w:r>
      <w:r>
        <w:rPr>
          <w:spacing w:val="-2"/>
          <w:sz w:val="20"/>
        </w:rPr>
        <w:t> </w:t>
      </w:r>
      <w:r>
        <w:rPr>
          <w:sz w:val="20"/>
        </w:rPr>
        <w:t>at</w:t>
      </w:r>
      <w:r>
        <w:rPr>
          <w:spacing w:val="-3"/>
          <w:sz w:val="20"/>
        </w:rPr>
        <w:t> </w:t>
      </w:r>
      <w:r>
        <w:rPr>
          <w:sz w:val="20"/>
        </w:rPr>
        <w:t>få</w:t>
      </w:r>
      <w:r>
        <w:rPr>
          <w:spacing w:val="-5"/>
          <w:sz w:val="20"/>
        </w:rPr>
        <w:t> </w:t>
      </w:r>
      <w:r>
        <w:rPr>
          <w:sz w:val="20"/>
        </w:rPr>
        <w:t>kvantificeret</w:t>
      </w:r>
      <w:r>
        <w:rPr>
          <w:spacing w:val="-5"/>
          <w:sz w:val="20"/>
        </w:rPr>
        <w:t> </w:t>
      </w:r>
      <w:r>
        <w:rPr>
          <w:sz w:val="20"/>
        </w:rPr>
        <w:t>usikkerhed</w:t>
      </w:r>
      <w:r>
        <w:rPr>
          <w:spacing w:val="-5"/>
          <w:sz w:val="20"/>
        </w:rPr>
        <w:t> </w:t>
      </w:r>
      <w:r>
        <w:rPr>
          <w:sz w:val="20"/>
        </w:rPr>
        <w:t>for</w:t>
      </w:r>
      <w:r>
        <w:rPr>
          <w:spacing w:val="-4"/>
          <w:sz w:val="20"/>
        </w:rPr>
        <w:t> </w:t>
      </w:r>
      <w:r>
        <w:rPr>
          <w:sz w:val="20"/>
        </w:rPr>
        <w:t>de</w:t>
      </w:r>
      <w:r>
        <w:rPr>
          <w:spacing w:val="-3"/>
          <w:sz w:val="20"/>
        </w:rPr>
        <w:t> </w:t>
      </w:r>
      <w:r>
        <w:rPr>
          <w:sz w:val="20"/>
        </w:rPr>
        <w:t>beregnede</w:t>
      </w:r>
      <w:r>
        <w:rPr>
          <w:spacing w:val="-3"/>
          <w:sz w:val="20"/>
        </w:rPr>
        <w:t> </w:t>
      </w:r>
      <w:r>
        <w:rPr>
          <w:sz w:val="20"/>
        </w:rPr>
        <w:t>kort,</w:t>
      </w:r>
      <w:r>
        <w:rPr>
          <w:spacing w:val="-4"/>
          <w:sz w:val="20"/>
        </w:rPr>
        <w:t> </w:t>
      </w:r>
      <w:r>
        <w:rPr>
          <w:sz w:val="20"/>
        </w:rPr>
        <w:t>så</w:t>
      </w:r>
      <w:r>
        <w:rPr>
          <w:spacing w:val="-3"/>
          <w:sz w:val="20"/>
        </w:rPr>
        <w:t> </w:t>
      </w:r>
      <w:r>
        <w:rPr>
          <w:sz w:val="20"/>
        </w:rPr>
        <w:t>at</w:t>
      </w:r>
      <w:r>
        <w:rPr>
          <w:spacing w:val="-2"/>
          <w:sz w:val="20"/>
        </w:rPr>
        <w:t> </w:t>
      </w:r>
      <w:r>
        <w:rPr>
          <w:sz w:val="20"/>
        </w:rPr>
        <w:t>de</w:t>
      </w:r>
      <w:r>
        <w:rPr>
          <w:spacing w:val="-2"/>
          <w:sz w:val="20"/>
        </w:rPr>
        <w:t> </w:t>
      </w:r>
      <w:r>
        <w:rPr>
          <w:sz w:val="20"/>
        </w:rPr>
        <w:t>ikke</w:t>
      </w:r>
      <w:r>
        <w:rPr>
          <w:spacing w:val="-5"/>
          <w:sz w:val="20"/>
        </w:rPr>
        <w:t> </w:t>
      </w:r>
      <w:r>
        <w:rPr>
          <w:sz w:val="20"/>
        </w:rPr>
        <w:t>anvendes uhensigtsmæssigt,</w:t>
      </w:r>
      <w:r>
        <w:rPr>
          <w:spacing w:val="-2"/>
          <w:sz w:val="20"/>
        </w:rPr>
        <w:t> </w:t>
      </w:r>
      <w:r>
        <w:rPr>
          <w:sz w:val="20"/>
        </w:rPr>
        <w:t>samt</w:t>
      </w:r>
    </w:p>
    <w:p>
      <w:pPr>
        <w:pStyle w:val="ListParagraph"/>
        <w:numPr>
          <w:ilvl w:val="2"/>
          <w:numId w:val="17"/>
        </w:numPr>
        <w:tabs>
          <w:tab w:pos="1246" w:val="left" w:leader="none"/>
        </w:tabs>
        <w:spacing w:line="290" w:lineRule="auto" w:before="0" w:after="0"/>
        <w:ind w:left="1245" w:right="732" w:hanging="360"/>
        <w:jc w:val="both"/>
        <w:rPr>
          <w:sz w:val="20"/>
        </w:rPr>
      </w:pPr>
      <w:r>
        <w:rPr>
          <w:sz w:val="20"/>
        </w:rPr>
        <w:t>det skal gøres klart, at beregningerne viser generelle forhold (til screeningsbrug), og at kommunerne bliver nødt til at supplere med lokale data/modelleringer, hvis de ”rigtigt” skal bruge modelberegningerne til at tage beslutninger. Det betyder ikke, at det ikke kan bruges, men det skal tydeliggøres, at det er mere generelle visninger, der</w:t>
      </w:r>
      <w:r>
        <w:rPr>
          <w:spacing w:val="-17"/>
          <w:sz w:val="20"/>
        </w:rPr>
        <w:t> </w:t>
      </w:r>
      <w:r>
        <w:rPr>
          <w:sz w:val="20"/>
        </w:rPr>
        <w:t>gives.</w:t>
      </w:r>
    </w:p>
    <w:p>
      <w:pPr>
        <w:pStyle w:val="ListParagraph"/>
        <w:numPr>
          <w:ilvl w:val="2"/>
          <w:numId w:val="17"/>
        </w:numPr>
        <w:tabs>
          <w:tab w:pos="1245" w:val="left" w:leader="none"/>
          <w:tab w:pos="1246" w:val="left" w:leader="none"/>
        </w:tabs>
        <w:spacing w:line="232" w:lineRule="exact" w:before="0" w:after="0"/>
        <w:ind w:left="1245" w:right="0" w:hanging="360"/>
        <w:jc w:val="left"/>
        <w:rPr>
          <w:sz w:val="20"/>
        </w:rPr>
      </w:pPr>
      <w:r>
        <w:rPr>
          <w:sz w:val="20"/>
        </w:rPr>
        <w:t>det</w:t>
      </w:r>
      <w:r>
        <w:rPr>
          <w:spacing w:val="-7"/>
          <w:sz w:val="20"/>
        </w:rPr>
        <w:t> </w:t>
      </w:r>
      <w:r>
        <w:rPr>
          <w:sz w:val="20"/>
        </w:rPr>
        <w:t>er</w:t>
      </w:r>
      <w:r>
        <w:rPr>
          <w:spacing w:val="-4"/>
          <w:sz w:val="20"/>
        </w:rPr>
        <w:t> </w:t>
      </w:r>
      <w:r>
        <w:rPr>
          <w:sz w:val="20"/>
        </w:rPr>
        <w:t>ligeledes</w:t>
      </w:r>
      <w:r>
        <w:rPr>
          <w:spacing w:val="-5"/>
          <w:sz w:val="20"/>
        </w:rPr>
        <w:t> </w:t>
      </w:r>
      <w:r>
        <w:rPr>
          <w:sz w:val="20"/>
        </w:rPr>
        <w:t>vigtigt</w:t>
      </w:r>
      <w:r>
        <w:rPr>
          <w:spacing w:val="-7"/>
          <w:sz w:val="20"/>
        </w:rPr>
        <w:t> </w:t>
      </w:r>
      <w:r>
        <w:rPr>
          <w:sz w:val="20"/>
        </w:rPr>
        <w:t>at</w:t>
      </w:r>
      <w:r>
        <w:rPr>
          <w:spacing w:val="-5"/>
          <w:sz w:val="20"/>
        </w:rPr>
        <w:t> </w:t>
      </w:r>
      <w:r>
        <w:rPr>
          <w:sz w:val="20"/>
        </w:rPr>
        <w:t>få</w:t>
      </w:r>
      <w:r>
        <w:rPr>
          <w:spacing w:val="-6"/>
          <w:sz w:val="20"/>
        </w:rPr>
        <w:t> </w:t>
      </w:r>
      <w:r>
        <w:rPr>
          <w:sz w:val="20"/>
        </w:rPr>
        <w:t>usikkerheder</w:t>
      </w:r>
      <w:r>
        <w:rPr>
          <w:spacing w:val="-6"/>
          <w:sz w:val="20"/>
        </w:rPr>
        <w:t> </w:t>
      </w:r>
      <w:r>
        <w:rPr>
          <w:sz w:val="20"/>
        </w:rPr>
        <w:t>på</w:t>
      </w:r>
      <w:r>
        <w:rPr>
          <w:spacing w:val="-4"/>
          <w:sz w:val="20"/>
        </w:rPr>
        <w:t> </w:t>
      </w:r>
      <w:r>
        <w:rPr>
          <w:sz w:val="20"/>
        </w:rPr>
        <w:t>beregnede</w:t>
      </w:r>
      <w:r>
        <w:rPr>
          <w:spacing w:val="-5"/>
          <w:sz w:val="20"/>
        </w:rPr>
        <w:t> </w:t>
      </w:r>
      <w:r>
        <w:rPr>
          <w:sz w:val="20"/>
        </w:rPr>
        <w:t>effekter</w:t>
      </w:r>
      <w:r>
        <w:rPr>
          <w:spacing w:val="-6"/>
          <w:sz w:val="20"/>
        </w:rPr>
        <w:t> </w:t>
      </w:r>
      <w:r>
        <w:rPr>
          <w:sz w:val="20"/>
        </w:rPr>
        <w:t>af</w:t>
      </w:r>
      <w:r>
        <w:rPr>
          <w:spacing w:val="-6"/>
          <w:sz w:val="20"/>
        </w:rPr>
        <w:t> </w:t>
      </w:r>
      <w:r>
        <w:rPr>
          <w:sz w:val="20"/>
        </w:rPr>
        <w:t>klimaforandringer</w:t>
      </w:r>
      <w:r>
        <w:rPr>
          <w:spacing w:val="-6"/>
          <w:sz w:val="20"/>
        </w:rPr>
        <w:t> </w:t>
      </w:r>
      <w:r>
        <w:rPr>
          <w:sz w:val="20"/>
        </w:rPr>
        <w:t>(for-</w:t>
      </w:r>
    </w:p>
    <w:p>
      <w:pPr>
        <w:spacing w:before="42"/>
        <w:ind w:left="1245" w:right="0" w:firstLine="0"/>
        <w:jc w:val="left"/>
        <w:rPr>
          <w:sz w:val="20"/>
        </w:rPr>
      </w:pPr>
      <w:r>
        <w:rPr>
          <w:sz w:val="20"/>
        </w:rPr>
        <w:t>skellige klimascenarier).</w:t>
      </w:r>
    </w:p>
    <w:p>
      <w:pPr>
        <w:pStyle w:val="ListParagraph"/>
        <w:numPr>
          <w:ilvl w:val="2"/>
          <w:numId w:val="17"/>
        </w:numPr>
        <w:tabs>
          <w:tab w:pos="1246" w:val="left" w:leader="none"/>
        </w:tabs>
        <w:spacing w:line="285" w:lineRule="auto" w:before="37" w:after="0"/>
        <w:ind w:left="1245" w:right="740" w:hanging="360"/>
        <w:jc w:val="both"/>
        <w:rPr>
          <w:sz w:val="20"/>
        </w:rPr>
      </w:pPr>
      <w:r>
        <w:rPr>
          <w:sz w:val="20"/>
        </w:rPr>
        <w:t>det er godt at få visualiseret det højtstående grundvand, så man kan se hvor vandet er ”tæt på”. Rigtigt positivt, og særligt når man kan nedskalere</w:t>
      </w:r>
      <w:r>
        <w:rPr>
          <w:spacing w:val="-27"/>
          <w:sz w:val="20"/>
        </w:rPr>
        <w:t> </w:t>
      </w:r>
      <w:r>
        <w:rPr>
          <w:sz w:val="20"/>
        </w:rPr>
        <w:t>modelberegningerne.</w:t>
      </w:r>
    </w:p>
    <w:p>
      <w:pPr>
        <w:pStyle w:val="ListParagraph"/>
        <w:numPr>
          <w:ilvl w:val="2"/>
          <w:numId w:val="17"/>
        </w:numPr>
        <w:tabs>
          <w:tab w:pos="1246" w:val="left" w:leader="none"/>
        </w:tabs>
        <w:spacing w:line="288" w:lineRule="auto" w:before="0" w:after="0"/>
        <w:ind w:left="1245" w:right="737" w:hanging="360"/>
        <w:jc w:val="both"/>
        <w:rPr>
          <w:sz w:val="20"/>
        </w:rPr>
      </w:pPr>
      <w:r>
        <w:rPr>
          <w:sz w:val="20"/>
        </w:rPr>
        <w:t>der allerede nu - med de udleverede kort - synes at være stor ”her-og-nu” værdi til plan- lægningsbrug</w:t>
      </w:r>
    </w:p>
    <w:p>
      <w:pPr>
        <w:pStyle w:val="ListParagraph"/>
        <w:numPr>
          <w:ilvl w:val="2"/>
          <w:numId w:val="17"/>
        </w:numPr>
        <w:tabs>
          <w:tab w:pos="1246" w:val="left" w:leader="none"/>
        </w:tabs>
        <w:spacing w:line="290" w:lineRule="auto" w:before="0" w:after="0"/>
        <w:ind w:left="1245" w:right="740" w:hanging="360"/>
        <w:jc w:val="both"/>
        <w:rPr>
          <w:sz w:val="20"/>
        </w:rPr>
      </w:pPr>
      <w:r>
        <w:rPr>
          <w:sz w:val="20"/>
        </w:rPr>
        <w:t>der</w:t>
      </w:r>
      <w:r>
        <w:rPr>
          <w:spacing w:val="-6"/>
          <w:sz w:val="20"/>
        </w:rPr>
        <w:t> </w:t>
      </w:r>
      <w:r>
        <w:rPr>
          <w:sz w:val="20"/>
        </w:rPr>
        <w:t>synes</w:t>
      </w:r>
      <w:r>
        <w:rPr>
          <w:spacing w:val="-5"/>
          <w:sz w:val="20"/>
        </w:rPr>
        <w:t> </w:t>
      </w:r>
      <w:r>
        <w:rPr>
          <w:sz w:val="20"/>
        </w:rPr>
        <w:t>at</w:t>
      </w:r>
      <w:r>
        <w:rPr>
          <w:spacing w:val="-3"/>
          <w:sz w:val="20"/>
        </w:rPr>
        <w:t> </w:t>
      </w:r>
      <w:r>
        <w:rPr>
          <w:sz w:val="20"/>
        </w:rPr>
        <w:t>være</w:t>
      </w:r>
      <w:r>
        <w:rPr>
          <w:spacing w:val="-6"/>
          <w:sz w:val="20"/>
        </w:rPr>
        <w:t> </w:t>
      </w:r>
      <w:r>
        <w:rPr>
          <w:sz w:val="20"/>
        </w:rPr>
        <w:t>fantastisk</w:t>
      </w:r>
      <w:r>
        <w:rPr>
          <w:spacing w:val="1"/>
          <w:sz w:val="20"/>
        </w:rPr>
        <w:t> </w:t>
      </w:r>
      <w:r>
        <w:rPr>
          <w:sz w:val="20"/>
        </w:rPr>
        <w:t>potentiale</w:t>
      </w:r>
      <w:r>
        <w:rPr>
          <w:spacing w:val="-3"/>
          <w:sz w:val="20"/>
        </w:rPr>
        <w:t> </w:t>
      </w:r>
      <w:r>
        <w:rPr>
          <w:sz w:val="20"/>
        </w:rPr>
        <w:t>i</w:t>
      </w:r>
      <w:r>
        <w:rPr>
          <w:spacing w:val="-7"/>
          <w:sz w:val="20"/>
        </w:rPr>
        <w:t> </w:t>
      </w:r>
      <w:r>
        <w:rPr>
          <w:sz w:val="20"/>
        </w:rPr>
        <w:t>projektet,</w:t>
      </w:r>
      <w:r>
        <w:rPr>
          <w:spacing w:val="-5"/>
          <w:sz w:val="20"/>
        </w:rPr>
        <w:t> </w:t>
      </w:r>
      <w:r>
        <w:rPr>
          <w:sz w:val="20"/>
        </w:rPr>
        <w:t>herunder</w:t>
      </w:r>
      <w:r>
        <w:rPr>
          <w:spacing w:val="-5"/>
          <w:sz w:val="20"/>
        </w:rPr>
        <w:t> </w:t>
      </w:r>
      <w:r>
        <w:rPr>
          <w:sz w:val="20"/>
        </w:rPr>
        <w:t>hvordan</w:t>
      </w:r>
      <w:r>
        <w:rPr>
          <w:spacing w:val="-4"/>
          <w:sz w:val="20"/>
        </w:rPr>
        <w:t> </w:t>
      </w:r>
      <w:r>
        <w:rPr>
          <w:sz w:val="20"/>
        </w:rPr>
        <w:t>der</w:t>
      </w:r>
      <w:r>
        <w:rPr>
          <w:spacing w:val="-5"/>
          <w:sz w:val="20"/>
        </w:rPr>
        <w:t> </w:t>
      </w:r>
      <w:r>
        <w:rPr>
          <w:sz w:val="20"/>
        </w:rPr>
        <w:t>på</w:t>
      </w:r>
      <w:r>
        <w:rPr>
          <w:spacing w:val="-6"/>
          <w:sz w:val="20"/>
        </w:rPr>
        <w:t> </w:t>
      </w:r>
      <w:r>
        <w:rPr>
          <w:sz w:val="20"/>
        </w:rPr>
        <w:t>længere</w:t>
      </w:r>
      <w:r>
        <w:rPr>
          <w:spacing w:val="-6"/>
          <w:sz w:val="20"/>
        </w:rPr>
        <w:t> </w:t>
      </w:r>
      <w:r>
        <w:rPr>
          <w:sz w:val="20"/>
        </w:rPr>
        <w:t>sigt kan udvides med anvendelse af randbetingelser og lokale suppleringer af vandstands- data og</w:t>
      </w:r>
      <w:r>
        <w:rPr>
          <w:spacing w:val="1"/>
          <w:sz w:val="20"/>
        </w:rPr>
        <w:t> </w:t>
      </w:r>
      <w:r>
        <w:rPr>
          <w:sz w:val="20"/>
        </w:rPr>
        <w:t>grundvandsmålinger</w:t>
      </w:r>
    </w:p>
    <w:p>
      <w:pPr>
        <w:pStyle w:val="ListParagraph"/>
        <w:numPr>
          <w:ilvl w:val="2"/>
          <w:numId w:val="17"/>
        </w:numPr>
        <w:tabs>
          <w:tab w:pos="1245" w:val="left" w:leader="none"/>
          <w:tab w:pos="1246" w:val="left" w:leader="none"/>
        </w:tabs>
        <w:spacing w:line="232" w:lineRule="exact" w:before="0" w:after="0"/>
        <w:ind w:left="1245" w:right="0" w:hanging="360"/>
        <w:jc w:val="left"/>
        <w:rPr>
          <w:sz w:val="20"/>
        </w:rPr>
      </w:pPr>
      <w:r>
        <w:rPr>
          <w:sz w:val="20"/>
        </w:rPr>
        <w:t>det</w:t>
      </w:r>
      <w:r>
        <w:rPr>
          <w:spacing w:val="-14"/>
          <w:sz w:val="20"/>
        </w:rPr>
        <w:t> </w:t>
      </w:r>
      <w:r>
        <w:rPr>
          <w:sz w:val="20"/>
        </w:rPr>
        <w:t>er</w:t>
      </w:r>
      <w:r>
        <w:rPr>
          <w:spacing w:val="-12"/>
          <w:sz w:val="20"/>
        </w:rPr>
        <w:t> </w:t>
      </w:r>
      <w:r>
        <w:rPr>
          <w:sz w:val="20"/>
        </w:rPr>
        <w:t>fint</w:t>
      </w:r>
      <w:r>
        <w:rPr>
          <w:spacing w:val="-14"/>
          <w:sz w:val="20"/>
        </w:rPr>
        <w:t> </w:t>
      </w:r>
      <w:r>
        <w:rPr>
          <w:sz w:val="20"/>
        </w:rPr>
        <w:t>at</w:t>
      </w:r>
      <w:r>
        <w:rPr>
          <w:spacing w:val="-13"/>
          <w:sz w:val="20"/>
        </w:rPr>
        <w:t> </w:t>
      </w:r>
      <w:r>
        <w:rPr>
          <w:sz w:val="20"/>
        </w:rPr>
        <w:t>samle</w:t>
      </w:r>
      <w:r>
        <w:rPr>
          <w:spacing w:val="-13"/>
          <w:sz w:val="20"/>
        </w:rPr>
        <w:t> </w:t>
      </w:r>
      <w:r>
        <w:rPr>
          <w:sz w:val="20"/>
        </w:rPr>
        <w:t>hydrologiske</w:t>
      </w:r>
      <w:r>
        <w:rPr>
          <w:spacing w:val="-14"/>
          <w:sz w:val="20"/>
        </w:rPr>
        <w:t> </w:t>
      </w:r>
      <w:r>
        <w:rPr>
          <w:sz w:val="20"/>
        </w:rPr>
        <w:t>data,</w:t>
      </w:r>
      <w:r>
        <w:rPr>
          <w:spacing w:val="-14"/>
          <w:sz w:val="20"/>
        </w:rPr>
        <w:t> </w:t>
      </w:r>
      <w:r>
        <w:rPr>
          <w:sz w:val="20"/>
        </w:rPr>
        <w:t>men</w:t>
      </w:r>
      <w:r>
        <w:rPr>
          <w:spacing w:val="-15"/>
          <w:sz w:val="20"/>
        </w:rPr>
        <w:t> </w:t>
      </w:r>
      <w:r>
        <w:rPr>
          <w:sz w:val="20"/>
        </w:rPr>
        <w:t>der</w:t>
      </w:r>
      <w:r>
        <w:rPr>
          <w:spacing w:val="-12"/>
          <w:sz w:val="20"/>
        </w:rPr>
        <w:t> </w:t>
      </w:r>
      <w:r>
        <w:rPr>
          <w:sz w:val="20"/>
        </w:rPr>
        <w:t>findes</w:t>
      </w:r>
      <w:r>
        <w:rPr>
          <w:spacing w:val="-12"/>
          <w:sz w:val="20"/>
        </w:rPr>
        <w:t> </w:t>
      </w:r>
      <w:r>
        <w:rPr>
          <w:sz w:val="20"/>
        </w:rPr>
        <w:t>også</w:t>
      </w:r>
      <w:r>
        <w:rPr>
          <w:spacing w:val="-14"/>
          <w:sz w:val="20"/>
        </w:rPr>
        <w:t> </w:t>
      </w:r>
      <w:r>
        <w:rPr>
          <w:sz w:val="20"/>
        </w:rPr>
        <w:t>en</w:t>
      </w:r>
      <w:r>
        <w:rPr>
          <w:spacing w:val="-14"/>
          <w:sz w:val="20"/>
        </w:rPr>
        <w:t> </w:t>
      </w:r>
      <w:r>
        <w:rPr>
          <w:sz w:val="20"/>
        </w:rPr>
        <w:t>masse</w:t>
      </w:r>
      <w:r>
        <w:rPr>
          <w:spacing w:val="-13"/>
          <w:sz w:val="20"/>
        </w:rPr>
        <w:t> </w:t>
      </w:r>
      <w:r>
        <w:rPr>
          <w:sz w:val="20"/>
        </w:rPr>
        <w:t>big-data,</w:t>
      </w:r>
      <w:r>
        <w:rPr>
          <w:spacing w:val="-15"/>
          <w:sz w:val="20"/>
        </w:rPr>
        <w:t> </w:t>
      </w:r>
      <w:r>
        <w:rPr>
          <w:sz w:val="20"/>
        </w:rPr>
        <w:t>som</w:t>
      </w:r>
      <w:r>
        <w:rPr>
          <w:spacing w:val="-9"/>
          <w:sz w:val="20"/>
        </w:rPr>
        <w:t> </w:t>
      </w:r>
      <w:r>
        <w:rPr>
          <w:sz w:val="20"/>
        </w:rPr>
        <w:t>stadig</w:t>
      </w:r>
    </w:p>
    <w:p>
      <w:pPr>
        <w:spacing w:before="33"/>
        <w:ind w:left="1245" w:right="0" w:firstLine="0"/>
        <w:jc w:val="left"/>
        <w:rPr>
          <w:sz w:val="20"/>
        </w:rPr>
      </w:pPr>
      <w:r>
        <w:rPr>
          <w:sz w:val="20"/>
        </w:rPr>
        <w:t>ikke samles, og som også kunne være en del af det her.</w:t>
      </w:r>
    </w:p>
    <w:p>
      <w:pPr>
        <w:pStyle w:val="ListParagraph"/>
        <w:numPr>
          <w:ilvl w:val="2"/>
          <w:numId w:val="17"/>
        </w:numPr>
        <w:tabs>
          <w:tab w:pos="1246" w:val="left" w:leader="none"/>
        </w:tabs>
        <w:spacing w:line="290" w:lineRule="auto" w:before="37" w:after="0"/>
        <w:ind w:left="1245" w:right="738" w:hanging="360"/>
        <w:jc w:val="both"/>
        <w:rPr>
          <w:sz w:val="20"/>
        </w:rPr>
      </w:pPr>
      <w:r>
        <w:rPr>
          <w:sz w:val="20"/>
        </w:rPr>
        <w:t>mht.</w:t>
      </w:r>
      <w:r>
        <w:rPr>
          <w:spacing w:val="-8"/>
          <w:sz w:val="20"/>
        </w:rPr>
        <w:t> </w:t>
      </w:r>
      <w:r>
        <w:rPr>
          <w:sz w:val="20"/>
        </w:rPr>
        <w:t>de</w:t>
      </w:r>
      <w:r>
        <w:rPr>
          <w:spacing w:val="-7"/>
          <w:sz w:val="20"/>
        </w:rPr>
        <w:t> </w:t>
      </w:r>
      <w:r>
        <w:rPr>
          <w:sz w:val="20"/>
        </w:rPr>
        <w:t>landbrugsmæssige</w:t>
      </w:r>
      <w:r>
        <w:rPr>
          <w:spacing w:val="-7"/>
          <w:sz w:val="20"/>
        </w:rPr>
        <w:t> </w:t>
      </w:r>
      <w:r>
        <w:rPr>
          <w:sz w:val="20"/>
        </w:rPr>
        <w:t>interesser,</w:t>
      </w:r>
      <w:r>
        <w:rPr>
          <w:spacing w:val="-7"/>
          <w:sz w:val="20"/>
        </w:rPr>
        <w:t> </w:t>
      </w:r>
      <w:r>
        <w:rPr>
          <w:sz w:val="20"/>
        </w:rPr>
        <w:t>så</w:t>
      </w:r>
      <w:r>
        <w:rPr>
          <w:spacing w:val="-7"/>
          <w:sz w:val="20"/>
        </w:rPr>
        <w:t> </w:t>
      </w:r>
      <w:r>
        <w:rPr>
          <w:sz w:val="20"/>
        </w:rPr>
        <w:t>kan</w:t>
      </w:r>
      <w:r>
        <w:rPr>
          <w:spacing w:val="-7"/>
          <w:sz w:val="20"/>
        </w:rPr>
        <w:t> </w:t>
      </w:r>
      <w:r>
        <w:rPr>
          <w:sz w:val="20"/>
        </w:rPr>
        <w:t>det</w:t>
      </w:r>
      <w:r>
        <w:rPr>
          <w:spacing w:val="-8"/>
          <w:sz w:val="20"/>
        </w:rPr>
        <w:t> </w:t>
      </w:r>
      <w:r>
        <w:rPr>
          <w:sz w:val="20"/>
        </w:rPr>
        <w:t>bruges</w:t>
      </w:r>
      <w:r>
        <w:rPr>
          <w:spacing w:val="-6"/>
          <w:sz w:val="20"/>
        </w:rPr>
        <w:t> </w:t>
      </w:r>
      <w:r>
        <w:rPr>
          <w:sz w:val="20"/>
        </w:rPr>
        <w:t>til</w:t>
      </w:r>
      <w:r>
        <w:rPr>
          <w:spacing w:val="-5"/>
          <w:sz w:val="20"/>
        </w:rPr>
        <w:t> </w:t>
      </w:r>
      <w:r>
        <w:rPr>
          <w:sz w:val="20"/>
        </w:rPr>
        <w:t>at</w:t>
      </w:r>
      <w:r>
        <w:rPr>
          <w:spacing w:val="-7"/>
          <w:sz w:val="20"/>
        </w:rPr>
        <w:t> </w:t>
      </w:r>
      <w:r>
        <w:rPr>
          <w:sz w:val="20"/>
        </w:rPr>
        <w:t>italesætte</w:t>
      </w:r>
      <w:r>
        <w:rPr>
          <w:spacing w:val="-5"/>
          <w:sz w:val="20"/>
        </w:rPr>
        <w:t> </w:t>
      </w:r>
      <w:r>
        <w:rPr>
          <w:sz w:val="20"/>
        </w:rPr>
        <w:t>de</w:t>
      </w:r>
      <w:r>
        <w:rPr>
          <w:spacing w:val="-5"/>
          <w:sz w:val="20"/>
        </w:rPr>
        <w:t> </w:t>
      </w:r>
      <w:r>
        <w:rPr>
          <w:sz w:val="20"/>
        </w:rPr>
        <w:t>dyrkede</w:t>
      </w:r>
      <w:r>
        <w:rPr>
          <w:spacing w:val="-7"/>
          <w:sz w:val="20"/>
        </w:rPr>
        <w:t> </w:t>
      </w:r>
      <w:r>
        <w:rPr>
          <w:sz w:val="20"/>
        </w:rPr>
        <w:t>are- alers</w:t>
      </w:r>
      <w:r>
        <w:rPr>
          <w:spacing w:val="-8"/>
          <w:sz w:val="20"/>
        </w:rPr>
        <w:t> </w:t>
      </w:r>
      <w:r>
        <w:rPr>
          <w:sz w:val="20"/>
        </w:rPr>
        <w:t>afvandingstilstand.</w:t>
      </w:r>
      <w:r>
        <w:rPr>
          <w:spacing w:val="-11"/>
          <w:sz w:val="20"/>
        </w:rPr>
        <w:t> </w:t>
      </w:r>
      <w:r>
        <w:rPr>
          <w:sz w:val="20"/>
        </w:rPr>
        <w:t>Usikkert</w:t>
      </w:r>
      <w:r>
        <w:rPr>
          <w:spacing w:val="-9"/>
          <w:sz w:val="20"/>
        </w:rPr>
        <w:t> </w:t>
      </w:r>
      <w:r>
        <w:rPr>
          <w:sz w:val="20"/>
        </w:rPr>
        <w:t>om</w:t>
      </w:r>
      <w:r>
        <w:rPr>
          <w:spacing w:val="-6"/>
          <w:sz w:val="20"/>
        </w:rPr>
        <w:t> </w:t>
      </w:r>
      <w:r>
        <w:rPr>
          <w:sz w:val="20"/>
        </w:rPr>
        <w:t>det</w:t>
      </w:r>
      <w:r>
        <w:rPr>
          <w:spacing w:val="-10"/>
          <w:sz w:val="20"/>
        </w:rPr>
        <w:t> </w:t>
      </w:r>
      <w:r>
        <w:rPr>
          <w:sz w:val="20"/>
        </w:rPr>
        <w:t>er</w:t>
      </w:r>
      <w:r>
        <w:rPr>
          <w:spacing w:val="-8"/>
          <w:sz w:val="20"/>
        </w:rPr>
        <w:t> </w:t>
      </w:r>
      <w:r>
        <w:rPr>
          <w:sz w:val="20"/>
        </w:rPr>
        <w:t>detaljeret</w:t>
      </w:r>
      <w:r>
        <w:rPr>
          <w:spacing w:val="-8"/>
          <w:sz w:val="20"/>
        </w:rPr>
        <w:t> </w:t>
      </w:r>
      <w:r>
        <w:rPr>
          <w:sz w:val="20"/>
        </w:rPr>
        <w:t>nok</w:t>
      </w:r>
      <w:r>
        <w:rPr>
          <w:spacing w:val="-7"/>
          <w:sz w:val="20"/>
        </w:rPr>
        <w:t> </w:t>
      </w:r>
      <w:r>
        <w:rPr>
          <w:sz w:val="20"/>
        </w:rPr>
        <w:t>til</w:t>
      </w:r>
      <w:r>
        <w:rPr>
          <w:spacing w:val="-10"/>
          <w:sz w:val="20"/>
        </w:rPr>
        <w:t> </w:t>
      </w:r>
      <w:r>
        <w:rPr>
          <w:sz w:val="20"/>
        </w:rPr>
        <w:t>at</w:t>
      </w:r>
      <w:r>
        <w:rPr>
          <w:spacing w:val="-11"/>
          <w:sz w:val="20"/>
        </w:rPr>
        <w:t> </w:t>
      </w:r>
      <w:r>
        <w:rPr>
          <w:sz w:val="20"/>
        </w:rPr>
        <w:t>man</w:t>
      </w:r>
      <w:r>
        <w:rPr>
          <w:spacing w:val="-12"/>
          <w:sz w:val="20"/>
        </w:rPr>
        <w:t> </w:t>
      </w:r>
      <w:r>
        <w:rPr>
          <w:sz w:val="20"/>
        </w:rPr>
        <w:t>kan</w:t>
      </w:r>
      <w:r>
        <w:rPr>
          <w:spacing w:val="-11"/>
          <w:sz w:val="20"/>
        </w:rPr>
        <w:t> </w:t>
      </w:r>
      <w:r>
        <w:rPr>
          <w:sz w:val="20"/>
        </w:rPr>
        <w:t>vide,</w:t>
      </w:r>
      <w:r>
        <w:rPr>
          <w:spacing w:val="-10"/>
          <w:sz w:val="20"/>
        </w:rPr>
        <w:t> </w:t>
      </w:r>
      <w:r>
        <w:rPr>
          <w:sz w:val="20"/>
        </w:rPr>
        <w:t>hvorvidt</w:t>
      </w:r>
      <w:r>
        <w:rPr>
          <w:spacing w:val="-11"/>
          <w:sz w:val="20"/>
        </w:rPr>
        <w:t> </w:t>
      </w:r>
      <w:r>
        <w:rPr>
          <w:sz w:val="20"/>
        </w:rPr>
        <w:t>det er</w:t>
      </w:r>
      <w:r>
        <w:rPr>
          <w:spacing w:val="-9"/>
          <w:sz w:val="20"/>
        </w:rPr>
        <w:t> </w:t>
      </w:r>
      <w:r>
        <w:rPr>
          <w:sz w:val="20"/>
        </w:rPr>
        <w:t>kritisk.</w:t>
      </w:r>
      <w:r>
        <w:rPr>
          <w:spacing w:val="-10"/>
          <w:sz w:val="20"/>
        </w:rPr>
        <w:t> </w:t>
      </w:r>
      <w:r>
        <w:rPr>
          <w:sz w:val="20"/>
        </w:rPr>
        <w:t>Det</w:t>
      </w:r>
      <w:r>
        <w:rPr>
          <w:spacing w:val="-9"/>
          <w:sz w:val="20"/>
        </w:rPr>
        <w:t> </w:t>
      </w:r>
      <w:r>
        <w:rPr>
          <w:sz w:val="20"/>
        </w:rPr>
        <w:t>kunne</w:t>
      </w:r>
      <w:r>
        <w:rPr>
          <w:spacing w:val="-11"/>
          <w:sz w:val="20"/>
        </w:rPr>
        <w:t> </w:t>
      </w:r>
      <w:r>
        <w:rPr>
          <w:sz w:val="20"/>
        </w:rPr>
        <w:t>også</w:t>
      </w:r>
      <w:r>
        <w:rPr>
          <w:spacing w:val="-9"/>
          <w:sz w:val="20"/>
        </w:rPr>
        <w:t> </w:t>
      </w:r>
      <w:r>
        <w:rPr>
          <w:sz w:val="20"/>
        </w:rPr>
        <w:t>have</w:t>
      </w:r>
      <w:r>
        <w:rPr>
          <w:spacing w:val="-8"/>
          <w:sz w:val="20"/>
        </w:rPr>
        <w:t> </w:t>
      </w:r>
      <w:r>
        <w:rPr>
          <w:sz w:val="20"/>
        </w:rPr>
        <w:t>betydning</w:t>
      </w:r>
      <w:r>
        <w:rPr>
          <w:spacing w:val="-8"/>
          <w:sz w:val="20"/>
        </w:rPr>
        <w:t> </w:t>
      </w:r>
      <w:r>
        <w:rPr>
          <w:sz w:val="20"/>
        </w:rPr>
        <w:t>for</w:t>
      </w:r>
      <w:r>
        <w:rPr>
          <w:spacing w:val="-9"/>
          <w:sz w:val="20"/>
        </w:rPr>
        <w:t> </w:t>
      </w:r>
      <w:r>
        <w:rPr>
          <w:sz w:val="20"/>
        </w:rPr>
        <w:t>afgrødeforsikringer,</w:t>
      </w:r>
      <w:r>
        <w:rPr>
          <w:spacing w:val="-6"/>
          <w:sz w:val="20"/>
        </w:rPr>
        <w:t> </w:t>
      </w:r>
      <w:r>
        <w:rPr>
          <w:sz w:val="20"/>
        </w:rPr>
        <w:t>da</w:t>
      </w:r>
      <w:r>
        <w:rPr>
          <w:spacing w:val="-11"/>
          <w:sz w:val="20"/>
        </w:rPr>
        <w:t> </w:t>
      </w:r>
      <w:r>
        <w:rPr>
          <w:sz w:val="20"/>
        </w:rPr>
        <w:t>forsikringsselskaber skal kunne se en historisk udvikling for at vurdere om der reelt er skabt en</w:t>
      </w:r>
      <w:r>
        <w:rPr>
          <w:spacing w:val="-23"/>
          <w:sz w:val="20"/>
        </w:rPr>
        <w:t> </w:t>
      </w:r>
      <w:r>
        <w:rPr>
          <w:sz w:val="20"/>
        </w:rPr>
        <w:t>problematik</w:t>
      </w:r>
    </w:p>
    <w:p>
      <w:pPr>
        <w:pStyle w:val="BodyText"/>
        <w:spacing w:before="10"/>
        <w:rPr>
          <w:sz w:val="19"/>
        </w:rPr>
      </w:pPr>
    </w:p>
    <w:p>
      <w:pPr>
        <w:pStyle w:val="Heading2"/>
        <w:numPr>
          <w:ilvl w:val="1"/>
          <w:numId w:val="17"/>
        </w:numPr>
        <w:tabs>
          <w:tab w:pos="1141" w:val="left" w:leader="none"/>
          <w:tab w:pos="1142" w:val="left" w:leader="none"/>
        </w:tabs>
        <w:spacing w:line="240" w:lineRule="auto" w:before="0" w:after="0"/>
        <w:ind w:left="1142" w:right="0" w:hanging="617"/>
        <w:jc w:val="left"/>
      </w:pPr>
      <w:bookmarkStart w:name="_bookmark164" w:id="205"/>
      <w:bookmarkEnd w:id="205"/>
      <w:r>
        <w:rPr>
          <w:b w:val="0"/>
        </w:rPr>
      </w:r>
      <w:bookmarkStart w:name="_bookmark164" w:id="206"/>
      <w:bookmarkEnd w:id="206"/>
      <w:r>
        <w:rPr/>
        <w:t>D</w:t>
      </w:r>
      <w:r>
        <w:rPr/>
        <w:t>iskussion af opfyldelse af Hypotese</w:t>
      </w:r>
      <w:r>
        <w:rPr>
          <w:spacing w:val="-2"/>
        </w:rPr>
        <w:t> </w:t>
      </w:r>
      <w:r>
        <w:rPr/>
        <w:t>H0</w:t>
      </w:r>
    </w:p>
    <w:p>
      <w:pPr>
        <w:pStyle w:val="Heading5"/>
        <w:spacing w:line="288" w:lineRule="auto" w:before="240"/>
        <w:ind w:right="732"/>
        <w:jc w:val="both"/>
      </w:pPr>
      <w:r>
        <w:rPr>
          <w:i/>
        </w:rPr>
        <w:t>Anvendelse af nye data og metoder i DK-modellen vil give bedre modellering af over- </w:t>
      </w:r>
      <w:r>
        <w:rPr/>
        <w:t>svømmelse. Resultater er evalueret med anvendelse af hændelsesdata for oversvøm- melser.</w:t>
      </w:r>
    </w:p>
    <w:p>
      <w:pPr>
        <w:pStyle w:val="BodyText"/>
        <w:spacing w:before="2"/>
        <w:rPr>
          <w:b/>
          <w:i/>
          <w:sz w:val="25"/>
        </w:rPr>
      </w:pPr>
    </w:p>
    <w:p>
      <w:pPr>
        <w:pStyle w:val="BodyText"/>
        <w:spacing w:line="288" w:lineRule="auto" w:before="1"/>
        <w:ind w:left="525" w:right="732"/>
        <w:jc w:val="both"/>
      </w:pPr>
      <w:r>
        <w:rPr/>
        <w:t>Inddragelse af DHM data (detaljeret højdemodel) har bidraget til både udbredelsen af tvær- profiler</w:t>
      </w:r>
      <w:r>
        <w:rPr>
          <w:spacing w:val="-5"/>
        </w:rPr>
        <w:t> </w:t>
      </w:r>
      <w:r>
        <w:rPr/>
        <w:t>ud</w:t>
      </w:r>
      <w:r>
        <w:rPr>
          <w:spacing w:val="-3"/>
        </w:rPr>
        <w:t> </w:t>
      </w:r>
      <w:r>
        <w:rPr/>
        <w:t>i</w:t>
      </w:r>
      <w:r>
        <w:rPr>
          <w:spacing w:val="-5"/>
        </w:rPr>
        <w:t> </w:t>
      </w:r>
      <w:r>
        <w:rPr/>
        <w:t>ådalen,</w:t>
      </w:r>
      <w:r>
        <w:rPr>
          <w:spacing w:val="-5"/>
        </w:rPr>
        <w:t> </w:t>
      </w:r>
      <w:r>
        <w:rPr/>
        <w:t>til</w:t>
      </w:r>
      <w:r>
        <w:rPr>
          <w:spacing w:val="-4"/>
        </w:rPr>
        <w:t> </w:t>
      </w:r>
      <w:r>
        <w:rPr/>
        <w:t>nedskalering</w:t>
      </w:r>
      <w:r>
        <w:rPr>
          <w:spacing w:val="-4"/>
        </w:rPr>
        <w:t> </w:t>
      </w:r>
      <w:r>
        <w:rPr/>
        <w:t>af</w:t>
      </w:r>
      <w:r>
        <w:rPr>
          <w:spacing w:val="-3"/>
        </w:rPr>
        <w:t> </w:t>
      </w:r>
      <w:r>
        <w:rPr/>
        <w:t>resultater</w:t>
      </w:r>
      <w:r>
        <w:rPr>
          <w:spacing w:val="-4"/>
        </w:rPr>
        <w:t> </w:t>
      </w:r>
      <w:r>
        <w:rPr/>
        <w:t>fra</w:t>
      </w:r>
      <w:r>
        <w:rPr>
          <w:spacing w:val="-7"/>
        </w:rPr>
        <w:t> </w:t>
      </w:r>
      <w:r>
        <w:rPr/>
        <w:t>grundvandsmodellen</w:t>
      </w:r>
      <w:r>
        <w:rPr>
          <w:spacing w:val="-4"/>
        </w:rPr>
        <w:t> </w:t>
      </w:r>
      <w:r>
        <w:rPr/>
        <w:t>(fra</w:t>
      </w:r>
      <w:r>
        <w:rPr>
          <w:spacing w:val="-6"/>
        </w:rPr>
        <w:t> </w:t>
      </w:r>
      <w:r>
        <w:rPr/>
        <w:t>100</w:t>
      </w:r>
      <w:r>
        <w:rPr>
          <w:spacing w:val="-6"/>
        </w:rPr>
        <w:t> </w:t>
      </w:r>
      <w:r>
        <w:rPr/>
        <w:t>m</w:t>
      </w:r>
      <w:r>
        <w:rPr>
          <w:spacing w:val="-3"/>
        </w:rPr>
        <w:t> </w:t>
      </w:r>
      <w:r>
        <w:rPr/>
        <w:t>til</w:t>
      </w:r>
      <w:r>
        <w:rPr>
          <w:spacing w:val="-3"/>
        </w:rPr>
        <w:t> </w:t>
      </w:r>
      <w:r>
        <w:rPr/>
        <w:t>10</w:t>
      </w:r>
      <w:r>
        <w:rPr>
          <w:spacing w:val="-6"/>
        </w:rPr>
        <w:t> </w:t>
      </w:r>
      <w:r>
        <w:rPr/>
        <w:t>m) med</w:t>
      </w:r>
      <w:r>
        <w:rPr>
          <w:spacing w:val="-5"/>
        </w:rPr>
        <w:t> </w:t>
      </w:r>
      <w:r>
        <w:rPr/>
        <w:t>vurdering</w:t>
      </w:r>
      <w:r>
        <w:rPr>
          <w:spacing w:val="-4"/>
        </w:rPr>
        <w:t> </w:t>
      </w:r>
      <w:r>
        <w:rPr/>
        <w:t>af</w:t>
      </w:r>
      <w:r>
        <w:rPr>
          <w:spacing w:val="-2"/>
        </w:rPr>
        <w:t> </w:t>
      </w:r>
      <w:r>
        <w:rPr/>
        <w:t>områder</w:t>
      </w:r>
      <w:r>
        <w:rPr>
          <w:spacing w:val="-6"/>
        </w:rPr>
        <w:t> </w:t>
      </w:r>
      <w:r>
        <w:rPr/>
        <w:t>med</w:t>
      </w:r>
      <w:r>
        <w:rPr>
          <w:spacing w:val="-3"/>
        </w:rPr>
        <w:t> </w:t>
      </w:r>
      <w:r>
        <w:rPr/>
        <w:t>risiko</w:t>
      </w:r>
      <w:r>
        <w:rPr>
          <w:spacing w:val="-4"/>
        </w:rPr>
        <w:t> </w:t>
      </w:r>
      <w:r>
        <w:rPr/>
        <w:t>for</w:t>
      </w:r>
      <w:r>
        <w:rPr>
          <w:spacing w:val="-4"/>
        </w:rPr>
        <w:t> </w:t>
      </w:r>
      <w:r>
        <w:rPr/>
        <w:t>grundvandsoversvømmelse,</w:t>
      </w:r>
      <w:r>
        <w:rPr>
          <w:spacing w:val="-5"/>
        </w:rPr>
        <w:t> </w:t>
      </w:r>
      <w:r>
        <w:rPr/>
        <w:t>samt</w:t>
      </w:r>
      <w:r>
        <w:rPr>
          <w:spacing w:val="-5"/>
        </w:rPr>
        <w:t> </w:t>
      </w:r>
      <w:r>
        <w:rPr/>
        <w:t>til</w:t>
      </w:r>
      <w:r>
        <w:rPr>
          <w:spacing w:val="-5"/>
        </w:rPr>
        <w:t> </w:t>
      </w:r>
      <w:r>
        <w:rPr/>
        <w:t>analyse</w:t>
      </w:r>
      <w:r>
        <w:rPr>
          <w:spacing w:val="-4"/>
        </w:rPr>
        <w:t> </w:t>
      </w:r>
      <w:r>
        <w:rPr/>
        <w:t>af</w:t>
      </w:r>
      <w:r>
        <w:rPr>
          <w:spacing w:val="-2"/>
        </w:rPr>
        <w:t> </w:t>
      </w:r>
      <w:r>
        <w:rPr/>
        <w:t>ud- bredelse af oversvømmelser fra vandløb og ud i terræn. Med henblik på validering af den herved</w:t>
      </w:r>
      <w:r>
        <w:rPr>
          <w:spacing w:val="-4"/>
        </w:rPr>
        <w:t> </w:t>
      </w:r>
      <w:r>
        <w:rPr/>
        <w:t>estimerede</w:t>
      </w:r>
      <w:r>
        <w:rPr>
          <w:spacing w:val="-7"/>
        </w:rPr>
        <w:t> </w:t>
      </w:r>
      <w:r>
        <w:rPr/>
        <w:t>oversvømmelsesrisiko</w:t>
      </w:r>
      <w:r>
        <w:rPr>
          <w:spacing w:val="-5"/>
        </w:rPr>
        <w:t> </w:t>
      </w:r>
      <w:r>
        <w:rPr/>
        <w:t>har</w:t>
      </w:r>
      <w:r>
        <w:rPr>
          <w:spacing w:val="-5"/>
        </w:rPr>
        <w:t> </w:t>
      </w:r>
      <w:r>
        <w:rPr/>
        <w:t>der</w:t>
      </w:r>
      <w:r>
        <w:rPr>
          <w:spacing w:val="-5"/>
        </w:rPr>
        <w:t> </w:t>
      </w:r>
      <w:r>
        <w:rPr/>
        <w:t>været</w:t>
      </w:r>
      <w:r>
        <w:rPr>
          <w:spacing w:val="-5"/>
        </w:rPr>
        <w:t> </w:t>
      </w:r>
      <w:r>
        <w:rPr/>
        <w:t>anvendt</w:t>
      </w:r>
      <w:r>
        <w:rPr>
          <w:spacing w:val="-5"/>
        </w:rPr>
        <w:t> </w:t>
      </w:r>
      <w:r>
        <w:rPr/>
        <w:t>remote</w:t>
      </w:r>
      <w:r>
        <w:rPr>
          <w:spacing w:val="-5"/>
        </w:rPr>
        <w:t> </w:t>
      </w:r>
      <w:r>
        <w:rPr/>
        <w:t>sensing</w:t>
      </w:r>
      <w:r>
        <w:rPr>
          <w:spacing w:val="-4"/>
        </w:rPr>
        <w:t> </w:t>
      </w:r>
      <w:r>
        <w:rPr/>
        <w:t>data</w:t>
      </w:r>
      <w:r>
        <w:rPr>
          <w:spacing w:val="-5"/>
        </w:rPr>
        <w:t> </w:t>
      </w:r>
      <w:r>
        <w:rPr/>
        <w:t>(Sen- tinel-1)</w:t>
      </w:r>
      <w:r>
        <w:rPr>
          <w:spacing w:val="-8"/>
        </w:rPr>
        <w:t> </w:t>
      </w:r>
      <w:r>
        <w:rPr/>
        <w:t>der</w:t>
      </w:r>
      <w:r>
        <w:rPr>
          <w:spacing w:val="-8"/>
        </w:rPr>
        <w:t> </w:t>
      </w:r>
      <w:r>
        <w:rPr/>
        <w:t>er</w:t>
      </w:r>
      <w:r>
        <w:rPr>
          <w:spacing w:val="-8"/>
        </w:rPr>
        <w:t> </w:t>
      </w:r>
      <w:r>
        <w:rPr/>
        <w:t>vurderet</w:t>
      </w:r>
      <w:r>
        <w:rPr>
          <w:spacing w:val="-8"/>
        </w:rPr>
        <w:t> </w:t>
      </w:r>
      <w:r>
        <w:rPr/>
        <w:t>anvendelige</w:t>
      </w:r>
      <w:r>
        <w:rPr>
          <w:spacing w:val="-7"/>
        </w:rPr>
        <w:t> </w:t>
      </w:r>
      <w:r>
        <w:rPr/>
        <w:t>som</w:t>
      </w:r>
      <w:r>
        <w:rPr>
          <w:spacing w:val="-6"/>
        </w:rPr>
        <w:t> </w:t>
      </w:r>
      <w:r>
        <w:rPr/>
        <w:t>indikatorer</w:t>
      </w:r>
      <w:r>
        <w:rPr>
          <w:spacing w:val="-8"/>
        </w:rPr>
        <w:t> </w:t>
      </w:r>
      <w:r>
        <w:rPr/>
        <w:t>for</w:t>
      </w:r>
      <w:r>
        <w:rPr>
          <w:spacing w:val="-8"/>
        </w:rPr>
        <w:t> </w:t>
      </w:r>
      <w:r>
        <w:rPr/>
        <w:t>oversvømmelsesrisiko</w:t>
      </w:r>
      <w:r>
        <w:rPr>
          <w:spacing w:val="-7"/>
        </w:rPr>
        <w:t> </w:t>
      </w:r>
      <w:r>
        <w:rPr/>
        <w:t>for</w:t>
      </w:r>
      <w:r>
        <w:rPr>
          <w:spacing w:val="-8"/>
        </w:rPr>
        <w:t> </w:t>
      </w:r>
      <w:r>
        <w:rPr/>
        <w:t>hændelser (9. og 26. december 2015). Men i kombination med forskellige modelresultater som kan ud- trækkes</w:t>
      </w:r>
      <w:r>
        <w:rPr>
          <w:spacing w:val="-5"/>
        </w:rPr>
        <w:t> </w:t>
      </w:r>
      <w:r>
        <w:rPr/>
        <w:t>for</w:t>
      </w:r>
      <w:r>
        <w:rPr>
          <w:spacing w:val="-5"/>
        </w:rPr>
        <w:t> </w:t>
      </w:r>
      <w:r>
        <w:rPr/>
        <w:t>vilkårlige</w:t>
      </w:r>
      <w:r>
        <w:rPr>
          <w:spacing w:val="-4"/>
        </w:rPr>
        <w:t> </w:t>
      </w:r>
      <w:r>
        <w:rPr/>
        <w:t>tidspunkter,</w:t>
      </w:r>
      <w:r>
        <w:rPr>
          <w:spacing w:val="-6"/>
        </w:rPr>
        <w:t> </w:t>
      </w:r>
      <w:r>
        <w:rPr/>
        <w:t>vil</w:t>
      </w:r>
      <w:r>
        <w:rPr>
          <w:spacing w:val="-4"/>
        </w:rPr>
        <w:t> </w:t>
      </w:r>
      <w:r>
        <w:rPr/>
        <w:t>nye</w:t>
      </w:r>
      <w:r>
        <w:rPr>
          <w:spacing w:val="-5"/>
        </w:rPr>
        <w:t> </w:t>
      </w:r>
      <w:r>
        <w:rPr/>
        <w:t>data</w:t>
      </w:r>
      <w:r>
        <w:rPr>
          <w:spacing w:val="-5"/>
        </w:rPr>
        <w:t> </w:t>
      </w:r>
      <w:r>
        <w:rPr/>
        <w:t>fra</w:t>
      </w:r>
      <w:r>
        <w:rPr>
          <w:spacing w:val="-5"/>
        </w:rPr>
        <w:t> </w:t>
      </w:r>
      <w:r>
        <w:rPr/>
        <w:t>fx</w:t>
      </w:r>
      <w:r>
        <w:rPr>
          <w:spacing w:val="-7"/>
        </w:rPr>
        <w:t> </w:t>
      </w:r>
      <w:r>
        <w:rPr/>
        <w:t>Sentinel</w:t>
      </w:r>
      <w:r>
        <w:rPr>
          <w:spacing w:val="-3"/>
        </w:rPr>
        <w:t> </w:t>
      </w:r>
      <w:r>
        <w:rPr/>
        <w:t>I</w:t>
      </w:r>
      <w:r>
        <w:rPr>
          <w:spacing w:val="-6"/>
        </w:rPr>
        <w:t> </w:t>
      </w:r>
      <w:r>
        <w:rPr/>
        <w:t>og</w:t>
      </w:r>
      <w:r>
        <w:rPr>
          <w:spacing w:val="-4"/>
        </w:rPr>
        <w:t> </w:t>
      </w:r>
      <w:r>
        <w:rPr/>
        <w:t>II,</w:t>
      </w:r>
      <w:r>
        <w:rPr>
          <w:spacing w:val="-6"/>
        </w:rPr>
        <w:t> </w:t>
      </w:r>
      <w:r>
        <w:rPr/>
        <w:t>kombineret</w:t>
      </w:r>
      <w:r>
        <w:rPr>
          <w:spacing w:val="-6"/>
        </w:rPr>
        <w:t> </w:t>
      </w:r>
      <w:r>
        <w:rPr/>
        <w:t>med</w:t>
      </w:r>
      <w:r>
        <w:rPr>
          <w:spacing w:val="-4"/>
        </w:rPr>
        <w:t> </w:t>
      </w:r>
      <w:r>
        <w:rPr/>
        <w:t>nedska- lerede</w:t>
      </w:r>
      <w:r>
        <w:rPr>
          <w:spacing w:val="-17"/>
        </w:rPr>
        <w:t> </w:t>
      </w:r>
      <w:r>
        <w:rPr/>
        <w:t>kort</w:t>
      </w:r>
      <w:r>
        <w:rPr>
          <w:spacing w:val="-16"/>
        </w:rPr>
        <w:t> </w:t>
      </w:r>
      <w:r>
        <w:rPr/>
        <w:t>over</w:t>
      </w:r>
      <w:r>
        <w:rPr>
          <w:spacing w:val="-15"/>
        </w:rPr>
        <w:t> </w:t>
      </w:r>
      <w:r>
        <w:rPr/>
        <w:t>dybden</w:t>
      </w:r>
      <w:r>
        <w:rPr>
          <w:spacing w:val="-14"/>
        </w:rPr>
        <w:t> </w:t>
      </w:r>
      <w:r>
        <w:rPr/>
        <w:t>til</w:t>
      </w:r>
      <w:r>
        <w:rPr>
          <w:spacing w:val="-13"/>
        </w:rPr>
        <w:t> </w:t>
      </w:r>
      <w:r>
        <w:rPr/>
        <w:t>grundvandsspejlet</w:t>
      </w:r>
      <w:r>
        <w:rPr>
          <w:spacing w:val="-15"/>
        </w:rPr>
        <w:t> </w:t>
      </w:r>
      <w:r>
        <w:rPr/>
        <w:t>og/eller</w:t>
      </w:r>
      <w:r>
        <w:rPr>
          <w:spacing w:val="-16"/>
        </w:rPr>
        <w:t> </w:t>
      </w:r>
      <w:r>
        <w:rPr/>
        <w:t>udbredelsen</w:t>
      </w:r>
      <w:r>
        <w:rPr>
          <w:spacing w:val="-14"/>
        </w:rPr>
        <w:t> </w:t>
      </w:r>
      <w:r>
        <w:rPr/>
        <w:t>af</w:t>
      </w:r>
      <w:r>
        <w:rPr>
          <w:spacing w:val="-13"/>
        </w:rPr>
        <w:t> </w:t>
      </w:r>
      <w:r>
        <w:rPr/>
        <w:t>vandløbsoversvømmel- ser fra vandløb og ud i terrænet, udgøre et godt grundlag for vurdering og screening af om- råder med risiko for</w:t>
      </w:r>
      <w:r>
        <w:rPr>
          <w:spacing w:val="-8"/>
        </w:rPr>
        <w:t> </w:t>
      </w:r>
      <w:r>
        <w:rPr/>
        <w:t>oversvømmelser.</w:t>
      </w:r>
    </w:p>
    <w:p>
      <w:pPr>
        <w:spacing w:after="0" w:line="288" w:lineRule="auto"/>
        <w:jc w:val="both"/>
        <w:sectPr>
          <w:pgSz w:w="11910" w:h="16850"/>
          <w:pgMar w:header="0" w:footer="857" w:top="1400" w:bottom="1120" w:left="1460" w:right="680"/>
        </w:sectPr>
      </w:pPr>
    </w:p>
    <w:p>
      <w:pPr>
        <w:pStyle w:val="BodyText"/>
        <w:spacing w:line="288" w:lineRule="auto" w:before="75"/>
        <w:ind w:left="525" w:right="737"/>
        <w:jc w:val="both"/>
      </w:pPr>
      <w:r>
        <w:rPr/>
        <w:t>Klimaeffekter vurderes at give øget terrænnært grundvandsspejl, og der findes ikke egnede alternative</w:t>
      </w:r>
      <w:r>
        <w:rPr>
          <w:spacing w:val="-6"/>
        </w:rPr>
        <w:t> </w:t>
      </w:r>
      <w:r>
        <w:rPr/>
        <w:t>metoder</w:t>
      </w:r>
      <w:r>
        <w:rPr>
          <w:spacing w:val="-5"/>
        </w:rPr>
        <w:t> </w:t>
      </w:r>
      <w:r>
        <w:rPr/>
        <w:t>til</w:t>
      </w:r>
      <w:r>
        <w:rPr>
          <w:spacing w:val="-4"/>
        </w:rPr>
        <w:t> </w:t>
      </w:r>
      <w:r>
        <w:rPr/>
        <w:t>vurdering</w:t>
      </w:r>
      <w:r>
        <w:rPr>
          <w:spacing w:val="-6"/>
        </w:rPr>
        <w:t> </w:t>
      </w:r>
      <w:r>
        <w:rPr/>
        <w:t>af</w:t>
      </w:r>
      <w:r>
        <w:rPr>
          <w:spacing w:val="-4"/>
        </w:rPr>
        <w:t> </w:t>
      </w:r>
      <w:r>
        <w:rPr/>
        <w:t>risiko</w:t>
      </w:r>
      <w:r>
        <w:rPr>
          <w:spacing w:val="-7"/>
        </w:rPr>
        <w:t> </w:t>
      </w:r>
      <w:r>
        <w:rPr/>
        <w:t>for</w:t>
      </w:r>
      <w:r>
        <w:rPr>
          <w:spacing w:val="-9"/>
        </w:rPr>
        <w:t> </w:t>
      </w:r>
      <w:r>
        <w:rPr/>
        <w:t>fremtidige</w:t>
      </w:r>
      <w:r>
        <w:rPr>
          <w:spacing w:val="-4"/>
        </w:rPr>
        <w:t> </w:t>
      </w:r>
      <w:r>
        <w:rPr/>
        <w:t>grundvandsstigninger,</w:t>
      </w:r>
      <w:r>
        <w:rPr>
          <w:spacing w:val="-9"/>
        </w:rPr>
        <w:t> </w:t>
      </w:r>
      <w:r>
        <w:rPr/>
        <w:t>end</w:t>
      </w:r>
      <w:r>
        <w:rPr>
          <w:spacing w:val="-5"/>
        </w:rPr>
        <w:t> </w:t>
      </w:r>
      <w:r>
        <w:rPr/>
        <w:t>brug</w:t>
      </w:r>
      <w:r>
        <w:rPr>
          <w:spacing w:val="-4"/>
        </w:rPr>
        <w:t> </w:t>
      </w:r>
      <w:r>
        <w:rPr/>
        <w:t>af</w:t>
      </w:r>
      <w:r>
        <w:rPr>
          <w:spacing w:val="-6"/>
        </w:rPr>
        <w:t> </w:t>
      </w:r>
      <w:r>
        <w:rPr/>
        <w:t>en integreret grundvands-overfladevandsmodel som anvendt for Storå og Odense</w:t>
      </w:r>
      <w:r>
        <w:rPr>
          <w:spacing w:val="-12"/>
        </w:rPr>
        <w:t> </w:t>
      </w:r>
      <w:r>
        <w:rPr/>
        <w:t>Å.</w:t>
      </w:r>
    </w:p>
    <w:p>
      <w:pPr>
        <w:pStyle w:val="BodyText"/>
        <w:spacing w:before="2"/>
        <w:rPr>
          <w:sz w:val="25"/>
        </w:rPr>
      </w:pPr>
    </w:p>
    <w:p>
      <w:pPr>
        <w:pStyle w:val="BodyText"/>
        <w:spacing w:line="288" w:lineRule="auto" w:before="1"/>
        <w:ind w:left="525" w:right="736"/>
        <w:jc w:val="both"/>
      </w:pPr>
      <w:r>
        <w:rPr/>
        <w:t>Derfor er resultater af valideringstest fra bl.a. Sunds i forhold til den opstillede models evner til</w:t>
      </w:r>
      <w:r>
        <w:rPr>
          <w:spacing w:val="-6"/>
        </w:rPr>
        <w:t> </w:t>
      </w:r>
      <w:r>
        <w:rPr/>
        <w:t>beskrivelse</w:t>
      </w:r>
      <w:r>
        <w:rPr>
          <w:spacing w:val="-7"/>
        </w:rPr>
        <w:t> </w:t>
      </w:r>
      <w:r>
        <w:rPr/>
        <w:t>af</w:t>
      </w:r>
      <w:r>
        <w:rPr>
          <w:spacing w:val="-6"/>
        </w:rPr>
        <w:t> </w:t>
      </w:r>
      <w:r>
        <w:rPr/>
        <w:t>tidslige</w:t>
      </w:r>
      <w:r>
        <w:rPr>
          <w:spacing w:val="-7"/>
        </w:rPr>
        <w:t> </w:t>
      </w:r>
      <w:r>
        <w:rPr/>
        <w:t>variationer</w:t>
      </w:r>
      <w:r>
        <w:rPr>
          <w:spacing w:val="-7"/>
        </w:rPr>
        <w:t> </w:t>
      </w:r>
      <w:r>
        <w:rPr/>
        <w:t>i</w:t>
      </w:r>
      <w:r>
        <w:rPr>
          <w:spacing w:val="-6"/>
        </w:rPr>
        <w:t> </w:t>
      </w:r>
      <w:r>
        <w:rPr/>
        <w:t>det</w:t>
      </w:r>
      <w:r>
        <w:rPr>
          <w:spacing w:val="-8"/>
        </w:rPr>
        <w:t> </w:t>
      </w:r>
      <w:r>
        <w:rPr/>
        <w:t>terrænnære</w:t>
      </w:r>
      <w:r>
        <w:rPr>
          <w:spacing w:val="-7"/>
        </w:rPr>
        <w:t> </w:t>
      </w:r>
      <w:r>
        <w:rPr/>
        <w:t>grundvandsspejl</w:t>
      </w:r>
      <w:r>
        <w:rPr>
          <w:spacing w:val="-6"/>
        </w:rPr>
        <w:t> </w:t>
      </w:r>
      <w:r>
        <w:rPr/>
        <w:t>et</w:t>
      </w:r>
      <w:r>
        <w:rPr>
          <w:spacing w:val="-7"/>
        </w:rPr>
        <w:t> </w:t>
      </w:r>
      <w:r>
        <w:rPr/>
        <w:t>vigtigt</w:t>
      </w:r>
      <w:r>
        <w:rPr>
          <w:spacing w:val="-8"/>
        </w:rPr>
        <w:t> </w:t>
      </w:r>
      <w:r>
        <w:rPr/>
        <w:t>resultat,</w:t>
      </w:r>
      <w:r>
        <w:rPr>
          <w:spacing w:val="-8"/>
        </w:rPr>
        <w:t> </w:t>
      </w:r>
      <w:r>
        <w:rPr/>
        <w:t>som viser at konceptet er fuldt brugbart til vurderinger af sådanne ændringer, og tilmed vil kunne gennemføres på den ønskede skala på 100 m, hvorfra resultater kan nedskaleres til 10 m grid med den nye nedskaleringsmetodik GEUS har</w:t>
      </w:r>
      <w:r>
        <w:rPr>
          <w:spacing w:val="-10"/>
        </w:rPr>
        <w:t> </w:t>
      </w:r>
      <w:r>
        <w:rPr/>
        <w:t>udviklet.</w:t>
      </w:r>
    </w:p>
    <w:p>
      <w:pPr>
        <w:pStyle w:val="BodyText"/>
        <w:spacing w:before="1"/>
        <w:rPr>
          <w:sz w:val="25"/>
        </w:rPr>
      </w:pPr>
    </w:p>
    <w:p>
      <w:pPr>
        <w:pStyle w:val="BodyText"/>
        <w:spacing w:line="288" w:lineRule="auto"/>
        <w:ind w:left="525" w:right="730"/>
        <w:jc w:val="both"/>
      </w:pPr>
      <w:r>
        <w:rPr/>
        <w:t>Satellitdata er uden tvivl velegnede til kortlægning af store, åbne vandoverflader og udbre- delse af vand på terræn, men har også usikkerheder fx på grund af problemer med vegeta- tion på oversvømmede marker, opløsning, målefrekvens, skyer osv. De kan imidlertid ikke udpege</w:t>
      </w:r>
      <w:r>
        <w:rPr>
          <w:spacing w:val="-16"/>
        </w:rPr>
        <w:t> </w:t>
      </w:r>
      <w:r>
        <w:rPr/>
        <w:t>snævre</w:t>
      </w:r>
      <w:r>
        <w:rPr>
          <w:spacing w:val="-16"/>
        </w:rPr>
        <w:t> </w:t>
      </w:r>
      <w:r>
        <w:rPr/>
        <w:t>vandløbsdale</w:t>
      </w:r>
      <w:r>
        <w:rPr>
          <w:spacing w:val="-15"/>
        </w:rPr>
        <w:t> </w:t>
      </w:r>
      <w:r>
        <w:rPr/>
        <w:t>/</w:t>
      </w:r>
      <w:r>
        <w:rPr>
          <w:spacing w:val="-17"/>
        </w:rPr>
        <w:t> </w:t>
      </w:r>
      <w:r>
        <w:rPr/>
        <w:t>lavninger</w:t>
      </w:r>
      <w:r>
        <w:rPr>
          <w:spacing w:val="-16"/>
        </w:rPr>
        <w:t> </w:t>
      </w:r>
      <w:r>
        <w:rPr/>
        <w:t>med</w:t>
      </w:r>
      <w:r>
        <w:rPr>
          <w:spacing w:val="-16"/>
        </w:rPr>
        <w:t> </w:t>
      </w:r>
      <w:r>
        <w:rPr/>
        <w:t>oversvømmelsesrisiko.</w:t>
      </w:r>
      <w:r>
        <w:rPr>
          <w:spacing w:val="-16"/>
        </w:rPr>
        <w:t> </w:t>
      </w:r>
      <w:r>
        <w:rPr/>
        <w:t>Indsamling</w:t>
      </w:r>
      <w:r>
        <w:rPr>
          <w:spacing w:val="-15"/>
        </w:rPr>
        <w:t> </w:t>
      </w:r>
      <w:r>
        <w:rPr/>
        <w:t>af</w:t>
      </w:r>
      <w:r>
        <w:rPr>
          <w:spacing w:val="-17"/>
        </w:rPr>
        <w:t> </w:t>
      </w:r>
      <w:r>
        <w:rPr/>
        <w:t>FOT</w:t>
      </w:r>
      <w:r>
        <w:rPr>
          <w:spacing w:val="-18"/>
        </w:rPr>
        <w:t> </w:t>
      </w:r>
      <w:r>
        <w:rPr/>
        <w:t>kort over vådområder udgør en anden alternativ kilde til validering af modelresultater og model- struktur (fx distribuering af dræn, som vist i sensitivitetsanalyser for Storå og Odense</w:t>
      </w:r>
      <w:r>
        <w:rPr>
          <w:spacing w:val="-21"/>
        </w:rPr>
        <w:t> </w:t>
      </w:r>
      <w:r>
        <w:rPr/>
        <w:t>Å).</w:t>
      </w:r>
    </w:p>
    <w:p>
      <w:pPr>
        <w:pStyle w:val="BodyText"/>
        <w:spacing w:before="2"/>
        <w:rPr>
          <w:sz w:val="25"/>
        </w:rPr>
      </w:pPr>
    </w:p>
    <w:p>
      <w:pPr>
        <w:pStyle w:val="BodyText"/>
        <w:spacing w:line="288" w:lineRule="auto"/>
        <w:ind w:left="525" w:right="732"/>
        <w:jc w:val="both"/>
      </w:pPr>
      <w:r>
        <w:rPr/>
        <w:t>Der er udviklet nye fleksible og simple metoder til nedskalering af terrænnært grundvand, eksternt modul til simulering af vandstand samt opstuvning i vandløb (Hydroinform HYMOD python script) og </w:t>
      </w:r>
      <w:r>
        <w:rPr>
          <w:spacing w:val="-2"/>
        </w:rPr>
        <w:t>GIS </w:t>
      </w:r>
      <w:r>
        <w:rPr/>
        <w:t>modul til udbredelse af vand på terræn i oversvømmelsessituationer (COWI GRASS python script) på basis af DHM, som gør det muligt at foretage robuste vur- deringer</w:t>
      </w:r>
      <w:r>
        <w:rPr>
          <w:spacing w:val="-16"/>
        </w:rPr>
        <w:t> </w:t>
      </w:r>
      <w:r>
        <w:rPr/>
        <w:t>af</w:t>
      </w:r>
      <w:r>
        <w:rPr>
          <w:spacing w:val="-13"/>
        </w:rPr>
        <w:t> </w:t>
      </w:r>
      <w:r>
        <w:rPr/>
        <w:t>vandspejlsforhold</w:t>
      </w:r>
      <w:r>
        <w:rPr>
          <w:spacing w:val="-14"/>
        </w:rPr>
        <w:t> </w:t>
      </w:r>
      <w:r>
        <w:rPr/>
        <w:t>og</w:t>
      </w:r>
      <w:r>
        <w:rPr>
          <w:spacing w:val="-15"/>
        </w:rPr>
        <w:t> </w:t>
      </w:r>
      <w:r>
        <w:rPr/>
        <w:t>risiko</w:t>
      </w:r>
      <w:r>
        <w:rPr>
          <w:spacing w:val="-17"/>
        </w:rPr>
        <w:t> </w:t>
      </w:r>
      <w:r>
        <w:rPr/>
        <w:t>for</w:t>
      </w:r>
      <w:r>
        <w:rPr>
          <w:spacing w:val="-15"/>
        </w:rPr>
        <w:t> </w:t>
      </w:r>
      <w:r>
        <w:rPr/>
        <w:t>oversvømmelser</w:t>
      </w:r>
      <w:r>
        <w:rPr>
          <w:spacing w:val="-15"/>
        </w:rPr>
        <w:t> </w:t>
      </w:r>
      <w:r>
        <w:rPr/>
        <w:t>koblet</w:t>
      </w:r>
      <w:r>
        <w:rPr>
          <w:spacing w:val="-15"/>
        </w:rPr>
        <w:t> </w:t>
      </w:r>
      <w:r>
        <w:rPr/>
        <w:t>til</w:t>
      </w:r>
      <w:r>
        <w:rPr>
          <w:spacing w:val="-13"/>
        </w:rPr>
        <w:t> </w:t>
      </w:r>
      <w:r>
        <w:rPr/>
        <w:t>DK-models</w:t>
      </w:r>
      <w:r>
        <w:rPr>
          <w:spacing w:val="-14"/>
        </w:rPr>
        <w:t> </w:t>
      </w:r>
      <w:r>
        <w:rPr/>
        <w:t>vandbalance og flow beskrivelse. Resultater af disse eksterne moduler og nye metodikker til vurdering af vandlidende</w:t>
      </w:r>
      <w:r>
        <w:rPr>
          <w:spacing w:val="-9"/>
        </w:rPr>
        <w:t> </w:t>
      </w:r>
      <w:r>
        <w:rPr/>
        <w:t>areal,</w:t>
      </w:r>
      <w:r>
        <w:rPr>
          <w:spacing w:val="-10"/>
        </w:rPr>
        <w:t> </w:t>
      </w:r>
      <w:r>
        <w:rPr/>
        <w:t>arealer</w:t>
      </w:r>
      <w:r>
        <w:rPr>
          <w:spacing w:val="-10"/>
        </w:rPr>
        <w:t> </w:t>
      </w:r>
      <w:r>
        <w:rPr/>
        <w:t>med</w:t>
      </w:r>
      <w:r>
        <w:rPr>
          <w:spacing w:val="-9"/>
        </w:rPr>
        <w:t> </w:t>
      </w:r>
      <w:r>
        <w:rPr/>
        <w:t>lille</w:t>
      </w:r>
      <w:r>
        <w:rPr>
          <w:spacing w:val="-8"/>
        </w:rPr>
        <w:t> </w:t>
      </w:r>
      <w:r>
        <w:rPr/>
        <w:t>dybde</w:t>
      </w:r>
      <w:r>
        <w:rPr>
          <w:spacing w:val="-9"/>
        </w:rPr>
        <w:t> </w:t>
      </w:r>
      <w:r>
        <w:rPr/>
        <w:t>til</w:t>
      </w:r>
      <w:r>
        <w:rPr>
          <w:spacing w:val="-9"/>
        </w:rPr>
        <w:t> </w:t>
      </w:r>
      <w:r>
        <w:rPr/>
        <w:t>det</w:t>
      </w:r>
      <w:r>
        <w:rPr>
          <w:spacing w:val="-10"/>
        </w:rPr>
        <w:t> </w:t>
      </w:r>
      <w:r>
        <w:rPr/>
        <w:t>terrænnære</w:t>
      </w:r>
      <w:r>
        <w:rPr>
          <w:spacing w:val="-9"/>
        </w:rPr>
        <w:t> </w:t>
      </w:r>
      <w:r>
        <w:rPr/>
        <w:t>grundvand,</w:t>
      </w:r>
      <w:r>
        <w:rPr>
          <w:spacing w:val="-9"/>
        </w:rPr>
        <w:t> </w:t>
      </w:r>
      <w:r>
        <w:rPr/>
        <w:t>og</w:t>
      </w:r>
      <w:r>
        <w:rPr>
          <w:spacing w:val="-9"/>
        </w:rPr>
        <w:t> </w:t>
      </w:r>
      <w:r>
        <w:rPr/>
        <w:t>arealer</w:t>
      </w:r>
      <w:r>
        <w:rPr>
          <w:spacing w:val="-10"/>
        </w:rPr>
        <w:t> </w:t>
      </w:r>
      <w:r>
        <w:rPr/>
        <w:t>med</w:t>
      </w:r>
      <w:r>
        <w:rPr>
          <w:spacing w:val="-9"/>
        </w:rPr>
        <w:t> </w:t>
      </w:r>
      <w:r>
        <w:rPr/>
        <w:t>stor risiko</w:t>
      </w:r>
      <w:r>
        <w:rPr>
          <w:spacing w:val="-8"/>
        </w:rPr>
        <w:t> </w:t>
      </w:r>
      <w:r>
        <w:rPr/>
        <w:t>for</w:t>
      </w:r>
      <w:r>
        <w:rPr>
          <w:spacing w:val="-8"/>
        </w:rPr>
        <w:t> </w:t>
      </w:r>
      <w:r>
        <w:rPr/>
        <w:t>oversvømmelser</w:t>
      </w:r>
      <w:r>
        <w:rPr>
          <w:spacing w:val="-10"/>
        </w:rPr>
        <w:t> </w:t>
      </w:r>
      <w:r>
        <w:rPr/>
        <w:t>fra</w:t>
      </w:r>
      <w:r>
        <w:rPr>
          <w:spacing w:val="-7"/>
        </w:rPr>
        <w:t> </w:t>
      </w:r>
      <w:r>
        <w:rPr/>
        <w:t>vandløb</w:t>
      </w:r>
      <w:r>
        <w:rPr>
          <w:spacing w:val="-8"/>
        </w:rPr>
        <w:t> </w:t>
      </w:r>
      <w:r>
        <w:rPr/>
        <w:t>er</w:t>
      </w:r>
      <w:r>
        <w:rPr>
          <w:spacing w:val="-8"/>
        </w:rPr>
        <w:t> </w:t>
      </w:r>
      <w:r>
        <w:rPr/>
        <w:t>testet</w:t>
      </w:r>
      <w:r>
        <w:rPr>
          <w:spacing w:val="-8"/>
        </w:rPr>
        <w:t> </w:t>
      </w:r>
      <w:r>
        <w:rPr/>
        <w:t>for</w:t>
      </w:r>
      <w:r>
        <w:rPr>
          <w:spacing w:val="-8"/>
        </w:rPr>
        <w:t> </w:t>
      </w:r>
      <w:r>
        <w:rPr/>
        <w:t>de</w:t>
      </w:r>
      <w:r>
        <w:rPr>
          <w:spacing w:val="-10"/>
        </w:rPr>
        <w:t> </w:t>
      </w:r>
      <w:r>
        <w:rPr/>
        <w:t>to</w:t>
      </w:r>
      <w:r>
        <w:rPr>
          <w:spacing w:val="-7"/>
        </w:rPr>
        <w:t> </w:t>
      </w:r>
      <w:r>
        <w:rPr/>
        <w:t>oplande</w:t>
      </w:r>
      <w:r>
        <w:rPr>
          <w:spacing w:val="-7"/>
        </w:rPr>
        <w:t> </w:t>
      </w:r>
      <w:r>
        <w:rPr/>
        <w:t>for</w:t>
      </w:r>
      <w:r>
        <w:rPr>
          <w:spacing w:val="-8"/>
        </w:rPr>
        <w:t> </w:t>
      </w:r>
      <w:r>
        <w:rPr/>
        <w:t>fem</w:t>
      </w:r>
      <w:r>
        <w:rPr>
          <w:spacing w:val="-6"/>
        </w:rPr>
        <w:t> </w:t>
      </w:r>
      <w:r>
        <w:rPr/>
        <w:t>udsnit</w:t>
      </w:r>
      <w:r>
        <w:rPr>
          <w:spacing w:val="-9"/>
        </w:rPr>
        <w:t> </w:t>
      </w:r>
      <w:r>
        <w:rPr/>
        <w:t>i</w:t>
      </w:r>
      <w:r>
        <w:rPr>
          <w:spacing w:val="-9"/>
        </w:rPr>
        <w:t> </w:t>
      </w:r>
      <w:r>
        <w:rPr/>
        <w:t>hvert</w:t>
      </w:r>
      <w:r>
        <w:rPr>
          <w:spacing w:val="-9"/>
        </w:rPr>
        <w:t> </w:t>
      </w:r>
      <w:r>
        <w:rPr/>
        <w:t>opland og sammenlignet med satellitdata fra DHI GRAS (Sentinel-1). Metodikker er evaluerede og lovende.</w:t>
      </w:r>
    </w:p>
    <w:p>
      <w:pPr>
        <w:pStyle w:val="BodyText"/>
        <w:spacing w:before="4"/>
        <w:rPr>
          <w:sz w:val="25"/>
        </w:rPr>
      </w:pPr>
    </w:p>
    <w:p>
      <w:pPr>
        <w:pStyle w:val="Heading2"/>
        <w:numPr>
          <w:ilvl w:val="1"/>
          <w:numId w:val="17"/>
        </w:numPr>
        <w:tabs>
          <w:tab w:pos="1142" w:val="left" w:leader="none"/>
        </w:tabs>
        <w:spacing w:line="240" w:lineRule="auto" w:before="0" w:after="0"/>
        <w:ind w:left="1142" w:right="0" w:hanging="617"/>
        <w:jc w:val="both"/>
      </w:pPr>
      <w:bookmarkStart w:name="_bookmark165" w:id="207"/>
      <w:bookmarkEnd w:id="207"/>
      <w:r>
        <w:rPr>
          <w:b w:val="0"/>
        </w:rPr>
      </w:r>
      <w:bookmarkStart w:name="_bookmark165" w:id="208"/>
      <w:bookmarkEnd w:id="208"/>
      <w:r>
        <w:rPr/>
        <w:t>D</w:t>
      </w:r>
      <w:r>
        <w:rPr/>
        <w:t>iskussion af opfyldelse af Hypotese</w:t>
      </w:r>
      <w:r>
        <w:rPr>
          <w:spacing w:val="-2"/>
        </w:rPr>
        <w:t> </w:t>
      </w:r>
      <w:r>
        <w:rPr/>
        <w:t>H1</w:t>
      </w:r>
    </w:p>
    <w:p>
      <w:pPr>
        <w:pStyle w:val="Heading5"/>
        <w:spacing w:line="288" w:lineRule="auto" w:before="241"/>
        <w:ind w:right="730"/>
        <w:jc w:val="both"/>
      </w:pPr>
      <w:r>
        <w:rPr>
          <w:i/>
        </w:rPr>
        <w:t>Brug af flere pejledata om det terrænnære grundvand samt DHM-afledte vand- </w:t>
      </w:r>
      <w:r>
        <w:rPr/>
        <w:t>standskoter i DK-modellen muliggør bedre modelberegninger af den terrænnære grundvandsstand.</w:t>
      </w:r>
      <w:r>
        <w:rPr>
          <w:spacing w:val="-10"/>
        </w:rPr>
        <w:t> </w:t>
      </w:r>
      <w:r>
        <w:rPr/>
        <w:t>Resultater</w:t>
      </w:r>
      <w:r>
        <w:rPr>
          <w:spacing w:val="-9"/>
        </w:rPr>
        <w:t> </w:t>
      </w:r>
      <w:r>
        <w:rPr/>
        <w:t>er</w:t>
      </w:r>
      <w:r>
        <w:rPr>
          <w:spacing w:val="-9"/>
        </w:rPr>
        <w:t> </w:t>
      </w:r>
      <w:r>
        <w:rPr/>
        <w:t>evalueret</w:t>
      </w:r>
      <w:r>
        <w:rPr>
          <w:spacing w:val="-9"/>
        </w:rPr>
        <w:t> </w:t>
      </w:r>
      <w:r>
        <w:rPr/>
        <w:t>med</w:t>
      </w:r>
      <w:r>
        <w:rPr>
          <w:spacing w:val="-9"/>
        </w:rPr>
        <w:t> </w:t>
      </w:r>
      <w:r>
        <w:rPr/>
        <w:t>anvendelse</w:t>
      </w:r>
      <w:r>
        <w:rPr>
          <w:spacing w:val="-10"/>
        </w:rPr>
        <w:t> </w:t>
      </w:r>
      <w:r>
        <w:rPr/>
        <w:t>af</w:t>
      </w:r>
      <w:r>
        <w:rPr>
          <w:spacing w:val="-9"/>
        </w:rPr>
        <w:t> </w:t>
      </w:r>
      <w:r>
        <w:rPr/>
        <w:t>uafhængige</w:t>
      </w:r>
      <w:r>
        <w:rPr>
          <w:spacing w:val="-11"/>
        </w:rPr>
        <w:t> </w:t>
      </w:r>
      <w:r>
        <w:rPr/>
        <w:t>terrænnære grundvandsdata.</w:t>
      </w:r>
    </w:p>
    <w:p>
      <w:pPr>
        <w:pStyle w:val="BodyText"/>
        <w:rPr>
          <w:b/>
          <w:i/>
          <w:sz w:val="25"/>
        </w:rPr>
      </w:pPr>
    </w:p>
    <w:p>
      <w:pPr>
        <w:pStyle w:val="BodyText"/>
        <w:spacing w:line="288" w:lineRule="auto"/>
        <w:ind w:left="525" w:right="731"/>
        <w:jc w:val="both"/>
      </w:pPr>
      <w:r>
        <w:rPr/>
        <w:t>Indsamling</w:t>
      </w:r>
      <w:r>
        <w:rPr>
          <w:spacing w:val="-7"/>
        </w:rPr>
        <w:t> </w:t>
      </w:r>
      <w:r>
        <w:rPr/>
        <w:t>af</w:t>
      </w:r>
      <w:r>
        <w:rPr>
          <w:spacing w:val="-6"/>
        </w:rPr>
        <w:t> </w:t>
      </w:r>
      <w:r>
        <w:rPr/>
        <w:t>nye</w:t>
      </w:r>
      <w:r>
        <w:rPr>
          <w:spacing w:val="-7"/>
        </w:rPr>
        <w:t> </w:t>
      </w:r>
      <w:r>
        <w:rPr/>
        <w:t>pejledata</w:t>
      </w:r>
      <w:r>
        <w:rPr>
          <w:spacing w:val="-6"/>
        </w:rPr>
        <w:t> </w:t>
      </w:r>
      <w:r>
        <w:rPr/>
        <w:t>fra</w:t>
      </w:r>
      <w:r>
        <w:rPr>
          <w:spacing w:val="-9"/>
        </w:rPr>
        <w:t> </w:t>
      </w:r>
      <w:r>
        <w:rPr/>
        <w:t>Regioner</w:t>
      </w:r>
      <w:r>
        <w:rPr>
          <w:spacing w:val="-9"/>
        </w:rPr>
        <w:t> </w:t>
      </w:r>
      <w:r>
        <w:rPr/>
        <w:t>har,</w:t>
      </w:r>
      <w:r>
        <w:rPr>
          <w:spacing w:val="-9"/>
        </w:rPr>
        <w:t> </w:t>
      </w:r>
      <w:r>
        <w:rPr/>
        <w:t>selv</w:t>
      </w:r>
      <w:r>
        <w:rPr>
          <w:spacing w:val="-9"/>
        </w:rPr>
        <w:t> </w:t>
      </w:r>
      <w:r>
        <w:rPr/>
        <w:t>om</w:t>
      </w:r>
      <w:r>
        <w:rPr>
          <w:spacing w:val="-7"/>
        </w:rPr>
        <w:t> </w:t>
      </w:r>
      <w:r>
        <w:rPr/>
        <w:t>det</w:t>
      </w:r>
      <w:r>
        <w:rPr>
          <w:spacing w:val="-8"/>
        </w:rPr>
        <w:t> </w:t>
      </w:r>
      <w:r>
        <w:rPr/>
        <w:t>ikke</w:t>
      </w:r>
      <w:r>
        <w:rPr>
          <w:spacing w:val="-9"/>
        </w:rPr>
        <w:t> </w:t>
      </w:r>
      <w:r>
        <w:rPr/>
        <w:t>har</w:t>
      </w:r>
      <w:r>
        <w:rPr>
          <w:spacing w:val="-6"/>
        </w:rPr>
        <w:t> </w:t>
      </w:r>
      <w:r>
        <w:rPr/>
        <w:t>givet</w:t>
      </w:r>
      <w:r>
        <w:rPr>
          <w:spacing w:val="-8"/>
        </w:rPr>
        <w:t> </w:t>
      </w:r>
      <w:r>
        <w:rPr/>
        <w:t>en</w:t>
      </w:r>
      <w:r>
        <w:rPr>
          <w:spacing w:val="-7"/>
        </w:rPr>
        <w:t> </w:t>
      </w:r>
      <w:r>
        <w:rPr/>
        <w:t>væsentlig</w:t>
      </w:r>
      <w:r>
        <w:rPr>
          <w:spacing w:val="-6"/>
        </w:rPr>
        <w:t> </w:t>
      </w:r>
      <w:r>
        <w:rPr/>
        <w:t>ændret parameterisering, bidraget til en forbedret udpegning af områder i modellen hvor den kon- ceptuelle model ”ikke slår til” og derfor må videreudvikles. Det vil kræve yderligere kortlæg- ning af det terrænnære grundvand og de geologiske forhold samt øvrige modelstruktur af betydning for simuleringen af dybden til det terrænnære grundvand. Indsamling af kontinu- erte pejledata (fx Sunds) har samtidig vist et stort potentiale i denne type data til validering af modellens evne til simulering af ændringer i det terrænnære grundvandsspejl, som følge af ændret nedbør og</w:t>
      </w:r>
      <w:r>
        <w:rPr>
          <w:spacing w:val="-7"/>
        </w:rPr>
        <w:t> </w:t>
      </w:r>
      <w:r>
        <w:rPr/>
        <w:t>klima.</w:t>
      </w:r>
    </w:p>
    <w:p>
      <w:pPr>
        <w:pStyle w:val="BodyText"/>
        <w:spacing w:before="4"/>
        <w:rPr>
          <w:sz w:val="25"/>
        </w:rPr>
      </w:pPr>
    </w:p>
    <w:p>
      <w:pPr>
        <w:pStyle w:val="BodyText"/>
        <w:spacing w:line="288" w:lineRule="auto"/>
        <w:ind w:left="525" w:right="735"/>
        <w:jc w:val="both"/>
      </w:pPr>
      <w:r>
        <w:rPr/>
        <w:t>Den</w:t>
      </w:r>
      <w:r>
        <w:rPr>
          <w:spacing w:val="-4"/>
        </w:rPr>
        <w:t> </w:t>
      </w:r>
      <w:r>
        <w:rPr/>
        <w:t>af</w:t>
      </w:r>
      <w:r>
        <w:rPr>
          <w:spacing w:val="-3"/>
        </w:rPr>
        <w:t> </w:t>
      </w:r>
      <w:r>
        <w:rPr/>
        <w:t>GEUS</w:t>
      </w:r>
      <w:r>
        <w:rPr>
          <w:spacing w:val="-3"/>
        </w:rPr>
        <w:t> </w:t>
      </w:r>
      <w:r>
        <w:rPr/>
        <w:t>udviklede</w:t>
      </w:r>
      <w:r>
        <w:rPr>
          <w:spacing w:val="-6"/>
        </w:rPr>
        <w:t> </w:t>
      </w:r>
      <w:r>
        <w:rPr/>
        <w:t>kalibrering</w:t>
      </w:r>
      <w:r>
        <w:rPr>
          <w:spacing w:val="-3"/>
        </w:rPr>
        <w:t> </w:t>
      </w:r>
      <w:r>
        <w:rPr/>
        <w:t>af</w:t>
      </w:r>
      <w:r>
        <w:rPr>
          <w:spacing w:val="-5"/>
        </w:rPr>
        <w:t> </w:t>
      </w:r>
      <w:r>
        <w:rPr/>
        <w:t>modellen</w:t>
      </w:r>
      <w:r>
        <w:rPr>
          <w:spacing w:val="-3"/>
        </w:rPr>
        <w:t> </w:t>
      </w:r>
      <w:r>
        <w:rPr/>
        <w:t>baseret</w:t>
      </w:r>
      <w:r>
        <w:rPr>
          <w:spacing w:val="-6"/>
        </w:rPr>
        <w:t> </w:t>
      </w:r>
      <w:r>
        <w:rPr/>
        <w:t>på</w:t>
      </w:r>
      <w:r>
        <w:rPr>
          <w:spacing w:val="-3"/>
        </w:rPr>
        <w:t> </w:t>
      </w:r>
      <w:r>
        <w:rPr/>
        <w:t>CRPS</w:t>
      </w:r>
      <w:r>
        <w:rPr>
          <w:spacing w:val="-3"/>
        </w:rPr>
        <w:t> </w:t>
      </w:r>
      <w:r>
        <w:rPr/>
        <w:t>som</w:t>
      </w:r>
      <w:r>
        <w:rPr>
          <w:spacing w:val="-2"/>
        </w:rPr>
        <w:t> </w:t>
      </w:r>
      <w:r>
        <w:rPr/>
        <w:t>objektivfunktion</w:t>
      </w:r>
      <w:r>
        <w:rPr>
          <w:spacing w:val="-4"/>
        </w:rPr>
        <w:t> </w:t>
      </w:r>
      <w:r>
        <w:rPr/>
        <w:t>i</w:t>
      </w:r>
      <w:r>
        <w:rPr>
          <w:spacing w:val="-3"/>
        </w:rPr>
        <w:t> </w:t>
      </w:r>
      <w:r>
        <w:rPr/>
        <w:t>for- hold til terrænnære grundvandspejlinger, som er karakteristiske derved at de udviser stor inhomogenitet</w:t>
      </w:r>
      <w:r>
        <w:rPr>
          <w:spacing w:val="-8"/>
        </w:rPr>
        <w:t> </w:t>
      </w:r>
      <w:r>
        <w:rPr/>
        <w:t>mht.</w:t>
      </w:r>
      <w:r>
        <w:rPr>
          <w:spacing w:val="-8"/>
        </w:rPr>
        <w:t> </w:t>
      </w:r>
      <w:r>
        <w:rPr/>
        <w:t>geografisk</w:t>
      </w:r>
      <w:r>
        <w:rPr>
          <w:spacing w:val="-4"/>
        </w:rPr>
        <w:t> </w:t>
      </w:r>
      <w:r>
        <w:rPr/>
        <w:t>dækning,</w:t>
      </w:r>
      <w:r>
        <w:rPr>
          <w:spacing w:val="-8"/>
        </w:rPr>
        <w:t> </w:t>
      </w:r>
      <w:r>
        <w:rPr/>
        <w:t>er</w:t>
      </w:r>
      <w:r>
        <w:rPr>
          <w:spacing w:val="-7"/>
        </w:rPr>
        <w:t> </w:t>
      </w:r>
      <w:r>
        <w:rPr/>
        <w:t>et</w:t>
      </w:r>
      <w:r>
        <w:rPr>
          <w:spacing w:val="-6"/>
        </w:rPr>
        <w:t> </w:t>
      </w:r>
      <w:r>
        <w:rPr/>
        <w:t>vigtigt</w:t>
      </w:r>
      <w:r>
        <w:rPr>
          <w:spacing w:val="-7"/>
        </w:rPr>
        <w:t> </w:t>
      </w:r>
      <w:r>
        <w:rPr/>
        <w:t>resultat</w:t>
      </w:r>
      <w:r>
        <w:rPr>
          <w:spacing w:val="-8"/>
        </w:rPr>
        <w:t> </w:t>
      </w:r>
      <w:r>
        <w:rPr/>
        <w:t>af</w:t>
      </w:r>
      <w:r>
        <w:rPr>
          <w:spacing w:val="-5"/>
        </w:rPr>
        <w:t> </w:t>
      </w:r>
      <w:r>
        <w:rPr/>
        <w:t>metodeudviklingen.</w:t>
      </w:r>
      <w:r>
        <w:rPr>
          <w:spacing w:val="-8"/>
        </w:rPr>
        <w:t> </w:t>
      </w:r>
      <w:r>
        <w:rPr/>
        <w:t>Metoden</w:t>
      </w:r>
    </w:p>
    <w:p>
      <w:pPr>
        <w:spacing w:after="0" w:line="288" w:lineRule="auto"/>
        <w:jc w:val="both"/>
        <w:sectPr>
          <w:pgSz w:w="11910" w:h="16850"/>
          <w:pgMar w:header="0" w:footer="857" w:top="1340" w:bottom="1120" w:left="1460" w:right="680"/>
        </w:sectPr>
      </w:pPr>
    </w:p>
    <w:p>
      <w:pPr>
        <w:pStyle w:val="BodyText"/>
        <w:spacing w:line="288" w:lineRule="auto" w:before="75"/>
        <w:ind w:left="525" w:right="733"/>
        <w:jc w:val="both"/>
      </w:pPr>
      <w:r>
        <w:rPr/>
        <w:t>betyder at sortering af pejlinger som ikke stemmer i forhold til modelstruktur er styrket væ- sentligt, hvorved den valgte modelstruktur mere effektiv kan kalibreres, samtidig med at ob- servationer der ikke stemmer kan udpeges, så den konceptuelle model i disse områder vil kunne videreudvikles.</w:t>
      </w:r>
    </w:p>
    <w:p>
      <w:pPr>
        <w:pStyle w:val="BodyText"/>
        <w:spacing w:before="3"/>
        <w:rPr>
          <w:sz w:val="25"/>
        </w:rPr>
      </w:pPr>
    </w:p>
    <w:p>
      <w:pPr>
        <w:pStyle w:val="BodyText"/>
        <w:spacing w:line="288" w:lineRule="auto"/>
        <w:ind w:left="525" w:right="734"/>
        <w:jc w:val="both"/>
      </w:pPr>
      <w:r>
        <w:rPr/>
        <w:t>Der er foretaget en systematisk evaluering af kalibreringen baseret på CRPS med 500 m model som har vist at metoden sammenlignet med mere traditionelle metodikker giver en mere robust kalibrering. Herefter er metoden anvendt til 100 m modelkalibrering i de to op- lande, hhv. for en kalibrering mod JUPITER data og en kalibrering mod alle data (JUPI- TER+Regioner)</w:t>
      </w:r>
      <w:r>
        <w:rPr>
          <w:spacing w:val="-14"/>
        </w:rPr>
        <w:t> </w:t>
      </w:r>
      <w:r>
        <w:rPr/>
        <w:t>for</w:t>
      </w:r>
      <w:r>
        <w:rPr>
          <w:spacing w:val="-12"/>
        </w:rPr>
        <w:t> </w:t>
      </w:r>
      <w:r>
        <w:rPr/>
        <w:t>perioden</w:t>
      </w:r>
      <w:r>
        <w:rPr>
          <w:spacing w:val="-11"/>
        </w:rPr>
        <w:t> </w:t>
      </w:r>
      <w:r>
        <w:rPr/>
        <w:t>2000-2008.</w:t>
      </w:r>
      <w:r>
        <w:rPr>
          <w:spacing w:val="-15"/>
        </w:rPr>
        <w:t> </w:t>
      </w:r>
      <w:r>
        <w:rPr/>
        <w:t>Herefter</w:t>
      </w:r>
      <w:r>
        <w:rPr>
          <w:spacing w:val="-12"/>
        </w:rPr>
        <w:t> </w:t>
      </w:r>
      <w:r>
        <w:rPr/>
        <w:t>er</w:t>
      </w:r>
      <w:r>
        <w:rPr>
          <w:spacing w:val="-15"/>
        </w:rPr>
        <w:t> </w:t>
      </w:r>
      <w:r>
        <w:rPr/>
        <w:t>modellerne</w:t>
      </w:r>
      <w:r>
        <w:rPr>
          <w:spacing w:val="-12"/>
        </w:rPr>
        <w:t> </w:t>
      </w:r>
      <w:r>
        <w:rPr/>
        <w:t>validereret</w:t>
      </w:r>
      <w:r>
        <w:rPr>
          <w:spacing w:val="-16"/>
        </w:rPr>
        <w:t> </w:t>
      </w:r>
      <w:r>
        <w:rPr/>
        <w:t>mod</w:t>
      </w:r>
      <w:r>
        <w:rPr>
          <w:spacing w:val="-12"/>
        </w:rPr>
        <w:t> </w:t>
      </w:r>
      <w:r>
        <w:rPr/>
        <w:t>uafhængige data for 2009-2015 med henblik på evaluering af anvendte metodikker og gevinster af 100 m model i forhold til 500 m model. Evalueringen har vist at der opnås et bedre resultat med 100 m model, hvor den kvantificerede performance gevinst er begrænset (bedømt i forhold til pejlinger), men hvor der opnås en væsentlig kvalitativ performance løft efter nedskalering til</w:t>
      </w:r>
      <w:r>
        <w:rPr>
          <w:spacing w:val="-3"/>
        </w:rPr>
        <w:t> </w:t>
      </w:r>
      <w:r>
        <w:rPr/>
        <w:t>10</w:t>
      </w:r>
      <w:r>
        <w:rPr>
          <w:spacing w:val="-5"/>
        </w:rPr>
        <w:t> </w:t>
      </w:r>
      <w:r>
        <w:rPr/>
        <w:t>m</w:t>
      </w:r>
      <w:r>
        <w:rPr>
          <w:spacing w:val="-1"/>
        </w:rPr>
        <w:t> </w:t>
      </w:r>
      <w:r>
        <w:rPr/>
        <w:t>grid.</w:t>
      </w:r>
      <w:r>
        <w:rPr>
          <w:spacing w:val="-4"/>
        </w:rPr>
        <w:t> </w:t>
      </w:r>
      <w:r>
        <w:rPr/>
        <w:t>100</w:t>
      </w:r>
      <w:r>
        <w:rPr>
          <w:spacing w:val="-6"/>
        </w:rPr>
        <w:t> </w:t>
      </w:r>
      <w:r>
        <w:rPr/>
        <w:t>m</w:t>
      </w:r>
      <w:r>
        <w:rPr>
          <w:spacing w:val="-1"/>
        </w:rPr>
        <w:t> </w:t>
      </w:r>
      <w:r>
        <w:rPr/>
        <w:t>modellen</w:t>
      </w:r>
      <w:r>
        <w:rPr>
          <w:spacing w:val="-2"/>
        </w:rPr>
        <w:t> </w:t>
      </w:r>
      <w:r>
        <w:rPr/>
        <w:t>giver</w:t>
      </w:r>
      <w:r>
        <w:rPr>
          <w:spacing w:val="-3"/>
        </w:rPr>
        <w:t> </w:t>
      </w:r>
      <w:r>
        <w:rPr/>
        <w:t>desuden</w:t>
      </w:r>
      <w:r>
        <w:rPr>
          <w:spacing w:val="-2"/>
        </w:rPr>
        <w:t> </w:t>
      </w:r>
      <w:r>
        <w:rPr/>
        <w:t>en</w:t>
      </w:r>
      <w:r>
        <w:rPr>
          <w:spacing w:val="-6"/>
        </w:rPr>
        <w:t> </w:t>
      </w:r>
      <w:r>
        <w:rPr/>
        <w:t>forbedret</w:t>
      </w:r>
      <w:r>
        <w:rPr>
          <w:spacing w:val="-4"/>
        </w:rPr>
        <w:t> </w:t>
      </w:r>
      <w:r>
        <w:rPr/>
        <w:t>performance</w:t>
      </w:r>
      <w:r>
        <w:rPr>
          <w:spacing w:val="-2"/>
        </w:rPr>
        <w:t> </w:t>
      </w:r>
      <w:r>
        <w:rPr/>
        <w:t>i</w:t>
      </w:r>
      <w:r>
        <w:rPr>
          <w:spacing w:val="-4"/>
        </w:rPr>
        <w:t> </w:t>
      </w:r>
      <w:r>
        <w:rPr/>
        <w:t>forhold</w:t>
      </w:r>
      <w:r>
        <w:rPr>
          <w:spacing w:val="-5"/>
        </w:rPr>
        <w:t> </w:t>
      </w:r>
      <w:r>
        <w:rPr/>
        <w:t>til</w:t>
      </w:r>
      <w:r>
        <w:rPr>
          <w:spacing w:val="-3"/>
        </w:rPr>
        <w:t> </w:t>
      </w:r>
      <w:r>
        <w:rPr/>
        <w:t>simulering af afstrømning i</w:t>
      </w:r>
      <w:r>
        <w:rPr>
          <w:spacing w:val="-2"/>
        </w:rPr>
        <w:t> </w:t>
      </w:r>
      <w:r>
        <w:rPr/>
        <w:t>vandløb.</w:t>
      </w:r>
    </w:p>
    <w:p>
      <w:pPr>
        <w:pStyle w:val="BodyText"/>
        <w:spacing w:before="1"/>
        <w:rPr>
          <w:sz w:val="25"/>
        </w:rPr>
      </w:pPr>
    </w:p>
    <w:p>
      <w:pPr>
        <w:pStyle w:val="BodyText"/>
        <w:spacing w:line="288" w:lineRule="auto"/>
        <w:ind w:left="525" w:right="731"/>
        <w:jc w:val="both"/>
      </w:pPr>
      <w:r>
        <w:rPr/>
        <w:t>Brug af flere terrænnære pejledata data fra GEO og andre data der ligger hos rådgivere, vandforsyninger mm. kan være velegnede til kvalitetssikring af modeller. Flere data er med til</w:t>
      </w:r>
      <w:r>
        <w:rPr>
          <w:spacing w:val="-4"/>
        </w:rPr>
        <w:t> </w:t>
      </w:r>
      <w:r>
        <w:rPr/>
        <w:t>at</w:t>
      </w:r>
      <w:r>
        <w:rPr>
          <w:spacing w:val="-5"/>
        </w:rPr>
        <w:t> </w:t>
      </w:r>
      <w:r>
        <w:rPr/>
        <w:t>dokumentere</w:t>
      </w:r>
      <w:r>
        <w:rPr>
          <w:spacing w:val="-4"/>
        </w:rPr>
        <w:t> </w:t>
      </w:r>
      <w:r>
        <w:rPr/>
        <w:t>områder</w:t>
      </w:r>
      <w:r>
        <w:rPr>
          <w:spacing w:val="-4"/>
        </w:rPr>
        <w:t> </w:t>
      </w:r>
      <w:r>
        <w:rPr/>
        <w:t>hvor</w:t>
      </w:r>
      <w:r>
        <w:rPr>
          <w:spacing w:val="-4"/>
        </w:rPr>
        <w:t> </w:t>
      </w:r>
      <w:r>
        <w:rPr/>
        <w:t>modellen</w:t>
      </w:r>
      <w:r>
        <w:rPr>
          <w:spacing w:val="-4"/>
        </w:rPr>
        <w:t> </w:t>
      </w:r>
      <w:r>
        <w:rPr/>
        <w:t>er</w:t>
      </w:r>
      <w:r>
        <w:rPr>
          <w:spacing w:val="-4"/>
        </w:rPr>
        <w:t> </w:t>
      </w:r>
      <w:r>
        <w:rPr/>
        <w:t>god</w:t>
      </w:r>
      <w:r>
        <w:rPr>
          <w:spacing w:val="-3"/>
        </w:rPr>
        <w:t> </w:t>
      </w:r>
      <w:r>
        <w:rPr/>
        <w:t>eller</w:t>
      </w:r>
      <w:r>
        <w:rPr>
          <w:spacing w:val="-4"/>
        </w:rPr>
        <w:t> </w:t>
      </w:r>
      <w:r>
        <w:rPr/>
        <w:t>dårlig</w:t>
      </w:r>
      <w:r>
        <w:rPr>
          <w:spacing w:val="-4"/>
        </w:rPr>
        <w:t> </w:t>
      </w:r>
      <w:r>
        <w:rPr/>
        <w:t>yderligere,</w:t>
      </w:r>
      <w:r>
        <w:rPr>
          <w:spacing w:val="-5"/>
        </w:rPr>
        <w:t> </w:t>
      </w:r>
      <w:r>
        <w:rPr/>
        <w:t>som</w:t>
      </w:r>
      <w:r>
        <w:rPr>
          <w:spacing w:val="-3"/>
        </w:rPr>
        <w:t> </w:t>
      </w:r>
      <w:r>
        <w:rPr/>
        <w:t>vist</w:t>
      </w:r>
      <w:r>
        <w:rPr>
          <w:spacing w:val="-5"/>
        </w:rPr>
        <w:t> </w:t>
      </w:r>
      <w:r>
        <w:rPr/>
        <w:t>for</w:t>
      </w:r>
      <w:r>
        <w:rPr>
          <w:spacing w:val="-4"/>
        </w:rPr>
        <w:t> </w:t>
      </w:r>
      <w:r>
        <w:rPr/>
        <w:t>Odense med GEO data (her understreger data fra GEO at visse områder har dårlig performance fx omkring Odense og for transekt gennem sydøstlige del af oplandet), hvor modellen har ge- nerel dårlig performance på grund af fejl på modelstruktur og/eller randbetingelser. Om det så skyldes at pejlinger i disse områder ikke er repræsentative (længere) for den nuværende model, og der derfor skal indsamles nye pejlinger, eller om modellen skal forbedres, det må man så tage stilling til ved nærmere</w:t>
      </w:r>
      <w:r>
        <w:rPr>
          <w:spacing w:val="-9"/>
        </w:rPr>
        <w:t> </w:t>
      </w:r>
      <w:r>
        <w:rPr/>
        <w:t>analyser.</w:t>
      </w:r>
    </w:p>
    <w:p>
      <w:pPr>
        <w:pStyle w:val="BodyText"/>
        <w:spacing w:before="4"/>
        <w:rPr>
          <w:sz w:val="25"/>
        </w:rPr>
      </w:pPr>
    </w:p>
    <w:p>
      <w:pPr>
        <w:pStyle w:val="BodyText"/>
        <w:spacing w:line="288" w:lineRule="auto"/>
        <w:ind w:left="525" w:right="729"/>
        <w:jc w:val="both"/>
      </w:pPr>
      <w:r>
        <w:rPr/>
        <w:t>Generelt er der behov for mere systematik når der indsamles terrænnære pejledata. Place- ring af pejlinger i transekter fx på tværs af vandløb/lavningner kan øge værdien af nye data, som vist med eksempler på brug af GEO data til analyse af forskelle mellem simulerede og målte terrænnære trykniveauer. Filtersætning i forhold til vandførende og lavpermeable ter- rænnære forekomster osv. Og endelig vil tidsserier af pejlinger i sig selv øge kvaliteten af datagrundlaget, da målte tidslige variationer vil kunne karakterisere om en pejleboring er repræsentativ</w:t>
      </w:r>
      <w:r>
        <w:rPr>
          <w:spacing w:val="-8"/>
        </w:rPr>
        <w:t> </w:t>
      </w:r>
      <w:r>
        <w:rPr/>
        <w:t>eller</w:t>
      </w:r>
      <w:r>
        <w:rPr>
          <w:spacing w:val="-6"/>
        </w:rPr>
        <w:t> </w:t>
      </w:r>
      <w:r>
        <w:rPr/>
        <w:t>ej</w:t>
      </w:r>
      <w:r>
        <w:rPr>
          <w:spacing w:val="-6"/>
        </w:rPr>
        <w:t> </w:t>
      </w:r>
      <w:r>
        <w:rPr/>
        <w:t>i</w:t>
      </w:r>
      <w:r>
        <w:rPr>
          <w:spacing w:val="-7"/>
        </w:rPr>
        <w:t> </w:t>
      </w:r>
      <w:r>
        <w:rPr/>
        <w:t>forhold</w:t>
      </w:r>
      <w:r>
        <w:rPr>
          <w:spacing w:val="-5"/>
        </w:rPr>
        <w:t> </w:t>
      </w:r>
      <w:r>
        <w:rPr/>
        <w:t>til</w:t>
      </w:r>
      <w:r>
        <w:rPr>
          <w:spacing w:val="-7"/>
        </w:rPr>
        <w:t> </w:t>
      </w:r>
      <w:r>
        <w:rPr/>
        <w:t>en</w:t>
      </w:r>
      <w:r>
        <w:rPr>
          <w:spacing w:val="-5"/>
        </w:rPr>
        <w:t> </w:t>
      </w:r>
      <w:r>
        <w:rPr/>
        <w:t>given</w:t>
      </w:r>
      <w:r>
        <w:rPr>
          <w:spacing w:val="-2"/>
        </w:rPr>
        <w:t> </w:t>
      </w:r>
      <w:r>
        <w:rPr/>
        <w:t>’konceptuel</w:t>
      </w:r>
      <w:r>
        <w:rPr>
          <w:spacing w:val="-7"/>
        </w:rPr>
        <w:t> </w:t>
      </w:r>
      <w:r>
        <w:rPr/>
        <w:t>model’</w:t>
      </w:r>
      <w:r>
        <w:rPr>
          <w:spacing w:val="-5"/>
        </w:rPr>
        <w:t> </w:t>
      </w:r>
      <w:r>
        <w:rPr/>
        <w:t>(modelstruktur).</w:t>
      </w:r>
      <w:r>
        <w:rPr>
          <w:spacing w:val="-6"/>
        </w:rPr>
        <w:t> </w:t>
      </w:r>
      <w:r>
        <w:rPr/>
        <w:t>Bedømt</w:t>
      </w:r>
      <w:r>
        <w:rPr>
          <w:spacing w:val="-7"/>
        </w:rPr>
        <w:t> </w:t>
      </w:r>
      <w:r>
        <w:rPr/>
        <w:t>ud</w:t>
      </w:r>
      <w:r>
        <w:rPr>
          <w:spacing w:val="-7"/>
        </w:rPr>
        <w:t> </w:t>
      </w:r>
      <w:r>
        <w:rPr/>
        <w:t>fra analyser af fejl på terrænære pejleboringer fra de to oplande, er der et relativt stort antal pejleobservationer</w:t>
      </w:r>
      <w:r>
        <w:rPr>
          <w:spacing w:val="-7"/>
        </w:rPr>
        <w:t> </w:t>
      </w:r>
      <w:r>
        <w:rPr/>
        <w:t>der</w:t>
      </w:r>
      <w:r>
        <w:rPr>
          <w:spacing w:val="-7"/>
        </w:rPr>
        <w:t> </w:t>
      </w:r>
      <w:r>
        <w:rPr/>
        <w:t>viser</w:t>
      </w:r>
      <w:r>
        <w:rPr>
          <w:spacing w:val="-7"/>
        </w:rPr>
        <w:t> </w:t>
      </w:r>
      <w:r>
        <w:rPr/>
        <w:t>tegn</w:t>
      </w:r>
      <w:r>
        <w:rPr>
          <w:spacing w:val="-6"/>
        </w:rPr>
        <w:t> </w:t>
      </w:r>
      <w:r>
        <w:rPr/>
        <w:t>på</w:t>
      </w:r>
      <w:r>
        <w:rPr>
          <w:spacing w:val="-6"/>
        </w:rPr>
        <w:t> </w:t>
      </w:r>
      <w:r>
        <w:rPr/>
        <w:t>’hængende</w:t>
      </w:r>
      <w:r>
        <w:rPr>
          <w:spacing w:val="-7"/>
        </w:rPr>
        <w:t> </w:t>
      </w:r>
      <w:r>
        <w:rPr/>
        <w:t>vandspejl’,</w:t>
      </w:r>
      <w:r>
        <w:rPr>
          <w:spacing w:val="-8"/>
        </w:rPr>
        <w:t> </w:t>
      </w:r>
      <w:r>
        <w:rPr/>
        <w:t>altså</w:t>
      </w:r>
      <w:r>
        <w:rPr>
          <w:spacing w:val="-9"/>
        </w:rPr>
        <w:t> </w:t>
      </w:r>
      <w:r>
        <w:rPr/>
        <w:t>pejlinger</w:t>
      </w:r>
      <w:r>
        <w:rPr>
          <w:spacing w:val="-7"/>
        </w:rPr>
        <w:t> </w:t>
      </w:r>
      <w:r>
        <w:rPr/>
        <w:t>hvor</w:t>
      </w:r>
      <w:r>
        <w:rPr>
          <w:spacing w:val="-7"/>
        </w:rPr>
        <w:t> </w:t>
      </w:r>
      <w:r>
        <w:rPr/>
        <w:t>der</w:t>
      </w:r>
      <w:r>
        <w:rPr>
          <w:spacing w:val="-7"/>
        </w:rPr>
        <w:t> </w:t>
      </w:r>
      <w:r>
        <w:rPr/>
        <w:t>måles</w:t>
      </w:r>
      <w:r>
        <w:rPr>
          <w:spacing w:val="-7"/>
        </w:rPr>
        <w:t> </w:t>
      </w:r>
      <w:r>
        <w:rPr/>
        <w:t>et væsentlig højere vandspejl end der simuleres med modellen. I modsætning hertil er kun et fåtal outliers hvor det omvendte er tilfældet (altså der simuleres et højre vandspejl end der måles).</w:t>
      </w:r>
    </w:p>
    <w:p>
      <w:pPr>
        <w:pStyle w:val="BodyText"/>
        <w:spacing w:before="1"/>
        <w:rPr>
          <w:sz w:val="25"/>
        </w:rPr>
      </w:pPr>
    </w:p>
    <w:p>
      <w:pPr>
        <w:pStyle w:val="BodyText"/>
        <w:spacing w:line="288" w:lineRule="auto" w:before="1"/>
        <w:ind w:left="525" w:right="729"/>
        <w:jc w:val="both"/>
      </w:pPr>
      <w:r>
        <w:rPr/>
        <w:t>Der</w:t>
      </w:r>
      <w:r>
        <w:rPr>
          <w:spacing w:val="-9"/>
        </w:rPr>
        <w:t> </w:t>
      </w:r>
      <w:r>
        <w:rPr/>
        <w:t>er</w:t>
      </w:r>
      <w:r>
        <w:rPr>
          <w:spacing w:val="-8"/>
        </w:rPr>
        <w:t> </w:t>
      </w:r>
      <w:r>
        <w:rPr/>
        <w:t>identificeret</w:t>
      </w:r>
      <w:r>
        <w:rPr>
          <w:spacing w:val="-9"/>
        </w:rPr>
        <w:t> </w:t>
      </w:r>
      <w:r>
        <w:rPr/>
        <w:t>tegn</w:t>
      </w:r>
      <w:r>
        <w:rPr>
          <w:spacing w:val="-7"/>
        </w:rPr>
        <w:t> </w:t>
      </w:r>
      <w:r>
        <w:rPr/>
        <w:t>på</w:t>
      </w:r>
      <w:r>
        <w:rPr>
          <w:spacing w:val="-10"/>
        </w:rPr>
        <w:t> </w:t>
      </w:r>
      <w:r>
        <w:rPr/>
        <w:t>en</w:t>
      </w:r>
      <w:r>
        <w:rPr>
          <w:spacing w:val="-7"/>
        </w:rPr>
        <w:t> </w:t>
      </w:r>
      <w:r>
        <w:rPr/>
        <w:t>trend</w:t>
      </w:r>
      <w:r>
        <w:rPr>
          <w:spacing w:val="-7"/>
        </w:rPr>
        <w:t> </w:t>
      </w:r>
      <w:r>
        <w:rPr/>
        <w:t>i</w:t>
      </w:r>
      <w:r>
        <w:rPr>
          <w:spacing w:val="-7"/>
        </w:rPr>
        <w:t> </w:t>
      </w:r>
      <w:r>
        <w:rPr/>
        <w:t>pejlinger</w:t>
      </w:r>
      <w:r>
        <w:rPr>
          <w:spacing w:val="-8"/>
        </w:rPr>
        <w:t> </w:t>
      </w:r>
      <w:r>
        <w:rPr/>
        <w:t>som</w:t>
      </w:r>
      <w:r>
        <w:rPr>
          <w:spacing w:val="-9"/>
        </w:rPr>
        <w:t> </w:t>
      </w:r>
      <w:r>
        <w:rPr/>
        <w:t>modellen</w:t>
      </w:r>
      <w:r>
        <w:rPr>
          <w:spacing w:val="-7"/>
        </w:rPr>
        <w:t> </w:t>
      </w:r>
      <w:r>
        <w:rPr/>
        <w:t>ikke</w:t>
      </w:r>
      <w:r>
        <w:rPr>
          <w:spacing w:val="-7"/>
        </w:rPr>
        <w:t> </w:t>
      </w:r>
      <w:r>
        <w:rPr/>
        <w:t>helt</w:t>
      </w:r>
      <w:r>
        <w:rPr>
          <w:spacing w:val="-11"/>
        </w:rPr>
        <w:t> </w:t>
      </w:r>
      <w:r>
        <w:rPr/>
        <w:t>kan</w:t>
      </w:r>
      <w:r>
        <w:rPr>
          <w:spacing w:val="-7"/>
        </w:rPr>
        <w:t> </w:t>
      </w:r>
      <w:r>
        <w:rPr/>
        <w:t>gøre</w:t>
      </w:r>
      <w:r>
        <w:rPr>
          <w:spacing w:val="-7"/>
        </w:rPr>
        <w:t> </w:t>
      </w:r>
      <w:r>
        <w:rPr/>
        <w:t>rede</w:t>
      </w:r>
      <w:r>
        <w:rPr>
          <w:spacing w:val="-7"/>
        </w:rPr>
        <w:t> </w:t>
      </w:r>
      <w:r>
        <w:rPr/>
        <w:t>for.</w:t>
      </w:r>
      <w:r>
        <w:rPr>
          <w:spacing w:val="42"/>
        </w:rPr>
        <w:t> </w:t>
      </w:r>
      <w:r>
        <w:rPr/>
        <w:t>Det højeste</w:t>
      </w:r>
      <w:r>
        <w:rPr>
          <w:spacing w:val="-7"/>
        </w:rPr>
        <w:t> </w:t>
      </w:r>
      <w:r>
        <w:rPr/>
        <w:t>grundvandsspejl</w:t>
      </w:r>
      <w:r>
        <w:rPr>
          <w:spacing w:val="-9"/>
        </w:rPr>
        <w:t> </w:t>
      </w:r>
      <w:r>
        <w:rPr/>
        <w:t>i</w:t>
      </w:r>
      <w:r>
        <w:rPr>
          <w:spacing w:val="-8"/>
        </w:rPr>
        <w:t> </w:t>
      </w:r>
      <w:r>
        <w:rPr/>
        <w:t>modellen</w:t>
      </w:r>
      <w:r>
        <w:rPr>
          <w:spacing w:val="-7"/>
        </w:rPr>
        <w:t> </w:t>
      </w:r>
      <w:r>
        <w:rPr/>
        <w:t>er</w:t>
      </w:r>
      <w:r>
        <w:rPr>
          <w:spacing w:val="-10"/>
        </w:rPr>
        <w:t> </w:t>
      </w:r>
      <w:r>
        <w:rPr/>
        <w:t>simuleret</w:t>
      </w:r>
      <w:r>
        <w:rPr>
          <w:spacing w:val="-7"/>
        </w:rPr>
        <w:t> </w:t>
      </w:r>
      <w:r>
        <w:rPr/>
        <w:t>i</w:t>
      </w:r>
      <w:r>
        <w:rPr>
          <w:spacing w:val="-9"/>
        </w:rPr>
        <w:t> </w:t>
      </w:r>
      <w:r>
        <w:rPr/>
        <w:t>januar</w:t>
      </w:r>
      <w:r>
        <w:rPr>
          <w:spacing w:val="-6"/>
        </w:rPr>
        <w:t> </w:t>
      </w:r>
      <w:r>
        <w:rPr/>
        <w:t>2007</w:t>
      </w:r>
      <w:r>
        <w:rPr>
          <w:spacing w:val="-7"/>
        </w:rPr>
        <w:t> </w:t>
      </w:r>
      <w:r>
        <w:rPr/>
        <w:t>hvorimod</w:t>
      </w:r>
      <w:r>
        <w:rPr>
          <w:spacing w:val="-9"/>
        </w:rPr>
        <w:t> </w:t>
      </w:r>
      <w:r>
        <w:rPr/>
        <w:t>interessenter</w:t>
      </w:r>
      <w:r>
        <w:rPr>
          <w:spacing w:val="-7"/>
        </w:rPr>
        <w:t> </w:t>
      </w:r>
      <w:r>
        <w:rPr/>
        <w:t>vurde- rer at grundvandstanden bliver ved med at stige og således at problemer med høj grund- vandsstand</w:t>
      </w:r>
      <w:r>
        <w:rPr>
          <w:spacing w:val="-6"/>
        </w:rPr>
        <w:t> </w:t>
      </w:r>
      <w:r>
        <w:rPr/>
        <w:t>er</w:t>
      </w:r>
      <w:r>
        <w:rPr>
          <w:spacing w:val="-6"/>
        </w:rPr>
        <w:t> </w:t>
      </w:r>
      <w:r>
        <w:rPr/>
        <w:t>stigende.</w:t>
      </w:r>
      <w:r>
        <w:rPr>
          <w:spacing w:val="-7"/>
        </w:rPr>
        <w:t> </w:t>
      </w:r>
      <w:r>
        <w:rPr/>
        <w:t>Der</w:t>
      </w:r>
      <w:r>
        <w:rPr>
          <w:spacing w:val="-6"/>
        </w:rPr>
        <w:t> </w:t>
      </w:r>
      <w:r>
        <w:rPr/>
        <w:t>er</w:t>
      </w:r>
      <w:r>
        <w:rPr>
          <w:spacing w:val="-7"/>
        </w:rPr>
        <w:t> </w:t>
      </w:r>
      <w:r>
        <w:rPr/>
        <w:t>lavet</w:t>
      </w:r>
      <w:r>
        <w:rPr>
          <w:spacing w:val="-4"/>
        </w:rPr>
        <w:t> </w:t>
      </w:r>
      <w:r>
        <w:rPr/>
        <w:t>en</w:t>
      </w:r>
      <w:r>
        <w:rPr>
          <w:spacing w:val="-5"/>
        </w:rPr>
        <w:t> </w:t>
      </w:r>
      <w:r>
        <w:rPr/>
        <w:t>analyse</w:t>
      </w:r>
      <w:r>
        <w:rPr>
          <w:spacing w:val="-6"/>
        </w:rPr>
        <w:t> </w:t>
      </w:r>
      <w:r>
        <w:rPr/>
        <w:t>af</w:t>
      </w:r>
      <w:r>
        <w:rPr>
          <w:spacing w:val="-4"/>
        </w:rPr>
        <w:t> </w:t>
      </w:r>
      <w:r>
        <w:rPr/>
        <w:t>middelfejl</w:t>
      </w:r>
      <w:r>
        <w:rPr>
          <w:spacing w:val="-5"/>
        </w:rPr>
        <w:t> </w:t>
      </w:r>
      <w:r>
        <w:rPr/>
        <w:t>for</w:t>
      </w:r>
      <w:r>
        <w:rPr>
          <w:spacing w:val="-3"/>
        </w:rPr>
        <w:t> </w:t>
      </w:r>
      <w:r>
        <w:rPr/>
        <w:t>hhv.</w:t>
      </w:r>
      <w:r>
        <w:rPr>
          <w:spacing w:val="-4"/>
        </w:rPr>
        <w:t> </w:t>
      </w:r>
      <w:r>
        <w:rPr/>
        <w:t>kalibrerings-</w:t>
      </w:r>
      <w:r>
        <w:rPr>
          <w:spacing w:val="-7"/>
        </w:rPr>
        <w:t> </w:t>
      </w:r>
      <w:r>
        <w:rPr/>
        <w:t>og</w:t>
      </w:r>
      <w:r>
        <w:rPr>
          <w:spacing w:val="-5"/>
        </w:rPr>
        <w:t> </w:t>
      </w:r>
      <w:r>
        <w:rPr/>
        <w:t>valide- ringsperioden der viser, at modellen ikke helt kan gøre rede for den generelle stigning i det terrænnære</w:t>
      </w:r>
      <w:r>
        <w:rPr>
          <w:spacing w:val="-4"/>
        </w:rPr>
        <w:t> </w:t>
      </w:r>
      <w:r>
        <w:rPr/>
        <w:t>grundvand,</w:t>
      </w:r>
      <w:r>
        <w:rPr>
          <w:spacing w:val="-4"/>
        </w:rPr>
        <w:t> </w:t>
      </w:r>
      <w:r>
        <w:rPr/>
        <w:t>og</w:t>
      </w:r>
      <w:r>
        <w:rPr>
          <w:spacing w:val="-4"/>
        </w:rPr>
        <w:t> </w:t>
      </w:r>
      <w:r>
        <w:rPr/>
        <w:t>at</w:t>
      </w:r>
      <w:r>
        <w:rPr>
          <w:spacing w:val="-5"/>
        </w:rPr>
        <w:t> </w:t>
      </w:r>
      <w:r>
        <w:rPr/>
        <w:t>denne</w:t>
      </w:r>
      <w:r>
        <w:rPr>
          <w:spacing w:val="-6"/>
        </w:rPr>
        <w:t> </w:t>
      </w:r>
      <w:r>
        <w:rPr/>
        <w:t>modelfejl</w:t>
      </w:r>
      <w:r>
        <w:rPr>
          <w:spacing w:val="-3"/>
        </w:rPr>
        <w:t> </w:t>
      </w:r>
      <w:r>
        <w:rPr/>
        <w:t>tilsyneladende</w:t>
      </w:r>
      <w:r>
        <w:rPr>
          <w:spacing w:val="-3"/>
        </w:rPr>
        <w:t> </w:t>
      </w:r>
      <w:r>
        <w:rPr/>
        <w:t>er</w:t>
      </w:r>
      <w:r>
        <w:rPr>
          <w:spacing w:val="-4"/>
        </w:rPr>
        <w:t> </w:t>
      </w:r>
      <w:r>
        <w:rPr/>
        <w:t>størst</w:t>
      </w:r>
      <w:r>
        <w:rPr>
          <w:spacing w:val="-5"/>
        </w:rPr>
        <w:t> </w:t>
      </w:r>
      <w:r>
        <w:rPr/>
        <w:t>for</w:t>
      </w:r>
      <w:r>
        <w:rPr>
          <w:spacing w:val="-4"/>
        </w:rPr>
        <w:t> </w:t>
      </w:r>
      <w:r>
        <w:rPr/>
        <w:t>pejlinger</w:t>
      </w:r>
      <w:r>
        <w:rPr>
          <w:spacing w:val="-4"/>
        </w:rPr>
        <w:t> </w:t>
      </w:r>
      <w:r>
        <w:rPr/>
        <w:t>fra</w:t>
      </w:r>
      <w:r>
        <w:rPr>
          <w:spacing w:val="-6"/>
        </w:rPr>
        <w:t> </w:t>
      </w:r>
      <w:r>
        <w:rPr/>
        <w:t>Regi-</w:t>
      </w:r>
    </w:p>
    <w:p>
      <w:pPr>
        <w:spacing w:after="0" w:line="288" w:lineRule="auto"/>
        <w:jc w:val="both"/>
        <w:sectPr>
          <w:pgSz w:w="11910" w:h="16850"/>
          <w:pgMar w:header="0" w:footer="857" w:top="1340" w:bottom="1120" w:left="1460" w:right="680"/>
        </w:sectPr>
      </w:pPr>
    </w:p>
    <w:p>
      <w:pPr>
        <w:pStyle w:val="BodyText"/>
        <w:spacing w:line="288" w:lineRule="auto" w:before="75"/>
        <w:ind w:left="525" w:right="730"/>
        <w:jc w:val="both"/>
      </w:pPr>
      <w:r>
        <w:rPr/>
        <w:t>oner</w:t>
      </w:r>
      <w:r>
        <w:rPr>
          <w:spacing w:val="-5"/>
        </w:rPr>
        <w:t> </w:t>
      </w:r>
      <w:r>
        <w:rPr/>
        <w:t>der</w:t>
      </w:r>
      <w:r>
        <w:rPr>
          <w:spacing w:val="-4"/>
        </w:rPr>
        <w:t> </w:t>
      </w:r>
      <w:r>
        <w:rPr/>
        <w:t>overvejende</w:t>
      </w:r>
      <w:r>
        <w:rPr>
          <w:spacing w:val="-4"/>
        </w:rPr>
        <w:t> </w:t>
      </w:r>
      <w:r>
        <w:rPr/>
        <w:t>indsamles</w:t>
      </w:r>
      <w:r>
        <w:rPr>
          <w:spacing w:val="-4"/>
        </w:rPr>
        <w:t> </w:t>
      </w:r>
      <w:r>
        <w:rPr/>
        <w:t>i</w:t>
      </w:r>
      <w:r>
        <w:rPr>
          <w:spacing w:val="-4"/>
        </w:rPr>
        <w:t> </w:t>
      </w:r>
      <w:r>
        <w:rPr/>
        <w:t>byområder.</w:t>
      </w:r>
      <w:r>
        <w:rPr>
          <w:spacing w:val="-3"/>
        </w:rPr>
        <w:t> </w:t>
      </w:r>
      <w:r>
        <w:rPr/>
        <w:t>Da</w:t>
      </w:r>
      <w:r>
        <w:rPr>
          <w:spacing w:val="-5"/>
        </w:rPr>
        <w:t> </w:t>
      </w:r>
      <w:r>
        <w:rPr/>
        <w:t>der</w:t>
      </w:r>
      <w:r>
        <w:rPr>
          <w:spacing w:val="-4"/>
        </w:rPr>
        <w:t> </w:t>
      </w:r>
      <w:r>
        <w:rPr/>
        <w:t>imidlertid</w:t>
      </w:r>
      <w:r>
        <w:rPr>
          <w:spacing w:val="-7"/>
        </w:rPr>
        <w:t> </w:t>
      </w:r>
      <w:r>
        <w:rPr/>
        <w:t>ikke</w:t>
      </w:r>
      <w:r>
        <w:rPr>
          <w:spacing w:val="-6"/>
        </w:rPr>
        <w:t> </w:t>
      </w:r>
      <w:r>
        <w:rPr/>
        <w:t>foreligger</w:t>
      </w:r>
      <w:r>
        <w:rPr>
          <w:spacing w:val="-5"/>
        </w:rPr>
        <w:t> </w:t>
      </w:r>
      <w:r>
        <w:rPr/>
        <w:t>lange</w:t>
      </w:r>
      <w:r>
        <w:rPr>
          <w:spacing w:val="-3"/>
        </w:rPr>
        <w:t> </w:t>
      </w:r>
      <w:r>
        <w:rPr/>
        <w:t>pejlese- rier</w:t>
      </w:r>
      <w:r>
        <w:rPr>
          <w:spacing w:val="-5"/>
        </w:rPr>
        <w:t> </w:t>
      </w:r>
      <w:r>
        <w:rPr/>
        <w:t>fra</w:t>
      </w:r>
      <w:r>
        <w:rPr>
          <w:spacing w:val="-4"/>
        </w:rPr>
        <w:t> </w:t>
      </w:r>
      <w:r>
        <w:rPr/>
        <w:t>det</w:t>
      </w:r>
      <w:r>
        <w:rPr>
          <w:spacing w:val="-5"/>
        </w:rPr>
        <w:t> </w:t>
      </w:r>
      <w:r>
        <w:rPr/>
        <w:t>terrænnære</w:t>
      </w:r>
      <w:r>
        <w:rPr>
          <w:spacing w:val="-4"/>
        </w:rPr>
        <w:t> </w:t>
      </w:r>
      <w:r>
        <w:rPr/>
        <w:t>grundvand</w:t>
      </w:r>
      <w:r>
        <w:rPr>
          <w:spacing w:val="-6"/>
        </w:rPr>
        <w:t> </w:t>
      </w:r>
      <w:r>
        <w:rPr/>
        <w:t>i</w:t>
      </w:r>
      <w:r>
        <w:rPr>
          <w:spacing w:val="-3"/>
        </w:rPr>
        <w:t> </w:t>
      </w:r>
      <w:r>
        <w:rPr/>
        <w:t>de</w:t>
      </w:r>
      <w:r>
        <w:rPr>
          <w:spacing w:val="-3"/>
        </w:rPr>
        <w:t> </w:t>
      </w:r>
      <w:r>
        <w:rPr/>
        <w:t>to</w:t>
      </w:r>
      <w:r>
        <w:rPr>
          <w:spacing w:val="-4"/>
        </w:rPr>
        <w:t> </w:t>
      </w:r>
      <w:r>
        <w:rPr/>
        <w:t>områder</w:t>
      </w:r>
      <w:r>
        <w:rPr>
          <w:spacing w:val="-6"/>
        </w:rPr>
        <w:t> </w:t>
      </w:r>
      <w:r>
        <w:rPr/>
        <w:t>kan</w:t>
      </w:r>
      <w:r>
        <w:rPr>
          <w:spacing w:val="-3"/>
        </w:rPr>
        <w:t> </w:t>
      </w:r>
      <w:r>
        <w:rPr/>
        <w:t>det</w:t>
      </w:r>
      <w:r>
        <w:rPr>
          <w:spacing w:val="-5"/>
        </w:rPr>
        <w:t> </w:t>
      </w:r>
      <w:r>
        <w:rPr/>
        <w:t>ikke</w:t>
      </w:r>
      <w:r>
        <w:rPr>
          <w:spacing w:val="-4"/>
        </w:rPr>
        <w:t> </w:t>
      </w:r>
      <w:r>
        <w:rPr/>
        <w:t>endeligt</w:t>
      </w:r>
      <w:r>
        <w:rPr>
          <w:spacing w:val="-5"/>
        </w:rPr>
        <w:t> </w:t>
      </w:r>
      <w:r>
        <w:rPr/>
        <w:t>afgøres</w:t>
      </w:r>
      <w:r>
        <w:rPr>
          <w:spacing w:val="-4"/>
        </w:rPr>
        <w:t> </w:t>
      </w:r>
      <w:r>
        <w:rPr/>
        <w:t>hvad</w:t>
      </w:r>
      <w:r>
        <w:rPr>
          <w:spacing w:val="-3"/>
        </w:rPr>
        <w:t> </w:t>
      </w:r>
      <w:r>
        <w:rPr/>
        <w:t>forkla- ringen er på denne inkonsistens. Forklaringer kan være såvel mere tætte kloakker i byerne, mere lokal afledning af regnvand (og øget infiltration) til grundvandet fra befæstede arealer, som</w:t>
      </w:r>
      <w:r>
        <w:rPr>
          <w:spacing w:val="-7"/>
        </w:rPr>
        <w:t> </w:t>
      </w:r>
      <w:r>
        <w:rPr/>
        <w:t>modellen</w:t>
      </w:r>
      <w:r>
        <w:rPr>
          <w:spacing w:val="-7"/>
        </w:rPr>
        <w:t> </w:t>
      </w:r>
      <w:r>
        <w:rPr/>
        <w:t>ikke</w:t>
      </w:r>
      <w:r>
        <w:rPr>
          <w:spacing w:val="-8"/>
        </w:rPr>
        <w:t> </w:t>
      </w:r>
      <w:r>
        <w:rPr/>
        <w:t>gøre</w:t>
      </w:r>
      <w:r>
        <w:rPr>
          <w:spacing w:val="-7"/>
        </w:rPr>
        <w:t> </w:t>
      </w:r>
      <w:r>
        <w:rPr/>
        <w:t>rede</w:t>
      </w:r>
      <w:r>
        <w:rPr>
          <w:spacing w:val="-8"/>
        </w:rPr>
        <w:t> </w:t>
      </w:r>
      <w:r>
        <w:rPr/>
        <w:t>for,</w:t>
      </w:r>
      <w:r>
        <w:rPr>
          <w:spacing w:val="-10"/>
        </w:rPr>
        <w:t> </w:t>
      </w:r>
      <w:r>
        <w:rPr/>
        <w:t>fordi</w:t>
      </w:r>
      <w:r>
        <w:rPr>
          <w:spacing w:val="-7"/>
        </w:rPr>
        <w:t> </w:t>
      </w:r>
      <w:r>
        <w:rPr/>
        <w:t>faktorer</w:t>
      </w:r>
      <w:r>
        <w:rPr>
          <w:spacing w:val="-9"/>
        </w:rPr>
        <w:t> </w:t>
      </w:r>
      <w:r>
        <w:rPr/>
        <w:t>som</w:t>
      </w:r>
      <w:r>
        <w:rPr>
          <w:spacing w:val="-6"/>
        </w:rPr>
        <w:t> </w:t>
      </w:r>
      <w:r>
        <w:rPr/>
        <w:t>fx</w:t>
      </w:r>
      <w:r>
        <w:rPr>
          <w:spacing w:val="-8"/>
        </w:rPr>
        <w:t> </w:t>
      </w:r>
      <w:r>
        <w:rPr/>
        <w:t>befæstigelsesgrad</w:t>
      </w:r>
      <w:r>
        <w:rPr>
          <w:spacing w:val="-8"/>
        </w:rPr>
        <w:t> </w:t>
      </w:r>
      <w:r>
        <w:rPr/>
        <w:t>og</w:t>
      </w:r>
      <w:r>
        <w:rPr>
          <w:spacing w:val="-8"/>
        </w:rPr>
        <w:t> </w:t>
      </w:r>
      <w:r>
        <w:rPr/>
        <w:t>dræning</w:t>
      </w:r>
      <w:r>
        <w:rPr>
          <w:spacing w:val="-7"/>
        </w:rPr>
        <w:t> </w:t>
      </w:r>
      <w:r>
        <w:rPr/>
        <w:t>er</w:t>
      </w:r>
      <w:r>
        <w:rPr>
          <w:spacing w:val="-9"/>
        </w:rPr>
        <w:t> </w:t>
      </w:r>
      <w:r>
        <w:rPr/>
        <w:t>kon- stante parametre i modellen. Det samme gælder vinter-Manningtallet i vandløb og sinus- variation.</w:t>
      </w:r>
      <w:r>
        <w:rPr>
          <w:spacing w:val="-9"/>
        </w:rPr>
        <w:t> </w:t>
      </w:r>
      <w:r>
        <w:rPr/>
        <w:t>Det</w:t>
      </w:r>
      <w:r>
        <w:rPr>
          <w:spacing w:val="-9"/>
        </w:rPr>
        <w:t> </w:t>
      </w:r>
      <w:r>
        <w:rPr/>
        <w:t>skal</w:t>
      </w:r>
      <w:r>
        <w:rPr>
          <w:spacing w:val="-6"/>
        </w:rPr>
        <w:t> </w:t>
      </w:r>
      <w:r>
        <w:rPr/>
        <w:t>understreges,</w:t>
      </w:r>
      <w:r>
        <w:rPr>
          <w:spacing w:val="-10"/>
        </w:rPr>
        <w:t> </w:t>
      </w:r>
      <w:r>
        <w:rPr/>
        <w:t>at</w:t>
      </w:r>
      <w:r>
        <w:rPr>
          <w:spacing w:val="-9"/>
        </w:rPr>
        <w:t> </w:t>
      </w:r>
      <w:r>
        <w:rPr/>
        <w:t>den</w:t>
      </w:r>
      <w:r>
        <w:rPr>
          <w:spacing w:val="-7"/>
        </w:rPr>
        <w:t> </w:t>
      </w:r>
      <w:r>
        <w:rPr/>
        <w:t>identificerede</w:t>
      </w:r>
      <w:r>
        <w:rPr>
          <w:spacing w:val="-8"/>
        </w:rPr>
        <w:t> </w:t>
      </w:r>
      <w:r>
        <w:rPr/>
        <w:t>trend</w:t>
      </w:r>
      <w:r>
        <w:rPr>
          <w:spacing w:val="-6"/>
        </w:rPr>
        <w:t> </w:t>
      </w:r>
      <w:r>
        <w:rPr/>
        <w:t>i</w:t>
      </w:r>
      <w:r>
        <w:rPr>
          <w:spacing w:val="-8"/>
        </w:rPr>
        <w:t> </w:t>
      </w:r>
      <w:r>
        <w:rPr/>
        <w:t>forskel</w:t>
      </w:r>
      <w:r>
        <w:rPr>
          <w:spacing w:val="-10"/>
        </w:rPr>
        <w:t> </w:t>
      </w:r>
      <w:r>
        <w:rPr/>
        <w:t>mellem</w:t>
      </w:r>
      <w:r>
        <w:rPr>
          <w:spacing w:val="-8"/>
        </w:rPr>
        <w:t> </w:t>
      </w:r>
      <w:r>
        <w:rPr/>
        <w:t>model</w:t>
      </w:r>
      <w:r>
        <w:rPr>
          <w:spacing w:val="-8"/>
        </w:rPr>
        <w:t> </w:t>
      </w:r>
      <w:r>
        <w:rPr/>
        <w:t>og</w:t>
      </w:r>
      <w:r>
        <w:rPr>
          <w:spacing w:val="-7"/>
        </w:rPr>
        <w:t> </w:t>
      </w:r>
      <w:r>
        <w:rPr/>
        <w:t>obser- vationer og analysemetode ikke er optimal, og man skal derfor være meget varsom med konklusioner, da trenden på grund af forskellige data i kalibrerings- og valideringsperioden skal eftervises ved yderligere undersøgelser. Det ville være en klart stærkere test hvis den var baseret på tidsserier af terrænnære pejlinger og ikke som her diskrete pejlepunkter med blot en enkelt pejling fra enten kalibrerings- eller valideringsperioden. Spørgsmålet er</w:t>
      </w:r>
      <w:r>
        <w:rPr>
          <w:spacing w:val="-40"/>
        </w:rPr>
        <w:t> </w:t>
      </w:r>
      <w:r>
        <w:rPr/>
        <w:t>samti- dig om datagrundlaget og usikkerheder på pejlinger bevirker at den identificerede trend er signifikant.</w:t>
      </w:r>
    </w:p>
    <w:p>
      <w:pPr>
        <w:pStyle w:val="BodyText"/>
        <w:rPr>
          <w:sz w:val="24"/>
        </w:rPr>
      </w:pPr>
    </w:p>
    <w:p>
      <w:pPr>
        <w:pStyle w:val="BodyText"/>
        <w:spacing w:before="5"/>
        <w:rPr>
          <w:sz w:val="26"/>
        </w:rPr>
      </w:pPr>
    </w:p>
    <w:p>
      <w:pPr>
        <w:pStyle w:val="Heading2"/>
        <w:numPr>
          <w:ilvl w:val="1"/>
          <w:numId w:val="17"/>
        </w:numPr>
        <w:tabs>
          <w:tab w:pos="1142" w:val="left" w:leader="none"/>
        </w:tabs>
        <w:spacing w:line="240" w:lineRule="auto" w:before="0" w:after="0"/>
        <w:ind w:left="1142" w:right="0" w:hanging="617"/>
        <w:jc w:val="both"/>
      </w:pPr>
      <w:bookmarkStart w:name="_bookmark166" w:id="209"/>
      <w:bookmarkEnd w:id="209"/>
      <w:r>
        <w:rPr>
          <w:b w:val="0"/>
        </w:rPr>
      </w:r>
      <w:bookmarkStart w:name="_bookmark166" w:id="210"/>
      <w:bookmarkEnd w:id="210"/>
      <w:r>
        <w:rPr/>
        <w:t>D</w:t>
      </w:r>
      <w:r>
        <w:rPr/>
        <w:t>iskussion af opfyldelse af Hypotese</w:t>
      </w:r>
      <w:r>
        <w:rPr>
          <w:spacing w:val="-1"/>
        </w:rPr>
        <w:t> </w:t>
      </w:r>
      <w:r>
        <w:rPr/>
        <w:t>H2</w:t>
      </w:r>
    </w:p>
    <w:p>
      <w:pPr>
        <w:pStyle w:val="Heading5"/>
        <w:spacing w:line="288" w:lineRule="auto" w:before="240"/>
        <w:ind w:right="731"/>
        <w:jc w:val="both"/>
      </w:pPr>
      <w:r>
        <w:rPr>
          <w:i/>
        </w:rPr>
        <w:t>Brug af data om havvandsstand og bygværker i DK-modellen muliggør bedre model- </w:t>
      </w:r>
      <w:r>
        <w:rPr/>
        <w:t>beregninger af vandstand i vandløb. Resultater er evalueret med anvendelse af uaf- hængige vandstandsdata.</w:t>
      </w:r>
    </w:p>
    <w:p>
      <w:pPr>
        <w:pStyle w:val="BodyText"/>
        <w:spacing w:before="3"/>
        <w:rPr>
          <w:b/>
          <w:i/>
          <w:sz w:val="25"/>
        </w:rPr>
      </w:pPr>
    </w:p>
    <w:p>
      <w:pPr>
        <w:pStyle w:val="BodyText"/>
        <w:spacing w:line="288" w:lineRule="auto"/>
        <w:ind w:left="525" w:right="732"/>
        <w:jc w:val="both"/>
      </w:pPr>
      <w:r>
        <w:rPr/>
        <w:t>Inddragelse af nye fysiske vandløbsdata (tværprofiler og bygværker) samt vandstandstids- serier</w:t>
      </w:r>
      <w:r>
        <w:rPr>
          <w:spacing w:val="-17"/>
        </w:rPr>
        <w:t> </w:t>
      </w:r>
      <w:r>
        <w:rPr/>
        <w:t>fra</w:t>
      </w:r>
      <w:r>
        <w:rPr>
          <w:spacing w:val="-13"/>
        </w:rPr>
        <w:t> </w:t>
      </w:r>
      <w:r>
        <w:rPr/>
        <w:t>hav</w:t>
      </w:r>
      <w:r>
        <w:rPr>
          <w:spacing w:val="-15"/>
        </w:rPr>
        <w:t> </w:t>
      </w:r>
      <w:r>
        <w:rPr/>
        <w:t>og</w:t>
      </w:r>
      <w:r>
        <w:rPr>
          <w:spacing w:val="-13"/>
        </w:rPr>
        <w:t> </w:t>
      </w:r>
      <w:r>
        <w:rPr/>
        <w:t>vandløb,</w:t>
      </w:r>
      <w:r>
        <w:rPr>
          <w:spacing w:val="-17"/>
        </w:rPr>
        <w:t> </w:t>
      </w:r>
      <w:r>
        <w:rPr/>
        <w:t>har</w:t>
      </w:r>
      <w:r>
        <w:rPr>
          <w:spacing w:val="-14"/>
        </w:rPr>
        <w:t> </w:t>
      </w:r>
      <w:r>
        <w:rPr/>
        <w:t>vist</w:t>
      </w:r>
      <w:r>
        <w:rPr>
          <w:spacing w:val="-14"/>
        </w:rPr>
        <w:t> </w:t>
      </w:r>
      <w:r>
        <w:rPr/>
        <w:t>sig</w:t>
      </w:r>
      <w:r>
        <w:rPr>
          <w:spacing w:val="-13"/>
        </w:rPr>
        <w:t> </w:t>
      </w:r>
      <w:r>
        <w:rPr/>
        <w:t>særdeles</w:t>
      </w:r>
      <w:r>
        <w:rPr>
          <w:spacing w:val="-13"/>
        </w:rPr>
        <w:t> </w:t>
      </w:r>
      <w:r>
        <w:rPr/>
        <w:t>effektive</w:t>
      </w:r>
      <w:r>
        <w:rPr>
          <w:spacing w:val="-13"/>
        </w:rPr>
        <w:t> </w:t>
      </w:r>
      <w:r>
        <w:rPr/>
        <w:t>til</w:t>
      </w:r>
      <w:r>
        <w:rPr>
          <w:spacing w:val="-16"/>
        </w:rPr>
        <w:t> </w:t>
      </w:r>
      <w:r>
        <w:rPr/>
        <w:t>kalibrering</w:t>
      </w:r>
      <w:r>
        <w:rPr>
          <w:spacing w:val="-13"/>
        </w:rPr>
        <w:t> </w:t>
      </w:r>
      <w:r>
        <w:rPr/>
        <w:t>af</w:t>
      </w:r>
      <w:r>
        <w:rPr>
          <w:spacing w:val="-12"/>
        </w:rPr>
        <w:t> </w:t>
      </w:r>
      <w:r>
        <w:rPr/>
        <w:t>den</w:t>
      </w:r>
      <w:r>
        <w:rPr>
          <w:spacing w:val="-13"/>
        </w:rPr>
        <w:t> </w:t>
      </w:r>
      <w:r>
        <w:rPr/>
        <w:t>hydrodynamiske model.</w:t>
      </w:r>
      <w:r>
        <w:rPr>
          <w:spacing w:val="-13"/>
        </w:rPr>
        <w:t> </w:t>
      </w:r>
      <w:r>
        <w:rPr/>
        <w:t>Herved</w:t>
      </w:r>
      <w:r>
        <w:rPr>
          <w:spacing w:val="-13"/>
        </w:rPr>
        <w:t> </w:t>
      </w:r>
      <w:r>
        <w:rPr/>
        <w:t>er</w:t>
      </w:r>
      <w:r>
        <w:rPr>
          <w:spacing w:val="-11"/>
        </w:rPr>
        <w:t> </w:t>
      </w:r>
      <w:r>
        <w:rPr/>
        <w:t>det</w:t>
      </w:r>
      <w:r>
        <w:rPr>
          <w:spacing w:val="-12"/>
        </w:rPr>
        <w:t> </w:t>
      </w:r>
      <w:r>
        <w:rPr/>
        <w:t>lykkedes</w:t>
      </w:r>
      <w:r>
        <w:rPr>
          <w:spacing w:val="-13"/>
        </w:rPr>
        <w:t> </w:t>
      </w:r>
      <w:r>
        <w:rPr/>
        <w:t>at</w:t>
      </w:r>
      <w:r>
        <w:rPr>
          <w:spacing w:val="-12"/>
        </w:rPr>
        <w:t> </w:t>
      </w:r>
      <w:r>
        <w:rPr/>
        <w:t>videreudvikle</w:t>
      </w:r>
      <w:r>
        <w:rPr>
          <w:spacing w:val="-8"/>
        </w:rPr>
        <w:t> </w:t>
      </w:r>
      <w:r>
        <w:rPr/>
        <w:t>DK-model</w:t>
      </w:r>
      <w:r>
        <w:rPr>
          <w:spacing w:val="-9"/>
        </w:rPr>
        <w:t> </w:t>
      </w:r>
      <w:r>
        <w:rPr/>
        <w:t>så</w:t>
      </w:r>
      <w:r>
        <w:rPr>
          <w:spacing w:val="-13"/>
        </w:rPr>
        <w:t> </w:t>
      </w:r>
      <w:r>
        <w:rPr/>
        <w:t>den</w:t>
      </w:r>
      <w:r>
        <w:rPr>
          <w:spacing w:val="-11"/>
        </w:rPr>
        <w:t> </w:t>
      </w:r>
      <w:r>
        <w:rPr/>
        <w:t>(for</w:t>
      </w:r>
      <w:r>
        <w:rPr>
          <w:spacing w:val="-14"/>
        </w:rPr>
        <w:t> </w:t>
      </w:r>
      <w:r>
        <w:rPr/>
        <w:t>første</w:t>
      </w:r>
      <w:r>
        <w:rPr>
          <w:spacing w:val="-13"/>
        </w:rPr>
        <w:t> </w:t>
      </w:r>
      <w:r>
        <w:rPr/>
        <w:t>gang)</w:t>
      </w:r>
      <w:r>
        <w:rPr>
          <w:spacing w:val="-11"/>
        </w:rPr>
        <w:t> </w:t>
      </w:r>
      <w:r>
        <w:rPr/>
        <w:t>har</w:t>
      </w:r>
      <w:r>
        <w:rPr>
          <w:spacing w:val="-14"/>
        </w:rPr>
        <w:t> </w:t>
      </w:r>
      <w:r>
        <w:rPr/>
        <w:t>kunnet anvendes til vurdering af oversvømmelser fra vandløb og mere detaljeret modellering og nedskalering af dybde til terrænnært</w:t>
      </w:r>
      <w:r>
        <w:rPr>
          <w:spacing w:val="-4"/>
        </w:rPr>
        <w:t> </w:t>
      </w:r>
      <w:r>
        <w:rPr/>
        <w:t>grundvand.</w:t>
      </w:r>
    </w:p>
    <w:p>
      <w:pPr>
        <w:pStyle w:val="BodyText"/>
        <w:spacing w:before="1"/>
        <w:rPr>
          <w:sz w:val="25"/>
        </w:rPr>
      </w:pPr>
    </w:p>
    <w:p>
      <w:pPr>
        <w:pStyle w:val="BodyText"/>
        <w:spacing w:line="288" w:lineRule="auto"/>
        <w:ind w:left="525" w:right="731"/>
        <w:jc w:val="both"/>
      </w:pPr>
      <w:r>
        <w:rPr/>
        <w:t>Den kalibrerede model udgør et stærkt værktøj og har et stort potentiale til screening og overvågning af vandføringsevnen i vandløb. Der er påvist en generel trend i vandstanden som</w:t>
      </w:r>
      <w:r>
        <w:rPr>
          <w:spacing w:val="-7"/>
        </w:rPr>
        <w:t> </w:t>
      </w:r>
      <w:r>
        <w:rPr/>
        <w:t>formentlig</w:t>
      </w:r>
      <w:r>
        <w:rPr>
          <w:spacing w:val="-8"/>
        </w:rPr>
        <w:t> </w:t>
      </w:r>
      <w:r>
        <w:rPr/>
        <w:t>skyldes</w:t>
      </w:r>
      <w:r>
        <w:rPr>
          <w:spacing w:val="-7"/>
        </w:rPr>
        <w:t> </w:t>
      </w:r>
      <w:r>
        <w:rPr/>
        <w:t>en</w:t>
      </w:r>
      <w:r>
        <w:rPr>
          <w:spacing w:val="-9"/>
        </w:rPr>
        <w:t> </w:t>
      </w:r>
      <w:r>
        <w:rPr/>
        <w:t>reduceret</w:t>
      </w:r>
      <w:r>
        <w:rPr>
          <w:spacing w:val="-10"/>
        </w:rPr>
        <w:t> </w:t>
      </w:r>
      <w:r>
        <w:rPr/>
        <w:t>vandføringsevnen</w:t>
      </w:r>
      <w:r>
        <w:rPr>
          <w:spacing w:val="-7"/>
        </w:rPr>
        <w:t> </w:t>
      </w:r>
      <w:r>
        <w:rPr/>
        <w:t>(vintersituationen)</w:t>
      </w:r>
      <w:r>
        <w:rPr>
          <w:spacing w:val="-8"/>
        </w:rPr>
        <w:t> </w:t>
      </w:r>
      <w:r>
        <w:rPr/>
        <w:t>ved</w:t>
      </w:r>
      <w:r>
        <w:rPr>
          <w:spacing w:val="-9"/>
        </w:rPr>
        <w:t> </w:t>
      </w:r>
      <w:r>
        <w:rPr/>
        <w:t>flere</w:t>
      </w:r>
      <w:r>
        <w:rPr>
          <w:spacing w:val="-8"/>
        </w:rPr>
        <w:t> </w:t>
      </w:r>
      <w:r>
        <w:rPr/>
        <w:t>stationer i Storå, Odense Å og Stavis å hen over kalibrerings- og valideringsperioden. Denne trend peger på, at ’vintervandføringsevnen’ er i fortsat udvikling over tid (jf. resultater fra valide- ringsperioden som viser højere målte vandstande i forhold til modelsimuleringer, i forhold til kalibreringsperioden hvor forskellen er</w:t>
      </w:r>
      <w:r>
        <w:rPr>
          <w:spacing w:val="-9"/>
        </w:rPr>
        <w:t> </w:t>
      </w:r>
      <w:r>
        <w:rPr/>
        <w:t>mindre).</w:t>
      </w:r>
    </w:p>
    <w:p>
      <w:pPr>
        <w:pStyle w:val="BodyText"/>
        <w:spacing w:before="3"/>
        <w:rPr>
          <w:sz w:val="25"/>
        </w:rPr>
      </w:pPr>
    </w:p>
    <w:p>
      <w:pPr>
        <w:pStyle w:val="BodyText"/>
        <w:spacing w:line="288" w:lineRule="auto"/>
        <w:ind w:left="525" w:right="728"/>
        <w:jc w:val="both"/>
      </w:pPr>
      <w:r>
        <w:rPr/>
        <w:t>Samtidig vurderes det, at supplerende ’kampagne’ målinger fra udvalgte events med obser- vationer af vandstanden ned gennem vandløbet fx ved store afstrømninger (som analyse- rede event for december 2015), er nødvendige såfremt man skal kunne forbedre kalibrerin- gen af modellen i forhold til Manningtal og tryktab i vandløbet (indsnævringer, sving mm.).</w:t>
      </w:r>
    </w:p>
    <w:p>
      <w:pPr>
        <w:pStyle w:val="BodyText"/>
        <w:spacing w:before="3"/>
        <w:rPr>
          <w:sz w:val="25"/>
        </w:rPr>
      </w:pPr>
    </w:p>
    <w:p>
      <w:pPr>
        <w:pStyle w:val="BodyText"/>
        <w:spacing w:line="288" w:lineRule="auto" w:before="1"/>
        <w:ind w:left="525" w:right="734"/>
        <w:jc w:val="both"/>
      </w:pPr>
      <w:r>
        <w:rPr/>
        <w:t>En sådan kalibrering vil samtidig give meget væsentligt forbedrede modelsimuleringer </w:t>
      </w:r>
      <w:r>
        <w:rPr>
          <w:spacing w:val="-3"/>
        </w:rPr>
        <w:t>af </w:t>
      </w:r>
      <w:r>
        <w:rPr/>
        <w:t>vandstande</w:t>
      </w:r>
      <w:r>
        <w:rPr>
          <w:spacing w:val="-7"/>
        </w:rPr>
        <w:t> </w:t>
      </w:r>
      <w:r>
        <w:rPr/>
        <w:t>i</w:t>
      </w:r>
      <w:r>
        <w:rPr>
          <w:spacing w:val="-5"/>
        </w:rPr>
        <w:t> </w:t>
      </w:r>
      <w:r>
        <w:rPr/>
        <w:t>vandløbet</w:t>
      </w:r>
      <w:r>
        <w:rPr>
          <w:spacing w:val="-8"/>
        </w:rPr>
        <w:t> </w:t>
      </w:r>
      <w:r>
        <w:rPr/>
        <w:t>og</w:t>
      </w:r>
      <w:r>
        <w:rPr>
          <w:spacing w:val="-8"/>
        </w:rPr>
        <w:t> </w:t>
      </w:r>
      <w:r>
        <w:rPr/>
        <w:t>dermed</w:t>
      </w:r>
      <w:r>
        <w:rPr>
          <w:spacing w:val="-8"/>
        </w:rPr>
        <w:t> </w:t>
      </w:r>
      <w:r>
        <w:rPr/>
        <w:t>muligheder</w:t>
      </w:r>
      <w:r>
        <w:rPr>
          <w:spacing w:val="-10"/>
        </w:rPr>
        <w:t> </w:t>
      </w:r>
      <w:r>
        <w:rPr/>
        <w:t>for</w:t>
      </w:r>
      <w:r>
        <w:rPr>
          <w:spacing w:val="-7"/>
        </w:rPr>
        <w:t> </w:t>
      </w:r>
      <w:r>
        <w:rPr/>
        <w:t>vurdering</w:t>
      </w:r>
      <w:r>
        <w:rPr>
          <w:spacing w:val="-6"/>
        </w:rPr>
        <w:t> </w:t>
      </w:r>
      <w:r>
        <w:rPr/>
        <w:t>af</w:t>
      </w:r>
      <w:r>
        <w:rPr>
          <w:spacing w:val="-6"/>
        </w:rPr>
        <w:t> </w:t>
      </w:r>
      <w:r>
        <w:rPr/>
        <w:t>risiko</w:t>
      </w:r>
      <w:r>
        <w:rPr>
          <w:spacing w:val="-8"/>
        </w:rPr>
        <w:t> </w:t>
      </w:r>
      <w:r>
        <w:rPr/>
        <w:t>for</w:t>
      </w:r>
      <w:r>
        <w:rPr>
          <w:spacing w:val="-7"/>
        </w:rPr>
        <w:t> </w:t>
      </w:r>
      <w:r>
        <w:rPr/>
        <w:t>oversvømmelser</w:t>
      </w:r>
      <w:r>
        <w:rPr>
          <w:spacing w:val="-10"/>
        </w:rPr>
        <w:t> </w:t>
      </w:r>
      <w:r>
        <w:rPr/>
        <w:t>fra vandløb og udbredelse af høje vandstande fra vandløb ud i terrænet (det samme gælder i øvrigt udbredelsen af terrænnære</w:t>
      </w:r>
      <w:r>
        <w:rPr>
          <w:spacing w:val="-5"/>
        </w:rPr>
        <w:t> </w:t>
      </w:r>
      <w:r>
        <w:rPr/>
        <w:t>grundvandstande).</w:t>
      </w:r>
    </w:p>
    <w:p>
      <w:pPr>
        <w:spacing w:after="0" w:line="288" w:lineRule="auto"/>
        <w:jc w:val="both"/>
        <w:sectPr>
          <w:pgSz w:w="11910" w:h="16850"/>
          <w:pgMar w:header="0" w:footer="857" w:top="1340" w:bottom="1120" w:left="1460" w:right="680"/>
        </w:sectPr>
      </w:pPr>
    </w:p>
    <w:p>
      <w:pPr>
        <w:pStyle w:val="BodyText"/>
        <w:spacing w:line="288" w:lineRule="auto" w:before="75"/>
        <w:ind w:left="525" w:right="730"/>
        <w:jc w:val="both"/>
      </w:pPr>
      <w:r>
        <w:rPr/>
        <w:t>Den kalibrerede model har kunne opfylde de krav der var opstillet af interessenterne forud for kalibreringen (hvor der til screeningsformål ønskede en nøjagtighed på ca. 20 cm på simuleret vandstand), ved de målestationer hvor der forelå vandstandsobservationer. Des- værre er det ikke lykkedes at opnå en tilsvarende performance for alle stationer i peakflow situationen.</w:t>
      </w:r>
      <w:r>
        <w:rPr>
          <w:spacing w:val="-5"/>
        </w:rPr>
        <w:t> </w:t>
      </w:r>
      <w:r>
        <w:rPr/>
        <w:t>For</w:t>
      </w:r>
      <w:r>
        <w:rPr>
          <w:spacing w:val="-4"/>
        </w:rPr>
        <w:t> </w:t>
      </w:r>
      <w:r>
        <w:rPr/>
        <w:t>de</w:t>
      </w:r>
      <w:r>
        <w:rPr>
          <w:spacing w:val="-2"/>
        </w:rPr>
        <w:t> </w:t>
      </w:r>
      <w:r>
        <w:rPr/>
        <w:t>udtræksdage</w:t>
      </w:r>
      <w:r>
        <w:rPr>
          <w:spacing w:val="-4"/>
        </w:rPr>
        <w:t> </w:t>
      </w:r>
      <w:r>
        <w:rPr/>
        <w:t>(fx</w:t>
      </w:r>
      <w:r>
        <w:rPr>
          <w:spacing w:val="-3"/>
        </w:rPr>
        <w:t> </w:t>
      </w:r>
      <w:r>
        <w:rPr/>
        <w:t>9.</w:t>
      </w:r>
      <w:r>
        <w:rPr>
          <w:spacing w:val="-5"/>
        </w:rPr>
        <w:t> </w:t>
      </w:r>
      <w:r>
        <w:rPr/>
        <w:t>december)</w:t>
      </w:r>
      <w:r>
        <w:rPr>
          <w:spacing w:val="-5"/>
        </w:rPr>
        <w:t> </w:t>
      </w:r>
      <w:r>
        <w:rPr/>
        <w:t>var</w:t>
      </w:r>
      <w:r>
        <w:rPr>
          <w:spacing w:val="-3"/>
        </w:rPr>
        <w:t> </w:t>
      </w:r>
      <w:r>
        <w:rPr/>
        <w:t>nøjagtigheden</w:t>
      </w:r>
      <w:r>
        <w:rPr>
          <w:spacing w:val="-4"/>
        </w:rPr>
        <w:t> </w:t>
      </w:r>
      <w:r>
        <w:rPr/>
        <w:t>for</w:t>
      </w:r>
      <w:r>
        <w:rPr>
          <w:spacing w:val="-3"/>
        </w:rPr>
        <w:t> </w:t>
      </w:r>
      <w:r>
        <w:rPr/>
        <w:t>langt</w:t>
      </w:r>
      <w:r>
        <w:rPr>
          <w:spacing w:val="-4"/>
        </w:rPr>
        <w:t> </w:t>
      </w:r>
      <w:r>
        <w:rPr/>
        <w:t>de</w:t>
      </w:r>
      <w:r>
        <w:rPr>
          <w:spacing w:val="-4"/>
        </w:rPr>
        <w:t> </w:t>
      </w:r>
      <w:r>
        <w:rPr/>
        <w:t>fleste</w:t>
      </w:r>
      <w:r>
        <w:rPr>
          <w:spacing w:val="-3"/>
        </w:rPr>
        <w:t> </w:t>
      </w:r>
      <w:r>
        <w:rPr/>
        <w:t>stati- oner</w:t>
      </w:r>
      <w:r>
        <w:rPr>
          <w:spacing w:val="-5"/>
        </w:rPr>
        <w:t> </w:t>
      </w:r>
      <w:r>
        <w:rPr/>
        <w:t>i</w:t>
      </w:r>
      <w:r>
        <w:rPr>
          <w:spacing w:val="-3"/>
        </w:rPr>
        <w:t> </w:t>
      </w:r>
      <w:r>
        <w:rPr/>
        <w:t>størrelsesordenen</w:t>
      </w:r>
      <w:r>
        <w:rPr>
          <w:spacing w:val="-4"/>
        </w:rPr>
        <w:t> </w:t>
      </w:r>
      <w:r>
        <w:rPr/>
        <w:t>20-30</w:t>
      </w:r>
      <w:r>
        <w:rPr>
          <w:spacing w:val="-3"/>
        </w:rPr>
        <w:t> </w:t>
      </w:r>
      <w:r>
        <w:rPr/>
        <w:t>cm.</w:t>
      </w:r>
      <w:r>
        <w:rPr>
          <w:spacing w:val="-6"/>
        </w:rPr>
        <w:t> </w:t>
      </w:r>
      <w:r>
        <w:rPr/>
        <w:t>En</w:t>
      </w:r>
      <w:r>
        <w:rPr>
          <w:spacing w:val="-4"/>
        </w:rPr>
        <w:t> </w:t>
      </w:r>
      <w:r>
        <w:rPr/>
        <w:t>analyse</w:t>
      </w:r>
      <w:r>
        <w:rPr>
          <w:spacing w:val="-5"/>
        </w:rPr>
        <w:t> </w:t>
      </w:r>
      <w:r>
        <w:rPr/>
        <w:t>af</w:t>
      </w:r>
      <w:r>
        <w:rPr>
          <w:spacing w:val="-2"/>
        </w:rPr>
        <w:t> </w:t>
      </w:r>
      <w:r>
        <w:rPr/>
        <w:t>sensitivitet</w:t>
      </w:r>
      <w:r>
        <w:rPr>
          <w:spacing w:val="-6"/>
        </w:rPr>
        <w:t> </w:t>
      </w:r>
      <w:r>
        <w:rPr/>
        <w:t>i</w:t>
      </w:r>
      <w:r>
        <w:rPr>
          <w:spacing w:val="-3"/>
        </w:rPr>
        <w:t> </w:t>
      </w:r>
      <w:r>
        <w:rPr/>
        <w:t>forhold</w:t>
      </w:r>
      <w:r>
        <w:rPr>
          <w:spacing w:val="-5"/>
        </w:rPr>
        <w:t> </w:t>
      </w:r>
      <w:r>
        <w:rPr/>
        <w:t>til</w:t>
      </w:r>
      <w:r>
        <w:rPr>
          <w:spacing w:val="-3"/>
        </w:rPr>
        <w:t> </w:t>
      </w:r>
      <w:r>
        <w:rPr/>
        <w:t>udbredelse</w:t>
      </w:r>
      <w:r>
        <w:rPr>
          <w:spacing w:val="-5"/>
        </w:rPr>
        <w:t> </w:t>
      </w:r>
      <w:r>
        <w:rPr/>
        <w:t>i</w:t>
      </w:r>
      <w:r>
        <w:rPr>
          <w:spacing w:val="-3"/>
        </w:rPr>
        <w:t> </w:t>
      </w:r>
      <w:r>
        <w:rPr/>
        <w:t>terræn viser at en fejl på 20 cm giver en relativ acceptabel udpegning af arealer med udbredelse af vand</w:t>
      </w:r>
      <w:r>
        <w:rPr>
          <w:spacing w:val="-12"/>
        </w:rPr>
        <w:t> </w:t>
      </w:r>
      <w:r>
        <w:rPr/>
        <w:t>i/på</w:t>
      </w:r>
      <w:r>
        <w:rPr>
          <w:spacing w:val="-11"/>
        </w:rPr>
        <w:t> </w:t>
      </w:r>
      <w:r>
        <w:rPr/>
        <w:t>terræn,</w:t>
      </w:r>
      <w:r>
        <w:rPr>
          <w:spacing w:val="-13"/>
        </w:rPr>
        <w:t> </w:t>
      </w:r>
      <w:r>
        <w:rPr/>
        <w:t>hvorimod</w:t>
      </w:r>
      <w:r>
        <w:rPr>
          <w:spacing w:val="-12"/>
        </w:rPr>
        <w:t> </w:t>
      </w:r>
      <w:r>
        <w:rPr/>
        <w:t>fejl</w:t>
      </w:r>
      <w:r>
        <w:rPr>
          <w:spacing w:val="-13"/>
        </w:rPr>
        <w:t> </w:t>
      </w:r>
      <w:r>
        <w:rPr/>
        <w:t>på</w:t>
      </w:r>
      <w:r>
        <w:rPr>
          <w:spacing w:val="-12"/>
        </w:rPr>
        <w:t> </w:t>
      </w:r>
      <w:r>
        <w:rPr/>
        <w:t>50</w:t>
      </w:r>
      <w:r>
        <w:rPr>
          <w:spacing w:val="-12"/>
        </w:rPr>
        <w:t> </w:t>
      </w:r>
      <w:r>
        <w:rPr/>
        <w:t>cm</w:t>
      </w:r>
      <w:r>
        <w:rPr>
          <w:spacing w:val="-10"/>
        </w:rPr>
        <w:t> </w:t>
      </w:r>
      <w:r>
        <w:rPr/>
        <w:t>vil</w:t>
      </w:r>
      <w:r>
        <w:rPr>
          <w:spacing w:val="-13"/>
        </w:rPr>
        <w:t> </w:t>
      </w:r>
      <w:r>
        <w:rPr/>
        <w:t>give</w:t>
      </w:r>
      <w:r>
        <w:rPr>
          <w:spacing w:val="-12"/>
        </w:rPr>
        <w:t> </w:t>
      </w:r>
      <w:r>
        <w:rPr/>
        <w:t>noget</w:t>
      </w:r>
      <w:r>
        <w:rPr>
          <w:spacing w:val="-13"/>
        </w:rPr>
        <w:t> </w:t>
      </w:r>
      <w:r>
        <w:rPr/>
        <w:t>større</w:t>
      </w:r>
      <w:r>
        <w:rPr>
          <w:spacing w:val="-13"/>
        </w:rPr>
        <w:t> </w:t>
      </w:r>
      <w:r>
        <w:rPr/>
        <w:t>udbredelse</w:t>
      </w:r>
      <w:r>
        <w:rPr>
          <w:spacing w:val="-12"/>
        </w:rPr>
        <w:t> </w:t>
      </w:r>
      <w:r>
        <w:rPr/>
        <w:t>af</w:t>
      </w:r>
      <w:r>
        <w:rPr>
          <w:spacing w:val="-11"/>
        </w:rPr>
        <w:t> </w:t>
      </w:r>
      <w:r>
        <w:rPr/>
        <w:t>oversvømmelser.</w:t>
      </w:r>
    </w:p>
    <w:p>
      <w:pPr>
        <w:pStyle w:val="BodyText"/>
        <w:spacing w:before="1"/>
        <w:rPr>
          <w:sz w:val="25"/>
        </w:rPr>
      </w:pPr>
    </w:p>
    <w:p>
      <w:pPr>
        <w:pStyle w:val="BodyText"/>
        <w:spacing w:line="288" w:lineRule="auto"/>
        <w:ind w:left="525" w:right="732"/>
        <w:jc w:val="both"/>
      </w:pPr>
      <w:r>
        <w:rPr/>
        <w:t>En del af forklaringen på afvigelser i vandstand ved bestemte stationer er usikkerheden på simuleret</w:t>
      </w:r>
      <w:r>
        <w:rPr>
          <w:spacing w:val="-8"/>
        </w:rPr>
        <w:t> </w:t>
      </w:r>
      <w:r>
        <w:rPr/>
        <w:t>vandføring.</w:t>
      </w:r>
      <w:r>
        <w:rPr>
          <w:spacing w:val="-7"/>
        </w:rPr>
        <w:t> </w:t>
      </w:r>
      <w:r>
        <w:rPr/>
        <w:t>Valideringstest</w:t>
      </w:r>
      <w:r>
        <w:rPr>
          <w:spacing w:val="-7"/>
        </w:rPr>
        <w:t> </w:t>
      </w:r>
      <w:r>
        <w:rPr/>
        <w:t>for</w:t>
      </w:r>
      <w:r>
        <w:rPr>
          <w:spacing w:val="-6"/>
        </w:rPr>
        <w:t> </w:t>
      </w:r>
      <w:r>
        <w:rPr/>
        <w:t>vandføring</w:t>
      </w:r>
      <w:r>
        <w:rPr>
          <w:spacing w:val="-8"/>
        </w:rPr>
        <w:t> </w:t>
      </w:r>
      <w:r>
        <w:rPr/>
        <w:t>gav</w:t>
      </w:r>
      <w:r>
        <w:rPr>
          <w:spacing w:val="-8"/>
        </w:rPr>
        <w:t> </w:t>
      </w:r>
      <w:r>
        <w:rPr/>
        <w:t>generelt</w:t>
      </w:r>
      <w:r>
        <w:rPr>
          <w:spacing w:val="-6"/>
        </w:rPr>
        <w:t> </w:t>
      </w:r>
      <w:r>
        <w:rPr/>
        <w:t>gode</w:t>
      </w:r>
      <w:r>
        <w:rPr>
          <w:spacing w:val="-6"/>
        </w:rPr>
        <w:t> </w:t>
      </w:r>
      <w:r>
        <w:rPr/>
        <w:t>og</w:t>
      </w:r>
      <w:r>
        <w:rPr>
          <w:spacing w:val="-6"/>
        </w:rPr>
        <w:t> </w:t>
      </w:r>
      <w:r>
        <w:rPr/>
        <w:t>tilfredsstillende</w:t>
      </w:r>
      <w:r>
        <w:rPr>
          <w:spacing w:val="-5"/>
        </w:rPr>
        <w:t> </w:t>
      </w:r>
      <w:r>
        <w:rPr/>
        <w:t>re- sultater for Storå for perioden 2009-2015 i forhold til vandbalance kriterier (NSE, FBal og Fbal-Sommer),</w:t>
      </w:r>
      <w:r>
        <w:rPr>
          <w:spacing w:val="-5"/>
        </w:rPr>
        <w:t> </w:t>
      </w:r>
      <w:r>
        <w:rPr/>
        <w:t>men</w:t>
      </w:r>
      <w:r>
        <w:rPr>
          <w:spacing w:val="-3"/>
        </w:rPr>
        <w:t> </w:t>
      </w:r>
      <w:r>
        <w:rPr/>
        <w:t>for</w:t>
      </w:r>
      <w:r>
        <w:rPr>
          <w:spacing w:val="-3"/>
        </w:rPr>
        <w:t> </w:t>
      </w:r>
      <w:r>
        <w:rPr/>
        <w:t>eventdata</w:t>
      </w:r>
      <w:r>
        <w:rPr>
          <w:spacing w:val="-3"/>
        </w:rPr>
        <w:t> </w:t>
      </w:r>
      <w:r>
        <w:rPr/>
        <w:t>fra</w:t>
      </w:r>
      <w:r>
        <w:rPr>
          <w:spacing w:val="-4"/>
        </w:rPr>
        <w:t> </w:t>
      </w:r>
      <w:r>
        <w:rPr/>
        <w:t>december</w:t>
      </w:r>
      <w:r>
        <w:rPr>
          <w:spacing w:val="-3"/>
        </w:rPr>
        <w:t> </w:t>
      </w:r>
      <w:r>
        <w:rPr/>
        <w:t>2015</w:t>
      </w:r>
      <w:r>
        <w:rPr>
          <w:spacing w:val="-3"/>
        </w:rPr>
        <w:t> </w:t>
      </w:r>
      <w:r>
        <w:rPr/>
        <w:t>blev</w:t>
      </w:r>
      <w:r>
        <w:rPr>
          <w:spacing w:val="-5"/>
        </w:rPr>
        <w:t> </w:t>
      </w:r>
      <w:r>
        <w:rPr/>
        <w:t>der</w:t>
      </w:r>
      <w:r>
        <w:rPr>
          <w:spacing w:val="-4"/>
        </w:rPr>
        <w:t> </w:t>
      </w:r>
      <w:r>
        <w:rPr/>
        <w:t>konstateret</w:t>
      </w:r>
      <w:r>
        <w:rPr>
          <w:spacing w:val="-4"/>
        </w:rPr>
        <w:t> </w:t>
      </w:r>
      <w:r>
        <w:rPr/>
        <w:t>noget</w:t>
      </w:r>
      <w:r>
        <w:rPr>
          <w:spacing w:val="-4"/>
        </w:rPr>
        <w:t> </w:t>
      </w:r>
      <w:r>
        <w:rPr/>
        <w:t>større</w:t>
      </w:r>
      <w:r>
        <w:rPr>
          <w:spacing w:val="-3"/>
        </w:rPr>
        <w:t> </w:t>
      </w:r>
      <w:r>
        <w:rPr/>
        <w:t>afvi- gelser i vandføringen 7.-9. december i Storå, hvis forklaring ikke er entydig. En mulig forkla- ring er usikkerheder på størrelsen af den målte nedbør. En anden mulig forklaring er usik- kerheder på omfanget af regulering af afløbet fra Vandkraftsøen som kan spille ind i event- situationer men som i valideringstest for en længere årrække har mindre</w:t>
      </w:r>
      <w:r>
        <w:rPr>
          <w:spacing w:val="-20"/>
        </w:rPr>
        <w:t> </w:t>
      </w:r>
      <w:r>
        <w:rPr/>
        <w:t>betydning.</w:t>
      </w:r>
    </w:p>
    <w:p>
      <w:pPr>
        <w:pStyle w:val="BodyText"/>
        <w:spacing w:before="3"/>
        <w:rPr>
          <w:sz w:val="25"/>
        </w:rPr>
      </w:pPr>
    </w:p>
    <w:p>
      <w:pPr>
        <w:pStyle w:val="BodyText"/>
        <w:spacing w:line="288" w:lineRule="auto" w:before="1"/>
        <w:ind w:left="525" w:right="731"/>
        <w:jc w:val="both"/>
      </w:pPr>
      <w:r>
        <w:rPr/>
        <w:t>Tilsvarende var resultater for Odense Å heller ikke tilfredsstillende mht. til performance i for- hold til simuleret vandføring, hvor valideringsperioden har væsentlig dårligere performance i forhold til kalibreringsperioden. En omkalibrering ud fra valideringsperioden kunne være en løsning hvis performance skal forbedres. Samtidig har modellen væsentlige problemer med simulering af vandstanden i Stavis å (pga. vandløbsrestaurering, som ser ud til at have æn- dret vandføringsevnen mellem kalibrerings- og valideringsperioden).</w:t>
      </w:r>
    </w:p>
    <w:p>
      <w:pPr>
        <w:pStyle w:val="BodyText"/>
        <w:spacing w:before="1"/>
        <w:rPr>
          <w:sz w:val="25"/>
        </w:rPr>
      </w:pPr>
    </w:p>
    <w:p>
      <w:pPr>
        <w:pStyle w:val="BodyText"/>
        <w:spacing w:line="288" w:lineRule="auto"/>
        <w:ind w:left="525" w:right="731"/>
        <w:jc w:val="both"/>
      </w:pPr>
      <w:r>
        <w:rPr/>
        <w:t>En</w:t>
      </w:r>
      <w:r>
        <w:rPr>
          <w:spacing w:val="-13"/>
        </w:rPr>
        <w:t> </w:t>
      </w:r>
      <w:r>
        <w:rPr/>
        <w:t>analyse</w:t>
      </w:r>
      <w:r>
        <w:rPr>
          <w:spacing w:val="-14"/>
        </w:rPr>
        <w:t> </w:t>
      </w:r>
      <w:r>
        <w:rPr/>
        <w:t>af</w:t>
      </w:r>
      <w:r>
        <w:rPr>
          <w:spacing w:val="-12"/>
        </w:rPr>
        <w:t> </w:t>
      </w:r>
      <w:r>
        <w:rPr/>
        <w:t>vandbalancefejlen</w:t>
      </w:r>
      <w:r>
        <w:rPr>
          <w:spacing w:val="-13"/>
        </w:rPr>
        <w:t> </w:t>
      </w:r>
      <w:r>
        <w:rPr/>
        <w:t>for</w:t>
      </w:r>
      <w:r>
        <w:rPr>
          <w:spacing w:val="-14"/>
        </w:rPr>
        <w:t> </w:t>
      </w:r>
      <w:r>
        <w:rPr/>
        <w:t>hhv.</w:t>
      </w:r>
      <w:r>
        <w:rPr>
          <w:spacing w:val="-14"/>
        </w:rPr>
        <w:t> </w:t>
      </w:r>
      <w:r>
        <w:rPr/>
        <w:t>kalibrerings-</w:t>
      </w:r>
      <w:r>
        <w:rPr>
          <w:spacing w:val="-14"/>
        </w:rPr>
        <w:t> </w:t>
      </w:r>
      <w:r>
        <w:rPr/>
        <w:t>og</w:t>
      </w:r>
      <w:r>
        <w:rPr>
          <w:spacing w:val="-13"/>
        </w:rPr>
        <w:t> </w:t>
      </w:r>
      <w:r>
        <w:rPr/>
        <w:t>valideringsperioden</w:t>
      </w:r>
      <w:r>
        <w:rPr>
          <w:spacing w:val="-13"/>
        </w:rPr>
        <w:t> </w:t>
      </w:r>
      <w:r>
        <w:rPr/>
        <w:t>for</w:t>
      </w:r>
      <w:r>
        <w:rPr>
          <w:spacing w:val="-14"/>
        </w:rPr>
        <w:t> </w:t>
      </w:r>
      <w:r>
        <w:rPr/>
        <w:t>de</w:t>
      </w:r>
      <w:r>
        <w:rPr>
          <w:spacing w:val="-13"/>
        </w:rPr>
        <w:t> </w:t>
      </w:r>
      <w:r>
        <w:rPr/>
        <w:t>nederste stationer</w:t>
      </w:r>
      <w:r>
        <w:rPr>
          <w:spacing w:val="-11"/>
        </w:rPr>
        <w:t> </w:t>
      </w:r>
      <w:r>
        <w:rPr/>
        <w:t>i</w:t>
      </w:r>
      <w:r>
        <w:rPr>
          <w:spacing w:val="-10"/>
        </w:rPr>
        <w:t> </w:t>
      </w:r>
      <w:r>
        <w:rPr/>
        <w:t>Odense</w:t>
      </w:r>
      <w:r>
        <w:rPr>
          <w:spacing w:val="-9"/>
        </w:rPr>
        <w:t> </w:t>
      </w:r>
      <w:r>
        <w:rPr/>
        <w:t>Å</w:t>
      </w:r>
      <w:r>
        <w:rPr>
          <w:spacing w:val="-10"/>
        </w:rPr>
        <w:t> </w:t>
      </w:r>
      <w:r>
        <w:rPr/>
        <w:t>og</w:t>
      </w:r>
      <w:r>
        <w:rPr>
          <w:spacing w:val="-9"/>
        </w:rPr>
        <w:t> </w:t>
      </w:r>
      <w:r>
        <w:rPr/>
        <w:t>Storå</w:t>
      </w:r>
      <w:r>
        <w:rPr>
          <w:spacing w:val="-11"/>
        </w:rPr>
        <w:t> </w:t>
      </w:r>
      <w:r>
        <w:rPr/>
        <w:t>peger</w:t>
      </w:r>
      <w:r>
        <w:rPr>
          <w:spacing w:val="-11"/>
        </w:rPr>
        <w:t> </w:t>
      </w:r>
      <w:r>
        <w:rPr/>
        <w:t>på</w:t>
      </w:r>
      <w:r>
        <w:rPr>
          <w:spacing w:val="-10"/>
        </w:rPr>
        <w:t> </w:t>
      </w:r>
      <w:r>
        <w:rPr/>
        <w:t>at</w:t>
      </w:r>
      <w:r>
        <w:rPr>
          <w:spacing w:val="-11"/>
        </w:rPr>
        <w:t> </w:t>
      </w:r>
      <w:r>
        <w:rPr/>
        <w:t>modellen</w:t>
      </w:r>
      <w:r>
        <w:rPr>
          <w:spacing w:val="-10"/>
        </w:rPr>
        <w:t> </w:t>
      </w:r>
      <w:r>
        <w:rPr/>
        <w:t>simulerer</w:t>
      </w:r>
      <w:r>
        <w:rPr>
          <w:spacing w:val="-11"/>
        </w:rPr>
        <w:t> </w:t>
      </w:r>
      <w:r>
        <w:rPr/>
        <w:t>relativt</w:t>
      </w:r>
      <w:r>
        <w:rPr>
          <w:spacing w:val="-12"/>
        </w:rPr>
        <w:t> </w:t>
      </w:r>
      <w:r>
        <w:rPr/>
        <w:t>for</w:t>
      </w:r>
      <w:r>
        <w:rPr>
          <w:spacing w:val="-10"/>
        </w:rPr>
        <w:t> </w:t>
      </w:r>
      <w:r>
        <w:rPr/>
        <w:t>lidt</w:t>
      </w:r>
      <w:r>
        <w:rPr>
          <w:spacing w:val="-9"/>
        </w:rPr>
        <w:t> </w:t>
      </w:r>
      <w:r>
        <w:rPr/>
        <w:t>vand</w:t>
      </w:r>
      <w:r>
        <w:rPr>
          <w:spacing w:val="-9"/>
        </w:rPr>
        <w:t> </w:t>
      </w:r>
      <w:r>
        <w:rPr/>
        <w:t>i</w:t>
      </w:r>
      <w:r>
        <w:rPr>
          <w:spacing w:val="-10"/>
        </w:rPr>
        <w:t> </w:t>
      </w:r>
      <w:r>
        <w:rPr/>
        <w:t>den</w:t>
      </w:r>
      <w:r>
        <w:rPr>
          <w:spacing w:val="-9"/>
        </w:rPr>
        <w:t> </w:t>
      </w:r>
      <w:r>
        <w:rPr/>
        <w:t>sidste del af perioden (fx 2015) i forhold til kalibreringsperioden (fx 2007). Det er ikke muligt helt at isolere årsagen til denne inkonsistens, der er størst i Odense Å. Fejlen kan skyldes at ned- børen</w:t>
      </w:r>
      <w:r>
        <w:rPr>
          <w:spacing w:val="-7"/>
        </w:rPr>
        <w:t> </w:t>
      </w:r>
      <w:r>
        <w:rPr/>
        <w:t>for</w:t>
      </w:r>
      <w:r>
        <w:rPr>
          <w:spacing w:val="-7"/>
        </w:rPr>
        <w:t> </w:t>
      </w:r>
      <w:r>
        <w:rPr/>
        <w:t>oplandet</w:t>
      </w:r>
      <w:r>
        <w:rPr>
          <w:spacing w:val="-8"/>
        </w:rPr>
        <w:t> </w:t>
      </w:r>
      <w:r>
        <w:rPr/>
        <w:t>til</w:t>
      </w:r>
      <w:r>
        <w:rPr>
          <w:spacing w:val="-5"/>
        </w:rPr>
        <w:t> </w:t>
      </w:r>
      <w:r>
        <w:rPr/>
        <w:t>Odense</w:t>
      </w:r>
      <w:r>
        <w:rPr>
          <w:spacing w:val="-6"/>
        </w:rPr>
        <w:t> </w:t>
      </w:r>
      <w:r>
        <w:rPr/>
        <w:t>Å</w:t>
      </w:r>
      <w:r>
        <w:rPr>
          <w:spacing w:val="-6"/>
        </w:rPr>
        <w:t> </w:t>
      </w:r>
      <w:r>
        <w:rPr/>
        <w:t>og</w:t>
      </w:r>
      <w:r>
        <w:rPr>
          <w:spacing w:val="-6"/>
        </w:rPr>
        <w:t> </w:t>
      </w:r>
      <w:r>
        <w:rPr/>
        <w:t>Storå</w:t>
      </w:r>
      <w:r>
        <w:rPr>
          <w:spacing w:val="-8"/>
        </w:rPr>
        <w:t> </w:t>
      </w:r>
      <w:r>
        <w:rPr/>
        <w:t>undervurderes</w:t>
      </w:r>
      <w:r>
        <w:rPr>
          <w:spacing w:val="-7"/>
        </w:rPr>
        <w:t> </w:t>
      </w:r>
      <w:r>
        <w:rPr/>
        <w:t>i</w:t>
      </w:r>
      <w:r>
        <w:rPr>
          <w:spacing w:val="-6"/>
        </w:rPr>
        <w:t> </w:t>
      </w:r>
      <w:r>
        <w:rPr/>
        <w:t>de</w:t>
      </w:r>
      <w:r>
        <w:rPr>
          <w:spacing w:val="-6"/>
        </w:rPr>
        <w:t> </w:t>
      </w:r>
      <w:r>
        <w:rPr/>
        <w:t>senere</w:t>
      </w:r>
      <w:r>
        <w:rPr>
          <w:spacing w:val="-7"/>
        </w:rPr>
        <w:t> </w:t>
      </w:r>
      <w:r>
        <w:rPr/>
        <w:t>år</w:t>
      </w:r>
      <w:r>
        <w:rPr>
          <w:spacing w:val="-7"/>
        </w:rPr>
        <w:t> </w:t>
      </w:r>
      <w:r>
        <w:rPr/>
        <w:t>i</w:t>
      </w:r>
      <w:r>
        <w:rPr>
          <w:spacing w:val="-6"/>
        </w:rPr>
        <w:t> </w:t>
      </w:r>
      <w:r>
        <w:rPr/>
        <w:t>forhold</w:t>
      </w:r>
      <w:r>
        <w:rPr>
          <w:spacing w:val="-6"/>
        </w:rPr>
        <w:t> </w:t>
      </w:r>
      <w:r>
        <w:rPr/>
        <w:t>til</w:t>
      </w:r>
      <w:r>
        <w:rPr>
          <w:spacing w:val="-6"/>
        </w:rPr>
        <w:t> </w:t>
      </w:r>
      <w:r>
        <w:rPr/>
        <w:t>den</w:t>
      </w:r>
      <w:r>
        <w:rPr>
          <w:spacing w:val="-6"/>
        </w:rPr>
        <w:t> </w:t>
      </w:r>
      <w:r>
        <w:rPr/>
        <w:t>’reelle nedbør’ fordi der i valideringsperioden er væsentligt færre nedbørststationer i oplandet, og fordi de stationer der er tilbage overvejende er placeret tæt på byområder. Det kan være en mulig forklaring på at den inkonsistens er særligt stor i Odense Å, og har mindre betydning i Storå. Denne vandbalancefejl kan dog også skyldes andre modeltekniske</w:t>
      </w:r>
      <w:r>
        <w:rPr>
          <w:spacing w:val="-18"/>
        </w:rPr>
        <w:t> </w:t>
      </w:r>
      <w:r>
        <w:rPr/>
        <w:t>forhold.</w:t>
      </w:r>
    </w:p>
    <w:p>
      <w:pPr>
        <w:pStyle w:val="BodyText"/>
        <w:spacing w:before="4"/>
        <w:rPr>
          <w:sz w:val="25"/>
        </w:rPr>
      </w:pPr>
    </w:p>
    <w:p>
      <w:pPr>
        <w:pStyle w:val="BodyText"/>
        <w:spacing w:line="288" w:lineRule="auto" w:before="1"/>
        <w:ind w:left="525" w:right="734"/>
        <w:jc w:val="both"/>
      </w:pPr>
      <w:r>
        <w:rPr/>
        <w:t>Satellitdata og fotos er en anden type uafhængige vandstandsdata som fremadrettet vil kunne</w:t>
      </w:r>
      <w:r>
        <w:rPr>
          <w:spacing w:val="-9"/>
        </w:rPr>
        <w:t> </w:t>
      </w:r>
      <w:r>
        <w:rPr/>
        <w:t>indgå</w:t>
      </w:r>
      <w:r>
        <w:rPr>
          <w:spacing w:val="-8"/>
        </w:rPr>
        <w:t> </w:t>
      </w:r>
      <w:r>
        <w:rPr/>
        <w:t>i</w:t>
      </w:r>
      <w:r>
        <w:rPr>
          <w:spacing w:val="-10"/>
        </w:rPr>
        <w:t> </w:t>
      </w:r>
      <w:r>
        <w:rPr/>
        <w:t>kalibrering</w:t>
      </w:r>
      <w:r>
        <w:rPr>
          <w:spacing w:val="-8"/>
        </w:rPr>
        <w:t> </w:t>
      </w:r>
      <w:r>
        <w:rPr/>
        <w:t>og</w:t>
      </w:r>
      <w:r>
        <w:rPr>
          <w:spacing w:val="-9"/>
        </w:rPr>
        <w:t> </w:t>
      </w:r>
      <w:r>
        <w:rPr/>
        <w:t>validering</w:t>
      </w:r>
      <w:r>
        <w:rPr>
          <w:spacing w:val="-8"/>
        </w:rPr>
        <w:t> </w:t>
      </w:r>
      <w:r>
        <w:rPr/>
        <w:t>af</w:t>
      </w:r>
      <w:r>
        <w:rPr>
          <w:spacing w:val="-7"/>
        </w:rPr>
        <w:t> </w:t>
      </w:r>
      <w:r>
        <w:rPr/>
        <w:t>modellen.</w:t>
      </w:r>
      <w:r>
        <w:rPr>
          <w:spacing w:val="-9"/>
        </w:rPr>
        <w:t> </w:t>
      </w:r>
      <w:r>
        <w:rPr/>
        <w:t>Specielt</w:t>
      </w:r>
      <w:r>
        <w:rPr>
          <w:spacing w:val="-9"/>
        </w:rPr>
        <w:t> </w:t>
      </w:r>
      <w:r>
        <w:rPr/>
        <w:t>omkring</w:t>
      </w:r>
      <w:r>
        <w:rPr>
          <w:spacing w:val="-9"/>
        </w:rPr>
        <w:t> </w:t>
      </w:r>
      <w:r>
        <w:rPr/>
        <w:t>events</w:t>
      </w:r>
      <w:r>
        <w:rPr>
          <w:spacing w:val="-8"/>
        </w:rPr>
        <w:t> </w:t>
      </w:r>
      <w:r>
        <w:rPr/>
        <w:t>er</w:t>
      </w:r>
      <w:r>
        <w:rPr>
          <w:spacing w:val="-9"/>
        </w:rPr>
        <w:t> </w:t>
      </w:r>
      <w:r>
        <w:rPr/>
        <w:t>sådanne</w:t>
      </w:r>
      <w:r>
        <w:rPr>
          <w:spacing w:val="-8"/>
        </w:rPr>
        <w:t> </w:t>
      </w:r>
      <w:r>
        <w:rPr/>
        <w:t>data særdeles</w:t>
      </w:r>
      <w:r>
        <w:rPr>
          <w:spacing w:val="-5"/>
        </w:rPr>
        <w:t> </w:t>
      </w:r>
      <w:r>
        <w:rPr/>
        <w:t>værdifulde</w:t>
      </w:r>
      <w:r>
        <w:rPr>
          <w:spacing w:val="-7"/>
        </w:rPr>
        <w:t> </w:t>
      </w:r>
      <w:r>
        <w:rPr/>
        <w:t>som</w:t>
      </w:r>
      <w:r>
        <w:rPr>
          <w:spacing w:val="-6"/>
        </w:rPr>
        <w:t> </w:t>
      </w:r>
      <w:r>
        <w:rPr/>
        <w:t>vist</w:t>
      </w:r>
      <w:r>
        <w:rPr>
          <w:spacing w:val="-5"/>
        </w:rPr>
        <w:t> </w:t>
      </w:r>
      <w:r>
        <w:rPr/>
        <w:t>ved</w:t>
      </w:r>
      <w:r>
        <w:rPr>
          <w:spacing w:val="-4"/>
        </w:rPr>
        <w:t> </w:t>
      </w:r>
      <w:r>
        <w:rPr/>
        <w:t>events</w:t>
      </w:r>
      <w:r>
        <w:rPr>
          <w:spacing w:val="-5"/>
        </w:rPr>
        <w:t> </w:t>
      </w:r>
      <w:r>
        <w:rPr/>
        <w:t>i</w:t>
      </w:r>
      <w:r>
        <w:rPr>
          <w:spacing w:val="-3"/>
        </w:rPr>
        <w:t> </w:t>
      </w:r>
      <w:r>
        <w:rPr/>
        <w:t>januar</w:t>
      </w:r>
      <w:r>
        <w:rPr>
          <w:spacing w:val="-5"/>
        </w:rPr>
        <w:t> </w:t>
      </w:r>
      <w:r>
        <w:rPr/>
        <w:t>2007</w:t>
      </w:r>
      <w:r>
        <w:rPr>
          <w:spacing w:val="-4"/>
        </w:rPr>
        <w:t> </w:t>
      </w:r>
      <w:r>
        <w:rPr/>
        <w:t>i</w:t>
      </w:r>
      <w:r>
        <w:rPr>
          <w:spacing w:val="-5"/>
        </w:rPr>
        <w:t> </w:t>
      </w:r>
      <w:r>
        <w:rPr/>
        <w:t>Holstebro</w:t>
      </w:r>
      <w:r>
        <w:rPr>
          <w:spacing w:val="-7"/>
        </w:rPr>
        <w:t> </w:t>
      </w:r>
      <w:r>
        <w:rPr/>
        <w:t>i</w:t>
      </w:r>
      <w:r>
        <w:rPr>
          <w:spacing w:val="-4"/>
        </w:rPr>
        <w:t> </w:t>
      </w:r>
      <w:r>
        <w:rPr/>
        <w:t>forhold</w:t>
      </w:r>
      <w:r>
        <w:rPr>
          <w:spacing w:val="-5"/>
        </w:rPr>
        <w:t> </w:t>
      </w:r>
      <w:r>
        <w:rPr/>
        <w:t>til</w:t>
      </w:r>
      <w:r>
        <w:rPr>
          <w:spacing w:val="-5"/>
        </w:rPr>
        <w:t> </w:t>
      </w:r>
      <w:r>
        <w:rPr/>
        <w:t>oversvømmel- ser</w:t>
      </w:r>
      <w:r>
        <w:rPr>
          <w:spacing w:val="-16"/>
        </w:rPr>
        <w:t> </w:t>
      </w:r>
      <w:r>
        <w:rPr/>
        <w:t>ved</w:t>
      </w:r>
      <w:r>
        <w:rPr>
          <w:spacing w:val="-14"/>
        </w:rPr>
        <w:t> </w:t>
      </w:r>
      <w:r>
        <w:rPr/>
        <w:t>Midtbyen</w:t>
      </w:r>
      <w:r>
        <w:rPr>
          <w:spacing w:val="-14"/>
        </w:rPr>
        <w:t> </w:t>
      </w:r>
      <w:r>
        <w:rPr/>
        <w:t>(Kvickly)</w:t>
      </w:r>
      <w:r>
        <w:rPr>
          <w:spacing w:val="-15"/>
        </w:rPr>
        <w:t> </w:t>
      </w:r>
      <w:r>
        <w:rPr/>
        <w:t>og</w:t>
      </w:r>
      <w:r>
        <w:rPr>
          <w:spacing w:val="-14"/>
        </w:rPr>
        <w:t> </w:t>
      </w:r>
      <w:r>
        <w:rPr/>
        <w:t>andre</w:t>
      </w:r>
      <w:r>
        <w:rPr>
          <w:spacing w:val="-14"/>
        </w:rPr>
        <w:t> </w:t>
      </w:r>
      <w:r>
        <w:rPr/>
        <w:t>steder</w:t>
      </w:r>
      <w:r>
        <w:rPr>
          <w:spacing w:val="-17"/>
        </w:rPr>
        <w:t> </w:t>
      </w:r>
      <w:r>
        <w:rPr/>
        <w:t>i</w:t>
      </w:r>
      <w:r>
        <w:rPr>
          <w:spacing w:val="-13"/>
        </w:rPr>
        <w:t> </w:t>
      </w:r>
      <w:r>
        <w:rPr/>
        <w:t>oplandet.</w:t>
      </w:r>
      <w:r>
        <w:rPr>
          <w:spacing w:val="-15"/>
        </w:rPr>
        <w:t> </w:t>
      </w:r>
      <w:r>
        <w:rPr/>
        <w:t>Sammen</w:t>
      </w:r>
      <w:r>
        <w:rPr>
          <w:spacing w:val="-14"/>
        </w:rPr>
        <w:t> </w:t>
      </w:r>
      <w:r>
        <w:rPr/>
        <w:t>høje</w:t>
      </w:r>
      <w:r>
        <w:rPr>
          <w:spacing w:val="-14"/>
        </w:rPr>
        <w:t> </w:t>
      </w:r>
      <w:r>
        <w:rPr/>
        <w:t>anvendelighed</w:t>
      </w:r>
      <w:r>
        <w:rPr>
          <w:spacing w:val="-16"/>
        </w:rPr>
        <w:t> </w:t>
      </w:r>
      <w:r>
        <w:rPr/>
        <w:t>har</w:t>
      </w:r>
      <w:r>
        <w:rPr>
          <w:spacing w:val="-17"/>
        </w:rPr>
        <w:t> </w:t>
      </w:r>
      <w:r>
        <w:rPr/>
        <w:t>fotos fra december 2015 når de sammenholdes med satellitdata (DHI GRAS) og modellerede re- sultater for områder med lille dybde til terrænnært grundvand (1/2-1 m) og udbredelse </w:t>
      </w:r>
      <w:r>
        <w:rPr>
          <w:spacing w:val="-3"/>
        </w:rPr>
        <w:t>af </w:t>
      </w:r>
      <w:r>
        <w:rPr/>
        <w:t>vand på</w:t>
      </w:r>
      <w:r>
        <w:rPr>
          <w:spacing w:val="-1"/>
        </w:rPr>
        <w:t> </w:t>
      </w:r>
      <w:r>
        <w:rPr/>
        <w:t>terræn.</w:t>
      </w:r>
    </w:p>
    <w:p>
      <w:pPr>
        <w:spacing w:after="0" w:line="288" w:lineRule="auto"/>
        <w:jc w:val="both"/>
        <w:sectPr>
          <w:pgSz w:w="11910" w:h="16850"/>
          <w:pgMar w:header="0" w:footer="857" w:top="1340" w:bottom="1120" w:left="1460" w:right="680"/>
        </w:sectPr>
      </w:pPr>
    </w:p>
    <w:p>
      <w:pPr>
        <w:pStyle w:val="BodyText"/>
        <w:spacing w:before="2"/>
        <w:rPr>
          <w:sz w:val="26"/>
        </w:rPr>
      </w:pPr>
    </w:p>
    <w:p>
      <w:pPr>
        <w:pStyle w:val="Heading2"/>
        <w:numPr>
          <w:ilvl w:val="1"/>
          <w:numId w:val="17"/>
        </w:numPr>
        <w:tabs>
          <w:tab w:pos="1141" w:val="left" w:leader="none"/>
          <w:tab w:pos="1142" w:val="left" w:leader="none"/>
        </w:tabs>
        <w:spacing w:line="240" w:lineRule="auto" w:before="92" w:after="0"/>
        <w:ind w:left="1142" w:right="0" w:hanging="617"/>
        <w:jc w:val="left"/>
      </w:pPr>
      <w:bookmarkStart w:name="_bookmark167" w:id="211"/>
      <w:bookmarkEnd w:id="211"/>
      <w:r>
        <w:rPr>
          <w:b w:val="0"/>
        </w:rPr>
      </w:r>
      <w:bookmarkStart w:name="_bookmark167" w:id="212"/>
      <w:bookmarkEnd w:id="212"/>
      <w:r>
        <w:rPr/>
        <w:t>D</w:t>
      </w:r>
      <w:r>
        <w:rPr/>
        <w:t>elmål og</w:t>
      </w:r>
      <w:r>
        <w:rPr>
          <w:spacing w:val="-3"/>
        </w:rPr>
        <w:t> </w:t>
      </w:r>
      <w:r>
        <w:rPr/>
        <w:t>succeskriterier</w:t>
      </w:r>
    </w:p>
    <w:p>
      <w:pPr>
        <w:pStyle w:val="BodyText"/>
        <w:spacing w:before="240"/>
        <w:ind w:left="525"/>
      </w:pPr>
      <w:r>
        <w:rPr/>
        <w:t>Nedenfor i </w:t>
      </w:r>
      <w:hyperlink w:history="true" w:anchor="_bookmark168">
        <w:r>
          <w:rPr/>
          <w:t>tabel 34 </w:t>
        </w:r>
      </w:hyperlink>
      <w:r>
        <w:rPr/>
        <w:t>er opfyldelsen af delmål kort diskuteret i relation til succeskriterier.</w:t>
      </w:r>
    </w:p>
    <w:p>
      <w:pPr>
        <w:pStyle w:val="BodyText"/>
        <w:rPr>
          <w:sz w:val="24"/>
        </w:rPr>
      </w:pPr>
    </w:p>
    <w:p>
      <w:pPr>
        <w:spacing w:before="197"/>
        <w:ind w:left="525" w:right="0" w:firstLine="0"/>
        <w:jc w:val="left"/>
        <w:rPr>
          <w:rFonts w:ascii="Calibri" w:hAnsi="Calibri"/>
          <w:i/>
          <w:sz w:val="18"/>
        </w:rPr>
      </w:pPr>
      <w:bookmarkStart w:name="_bookmark168" w:id="213"/>
      <w:bookmarkEnd w:id="213"/>
      <w:r>
        <w:rPr/>
      </w:r>
      <w:r>
        <w:rPr>
          <w:rFonts w:ascii="Calibri" w:hAnsi="Calibri"/>
          <w:i/>
          <w:color w:val="44536A"/>
          <w:sz w:val="18"/>
        </w:rPr>
        <w:t>Tabel 34 Opsamling vedr. Mål-opfyldelse på basis af validering og visualisering i kapitel 8-9</w:t>
      </w:r>
    </w:p>
    <w:p>
      <w:pPr>
        <w:pStyle w:val="BodyText"/>
        <w:spacing w:before="3" w:after="1"/>
        <w:rPr>
          <w:rFonts w:ascii="Calibri"/>
          <w:i/>
          <w:sz w:val="16"/>
        </w:r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55"/>
        <w:gridCol w:w="2410"/>
        <w:gridCol w:w="4530"/>
      </w:tblGrid>
      <w:tr>
        <w:trPr>
          <w:trHeight w:val="249" w:hRule="atLeast"/>
        </w:trPr>
        <w:tc>
          <w:tcPr>
            <w:tcW w:w="1555" w:type="dxa"/>
          </w:tcPr>
          <w:p>
            <w:pPr>
              <w:pStyle w:val="TableParagraph"/>
              <w:spacing w:line="201" w:lineRule="exact"/>
              <w:ind w:left="107"/>
              <w:jc w:val="left"/>
              <w:rPr>
                <w:b/>
                <w:sz w:val="18"/>
              </w:rPr>
            </w:pPr>
            <w:r>
              <w:rPr>
                <w:b/>
                <w:sz w:val="18"/>
              </w:rPr>
              <w:t>Mål</w:t>
            </w:r>
          </w:p>
        </w:tc>
        <w:tc>
          <w:tcPr>
            <w:tcW w:w="2410" w:type="dxa"/>
          </w:tcPr>
          <w:p>
            <w:pPr>
              <w:pStyle w:val="TableParagraph"/>
              <w:spacing w:line="201" w:lineRule="exact"/>
              <w:ind w:left="107"/>
              <w:jc w:val="left"/>
              <w:rPr>
                <w:b/>
                <w:sz w:val="18"/>
              </w:rPr>
            </w:pPr>
            <w:r>
              <w:rPr>
                <w:b/>
                <w:sz w:val="18"/>
              </w:rPr>
              <w:t>Hvorfor</w:t>
            </w:r>
          </w:p>
        </w:tc>
        <w:tc>
          <w:tcPr>
            <w:tcW w:w="4530" w:type="dxa"/>
          </w:tcPr>
          <w:p>
            <w:pPr>
              <w:pStyle w:val="TableParagraph"/>
              <w:spacing w:line="201" w:lineRule="exact"/>
              <w:ind w:left="108"/>
              <w:jc w:val="left"/>
              <w:rPr>
                <w:b/>
                <w:sz w:val="18"/>
              </w:rPr>
            </w:pPr>
            <w:r>
              <w:rPr>
                <w:b/>
                <w:sz w:val="18"/>
              </w:rPr>
              <w:t>Succeskriterium/nøjagtighedskriterier</w:t>
            </w:r>
          </w:p>
        </w:tc>
      </w:tr>
      <w:tr>
        <w:trPr>
          <w:trHeight w:val="8941" w:hRule="atLeast"/>
        </w:trPr>
        <w:tc>
          <w:tcPr>
            <w:tcW w:w="1555" w:type="dxa"/>
          </w:tcPr>
          <w:p>
            <w:pPr>
              <w:pStyle w:val="TableParagraph"/>
              <w:spacing w:line="288" w:lineRule="auto"/>
              <w:ind w:left="107" w:right="87"/>
              <w:jc w:val="left"/>
              <w:rPr>
                <w:sz w:val="18"/>
              </w:rPr>
            </w:pPr>
            <w:r>
              <w:rPr>
                <w:i/>
                <w:sz w:val="18"/>
              </w:rPr>
              <w:t>Delmål 1: </w:t>
            </w:r>
            <w:r>
              <w:rPr>
                <w:sz w:val="18"/>
              </w:rPr>
              <w:t>Projektet skal le- vere bedre me- tode til modelle- ring af terræn- nært grundvand</w:t>
            </w:r>
          </w:p>
        </w:tc>
        <w:tc>
          <w:tcPr>
            <w:tcW w:w="2410" w:type="dxa"/>
          </w:tcPr>
          <w:p>
            <w:pPr>
              <w:pStyle w:val="TableParagraph"/>
              <w:spacing w:line="288" w:lineRule="auto"/>
              <w:ind w:left="107" w:right="94"/>
              <w:jc w:val="both"/>
              <w:rPr>
                <w:sz w:val="18"/>
              </w:rPr>
            </w:pPr>
            <w:r>
              <w:rPr>
                <w:sz w:val="18"/>
              </w:rPr>
              <w:t>Viden om ændringer i det terrænnære grundvand til brug for planlægning, kli- matilpasning mm.</w:t>
            </w:r>
          </w:p>
          <w:p>
            <w:pPr>
              <w:pStyle w:val="TableParagraph"/>
              <w:jc w:val="left"/>
              <w:rPr>
                <w:rFonts w:ascii="Calibri"/>
                <w:i/>
                <w:sz w:val="20"/>
              </w:rPr>
            </w:pPr>
          </w:p>
          <w:p>
            <w:pPr>
              <w:pStyle w:val="TableParagraph"/>
              <w:spacing w:before="8"/>
              <w:jc w:val="left"/>
              <w:rPr>
                <w:rFonts w:ascii="Calibri"/>
                <w:i/>
                <w:sz w:val="20"/>
              </w:rPr>
            </w:pPr>
          </w:p>
          <w:p>
            <w:pPr>
              <w:pStyle w:val="TableParagraph"/>
              <w:spacing w:line="285" w:lineRule="auto"/>
              <w:ind w:left="107" w:right="96"/>
              <w:jc w:val="both"/>
              <w:rPr>
                <w:sz w:val="18"/>
              </w:rPr>
            </w:pPr>
            <w:r>
              <w:rPr>
                <w:sz w:val="18"/>
              </w:rPr>
              <w:t>Opnået nøjagtighed i vali- deringstest</w:t>
            </w: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spacing w:before="7"/>
              <w:jc w:val="left"/>
              <w:rPr>
                <w:rFonts w:ascii="Calibri"/>
                <w:i/>
                <w:sz w:val="27"/>
              </w:rPr>
            </w:pPr>
          </w:p>
          <w:p>
            <w:pPr>
              <w:pStyle w:val="TableParagraph"/>
              <w:spacing w:line="290" w:lineRule="auto"/>
              <w:ind w:left="107" w:right="97"/>
              <w:jc w:val="both"/>
              <w:rPr>
                <w:sz w:val="18"/>
              </w:rPr>
            </w:pPr>
            <w:r>
              <w:rPr>
                <w:sz w:val="18"/>
              </w:rPr>
              <w:t>Identifikation af problem- områder</w:t>
            </w:r>
          </w:p>
        </w:tc>
        <w:tc>
          <w:tcPr>
            <w:tcW w:w="4530" w:type="dxa"/>
          </w:tcPr>
          <w:p>
            <w:pPr>
              <w:pStyle w:val="TableParagraph"/>
              <w:spacing w:line="285" w:lineRule="auto"/>
              <w:ind w:left="108" w:right="95"/>
              <w:jc w:val="both"/>
              <w:rPr>
                <w:sz w:val="18"/>
              </w:rPr>
            </w:pPr>
            <w:r>
              <w:rPr>
                <w:sz w:val="18"/>
              </w:rPr>
              <w:t>Der</w:t>
            </w:r>
            <w:r>
              <w:rPr>
                <w:spacing w:val="-11"/>
                <w:sz w:val="18"/>
              </w:rPr>
              <w:t> </w:t>
            </w:r>
            <w:r>
              <w:rPr>
                <w:sz w:val="18"/>
              </w:rPr>
              <w:t>er</w:t>
            </w:r>
            <w:r>
              <w:rPr>
                <w:spacing w:val="-12"/>
                <w:sz w:val="18"/>
              </w:rPr>
              <w:t> </w:t>
            </w:r>
            <w:r>
              <w:rPr>
                <w:sz w:val="18"/>
              </w:rPr>
              <w:t>udviklet</w:t>
            </w:r>
            <w:r>
              <w:rPr>
                <w:spacing w:val="-10"/>
                <w:sz w:val="18"/>
              </w:rPr>
              <w:t> </w:t>
            </w:r>
            <w:r>
              <w:rPr>
                <w:sz w:val="18"/>
              </w:rPr>
              <w:t>bedre</w:t>
            </w:r>
            <w:r>
              <w:rPr>
                <w:spacing w:val="-14"/>
                <w:sz w:val="18"/>
              </w:rPr>
              <w:t> </w:t>
            </w:r>
            <w:r>
              <w:rPr>
                <w:sz w:val="18"/>
              </w:rPr>
              <w:t>metoder</w:t>
            </w:r>
            <w:r>
              <w:rPr>
                <w:spacing w:val="-11"/>
                <w:sz w:val="18"/>
              </w:rPr>
              <w:t> </w:t>
            </w:r>
            <w:r>
              <w:rPr>
                <w:sz w:val="18"/>
              </w:rPr>
              <w:t>til</w:t>
            </w:r>
            <w:r>
              <w:rPr>
                <w:spacing w:val="-8"/>
                <w:sz w:val="18"/>
              </w:rPr>
              <w:t> </w:t>
            </w:r>
            <w:r>
              <w:rPr>
                <w:sz w:val="18"/>
              </w:rPr>
              <w:t>modellering</w:t>
            </w:r>
            <w:r>
              <w:rPr>
                <w:spacing w:val="-11"/>
                <w:sz w:val="18"/>
              </w:rPr>
              <w:t> </w:t>
            </w:r>
            <w:r>
              <w:rPr>
                <w:sz w:val="18"/>
              </w:rPr>
              <w:t>af</w:t>
            </w:r>
            <w:r>
              <w:rPr>
                <w:spacing w:val="-10"/>
                <w:sz w:val="18"/>
              </w:rPr>
              <w:t> </w:t>
            </w:r>
            <w:r>
              <w:rPr>
                <w:sz w:val="18"/>
              </w:rPr>
              <w:t>terræn- nært</w:t>
            </w:r>
            <w:r>
              <w:rPr>
                <w:spacing w:val="-1"/>
                <w:sz w:val="18"/>
              </w:rPr>
              <w:t> </w:t>
            </w:r>
            <w:r>
              <w:rPr>
                <w:sz w:val="18"/>
              </w:rPr>
              <w:t>grundvand:</w:t>
            </w:r>
          </w:p>
          <w:p>
            <w:pPr>
              <w:pStyle w:val="TableParagraph"/>
              <w:spacing w:line="288" w:lineRule="auto" w:before="3"/>
              <w:ind w:left="108" w:right="94"/>
              <w:jc w:val="both"/>
              <w:rPr>
                <w:sz w:val="18"/>
              </w:rPr>
            </w:pPr>
            <w:r>
              <w:rPr>
                <w:sz w:val="18"/>
              </w:rPr>
              <w:t>-Screeningsværktøj</w:t>
            </w:r>
            <w:r>
              <w:rPr>
                <w:spacing w:val="-12"/>
                <w:sz w:val="18"/>
              </w:rPr>
              <w:t> </w:t>
            </w:r>
            <w:r>
              <w:rPr>
                <w:sz w:val="18"/>
              </w:rPr>
              <w:t>med</w:t>
            </w:r>
            <w:r>
              <w:rPr>
                <w:spacing w:val="-12"/>
                <w:sz w:val="18"/>
              </w:rPr>
              <w:t> </w:t>
            </w:r>
            <w:r>
              <w:rPr>
                <w:sz w:val="18"/>
              </w:rPr>
              <w:t>nedskalering</w:t>
            </w:r>
            <w:r>
              <w:rPr>
                <w:spacing w:val="-11"/>
                <w:sz w:val="18"/>
              </w:rPr>
              <w:t> </w:t>
            </w:r>
            <w:r>
              <w:rPr>
                <w:sz w:val="18"/>
              </w:rPr>
              <w:t>fra</w:t>
            </w:r>
            <w:r>
              <w:rPr>
                <w:spacing w:val="-12"/>
                <w:sz w:val="18"/>
              </w:rPr>
              <w:t> </w:t>
            </w:r>
            <w:r>
              <w:rPr>
                <w:sz w:val="18"/>
              </w:rPr>
              <w:t>100</w:t>
            </w:r>
            <w:r>
              <w:rPr>
                <w:spacing w:val="-11"/>
                <w:sz w:val="18"/>
              </w:rPr>
              <w:t> </w:t>
            </w:r>
            <w:r>
              <w:rPr>
                <w:sz w:val="18"/>
              </w:rPr>
              <w:t>m</w:t>
            </w:r>
            <w:r>
              <w:rPr>
                <w:spacing w:val="-11"/>
                <w:sz w:val="18"/>
              </w:rPr>
              <w:t> </w:t>
            </w:r>
            <w:r>
              <w:rPr>
                <w:sz w:val="18"/>
              </w:rPr>
              <w:t>grid</w:t>
            </w:r>
            <w:r>
              <w:rPr>
                <w:spacing w:val="-10"/>
                <w:sz w:val="18"/>
              </w:rPr>
              <w:t> </w:t>
            </w:r>
            <w:r>
              <w:rPr>
                <w:sz w:val="18"/>
              </w:rPr>
              <w:t>til 10 m grid (brug af detaljeret højdemodel) og udtræk</w:t>
            </w:r>
            <w:r>
              <w:rPr>
                <w:spacing w:val="-30"/>
                <w:sz w:val="18"/>
              </w:rPr>
              <w:t> </w:t>
            </w:r>
            <w:r>
              <w:rPr>
                <w:sz w:val="18"/>
              </w:rPr>
              <w:t>af dybde til terrænnært grundvandsspejl giver plausible og</w:t>
            </w:r>
            <w:r>
              <w:rPr>
                <w:spacing w:val="-13"/>
                <w:sz w:val="18"/>
              </w:rPr>
              <w:t> </w:t>
            </w:r>
            <w:r>
              <w:rPr>
                <w:sz w:val="18"/>
              </w:rPr>
              <w:t>troværdige</w:t>
            </w:r>
            <w:r>
              <w:rPr>
                <w:spacing w:val="-15"/>
                <w:sz w:val="18"/>
              </w:rPr>
              <w:t> </w:t>
            </w:r>
            <w:r>
              <w:rPr>
                <w:sz w:val="18"/>
              </w:rPr>
              <w:t>kort</w:t>
            </w:r>
            <w:r>
              <w:rPr>
                <w:spacing w:val="-15"/>
                <w:sz w:val="18"/>
              </w:rPr>
              <w:t> </w:t>
            </w:r>
            <w:r>
              <w:rPr>
                <w:sz w:val="18"/>
              </w:rPr>
              <w:t>af</w:t>
            </w:r>
            <w:r>
              <w:rPr>
                <w:spacing w:val="-15"/>
                <w:sz w:val="18"/>
              </w:rPr>
              <w:t> </w:t>
            </w:r>
            <w:r>
              <w:rPr>
                <w:sz w:val="18"/>
              </w:rPr>
              <w:t>områder</w:t>
            </w:r>
            <w:r>
              <w:rPr>
                <w:spacing w:val="-15"/>
                <w:sz w:val="18"/>
              </w:rPr>
              <w:t> </w:t>
            </w:r>
            <w:r>
              <w:rPr>
                <w:sz w:val="18"/>
              </w:rPr>
              <w:t>med</w:t>
            </w:r>
            <w:r>
              <w:rPr>
                <w:spacing w:val="-13"/>
                <w:sz w:val="18"/>
              </w:rPr>
              <w:t> </w:t>
            </w:r>
            <w:r>
              <w:rPr>
                <w:sz w:val="18"/>
              </w:rPr>
              <w:t>risiko</w:t>
            </w:r>
            <w:r>
              <w:rPr>
                <w:spacing w:val="-15"/>
                <w:sz w:val="18"/>
              </w:rPr>
              <w:t> </w:t>
            </w:r>
            <w:r>
              <w:rPr>
                <w:sz w:val="18"/>
              </w:rPr>
              <w:t>for</w:t>
            </w:r>
            <w:r>
              <w:rPr>
                <w:spacing w:val="-14"/>
                <w:sz w:val="18"/>
              </w:rPr>
              <w:t> </w:t>
            </w:r>
            <w:r>
              <w:rPr>
                <w:sz w:val="18"/>
              </w:rPr>
              <w:t>oversvøm- melse fra grundvand og vandløb (koblede regnhæn- delser).</w:t>
            </w:r>
          </w:p>
          <w:p>
            <w:pPr>
              <w:pStyle w:val="TableParagraph"/>
              <w:spacing w:line="288" w:lineRule="auto" w:before="1"/>
              <w:ind w:left="108" w:right="94"/>
              <w:jc w:val="both"/>
              <w:rPr>
                <w:sz w:val="18"/>
              </w:rPr>
            </w:pPr>
            <w:r>
              <w:rPr>
                <w:sz w:val="18"/>
              </w:rPr>
              <w:t>-Der er opnået resultater for kalibreringsperiode på 1,0-2,0</w:t>
            </w:r>
            <w:r>
              <w:rPr>
                <w:spacing w:val="-6"/>
                <w:sz w:val="18"/>
              </w:rPr>
              <w:t> </w:t>
            </w:r>
            <w:r>
              <w:rPr>
                <w:sz w:val="18"/>
              </w:rPr>
              <w:t>m</w:t>
            </w:r>
            <w:r>
              <w:rPr>
                <w:spacing w:val="-5"/>
                <w:sz w:val="18"/>
              </w:rPr>
              <w:t> </w:t>
            </w:r>
            <w:r>
              <w:rPr>
                <w:sz w:val="18"/>
              </w:rPr>
              <w:t>for</w:t>
            </w:r>
            <w:r>
              <w:rPr>
                <w:spacing w:val="-6"/>
                <w:sz w:val="18"/>
              </w:rPr>
              <w:t> </w:t>
            </w:r>
            <w:r>
              <w:rPr>
                <w:sz w:val="18"/>
              </w:rPr>
              <w:t>90</w:t>
            </w:r>
            <w:r>
              <w:rPr>
                <w:spacing w:val="-5"/>
                <w:sz w:val="18"/>
              </w:rPr>
              <w:t> </w:t>
            </w:r>
            <w:r>
              <w:rPr>
                <w:sz w:val="18"/>
              </w:rPr>
              <w:t>%</w:t>
            </w:r>
            <w:r>
              <w:rPr>
                <w:spacing w:val="-5"/>
                <w:sz w:val="18"/>
              </w:rPr>
              <w:t> </w:t>
            </w:r>
            <w:r>
              <w:rPr>
                <w:sz w:val="18"/>
              </w:rPr>
              <w:t>af</w:t>
            </w:r>
            <w:r>
              <w:rPr>
                <w:spacing w:val="-5"/>
                <w:sz w:val="18"/>
              </w:rPr>
              <w:t> </w:t>
            </w:r>
            <w:r>
              <w:rPr>
                <w:sz w:val="18"/>
              </w:rPr>
              <w:t>observationerne</w:t>
            </w:r>
            <w:r>
              <w:rPr>
                <w:spacing w:val="-5"/>
                <w:sz w:val="18"/>
              </w:rPr>
              <w:t> </w:t>
            </w:r>
            <w:r>
              <w:rPr>
                <w:sz w:val="18"/>
              </w:rPr>
              <w:t>(grids)</w:t>
            </w:r>
            <w:r>
              <w:rPr>
                <w:spacing w:val="-6"/>
                <w:sz w:val="18"/>
              </w:rPr>
              <w:t> </w:t>
            </w:r>
            <w:r>
              <w:rPr>
                <w:sz w:val="18"/>
              </w:rPr>
              <w:t>for</w:t>
            </w:r>
            <w:r>
              <w:rPr>
                <w:spacing w:val="-6"/>
                <w:sz w:val="18"/>
              </w:rPr>
              <w:t> </w:t>
            </w:r>
            <w:r>
              <w:rPr>
                <w:sz w:val="18"/>
              </w:rPr>
              <w:t>Mean Absolute Error (MAE), mens resultater for validerings- test giver lidt større usikkerhed (1,5 m – 3,0 m). Dyb- den kan derfor ikke beskrives med den ønskede nøj- agtighed, selvom der er opnået relativt gode resultater med</w:t>
            </w:r>
            <w:r>
              <w:rPr>
                <w:spacing w:val="-9"/>
                <w:sz w:val="18"/>
              </w:rPr>
              <w:t> </w:t>
            </w:r>
            <w:r>
              <w:rPr>
                <w:sz w:val="18"/>
              </w:rPr>
              <w:t>både</w:t>
            </w:r>
            <w:r>
              <w:rPr>
                <w:spacing w:val="-8"/>
                <w:sz w:val="18"/>
              </w:rPr>
              <w:t> </w:t>
            </w:r>
            <w:r>
              <w:rPr>
                <w:sz w:val="18"/>
              </w:rPr>
              <w:t>500</w:t>
            </w:r>
            <w:r>
              <w:rPr>
                <w:spacing w:val="-8"/>
                <w:sz w:val="18"/>
              </w:rPr>
              <w:t> </w:t>
            </w:r>
            <w:r>
              <w:rPr>
                <w:sz w:val="18"/>
              </w:rPr>
              <w:t>m</w:t>
            </w:r>
            <w:r>
              <w:rPr>
                <w:spacing w:val="-8"/>
                <w:sz w:val="18"/>
              </w:rPr>
              <w:t> </w:t>
            </w:r>
            <w:r>
              <w:rPr>
                <w:sz w:val="18"/>
              </w:rPr>
              <w:t>og</w:t>
            </w:r>
            <w:r>
              <w:rPr>
                <w:spacing w:val="-8"/>
                <w:sz w:val="18"/>
              </w:rPr>
              <w:t> </w:t>
            </w:r>
            <w:r>
              <w:rPr>
                <w:sz w:val="18"/>
              </w:rPr>
              <w:t>100</w:t>
            </w:r>
            <w:r>
              <w:rPr>
                <w:spacing w:val="-8"/>
                <w:sz w:val="18"/>
              </w:rPr>
              <w:t> </w:t>
            </w:r>
            <w:r>
              <w:rPr>
                <w:sz w:val="18"/>
              </w:rPr>
              <w:t>m</w:t>
            </w:r>
            <w:r>
              <w:rPr>
                <w:spacing w:val="-7"/>
                <w:sz w:val="18"/>
              </w:rPr>
              <w:t> </w:t>
            </w:r>
            <w:r>
              <w:rPr>
                <w:sz w:val="18"/>
              </w:rPr>
              <w:t>modeller</w:t>
            </w:r>
            <w:r>
              <w:rPr>
                <w:spacing w:val="-9"/>
                <w:sz w:val="18"/>
              </w:rPr>
              <w:t> </w:t>
            </w:r>
            <w:r>
              <w:rPr>
                <w:sz w:val="18"/>
              </w:rPr>
              <w:t>og</w:t>
            </w:r>
            <w:r>
              <w:rPr>
                <w:spacing w:val="-8"/>
                <w:sz w:val="18"/>
              </w:rPr>
              <w:t> </w:t>
            </w:r>
            <w:r>
              <w:rPr>
                <w:sz w:val="18"/>
              </w:rPr>
              <w:t>den</w:t>
            </w:r>
            <w:r>
              <w:rPr>
                <w:spacing w:val="-10"/>
                <w:sz w:val="18"/>
              </w:rPr>
              <w:t> </w:t>
            </w:r>
            <w:r>
              <w:rPr>
                <w:sz w:val="18"/>
              </w:rPr>
              <w:t>nye</w:t>
            </w:r>
            <w:r>
              <w:rPr>
                <w:spacing w:val="-8"/>
                <w:sz w:val="18"/>
              </w:rPr>
              <w:t> </w:t>
            </w:r>
            <w:r>
              <w:rPr>
                <w:sz w:val="18"/>
              </w:rPr>
              <w:t>CRPS kalibreringsmetodik der er udviklet. Der er derfor leve- ret en landsdækkende kalibreringsmetodik der kan fungere på landsdækkende skala, til effektiv anven- delse</w:t>
            </w:r>
            <w:r>
              <w:rPr>
                <w:spacing w:val="-16"/>
                <w:sz w:val="18"/>
              </w:rPr>
              <w:t> </w:t>
            </w:r>
            <w:r>
              <w:rPr>
                <w:sz w:val="18"/>
              </w:rPr>
              <w:t>af</w:t>
            </w:r>
            <w:r>
              <w:rPr>
                <w:spacing w:val="-15"/>
                <w:sz w:val="18"/>
              </w:rPr>
              <w:t> </w:t>
            </w:r>
            <w:r>
              <w:rPr>
                <w:sz w:val="18"/>
              </w:rPr>
              <w:t>terrænnære</w:t>
            </w:r>
            <w:r>
              <w:rPr>
                <w:spacing w:val="-15"/>
                <w:sz w:val="18"/>
              </w:rPr>
              <w:t> </w:t>
            </w:r>
            <w:r>
              <w:rPr>
                <w:sz w:val="18"/>
              </w:rPr>
              <w:t>grundvandsdata</w:t>
            </w:r>
            <w:r>
              <w:rPr>
                <w:spacing w:val="-14"/>
                <w:sz w:val="18"/>
              </w:rPr>
              <w:t> </w:t>
            </w:r>
            <w:r>
              <w:rPr>
                <w:sz w:val="18"/>
              </w:rPr>
              <w:t>i</w:t>
            </w:r>
            <w:r>
              <w:rPr>
                <w:spacing w:val="-15"/>
                <w:sz w:val="18"/>
              </w:rPr>
              <w:t> </w:t>
            </w:r>
            <w:r>
              <w:rPr>
                <w:sz w:val="18"/>
              </w:rPr>
              <w:t>hydrologisk</w:t>
            </w:r>
            <w:r>
              <w:rPr>
                <w:spacing w:val="-14"/>
                <w:sz w:val="18"/>
              </w:rPr>
              <w:t> </w:t>
            </w:r>
            <w:r>
              <w:rPr>
                <w:sz w:val="18"/>
              </w:rPr>
              <w:t>mo- dellering.</w:t>
            </w:r>
          </w:p>
          <w:p>
            <w:pPr>
              <w:pStyle w:val="TableParagraph"/>
              <w:spacing w:line="288" w:lineRule="auto"/>
              <w:ind w:left="108" w:right="96"/>
              <w:jc w:val="both"/>
              <w:rPr>
                <w:sz w:val="18"/>
              </w:rPr>
            </w:pPr>
            <w:r>
              <w:rPr>
                <w:sz w:val="18"/>
              </w:rPr>
              <w:t>-Tendens til ændringer i dybden af det terrænnære grundvand som følge af nedbørs- og klimapåvirkning er</w:t>
            </w:r>
            <w:r>
              <w:rPr>
                <w:spacing w:val="-7"/>
                <w:sz w:val="18"/>
              </w:rPr>
              <w:t> </w:t>
            </w:r>
            <w:r>
              <w:rPr>
                <w:sz w:val="18"/>
              </w:rPr>
              <w:t>velbeskrevet</w:t>
            </w:r>
            <w:r>
              <w:rPr>
                <w:spacing w:val="-6"/>
                <w:sz w:val="18"/>
              </w:rPr>
              <w:t> </w:t>
            </w:r>
            <w:r>
              <w:rPr>
                <w:sz w:val="18"/>
              </w:rPr>
              <w:t>ved</w:t>
            </w:r>
            <w:r>
              <w:rPr>
                <w:spacing w:val="-9"/>
                <w:sz w:val="18"/>
              </w:rPr>
              <w:t> </w:t>
            </w:r>
            <w:r>
              <w:rPr>
                <w:sz w:val="18"/>
              </w:rPr>
              <w:t>modellen</w:t>
            </w:r>
            <w:r>
              <w:rPr>
                <w:spacing w:val="-8"/>
                <w:sz w:val="18"/>
              </w:rPr>
              <w:t> </w:t>
            </w:r>
            <w:r>
              <w:rPr>
                <w:sz w:val="18"/>
              </w:rPr>
              <w:t>(det</w:t>
            </w:r>
            <w:r>
              <w:rPr>
                <w:spacing w:val="-3"/>
                <w:sz w:val="18"/>
              </w:rPr>
              <w:t> </w:t>
            </w:r>
            <w:r>
              <w:rPr>
                <w:sz w:val="18"/>
              </w:rPr>
              <w:t>viser</w:t>
            </w:r>
            <w:r>
              <w:rPr>
                <w:spacing w:val="-7"/>
                <w:sz w:val="18"/>
              </w:rPr>
              <w:t> </w:t>
            </w:r>
            <w:r>
              <w:rPr>
                <w:sz w:val="18"/>
              </w:rPr>
              <w:t>valideringstest ved bl.a. Sunds ud fra tidsserie</w:t>
            </w:r>
            <w:r>
              <w:rPr>
                <w:spacing w:val="-7"/>
                <w:sz w:val="18"/>
              </w:rPr>
              <w:t> </w:t>
            </w:r>
            <w:r>
              <w:rPr>
                <w:sz w:val="18"/>
              </w:rPr>
              <w:t>pejledata).</w:t>
            </w:r>
          </w:p>
          <w:p>
            <w:pPr>
              <w:pStyle w:val="TableParagraph"/>
              <w:spacing w:line="288" w:lineRule="auto"/>
              <w:ind w:left="108" w:right="99"/>
              <w:jc w:val="both"/>
              <w:rPr>
                <w:sz w:val="18"/>
              </w:rPr>
            </w:pPr>
            <w:r>
              <w:rPr>
                <w:sz w:val="18"/>
              </w:rPr>
              <w:t>-En distribuering af dræntidsskonstanten giver meget lovende</w:t>
            </w:r>
            <w:r>
              <w:rPr>
                <w:spacing w:val="-7"/>
                <w:sz w:val="18"/>
              </w:rPr>
              <w:t> </w:t>
            </w:r>
            <w:r>
              <w:rPr>
                <w:sz w:val="18"/>
              </w:rPr>
              <w:t>resultater</w:t>
            </w:r>
            <w:r>
              <w:rPr>
                <w:spacing w:val="-10"/>
                <w:sz w:val="18"/>
              </w:rPr>
              <w:t> </w:t>
            </w:r>
            <w:r>
              <w:rPr>
                <w:sz w:val="18"/>
              </w:rPr>
              <w:t>der</w:t>
            </w:r>
            <w:r>
              <w:rPr>
                <w:spacing w:val="-7"/>
                <w:sz w:val="18"/>
              </w:rPr>
              <w:t> </w:t>
            </w:r>
            <w:r>
              <w:rPr>
                <w:sz w:val="18"/>
              </w:rPr>
              <w:t>kvalitativt</w:t>
            </w:r>
            <w:r>
              <w:rPr>
                <w:spacing w:val="-8"/>
                <w:sz w:val="18"/>
              </w:rPr>
              <w:t> </w:t>
            </w:r>
            <w:r>
              <w:rPr>
                <w:sz w:val="18"/>
              </w:rPr>
              <w:t>set</w:t>
            </w:r>
            <w:r>
              <w:rPr>
                <w:spacing w:val="-7"/>
                <w:sz w:val="18"/>
              </w:rPr>
              <w:t> </w:t>
            </w:r>
            <w:r>
              <w:rPr>
                <w:sz w:val="18"/>
              </w:rPr>
              <w:t>giver</w:t>
            </w:r>
            <w:r>
              <w:rPr>
                <w:spacing w:val="-8"/>
                <w:sz w:val="18"/>
              </w:rPr>
              <w:t> </w:t>
            </w:r>
            <w:r>
              <w:rPr>
                <w:sz w:val="18"/>
              </w:rPr>
              <w:t>forbedret</w:t>
            </w:r>
            <w:r>
              <w:rPr>
                <w:spacing w:val="-8"/>
                <w:sz w:val="18"/>
              </w:rPr>
              <w:t> </w:t>
            </w:r>
            <w:r>
              <w:rPr>
                <w:sz w:val="18"/>
              </w:rPr>
              <w:t>be- skrivelse af vådområder (FOT</w:t>
            </w:r>
            <w:r>
              <w:rPr>
                <w:spacing w:val="-5"/>
                <w:sz w:val="18"/>
              </w:rPr>
              <w:t> </w:t>
            </w:r>
            <w:r>
              <w:rPr>
                <w:sz w:val="18"/>
              </w:rPr>
              <w:t>data).</w:t>
            </w:r>
          </w:p>
          <w:p>
            <w:pPr>
              <w:pStyle w:val="TableParagraph"/>
              <w:spacing w:line="290" w:lineRule="auto"/>
              <w:ind w:left="108" w:right="94"/>
              <w:jc w:val="both"/>
              <w:rPr>
                <w:sz w:val="18"/>
              </w:rPr>
            </w:pPr>
            <w:r>
              <w:rPr>
                <w:sz w:val="18"/>
              </w:rPr>
              <w:t>-Modellen kan vise </w:t>
            </w:r>
            <w:r>
              <w:rPr>
                <w:i/>
                <w:sz w:val="18"/>
              </w:rPr>
              <w:t>hvor </w:t>
            </w:r>
            <w:r>
              <w:rPr>
                <w:sz w:val="18"/>
              </w:rPr>
              <w:t>dybden til grundvandsspejlet er inden for f.eks. 0,5 m, 1 m eller 2 under terræn (dybde</w:t>
            </w:r>
            <w:r>
              <w:rPr>
                <w:spacing w:val="-16"/>
                <w:sz w:val="18"/>
              </w:rPr>
              <w:t> </w:t>
            </w:r>
            <w:r>
              <w:rPr>
                <w:sz w:val="18"/>
              </w:rPr>
              <w:t>kort</w:t>
            </w:r>
            <w:r>
              <w:rPr>
                <w:spacing w:val="-15"/>
                <w:sz w:val="18"/>
              </w:rPr>
              <w:t> </w:t>
            </w:r>
            <w:r>
              <w:rPr>
                <w:sz w:val="18"/>
              </w:rPr>
              <w:t>evt.</w:t>
            </w:r>
            <w:r>
              <w:rPr>
                <w:spacing w:val="-16"/>
                <w:sz w:val="18"/>
              </w:rPr>
              <w:t> </w:t>
            </w:r>
            <w:r>
              <w:rPr>
                <w:sz w:val="18"/>
              </w:rPr>
              <w:t>nedskaleret</w:t>
            </w:r>
            <w:r>
              <w:rPr>
                <w:spacing w:val="-15"/>
                <w:sz w:val="18"/>
              </w:rPr>
              <w:t> </w:t>
            </w:r>
            <w:r>
              <w:rPr>
                <w:sz w:val="18"/>
              </w:rPr>
              <w:t>samt</w:t>
            </w:r>
            <w:r>
              <w:rPr>
                <w:spacing w:val="-16"/>
                <w:sz w:val="18"/>
              </w:rPr>
              <w:t> </w:t>
            </w:r>
            <w:r>
              <w:rPr>
                <w:sz w:val="18"/>
              </w:rPr>
              <w:t>overskridelses-sand- synlighed for året og eller</w:t>
            </w:r>
            <w:r>
              <w:rPr>
                <w:spacing w:val="-6"/>
                <w:sz w:val="18"/>
              </w:rPr>
              <w:t> </w:t>
            </w:r>
            <w:r>
              <w:rPr>
                <w:sz w:val="18"/>
              </w:rPr>
              <w:t>sommerperioden)</w:t>
            </w:r>
          </w:p>
          <w:p>
            <w:pPr>
              <w:pStyle w:val="TableParagraph"/>
              <w:spacing w:line="290" w:lineRule="auto"/>
              <w:ind w:left="108" w:right="92"/>
              <w:jc w:val="both"/>
              <w:rPr>
                <w:sz w:val="18"/>
              </w:rPr>
            </w:pPr>
            <w:r>
              <w:rPr>
                <w:sz w:val="18"/>
              </w:rPr>
              <w:t>-Give en </w:t>
            </w:r>
            <w:r>
              <w:rPr>
                <w:i/>
                <w:sz w:val="18"/>
              </w:rPr>
              <w:t>faglig vurdering </w:t>
            </w:r>
            <w:r>
              <w:rPr>
                <w:sz w:val="18"/>
              </w:rPr>
              <w:t>af problemområder hvor mo- delstrukturen (fx geologisk model eller andre elemen- ter) skal opdateres, da der er systematiske afvigelser</w:t>
            </w:r>
          </w:p>
          <w:p>
            <w:pPr>
              <w:pStyle w:val="TableParagraph"/>
              <w:spacing w:line="205" w:lineRule="exact"/>
              <w:ind w:left="108"/>
              <w:jc w:val="both"/>
              <w:rPr>
                <w:sz w:val="18"/>
              </w:rPr>
            </w:pPr>
            <w:r>
              <w:rPr>
                <w:sz w:val="18"/>
              </w:rPr>
              <w:t>-Flere repræsentative tidsserier er påkrævet</w:t>
            </w:r>
          </w:p>
        </w:tc>
      </w:tr>
      <w:tr>
        <w:trPr>
          <w:trHeight w:val="1739" w:hRule="atLeast"/>
        </w:trPr>
        <w:tc>
          <w:tcPr>
            <w:tcW w:w="1555" w:type="dxa"/>
          </w:tcPr>
          <w:p>
            <w:pPr>
              <w:pStyle w:val="TableParagraph"/>
              <w:spacing w:line="288" w:lineRule="auto"/>
              <w:ind w:left="107" w:right="87"/>
              <w:jc w:val="left"/>
              <w:rPr>
                <w:sz w:val="18"/>
              </w:rPr>
            </w:pPr>
            <w:r>
              <w:rPr>
                <w:i/>
                <w:sz w:val="18"/>
              </w:rPr>
              <w:t>Delmål 2: </w:t>
            </w:r>
            <w:r>
              <w:rPr>
                <w:sz w:val="18"/>
              </w:rPr>
              <w:t>Projektet skal le- vere bedre me- tode til modelle- ring af vand- stand i vandløb</w:t>
            </w:r>
          </w:p>
        </w:tc>
        <w:tc>
          <w:tcPr>
            <w:tcW w:w="2410" w:type="dxa"/>
          </w:tcPr>
          <w:p>
            <w:pPr>
              <w:pStyle w:val="TableParagraph"/>
              <w:spacing w:line="288" w:lineRule="auto" w:before="1"/>
              <w:ind w:left="107" w:right="96"/>
              <w:jc w:val="both"/>
              <w:rPr>
                <w:sz w:val="18"/>
              </w:rPr>
            </w:pPr>
            <w:r>
              <w:rPr>
                <w:sz w:val="18"/>
              </w:rPr>
              <w:t>Viden om vandstand er vig- tigt til løbende vandløbsfor- valtning og regulering</w:t>
            </w:r>
          </w:p>
        </w:tc>
        <w:tc>
          <w:tcPr>
            <w:tcW w:w="4530" w:type="dxa"/>
          </w:tcPr>
          <w:p>
            <w:pPr>
              <w:pStyle w:val="TableParagraph"/>
              <w:spacing w:line="285" w:lineRule="auto" w:before="1"/>
              <w:ind w:left="108" w:right="99"/>
              <w:jc w:val="both"/>
              <w:rPr>
                <w:sz w:val="18"/>
              </w:rPr>
            </w:pPr>
            <w:r>
              <w:rPr>
                <w:sz w:val="18"/>
              </w:rPr>
              <w:t>Der er udviklet en bedre metode til modellering af vandstand i vandløb:</w:t>
            </w:r>
          </w:p>
          <w:p>
            <w:pPr>
              <w:pStyle w:val="TableParagraph"/>
              <w:spacing w:line="288" w:lineRule="auto" w:before="4"/>
              <w:ind w:left="108" w:right="93"/>
              <w:jc w:val="both"/>
              <w:rPr>
                <w:sz w:val="18"/>
              </w:rPr>
            </w:pPr>
            <w:r>
              <w:rPr>
                <w:sz w:val="18"/>
              </w:rPr>
              <w:t>-Konceptet</w:t>
            </w:r>
            <w:r>
              <w:rPr>
                <w:spacing w:val="-6"/>
                <w:sz w:val="18"/>
              </w:rPr>
              <w:t> </w:t>
            </w:r>
            <w:r>
              <w:rPr>
                <w:sz w:val="18"/>
              </w:rPr>
              <w:t>er</w:t>
            </w:r>
            <w:r>
              <w:rPr>
                <w:spacing w:val="-7"/>
                <w:sz w:val="18"/>
              </w:rPr>
              <w:t> </w:t>
            </w:r>
            <w:r>
              <w:rPr>
                <w:sz w:val="18"/>
              </w:rPr>
              <w:t>i</w:t>
            </w:r>
            <w:r>
              <w:rPr>
                <w:spacing w:val="-5"/>
                <w:sz w:val="18"/>
              </w:rPr>
              <w:t> </w:t>
            </w:r>
            <w:r>
              <w:rPr>
                <w:sz w:val="18"/>
              </w:rPr>
              <w:t>stand</w:t>
            </w:r>
            <w:r>
              <w:rPr>
                <w:spacing w:val="-4"/>
                <w:sz w:val="18"/>
              </w:rPr>
              <w:t> </w:t>
            </w:r>
            <w:r>
              <w:rPr>
                <w:sz w:val="18"/>
              </w:rPr>
              <w:t>til</w:t>
            </w:r>
            <w:r>
              <w:rPr>
                <w:spacing w:val="-6"/>
                <w:sz w:val="18"/>
              </w:rPr>
              <w:t> </w:t>
            </w:r>
            <w:r>
              <w:rPr>
                <w:sz w:val="18"/>
              </w:rPr>
              <w:t>at</w:t>
            </w:r>
            <w:r>
              <w:rPr>
                <w:spacing w:val="-5"/>
                <w:sz w:val="18"/>
              </w:rPr>
              <w:t> </w:t>
            </w:r>
            <w:r>
              <w:rPr>
                <w:sz w:val="18"/>
              </w:rPr>
              <w:t>simulere</w:t>
            </w:r>
            <w:r>
              <w:rPr>
                <w:spacing w:val="-4"/>
                <w:sz w:val="18"/>
              </w:rPr>
              <w:t> </w:t>
            </w:r>
            <w:r>
              <w:rPr>
                <w:sz w:val="18"/>
              </w:rPr>
              <w:t>vandstande</w:t>
            </w:r>
            <w:r>
              <w:rPr>
                <w:spacing w:val="-4"/>
                <w:sz w:val="18"/>
              </w:rPr>
              <w:t> </w:t>
            </w:r>
            <w:r>
              <w:rPr>
                <w:sz w:val="18"/>
              </w:rPr>
              <w:t>i</w:t>
            </w:r>
            <w:r>
              <w:rPr>
                <w:spacing w:val="-5"/>
                <w:sz w:val="18"/>
              </w:rPr>
              <w:t> </w:t>
            </w:r>
            <w:r>
              <w:rPr>
                <w:sz w:val="18"/>
              </w:rPr>
              <w:t>vand- løb og udbrede vand på terræn ved hjælp af enten </w:t>
            </w:r>
            <w:r>
              <w:rPr>
                <w:spacing w:val="4"/>
                <w:sz w:val="18"/>
              </w:rPr>
              <w:t>et </w:t>
            </w:r>
            <w:r>
              <w:rPr>
                <w:sz w:val="18"/>
              </w:rPr>
              <w:t>eksternt stationært modul (HYMOD) koblet til DK-mo- dellens </w:t>
            </w:r>
            <w:r>
              <w:rPr>
                <w:spacing w:val="16"/>
                <w:sz w:val="18"/>
              </w:rPr>
              <w:t> </w:t>
            </w:r>
            <w:r>
              <w:rPr>
                <w:sz w:val="18"/>
              </w:rPr>
              <w:t>flow </w:t>
            </w:r>
            <w:r>
              <w:rPr>
                <w:spacing w:val="13"/>
                <w:sz w:val="18"/>
              </w:rPr>
              <w:t> </w:t>
            </w:r>
            <w:r>
              <w:rPr>
                <w:sz w:val="18"/>
              </w:rPr>
              <w:t>beregninger </w:t>
            </w:r>
            <w:r>
              <w:rPr>
                <w:spacing w:val="15"/>
                <w:sz w:val="18"/>
              </w:rPr>
              <w:t> </w:t>
            </w:r>
            <w:r>
              <w:rPr>
                <w:sz w:val="18"/>
              </w:rPr>
              <w:t>eller </w:t>
            </w:r>
            <w:r>
              <w:rPr>
                <w:spacing w:val="15"/>
                <w:sz w:val="18"/>
              </w:rPr>
              <w:t> </w:t>
            </w:r>
            <w:r>
              <w:rPr>
                <w:sz w:val="18"/>
              </w:rPr>
              <w:t>integreret </w:t>
            </w:r>
            <w:r>
              <w:rPr>
                <w:spacing w:val="16"/>
                <w:sz w:val="18"/>
              </w:rPr>
              <w:t> </w:t>
            </w:r>
            <w:r>
              <w:rPr>
                <w:sz w:val="18"/>
              </w:rPr>
              <w:t>dynamisk</w:t>
            </w:r>
          </w:p>
          <w:p>
            <w:pPr>
              <w:pStyle w:val="TableParagraph"/>
              <w:ind w:left="108"/>
              <w:jc w:val="both"/>
              <w:rPr>
                <w:sz w:val="18"/>
              </w:rPr>
            </w:pPr>
            <w:r>
              <w:rPr>
                <w:sz w:val="18"/>
              </w:rPr>
              <w:t>MIKE  HYDRO hydrodynamisk model  (koblet til</w:t>
            </w:r>
            <w:r>
              <w:rPr>
                <w:spacing w:val="-10"/>
                <w:sz w:val="18"/>
              </w:rPr>
              <w:t> </w:t>
            </w:r>
            <w:r>
              <w:rPr>
                <w:sz w:val="18"/>
              </w:rPr>
              <w:t>MIKE</w:t>
            </w:r>
          </w:p>
        </w:tc>
      </w:tr>
    </w:tbl>
    <w:p>
      <w:pPr>
        <w:spacing w:after="0"/>
        <w:jc w:val="both"/>
        <w:rPr>
          <w:sz w:val="18"/>
        </w:rPr>
        <w:sectPr>
          <w:pgSz w:w="11910" w:h="16850"/>
          <w:pgMar w:header="0" w:footer="857" w:top="1600" w:bottom="1120" w:left="1460" w:right="680"/>
        </w:sect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55"/>
        <w:gridCol w:w="2410"/>
        <w:gridCol w:w="4530"/>
      </w:tblGrid>
      <w:tr>
        <w:trPr>
          <w:trHeight w:val="9440" w:hRule="atLeast"/>
        </w:trPr>
        <w:tc>
          <w:tcPr>
            <w:tcW w:w="1555" w:type="dxa"/>
          </w:tcPr>
          <w:p>
            <w:pPr>
              <w:pStyle w:val="TableParagraph"/>
              <w:jc w:val="left"/>
              <w:rPr>
                <w:rFonts w:ascii="Times New Roman"/>
                <w:sz w:val="18"/>
              </w:rPr>
            </w:pPr>
          </w:p>
        </w:tc>
        <w:tc>
          <w:tcPr>
            <w:tcW w:w="2410" w:type="dxa"/>
          </w:tcPr>
          <w:p>
            <w:pPr>
              <w:pStyle w:val="TableParagraph"/>
              <w:jc w:val="left"/>
              <w:rPr>
                <w:rFonts w:ascii="Times New Roman"/>
                <w:sz w:val="18"/>
              </w:rPr>
            </w:pPr>
          </w:p>
        </w:tc>
        <w:tc>
          <w:tcPr>
            <w:tcW w:w="4530" w:type="dxa"/>
          </w:tcPr>
          <w:p>
            <w:pPr>
              <w:pStyle w:val="TableParagraph"/>
              <w:spacing w:line="288" w:lineRule="auto"/>
              <w:ind w:left="108" w:right="94"/>
              <w:jc w:val="both"/>
              <w:rPr>
                <w:sz w:val="18"/>
              </w:rPr>
            </w:pPr>
            <w:r>
              <w:rPr>
                <w:sz w:val="18"/>
              </w:rPr>
              <w:t>SHE. De to metoder giver meget sammenligneligt re- sultat.</w:t>
            </w:r>
          </w:p>
          <w:p>
            <w:pPr>
              <w:pStyle w:val="TableParagraph"/>
              <w:spacing w:line="288" w:lineRule="auto"/>
              <w:ind w:left="108" w:right="94"/>
              <w:jc w:val="both"/>
              <w:rPr>
                <w:sz w:val="18"/>
              </w:rPr>
            </w:pPr>
            <w:r>
              <w:rPr>
                <w:sz w:val="18"/>
              </w:rPr>
              <w:t>-Resultater og usikkerheder på simuleret vandstand med de kalibreringsdata for vandstand der har været anvendt vurderes acceptable, og forskelle er vurderet primært at hænge sammen med afvigelser i simuleret vandføring der resulterer i store forskelle for enkelte hændelser. Der er behov for flere kalibreringsdata</w:t>
            </w:r>
            <w:r>
              <w:rPr>
                <w:spacing w:val="-28"/>
                <w:sz w:val="18"/>
              </w:rPr>
              <w:t> </w:t>
            </w:r>
            <w:r>
              <w:rPr>
                <w:sz w:val="18"/>
              </w:rPr>
              <w:t>ned gennem</w:t>
            </w:r>
            <w:r>
              <w:rPr>
                <w:spacing w:val="-14"/>
                <w:sz w:val="18"/>
              </w:rPr>
              <w:t> </w:t>
            </w:r>
            <w:r>
              <w:rPr>
                <w:sz w:val="18"/>
              </w:rPr>
              <w:t>vandløbet</w:t>
            </w:r>
            <w:r>
              <w:rPr>
                <w:spacing w:val="-16"/>
                <w:sz w:val="18"/>
              </w:rPr>
              <w:t> </w:t>
            </w:r>
            <w:r>
              <w:rPr>
                <w:sz w:val="18"/>
              </w:rPr>
              <w:t>for</w:t>
            </w:r>
            <w:r>
              <w:rPr>
                <w:spacing w:val="-15"/>
                <w:sz w:val="18"/>
              </w:rPr>
              <w:t> </w:t>
            </w:r>
            <w:r>
              <w:rPr>
                <w:sz w:val="18"/>
              </w:rPr>
              <w:t>hændelser</w:t>
            </w:r>
            <w:r>
              <w:rPr>
                <w:spacing w:val="-14"/>
                <w:sz w:val="18"/>
              </w:rPr>
              <w:t> </w:t>
            </w:r>
            <w:r>
              <w:rPr>
                <w:sz w:val="18"/>
              </w:rPr>
              <w:t>hvis</w:t>
            </w:r>
            <w:r>
              <w:rPr>
                <w:spacing w:val="-15"/>
                <w:sz w:val="18"/>
              </w:rPr>
              <w:t> </w:t>
            </w:r>
            <w:r>
              <w:rPr>
                <w:sz w:val="18"/>
              </w:rPr>
              <w:t>nøjagtighed</w:t>
            </w:r>
            <w:r>
              <w:rPr>
                <w:spacing w:val="-17"/>
                <w:sz w:val="18"/>
              </w:rPr>
              <w:t> </w:t>
            </w:r>
            <w:r>
              <w:rPr>
                <w:sz w:val="18"/>
              </w:rPr>
              <w:t>skal forbedres.</w:t>
            </w:r>
          </w:p>
          <w:p>
            <w:pPr>
              <w:pStyle w:val="TableParagraph"/>
              <w:spacing w:line="288" w:lineRule="auto"/>
              <w:ind w:left="108" w:right="96"/>
              <w:jc w:val="both"/>
              <w:rPr>
                <w:sz w:val="18"/>
              </w:rPr>
            </w:pPr>
            <w:r>
              <w:rPr>
                <w:sz w:val="18"/>
              </w:rPr>
              <w:t>-Vandstand kan modelleres med nøjagtighed på ca. 0,2 m ved målestationer (for kalibreringsperioden). Hændelsesdata</w:t>
            </w:r>
            <w:r>
              <w:rPr>
                <w:spacing w:val="-8"/>
                <w:sz w:val="18"/>
              </w:rPr>
              <w:t> </w:t>
            </w:r>
            <w:r>
              <w:rPr>
                <w:sz w:val="18"/>
              </w:rPr>
              <w:t>ved</w:t>
            </w:r>
            <w:r>
              <w:rPr>
                <w:spacing w:val="-7"/>
                <w:sz w:val="18"/>
              </w:rPr>
              <w:t> </w:t>
            </w:r>
            <w:r>
              <w:rPr>
                <w:sz w:val="18"/>
              </w:rPr>
              <w:t>en</w:t>
            </w:r>
            <w:r>
              <w:rPr>
                <w:spacing w:val="-7"/>
                <w:sz w:val="18"/>
              </w:rPr>
              <w:t> </w:t>
            </w:r>
            <w:r>
              <w:rPr>
                <w:sz w:val="18"/>
              </w:rPr>
              <w:t>enkelt</w:t>
            </w:r>
            <w:r>
              <w:rPr>
                <w:spacing w:val="-10"/>
                <w:sz w:val="18"/>
              </w:rPr>
              <w:t> </w:t>
            </w:r>
            <w:r>
              <w:rPr>
                <w:sz w:val="18"/>
              </w:rPr>
              <w:t>station</w:t>
            </w:r>
            <w:r>
              <w:rPr>
                <w:spacing w:val="-7"/>
                <w:sz w:val="18"/>
              </w:rPr>
              <w:t> </w:t>
            </w:r>
            <w:r>
              <w:rPr>
                <w:sz w:val="18"/>
              </w:rPr>
              <w:t>nedenfor</w:t>
            </w:r>
            <w:r>
              <w:rPr>
                <w:spacing w:val="-8"/>
                <w:sz w:val="18"/>
              </w:rPr>
              <w:t> </w:t>
            </w:r>
            <w:r>
              <w:rPr>
                <w:sz w:val="18"/>
              </w:rPr>
              <w:t>Holste- bro viser en afvigelse på 0,5-1 m i et enkelt tilfælde (hvor</w:t>
            </w:r>
            <w:r>
              <w:rPr>
                <w:spacing w:val="-10"/>
                <w:sz w:val="18"/>
              </w:rPr>
              <w:t> </w:t>
            </w:r>
            <w:r>
              <w:rPr>
                <w:sz w:val="18"/>
              </w:rPr>
              <w:t>vandføringen</w:t>
            </w:r>
            <w:r>
              <w:rPr>
                <w:spacing w:val="-11"/>
                <w:sz w:val="18"/>
              </w:rPr>
              <w:t> </w:t>
            </w:r>
            <w:r>
              <w:rPr>
                <w:sz w:val="18"/>
              </w:rPr>
              <w:t>dog</w:t>
            </w:r>
            <w:r>
              <w:rPr>
                <w:spacing w:val="-12"/>
                <w:sz w:val="18"/>
              </w:rPr>
              <w:t> </w:t>
            </w:r>
            <w:r>
              <w:rPr>
                <w:sz w:val="18"/>
              </w:rPr>
              <w:t>blev</w:t>
            </w:r>
            <w:r>
              <w:rPr>
                <w:spacing w:val="-11"/>
                <w:sz w:val="18"/>
              </w:rPr>
              <w:t> </w:t>
            </w:r>
            <w:r>
              <w:rPr>
                <w:sz w:val="18"/>
              </w:rPr>
              <w:t>reguleret</w:t>
            </w:r>
            <w:r>
              <w:rPr>
                <w:spacing w:val="-11"/>
                <w:sz w:val="18"/>
              </w:rPr>
              <w:t> </w:t>
            </w:r>
            <w:r>
              <w:rPr>
                <w:sz w:val="18"/>
              </w:rPr>
              <w:t>samtidig</w:t>
            </w:r>
            <w:r>
              <w:rPr>
                <w:spacing w:val="-12"/>
                <w:sz w:val="18"/>
              </w:rPr>
              <w:t> </w:t>
            </w:r>
            <w:r>
              <w:rPr>
                <w:sz w:val="18"/>
              </w:rPr>
              <w:t>med</w:t>
            </w:r>
            <w:r>
              <w:rPr>
                <w:spacing w:val="-11"/>
                <w:sz w:val="18"/>
              </w:rPr>
              <w:t> </w:t>
            </w:r>
            <w:r>
              <w:rPr>
                <w:sz w:val="18"/>
              </w:rPr>
              <w:t>en hændelse den 7-9.december). Det kan modellen ikke simulere da regulering af afløbet fra Vandkraftsøen ikke er</w:t>
            </w:r>
            <w:r>
              <w:rPr>
                <w:spacing w:val="-3"/>
                <w:sz w:val="18"/>
              </w:rPr>
              <w:t> </w:t>
            </w:r>
            <w:r>
              <w:rPr>
                <w:sz w:val="18"/>
              </w:rPr>
              <w:t>indbygget.</w:t>
            </w:r>
          </w:p>
          <w:p>
            <w:pPr>
              <w:pStyle w:val="TableParagraph"/>
              <w:spacing w:line="288" w:lineRule="auto"/>
              <w:ind w:left="108" w:right="93"/>
              <w:jc w:val="both"/>
              <w:rPr>
                <w:sz w:val="18"/>
              </w:rPr>
            </w:pPr>
            <w:r>
              <w:rPr>
                <w:sz w:val="18"/>
              </w:rPr>
              <w:t>-Modellen kan simulere årsmax vandføringer med ri- melig pålidelighed, selvom valideringstest for Odense Å peger på at der er en modelstruktur fejl (fx randbe- tingelser) der ikke er helt tilfredsstillende. Det er imid- lertid en udfordring at ramme både max- og min-vand- spejl.</w:t>
            </w:r>
          </w:p>
          <w:p>
            <w:pPr>
              <w:pStyle w:val="TableParagraph"/>
              <w:spacing w:line="288" w:lineRule="auto"/>
              <w:ind w:left="108" w:right="96"/>
              <w:jc w:val="both"/>
              <w:rPr>
                <w:sz w:val="18"/>
              </w:rPr>
            </w:pPr>
            <w:r>
              <w:rPr>
                <w:sz w:val="18"/>
              </w:rPr>
              <w:t>-Der er desuden eksempler på reguleringer fx i</w:t>
            </w:r>
            <w:r>
              <w:rPr>
                <w:spacing w:val="-29"/>
                <w:sz w:val="18"/>
              </w:rPr>
              <w:t> </w:t>
            </w:r>
            <w:r>
              <w:rPr>
                <w:sz w:val="18"/>
              </w:rPr>
              <w:t>afløbet af Vandkraftsøen under ekstremhændelser som mo- dellen</w:t>
            </w:r>
            <w:r>
              <w:rPr>
                <w:spacing w:val="-5"/>
                <w:sz w:val="18"/>
              </w:rPr>
              <w:t> </w:t>
            </w:r>
            <w:r>
              <w:rPr>
                <w:sz w:val="18"/>
              </w:rPr>
              <w:t>ikke</w:t>
            </w:r>
            <w:r>
              <w:rPr>
                <w:spacing w:val="-4"/>
                <w:sz w:val="18"/>
              </w:rPr>
              <w:t> </w:t>
            </w:r>
            <w:r>
              <w:rPr>
                <w:sz w:val="18"/>
              </w:rPr>
              <w:t>kan</w:t>
            </w:r>
            <w:r>
              <w:rPr>
                <w:spacing w:val="-5"/>
                <w:sz w:val="18"/>
              </w:rPr>
              <w:t> </w:t>
            </w:r>
            <w:r>
              <w:rPr>
                <w:sz w:val="18"/>
              </w:rPr>
              <w:t>beskrive</w:t>
            </w:r>
            <w:r>
              <w:rPr>
                <w:spacing w:val="-4"/>
                <w:sz w:val="18"/>
              </w:rPr>
              <w:t> </w:t>
            </w:r>
            <w:r>
              <w:rPr>
                <w:sz w:val="18"/>
              </w:rPr>
              <w:t>(selvom</w:t>
            </w:r>
            <w:r>
              <w:rPr>
                <w:spacing w:val="-3"/>
                <w:sz w:val="18"/>
              </w:rPr>
              <w:t> </w:t>
            </w:r>
            <w:r>
              <w:rPr>
                <w:sz w:val="18"/>
              </w:rPr>
              <w:t>modellen</w:t>
            </w:r>
            <w:r>
              <w:rPr>
                <w:spacing w:val="-7"/>
                <w:sz w:val="18"/>
              </w:rPr>
              <w:t> </w:t>
            </w:r>
            <w:r>
              <w:rPr>
                <w:sz w:val="18"/>
              </w:rPr>
              <w:t>giver</w:t>
            </w:r>
            <w:r>
              <w:rPr>
                <w:spacing w:val="-4"/>
                <w:sz w:val="18"/>
              </w:rPr>
              <w:t> </w:t>
            </w:r>
            <w:r>
              <w:rPr>
                <w:sz w:val="18"/>
              </w:rPr>
              <w:t>et</w:t>
            </w:r>
            <w:r>
              <w:rPr>
                <w:spacing w:val="-7"/>
                <w:sz w:val="18"/>
              </w:rPr>
              <w:t> </w:t>
            </w:r>
            <w:r>
              <w:rPr>
                <w:sz w:val="18"/>
              </w:rPr>
              <w:t>for- bedret</w:t>
            </w:r>
            <w:r>
              <w:rPr>
                <w:spacing w:val="-17"/>
                <w:sz w:val="18"/>
              </w:rPr>
              <w:t> </w:t>
            </w:r>
            <w:r>
              <w:rPr>
                <w:sz w:val="18"/>
              </w:rPr>
              <w:t>overblik</w:t>
            </w:r>
            <w:r>
              <w:rPr>
                <w:spacing w:val="-14"/>
                <w:sz w:val="18"/>
              </w:rPr>
              <w:t> </w:t>
            </w:r>
            <w:r>
              <w:rPr>
                <w:sz w:val="18"/>
              </w:rPr>
              <w:t>over</w:t>
            </w:r>
            <w:r>
              <w:rPr>
                <w:spacing w:val="-15"/>
                <w:sz w:val="18"/>
              </w:rPr>
              <w:t> </w:t>
            </w:r>
            <w:r>
              <w:rPr>
                <w:sz w:val="18"/>
              </w:rPr>
              <w:t>både</w:t>
            </w:r>
            <w:r>
              <w:rPr>
                <w:spacing w:val="-15"/>
                <w:sz w:val="18"/>
              </w:rPr>
              <w:t> </w:t>
            </w:r>
            <w:r>
              <w:rPr>
                <w:sz w:val="18"/>
              </w:rPr>
              <w:t>vandføringer</w:t>
            </w:r>
            <w:r>
              <w:rPr>
                <w:spacing w:val="-15"/>
                <w:sz w:val="18"/>
              </w:rPr>
              <w:t> </w:t>
            </w:r>
            <w:r>
              <w:rPr>
                <w:sz w:val="18"/>
              </w:rPr>
              <w:t>og</w:t>
            </w:r>
            <w:r>
              <w:rPr>
                <w:spacing w:val="-15"/>
                <w:sz w:val="18"/>
              </w:rPr>
              <w:t> </w:t>
            </w:r>
            <w:r>
              <w:rPr>
                <w:sz w:val="18"/>
              </w:rPr>
              <w:t>vandstande)</w:t>
            </w:r>
          </w:p>
          <w:p>
            <w:pPr>
              <w:pStyle w:val="TableParagraph"/>
              <w:spacing w:line="288" w:lineRule="auto"/>
              <w:ind w:left="108" w:right="94"/>
              <w:jc w:val="both"/>
              <w:rPr>
                <w:sz w:val="18"/>
              </w:rPr>
            </w:pPr>
            <w:r>
              <w:rPr>
                <w:sz w:val="18"/>
              </w:rPr>
              <w:t>-Flow modellen i den nuværende 500 m konfiguration kombineret med det udviklede eksterne stationære HYMOD modul, giver fleksibel mulighed for</w:t>
            </w:r>
            <w:r>
              <w:rPr>
                <w:spacing w:val="-33"/>
                <w:sz w:val="18"/>
              </w:rPr>
              <w:t> </w:t>
            </w:r>
            <w:r>
              <w:rPr>
                <w:i/>
                <w:sz w:val="18"/>
              </w:rPr>
              <w:t>landsdæk- </w:t>
            </w:r>
            <w:r>
              <w:rPr>
                <w:i/>
                <w:sz w:val="18"/>
              </w:rPr>
              <w:t>kende</w:t>
            </w:r>
            <w:r>
              <w:rPr>
                <w:i/>
                <w:spacing w:val="-12"/>
                <w:sz w:val="18"/>
              </w:rPr>
              <w:t> </w:t>
            </w:r>
            <w:r>
              <w:rPr>
                <w:sz w:val="18"/>
              </w:rPr>
              <w:t>screening</w:t>
            </w:r>
            <w:r>
              <w:rPr>
                <w:spacing w:val="-10"/>
                <w:sz w:val="18"/>
              </w:rPr>
              <w:t> </w:t>
            </w:r>
            <w:r>
              <w:rPr>
                <w:sz w:val="18"/>
              </w:rPr>
              <w:t>og</w:t>
            </w:r>
            <w:r>
              <w:rPr>
                <w:spacing w:val="-11"/>
                <w:sz w:val="18"/>
              </w:rPr>
              <w:t> </w:t>
            </w:r>
            <w:r>
              <w:rPr>
                <w:sz w:val="18"/>
              </w:rPr>
              <w:t>risikostyring</w:t>
            </w:r>
            <w:r>
              <w:rPr>
                <w:spacing w:val="-10"/>
                <w:sz w:val="18"/>
              </w:rPr>
              <w:t> </w:t>
            </w:r>
            <w:r>
              <w:rPr>
                <w:sz w:val="18"/>
              </w:rPr>
              <w:t>for</w:t>
            </w:r>
            <w:r>
              <w:rPr>
                <w:spacing w:val="-12"/>
                <w:sz w:val="18"/>
              </w:rPr>
              <w:t> </w:t>
            </w:r>
            <w:r>
              <w:rPr>
                <w:sz w:val="18"/>
              </w:rPr>
              <w:t>udvalgte</w:t>
            </w:r>
            <w:r>
              <w:rPr>
                <w:spacing w:val="-11"/>
                <w:sz w:val="18"/>
              </w:rPr>
              <w:t> </w:t>
            </w:r>
            <w:r>
              <w:rPr>
                <w:sz w:val="18"/>
              </w:rPr>
              <w:t>stræknin- ger,</w:t>
            </w:r>
            <w:r>
              <w:rPr>
                <w:spacing w:val="-15"/>
                <w:sz w:val="18"/>
              </w:rPr>
              <w:t> </w:t>
            </w:r>
            <w:r>
              <w:rPr>
                <w:sz w:val="18"/>
              </w:rPr>
              <w:t>baseret</w:t>
            </w:r>
            <w:r>
              <w:rPr>
                <w:spacing w:val="-17"/>
                <w:sz w:val="18"/>
              </w:rPr>
              <w:t> </w:t>
            </w:r>
            <w:r>
              <w:rPr>
                <w:sz w:val="18"/>
              </w:rPr>
              <w:t>på</w:t>
            </w:r>
            <w:r>
              <w:rPr>
                <w:spacing w:val="-13"/>
                <w:sz w:val="18"/>
              </w:rPr>
              <w:t> </w:t>
            </w:r>
            <w:r>
              <w:rPr>
                <w:sz w:val="18"/>
              </w:rPr>
              <w:t>mere</w:t>
            </w:r>
            <w:r>
              <w:rPr>
                <w:spacing w:val="-14"/>
                <w:sz w:val="18"/>
              </w:rPr>
              <w:t> </w:t>
            </w:r>
            <w:r>
              <w:rPr>
                <w:sz w:val="18"/>
              </w:rPr>
              <w:t>detaljerede</w:t>
            </w:r>
            <w:r>
              <w:rPr>
                <w:spacing w:val="-15"/>
                <w:sz w:val="18"/>
              </w:rPr>
              <w:t> </w:t>
            </w:r>
            <w:r>
              <w:rPr>
                <w:sz w:val="18"/>
              </w:rPr>
              <w:t>hydrauliske</w:t>
            </w:r>
            <w:r>
              <w:rPr>
                <w:spacing w:val="-15"/>
                <w:sz w:val="18"/>
              </w:rPr>
              <w:t> </w:t>
            </w:r>
            <w:r>
              <w:rPr>
                <w:sz w:val="18"/>
              </w:rPr>
              <w:t>beregnin- ger,</w:t>
            </w:r>
            <w:r>
              <w:rPr>
                <w:spacing w:val="-5"/>
                <w:sz w:val="18"/>
              </w:rPr>
              <w:t> </w:t>
            </w:r>
            <w:r>
              <w:rPr>
                <w:sz w:val="18"/>
              </w:rPr>
              <w:t>forudsat</w:t>
            </w:r>
            <w:r>
              <w:rPr>
                <w:spacing w:val="-7"/>
                <w:sz w:val="18"/>
              </w:rPr>
              <w:t> </w:t>
            </w:r>
            <w:r>
              <w:rPr>
                <w:sz w:val="18"/>
              </w:rPr>
              <w:t>der</w:t>
            </w:r>
            <w:r>
              <w:rPr>
                <w:spacing w:val="-8"/>
                <w:sz w:val="18"/>
              </w:rPr>
              <w:t> </w:t>
            </w:r>
            <w:r>
              <w:rPr>
                <w:sz w:val="18"/>
              </w:rPr>
              <w:t>foreligger</w:t>
            </w:r>
            <w:r>
              <w:rPr>
                <w:spacing w:val="-8"/>
                <w:sz w:val="18"/>
              </w:rPr>
              <w:t> </w:t>
            </w:r>
            <w:r>
              <w:rPr>
                <w:sz w:val="18"/>
              </w:rPr>
              <w:t>lettilgængelige</w:t>
            </w:r>
            <w:r>
              <w:rPr>
                <w:spacing w:val="-7"/>
                <w:sz w:val="18"/>
              </w:rPr>
              <w:t> </w:t>
            </w:r>
            <w:r>
              <w:rPr>
                <w:sz w:val="18"/>
              </w:rPr>
              <w:t>fysiske</w:t>
            </w:r>
            <w:r>
              <w:rPr>
                <w:spacing w:val="-6"/>
                <w:sz w:val="18"/>
              </w:rPr>
              <w:t> </w:t>
            </w:r>
            <w:r>
              <w:rPr>
                <w:sz w:val="18"/>
              </w:rPr>
              <w:t>data (tværprofiler, bygværker) og flere observationsdata ned gennem strækningen til brug for detailkalibrering af Manningtal) og eksternt HYMOD</w:t>
            </w:r>
            <w:r>
              <w:rPr>
                <w:spacing w:val="-8"/>
                <w:sz w:val="18"/>
              </w:rPr>
              <w:t> </w:t>
            </w:r>
            <w:r>
              <w:rPr>
                <w:sz w:val="18"/>
              </w:rPr>
              <w:t>kalibrering.</w:t>
            </w:r>
          </w:p>
        </w:tc>
      </w:tr>
      <w:tr>
        <w:trPr>
          <w:trHeight w:val="3725" w:hRule="atLeast"/>
        </w:trPr>
        <w:tc>
          <w:tcPr>
            <w:tcW w:w="1555" w:type="dxa"/>
          </w:tcPr>
          <w:p>
            <w:pPr>
              <w:pStyle w:val="TableParagraph"/>
              <w:spacing w:line="288" w:lineRule="auto"/>
              <w:ind w:left="107" w:right="104"/>
              <w:jc w:val="left"/>
              <w:rPr>
                <w:sz w:val="18"/>
              </w:rPr>
            </w:pPr>
            <w:r>
              <w:rPr>
                <w:i/>
                <w:sz w:val="18"/>
              </w:rPr>
              <w:t>Delmål 3: </w:t>
            </w:r>
            <w:r>
              <w:rPr>
                <w:sz w:val="18"/>
              </w:rPr>
              <w:t>Projektet skal le- vere bedre me- tode til kortlæg- ning af vand på terræn ved at kombinere vandstandsbe- regninger for vandløb og grundvand og terrændata fra DHM.</w:t>
            </w:r>
          </w:p>
        </w:tc>
        <w:tc>
          <w:tcPr>
            <w:tcW w:w="2410" w:type="dxa"/>
          </w:tcPr>
          <w:p>
            <w:pPr>
              <w:pStyle w:val="TableParagraph"/>
              <w:spacing w:line="288" w:lineRule="auto"/>
              <w:ind w:left="107" w:right="93"/>
              <w:jc w:val="both"/>
              <w:rPr>
                <w:sz w:val="18"/>
              </w:rPr>
            </w:pPr>
            <w:r>
              <w:rPr>
                <w:sz w:val="18"/>
              </w:rPr>
              <w:t>Viden om oversvømmel- sesrisici fra vandløb og grundvand er vigtigt til brug for løbende vandstands-re- gulering, klimatilpasning og varsling.</w:t>
            </w:r>
          </w:p>
        </w:tc>
        <w:tc>
          <w:tcPr>
            <w:tcW w:w="4530" w:type="dxa"/>
          </w:tcPr>
          <w:p>
            <w:pPr>
              <w:pStyle w:val="TableParagraph"/>
              <w:spacing w:line="288" w:lineRule="auto"/>
              <w:ind w:left="108" w:right="98"/>
              <w:jc w:val="both"/>
              <w:rPr>
                <w:sz w:val="18"/>
              </w:rPr>
            </w:pPr>
            <w:r>
              <w:rPr>
                <w:sz w:val="18"/>
              </w:rPr>
              <w:t>Der er leveret bedre metode til kortlægning af vand</w:t>
            </w:r>
            <w:r>
              <w:rPr>
                <w:spacing w:val="-22"/>
                <w:sz w:val="18"/>
              </w:rPr>
              <w:t> </w:t>
            </w:r>
            <w:r>
              <w:rPr>
                <w:sz w:val="18"/>
              </w:rPr>
              <w:t>på terræn</w:t>
            </w:r>
            <w:r>
              <w:rPr>
                <w:spacing w:val="-11"/>
                <w:sz w:val="18"/>
              </w:rPr>
              <w:t> </w:t>
            </w:r>
            <w:r>
              <w:rPr>
                <w:sz w:val="18"/>
              </w:rPr>
              <w:t>ved</w:t>
            </w:r>
            <w:r>
              <w:rPr>
                <w:spacing w:val="-11"/>
                <w:sz w:val="18"/>
              </w:rPr>
              <w:t> </w:t>
            </w:r>
            <w:r>
              <w:rPr>
                <w:sz w:val="18"/>
              </w:rPr>
              <w:t>kombineret</w:t>
            </w:r>
            <w:r>
              <w:rPr>
                <w:spacing w:val="-11"/>
                <w:sz w:val="18"/>
              </w:rPr>
              <w:t> </w:t>
            </w:r>
            <w:r>
              <w:rPr>
                <w:sz w:val="18"/>
              </w:rPr>
              <w:t>vandstandsberegning</w:t>
            </w:r>
            <w:r>
              <w:rPr>
                <w:spacing w:val="-7"/>
                <w:sz w:val="18"/>
              </w:rPr>
              <w:t> </w:t>
            </w:r>
            <w:r>
              <w:rPr>
                <w:sz w:val="18"/>
              </w:rPr>
              <w:t>for</w:t>
            </w:r>
            <w:r>
              <w:rPr>
                <w:spacing w:val="-9"/>
                <w:sz w:val="18"/>
              </w:rPr>
              <w:t> </w:t>
            </w:r>
            <w:r>
              <w:rPr>
                <w:sz w:val="18"/>
              </w:rPr>
              <w:t>vand- løb og grundvand og terrændata fra</w:t>
            </w:r>
            <w:r>
              <w:rPr>
                <w:spacing w:val="-6"/>
                <w:sz w:val="18"/>
              </w:rPr>
              <w:t> </w:t>
            </w:r>
            <w:r>
              <w:rPr>
                <w:sz w:val="18"/>
              </w:rPr>
              <w:t>DHM:</w:t>
            </w:r>
          </w:p>
          <w:p>
            <w:pPr>
              <w:pStyle w:val="TableParagraph"/>
              <w:spacing w:line="288" w:lineRule="auto"/>
              <w:ind w:left="108" w:right="94"/>
              <w:jc w:val="both"/>
              <w:rPr>
                <w:sz w:val="18"/>
              </w:rPr>
            </w:pPr>
            <w:r>
              <w:rPr>
                <w:sz w:val="18"/>
              </w:rPr>
              <w:t>-resultater kan vise hvor der er </w:t>
            </w:r>
            <w:r>
              <w:rPr>
                <w:i/>
                <w:sz w:val="18"/>
              </w:rPr>
              <w:t>stor sandsynlighed for </w:t>
            </w:r>
            <w:r>
              <w:rPr>
                <w:i/>
                <w:sz w:val="18"/>
              </w:rPr>
              <w:t>oversvømmelser</w:t>
            </w:r>
            <w:r>
              <w:rPr>
                <w:i/>
                <w:spacing w:val="-15"/>
                <w:sz w:val="18"/>
              </w:rPr>
              <w:t> </w:t>
            </w:r>
            <w:r>
              <w:rPr>
                <w:i/>
                <w:sz w:val="18"/>
              </w:rPr>
              <w:t>fra</w:t>
            </w:r>
            <w:r>
              <w:rPr>
                <w:i/>
                <w:spacing w:val="-13"/>
                <w:sz w:val="18"/>
              </w:rPr>
              <w:t> </w:t>
            </w:r>
            <w:r>
              <w:rPr>
                <w:i/>
                <w:sz w:val="18"/>
              </w:rPr>
              <w:t>vandløb</w:t>
            </w:r>
            <w:r>
              <w:rPr>
                <w:i/>
                <w:spacing w:val="-12"/>
                <w:sz w:val="18"/>
              </w:rPr>
              <w:t> </w:t>
            </w:r>
            <w:r>
              <w:rPr>
                <w:sz w:val="18"/>
              </w:rPr>
              <w:t>(vurderes</w:t>
            </w:r>
            <w:r>
              <w:rPr>
                <w:spacing w:val="-13"/>
                <w:sz w:val="18"/>
              </w:rPr>
              <w:t> </w:t>
            </w:r>
            <w:r>
              <w:rPr>
                <w:sz w:val="18"/>
              </w:rPr>
              <w:t>opfyldt</w:t>
            </w:r>
            <w:r>
              <w:rPr>
                <w:spacing w:val="-15"/>
                <w:sz w:val="18"/>
              </w:rPr>
              <w:t> </w:t>
            </w:r>
            <w:r>
              <w:rPr>
                <w:sz w:val="18"/>
              </w:rPr>
              <w:t>med</w:t>
            </w:r>
            <w:r>
              <w:rPr>
                <w:spacing w:val="-16"/>
                <w:sz w:val="18"/>
              </w:rPr>
              <w:t> </w:t>
            </w:r>
            <w:r>
              <w:rPr>
                <w:sz w:val="18"/>
              </w:rPr>
              <w:t>ud- viklingen af GIS modul til udbredelse af vand på ter- ræn,</w:t>
            </w:r>
            <w:r>
              <w:rPr>
                <w:spacing w:val="-9"/>
                <w:sz w:val="18"/>
              </w:rPr>
              <w:t> </w:t>
            </w:r>
            <w:r>
              <w:rPr>
                <w:sz w:val="18"/>
              </w:rPr>
              <w:t>forudsat</w:t>
            </w:r>
            <w:r>
              <w:rPr>
                <w:spacing w:val="-10"/>
                <w:sz w:val="18"/>
              </w:rPr>
              <w:t> </w:t>
            </w:r>
            <w:r>
              <w:rPr>
                <w:sz w:val="18"/>
              </w:rPr>
              <w:t>der</w:t>
            </w:r>
            <w:r>
              <w:rPr>
                <w:spacing w:val="-11"/>
                <w:sz w:val="18"/>
              </w:rPr>
              <w:t> </w:t>
            </w:r>
            <w:r>
              <w:rPr>
                <w:sz w:val="18"/>
              </w:rPr>
              <w:t>anvendes</w:t>
            </w:r>
            <w:r>
              <w:rPr>
                <w:spacing w:val="-8"/>
                <w:sz w:val="18"/>
              </w:rPr>
              <w:t> </w:t>
            </w:r>
            <w:r>
              <w:rPr>
                <w:sz w:val="18"/>
              </w:rPr>
              <w:t>velkalibrerede</w:t>
            </w:r>
            <w:r>
              <w:rPr>
                <w:spacing w:val="-11"/>
                <w:sz w:val="18"/>
              </w:rPr>
              <w:t> </w:t>
            </w:r>
            <w:r>
              <w:rPr>
                <w:sz w:val="18"/>
              </w:rPr>
              <w:t>vandspejls- data for den pågældende hændelse jf. fx resultater for kalibreringsperioden/for januar 2007 i de to oplande hvor nøjagtighed er omkring 20</w:t>
            </w:r>
            <w:r>
              <w:rPr>
                <w:spacing w:val="-6"/>
                <w:sz w:val="18"/>
              </w:rPr>
              <w:t> </w:t>
            </w:r>
            <w:r>
              <w:rPr>
                <w:sz w:val="18"/>
              </w:rPr>
              <w:t>cm)</w:t>
            </w:r>
          </w:p>
          <w:p>
            <w:pPr>
              <w:pStyle w:val="TableParagraph"/>
              <w:spacing w:line="288" w:lineRule="auto"/>
              <w:ind w:left="108" w:right="94"/>
              <w:jc w:val="both"/>
              <w:rPr>
                <w:i/>
                <w:sz w:val="18"/>
              </w:rPr>
            </w:pPr>
            <w:r>
              <w:rPr>
                <w:sz w:val="18"/>
              </w:rPr>
              <w:t>-kan</w:t>
            </w:r>
            <w:r>
              <w:rPr>
                <w:spacing w:val="-3"/>
                <w:sz w:val="18"/>
              </w:rPr>
              <w:t> </w:t>
            </w:r>
            <w:r>
              <w:rPr>
                <w:sz w:val="18"/>
              </w:rPr>
              <w:t>vise</w:t>
            </w:r>
            <w:r>
              <w:rPr>
                <w:spacing w:val="-3"/>
                <w:sz w:val="18"/>
              </w:rPr>
              <w:t> </w:t>
            </w:r>
            <w:r>
              <w:rPr>
                <w:sz w:val="18"/>
              </w:rPr>
              <w:t>hvor</w:t>
            </w:r>
            <w:r>
              <w:rPr>
                <w:spacing w:val="-3"/>
                <w:sz w:val="18"/>
              </w:rPr>
              <w:t> </w:t>
            </w:r>
            <w:r>
              <w:rPr>
                <w:sz w:val="18"/>
              </w:rPr>
              <w:t>der</w:t>
            </w:r>
            <w:r>
              <w:rPr>
                <w:spacing w:val="-3"/>
                <w:sz w:val="18"/>
              </w:rPr>
              <w:t> </w:t>
            </w:r>
            <w:r>
              <w:rPr>
                <w:sz w:val="18"/>
              </w:rPr>
              <w:t>inden</w:t>
            </w:r>
            <w:r>
              <w:rPr>
                <w:spacing w:val="-5"/>
                <w:sz w:val="18"/>
              </w:rPr>
              <w:t> </w:t>
            </w:r>
            <w:r>
              <w:rPr>
                <w:sz w:val="18"/>
              </w:rPr>
              <w:t>for</w:t>
            </w:r>
            <w:r>
              <w:rPr>
                <w:spacing w:val="-3"/>
                <w:sz w:val="18"/>
              </w:rPr>
              <w:t> </w:t>
            </w:r>
            <w:r>
              <w:rPr>
                <w:sz w:val="18"/>
              </w:rPr>
              <w:t>et</w:t>
            </w:r>
            <w:r>
              <w:rPr>
                <w:spacing w:val="-6"/>
                <w:sz w:val="18"/>
              </w:rPr>
              <w:t> </w:t>
            </w:r>
            <w:r>
              <w:rPr>
                <w:sz w:val="18"/>
              </w:rPr>
              <w:t>100</w:t>
            </w:r>
            <w:r>
              <w:rPr>
                <w:spacing w:val="-5"/>
                <w:sz w:val="18"/>
              </w:rPr>
              <w:t> </w:t>
            </w:r>
            <w:r>
              <w:rPr>
                <w:sz w:val="18"/>
              </w:rPr>
              <w:t>m</w:t>
            </w:r>
            <w:r>
              <w:rPr>
                <w:spacing w:val="-2"/>
                <w:sz w:val="18"/>
              </w:rPr>
              <w:t> </w:t>
            </w:r>
            <w:r>
              <w:rPr>
                <w:sz w:val="18"/>
              </w:rPr>
              <w:t>grid</w:t>
            </w:r>
            <w:r>
              <w:rPr>
                <w:spacing w:val="-3"/>
                <w:sz w:val="18"/>
              </w:rPr>
              <w:t> </w:t>
            </w:r>
            <w:r>
              <w:rPr>
                <w:sz w:val="18"/>
              </w:rPr>
              <w:t>er</w:t>
            </w:r>
            <w:r>
              <w:rPr>
                <w:spacing w:val="-2"/>
                <w:sz w:val="18"/>
              </w:rPr>
              <w:t> </w:t>
            </w:r>
            <w:r>
              <w:rPr>
                <w:i/>
                <w:sz w:val="18"/>
              </w:rPr>
              <w:t>stor</w:t>
            </w:r>
            <w:r>
              <w:rPr>
                <w:i/>
                <w:spacing w:val="-6"/>
                <w:sz w:val="18"/>
              </w:rPr>
              <w:t> </w:t>
            </w:r>
            <w:r>
              <w:rPr>
                <w:i/>
                <w:sz w:val="18"/>
              </w:rPr>
              <w:t>sand- </w:t>
            </w:r>
            <w:r>
              <w:rPr>
                <w:i/>
                <w:sz w:val="18"/>
              </w:rPr>
              <w:t>synlighed for vandlidende arealer eller vand på terræn (vurderes opfyldt med det udviklede</w:t>
            </w:r>
            <w:r>
              <w:rPr>
                <w:i/>
                <w:spacing w:val="-31"/>
                <w:sz w:val="18"/>
              </w:rPr>
              <w:t> </w:t>
            </w:r>
            <w:r>
              <w:rPr>
                <w:i/>
                <w:sz w:val="18"/>
              </w:rPr>
              <w:t>nedskaleringsmo- dul</w:t>
            </w:r>
            <w:r>
              <w:rPr>
                <w:i/>
                <w:spacing w:val="9"/>
                <w:sz w:val="18"/>
              </w:rPr>
              <w:t> </w:t>
            </w:r>
            <w:r>
              <w:rPr>
                <w:i/>
                <w:sz w:val="18"/>
              </w:rPr>
              <w:t>fra</w:t>
            </w:r>
            <w:r>
              <w:rPr>
                <w:i/>
                <w:spacing w:val="9"/>
                <w:sz w:val="18"/>
              </w:rPr>
              <w:t> </w:t>
            </w:r>
            <w:r>
              <w:rPr>
                <w:i/>
                <w:sz w:val="18"/>
              </w:rPr>
              <w:t>100</w:t>
            </w:r>
            <w:r>
              <w:rPr>
                <w:i/>
                <w:spacing w:val="9"/>
                <w:sz w:val="18"/>
              </w:rPr>
              <w:t> </w:t>
            </w:r>
            <w:r>
              <w:rPr>
                <w:i/>
                <w:sz w:val="18"/>
              </w:rPr>
              <w:t>m</w:t>
            </w:r>
            <w:r>
              <w:rPr>
                <w:i/>
                <w:spacing w:val="7"/>
                <w:sz w:val="18"/>
              </w:rPr>
              <w:t> </w:t>
            </w:r>
            <w:r>
              <w:rPr>
                <w:i/>
                <w:sz w:val="18"/>
              </w:rPr>
              <w:t>til</w:t>
            </w:r>
            <w:r>
              <w:rPr>
                <w:i/>
                <w:spacing w:val="10"/>
                <w:sz w:val="18"/>
              </w:rPr>
              <w:t> </w:t>
            </w:r>
            <w:r>
              <w:rPr>
                <w:i/>
                <w:sz w:val="18"/>
              </w:rPr>
              <w:t>10</w:t>
            </w:r>
            <w:r>
              <w:rPr>
                <w:i/>
                <w:spacing w:val="9"/>
                <w:sz w:val="18"/>
              </w:rPr>
              <w:t> </w:t>
            </w:r>
            <w:r>
              <w:rPr>
                <w:i/>
                <w:sz w:val="18"/>
              </w:rPr>
              <w:t>m</w:t>
            </w:r>
            <w:r>
              <w:rPr>
                <w:i/>
                <w:spacing w:val="7"/>
                <w:sz w:val="18"/>
              </w:rPr>
              <w:t> </w:t>
            </w:r>
            <w:r>
              <w:rPr>
                <w:i/>
                <w:sz w:val="18"/>
              </w:rPr>
              <w:t>og</w:t>
            </w:r>
            <w:r>
              <w:rPr>
                <w:i/>
                <w:spacing w:val="9"/>
                <w:sz w:val="18"/>
              </w:rPr>
              <w:t> </w:t>
            </w:r>
            <w:r>
              <w:rPr>
                <w:i/>
                <w:sz w:val="18"/>
              </w:rPr>
              <w:t>den</w:t>
            </w:r>
            <w:r>
              <w:rPr>
                <w:i/>
                <w:spacing w:val="7"/>
                <w:sz w:val="18"/>
              </w:rPr>
              <w:t> </w:t>
            </w:r>
            <w:r>
              <w:rPr>
                <w:i/>
                <w:sz w:val="18"/>
              </w:rPr>
              <w:t>nye</w:t>
            </w:r>
            <w:r>
              <w:rPr>
                <w:i/>
                <w:spacing w:val="9"/>
                <w:sz w:val="18"/>
              </w:rPr>
              <w:t> </w:t>
            </w:r>
            <w:r>
              <w:rPr>
                <w:i/>
                <w:sz w:val="18"/>
              </w:rPr>
              <w:t>CRPS</w:t>
            </w:r>
            <w:r>
              <w:rPr>
                <w:i/>
                <w:spacing w:val="8"/>
                <w:sz w:val="18"/>
              </w:rPr>
              <w:t> </w:t>
            </w:r>
            <w:r>
              <w:rPr>
                <w:i/>
                <w:sz w:val="18"/>
              </w:rPr>
              <w:t>kalibrerings-</w:t>
            </w:r>
          </w:p>
          <w:p>
            <w:pPr>
              <w:pStyle w:val="TableParagraph"/>
              <w:ind w:left="108"/>
              <w:jc w:val="both"/>
              <w:rPr>
                <w:i/>
                <w:sz w:val="18"/>
              </w:rPr>
            </w:pPr>
            <w:r>
              <w:rPr>
                <w:i/>
                <w:sz w:val="18"/>
              </w:rPr>
              <w:t>strategi inkl. ny lovende distribueret drænopsætning)</w:t>
            </w:r>
          </w:p>
        </w:tc>
      </w:tr>
    </w:tbl>
    <w:p>
      <w:pPr>
        <w:spacing w:after="0"/>
        <w:jc w:val="both"/>
        <w:rPr>
          <w:sz w:val="18"/>
        </w:rPr>
        <w:sectPr>
          <w:pgSz w:w="11910" w:h="16850"/>
          <w:pgMar w:header="0" w:footer="857" w:top="1420" w:bottom="1040" w:left="1460" w:right="680"/>
        </w:sect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55"/>
        <w:gridCol w:w="2410"/>
        <w:gridCol w:w="4530"/>
      </w:tblGrid>
      <w:tr>
        <w:trPr>
          <w:trHeight w:val="4224" w:hRule="atLeast"/>
        </w:trPr>
        <w:tc>
          <w:tcPr>
            <w:tcW w:w="1555" w:type="dxa"/>
          </w:tcPr>
          <w:p>
            <w:pPr>
              <w:pStyle w:val="TableParagraph"/>
              <w:spacing w:line="288" w:lineRule="auto"/>
              <w:ind w:left="107" w:right="117"/>
              <w:jc w:val="left"/>
              <w:rPr>
                <w:sz w:val="18"/>
              </w:rPr>
            </w:pPr>
            <w:r>
              <w:rPr>
                <w:sz w:val="18"/>
              </w:rPr>
              <w:t>Metode til bedre modellering af terrænnært grundvand, vandstand i vandløb og kort- lægning af vand på terræn</w:t>
            </w:r>
          </w:p>
        </w:tc>
        <w:tc>
          <w:tcPr>
            <w:tcW w:w="2410" w:type="dxa"/>
          </w:tcPr>
          <w:p>
            <w:pPr>
              <w:pStyle w:val="TableParagraph"/>
              <w:spacing w:line="288" w:lineRule="auto"/>
              <w:ind w:left="107" w:right="93"/>
              <w:jc w:val="both"/>
              <w:rPr>
                <w:sz w:val="18"/>
              </w:rPr>
            </w:pPr>
            <w:r>
              <w:rPr>
                <w:sz w:val="18"/>
              </w:rPr>
              <w:t>Screeningsværktøj for at vide hvor højt grundvandet står og hvor meget vand, der er i vandløbet.</w:t>
            </w:r>
          </w:p>
          <w:p>
            <w:pPr>
              <w:pStyle w:val="TableParagraph"/>
              <w:jc w:val="left"/>
              <w:rPr>
                <w:rFonts w:ascii="Calibri"/>
                <w:i/>
                <w:sz w:val="20"/>
              </w:rPr>
            </w:pPr>
          </w:p>
          <w:p>
            <w:pPr>
              <w:pStyle w:val="TableParagraph"/>
              <w:spacing w:line="288" w:lineRule="auto"/>
              <w:ind w:left="107" w:right="94"/>
              <w:jc w:val="both"/>
              <w:rPr>
                <w:sz w:val="18"/>
              </w:rPr>
            </w:pPr>
            <w:r>
              <w:rPr>
                <w:sz w:val="18"/>
              </w:rPr>
              <w:t>Visualisering af oversvøm- melsesrisiko fra vandløb og grundvand til brug for vandstandsregulering, kli- matilpasning og varsling af oversvømmelse</w:t>
            </w:r>
          </w:p>
        </w:tc>
        <w:tc>
          <w:tcPr>
            <w:tcW w:w="4530" w:type="dxa"/>
          </w:tcPr>
          <w:p>
            <w:pPr>
              <w:pStyle w:val="TableParagraph"/>
              <w:spacing w:line="288" w:lineRule="auto"/>
              <w:ind w:left="108" w:right="96"/>
              <w:jc w:val="both"/>
              <w:rPr>
                <w:sz w:val="18"/>
              </w:rPr>
            </w:pPr>
            <w:r>
              <w:rPr>
                <w:sz w:val="18"/>
              </w:rPr>
              <w:t>Det overordnede mål med udvikling af metode til mo- dellering af terrænnært grundvand, vandstand i vand- løb</w:t>
            </w:r>
            <w:r>
              <w:rPr>
                <w:spacing w:val="-6"/>
                <w:sz w:val="18"/>
              </w:rPr>
              <w:t> </w:t>
            </w:r>
            <w:r>
              <w:rPr>
                <w:sz w:val="18"/>
              </w:rPr>
              <w:t>og</w:t>
            </w:r>
            <w:r>
              <w:rPr>
                <w:spacing w:val="-6"/>
                <w:sz w:val="18"/>
              </w:rPr>
              <w:t> </w:t>
            </w:r>
            <w:r>
              <w:rPr>
                <w:sz w:val="18"/>
              </w:rPr>
              <w:t>kortlægning</w:t>
            </w:r>
            <w:r>
              <w:rPr>
                <w:spacing w:val="-6"/>
                <w:sz w:val="18"/>
              </w:rPr>
              <w:t> </w:t>
            </w:r>
            <w:r>
              <w:rPr>
                <w:sz w:val="18"/>
              </w:rPr>
              <w:t>af</w:t>
            </w:r>
            <w:r>
              <w:rPr>
                <w:spacing w:val="-4"/>
                <w:sz w:val="18"/>
              </w:rPr>
              <w:t> </w:t>
            </w:r>
            <w:r>
              <w:rPr>
                <w:sz w:val="18"/>
              </w:rPr>
              <w:t>vand</w:t>
            </w:r>
            <w:r>
              <w:rPr>
                <w:spacing w:val="-6"/>
                <w:sz w:val="18"/>
              </w:rPr>
              <w:t> </w:t>
            </w:r>
            <w:r>
              <w:rPr>
                <w:sz w:val="18"/>
              </w:rPr>
              <w:t>på</w:t>
            </w:r>
            <w:r>
              <w:rPr>
                <w:spacing w:val="-9"/>
                <w:sz w:val="18"/>
              </w:rPr>
              <w:t> </w:t>
            </w:r>
            <w:r>
              <w:rPr>
                <w:sz w:val="18"/>
              </w:rPr>
              <w:t>terræn</w:t>
            </w:r>
            <w:r>
              <w:rPr>
                <w:spacing w:val="-6"/>
                <w:sz w:val="18"/>
              </w:rPr>
              <w:t> </w:t>
            </w:r>
            <w:r>
              <w:rPr>
                <w:sz w:val="18"/>
              </w:rPr>
              <w:t>vurderes</w:t>
            </w:r>
            <w:r>
              <w:rPr>
                <w:spacing w:val="-6"/>
                <w:sz w:val="18"/>
              </w:rPr>
              <w:t> </w:t>
            </w:r>
            <w:r>
              <w:rPr>
                <w:sz w:val="18"/>
              </w:rPr>
              <w:t>opfyldt:</w:t>
            </w:r>
          </w:p>
          <w:p>
            <w:pPr>
              <w:pStyle w:val="TableParagraph"/>
              <w:spacing w:line="288" w:lineRule="auto"/>
              <w:ind w:left="108" w:right="96"/>
              <w:jc w:val="both"/>
              <w:rPr>
                <w:sz w:val="18"/>
              </w:rPr>
            </w:pPr>
            <w:r>
              <w:rPr>
                <w:sz w:val="18"/>
              </w:rPr>
              <w:t>-Det udarbejdede GIS modul til udbredelse af vand på terræn giver fornuftige resultater, forudsat der forelig- ger detaljerede</w:t>
            </w:r>
            <w:r>
              <w:rPr>
                <w:spacing w:val="-2"/>
                <w:sz w:val="18"/>
              </w:rPr>
              <w:t> </w:t>
            </w:r>
            <w:r>
              <w:rPr>
                <w:sz w:val="18"/>
              </w:rPr>
              <w:t>vandstandsberegninger.</w:t>
            </w:r>
          </w:p>
          <w:p>
            <w:pPr>
              <w:pStyle w:val="TableParagraph"/>
              <w:spacing w:line="288" w:lineRule="auto"/>
              <w:ind w:left="108" w:right="93"/>
              <w:jc w:val="both"/>
              <w:rPr>
                <w:sz w:val="18"/>
              </w:rPr>
            </w:pPr>
            <w:r>
              <w:rPr>
                <w:sz w:val="18"/>
              </w:rPr>
              <w:t>-En sammenligning af resultater med ekstern modul (HYMOD/stationær)</w:t>
            </w:r>
            <w:r>
              <w:rPr>
                <w:spacing w:val="-14"/>
                <w:sz w:val="18"/>
              </w:rPr>
              <w:t> </w:t>
            </w:r>
            <w:r>
              <w:rPr>
                <w:sz w:val="18"/>
              </w:rPr>
              <w:t>og</w:t>
            </w:r>
            <w:r>
              <w:rPr>
                <w:spacing w:val="-12"/>
                <w:sz w:val="18"/>
              </w:rPr>
              <w:t> </w:t>
            </w:r>
            <w:r>
              <w:rPr>
                <w:sz w:val="18"/>
              </w:rPr>
              <w:t>MIKE</w:t>
            </w:r>
            <w:r>
              <w:rPr>
                <w:spacing w:val="-11"/>
                <w:sz w:val="18"/>
              </w:rPr>
              <w:t> </w:t>
            </w:r>
            <w:r>
              <w:rPr>
                <w:sz w:val="18"/>
              </w:rPr>
              <w:t>HYDRO</w:t>
            </w:r>
            <w:r>
              <w:rPr>
                <w:spacing w:val="-13"/>
                <w:sz w:val="18"/>
              </w:rPr>
              <w:t> </w:t>
            </w:r>
            <w:r>
              <w:rPr>
                <w:sz w:val="18"/>
              </w:rPr>
              <w:t>river</w:t>
            </w:r>
            <w:r>
              <w:rPr>
                <w:spacing w:val="-12"/>
                <w:sz w:val="18"/>
              </w:rPr>
              <w:t> </w:t>
            </w:r>
            <w:r>
              <w:rPr>
                <w:sz w:val="18"/>
              </w:rPr>
              <w:t>(dynamisk) giver ikke de store forskelle når vand udbredes på ter- ræn. Der er behov for et forbedret datagrundlag i form af målinger af vandstanden i vandløb (for events ned gennem</w:t>
            </w:r>
            <w:r>
              <w:rPr>
                <w:spacing w:val="-10"/>
                <w:sz w:val="18"/>
              </w:rPr>
              <w:t> </w:t>
            </w:r>
            <w:r>
              <w:rPr>
                <w:sz w:val="18"/>
              </w:rPr>
              <w:t>vandløbet)</w:t>
            </w:r>
            <w:r>
              <w:rPr>
                <w:spacing w:val="-10"/>
                <w:sz w:val="18"/>
              </w:rPr>
              <w:t> </w:t>
            </w:r>
            <w:r>
              <w:rPr>
                <w:sz w:val="18"/>
              </w:rPr>
              <w:t>hvis</w:t>
            </w:r>
            <w:r>
              <w:rPr>
                <w:spacing w:val="-9"/>
                <w:sz w:val="18"/>
              </w:rPr>
              <w:t> </w:t>
            </w:r>
            <w:r>
              <w:rPr>
                <w:sz w:val="18"/>
              </w:rPr>
              <w:t>nøjagtighed</w:t>
            </w:r>
            <w:r>
              <w:rPr>
                <w:spacing w:val="-12"/>
                <w:sz w:val="18"/>
              </w:rPr>
              <w:t> </w:t>
            </w:r>
            <w:r>
              <w:rPr>
                <w:sz w:val="18"/>
              </w:rPr>
              <w:t>af</w:t>
            </w:r>
            <w:r>
              <w:rPr>
                <w:spacing w:val="-11"/>
                <w:sz w:val="18"/>
              </w:rPr>
              <w:t> </w:t>
            </w:r>
            <w:r>
              <w:rPr>
                <w:sz w:val="18"/>
              </w:rPr>
              <w:t>simulering</w:t>
            </w:r>
            <w:r>
              <w:rPr>
                <w:spacing w:val="-10"/>
                <w:sz w:val="18"/>
              </w:rPr>
              <w:t> </w:t>
            </w:r>
            <w:r>
              <w:rPr>
                <w:sz w:val="18"/>
              </w:rPr>
              <w:t>skal forbedres, da udbredelsen af vand på terræn med denne metode (med enten eksternt modul eller MIKE HYDRO River integreret hydrodynamisk løsning) for- udsætter en ’meget velkalibreret’</w:t>
            </w:r>
            <w:r>
              <w:rPr>
                <w:spacing w:val="-2"/>
                <w:sz w:val="18"/>
              </w:rPr>
              <w:t> </w:t>
            </w:r>
            <w:r>
              <w:rPr>
                <w:sz w:val="18"/>
              </w:rPr>
              <w:t>model.</w:t>
            </w:r>
          </w:p>
        </w:tc>
      </w:tr>
    </w:tbl>
    <w:p>
      <w:pPr>
        <w:pStyle w:val="BodyText"/>
        <w:rPr>
          <w:rFonts w:ascii="Calibri"/>
          <w:i/>
          <w:sz w:val="20"/>
        </w:rPr>
      </w:pPr>
    </w:p>
    <w:p>
      <w:pPr>
        <w:pStyle w:val="BodyText"/>
        <w:spacing w:before="4"/>
        <w:rPr>
          <w:rFonts w:ascii="Calibri"/>
          <w:i/>
          <w:sz w:val="19"/>
        </w:rPr>
      </w:pPr>
    </w:p>
    <w:p>
      <w:pPr>
        <w:pStyle w:val="Heading2"/>
        <w:numPr>
          <w:ilvl w:val="1"/>
          <w:numId w:val="17"/>
        </w:numPr>
        <w:tabs>
          <w:tab w:pos="1141" w:val="left" w:leader="none"/>
          <w:tab w:pos="1142" w:val="left" w:leader="none"/>
        </w:tabs>
        <w:spacing w:line="240" w:lineRule="auto" w:before="92" w:after="0"/>
        <w:ind w:left="1142" w:right="0" w:hanging="617"/>
        <w:jc w:val="left"/>
      </w:pPr>
      <w:bookmarkStart w:name="_bookmark169" w:id="214"/>
      <w:bookmarkEnd w:id="214"/>
      <w:r>
        <w:rPr>
          <w:b w:val="0"/>
        </w:rPr>
      </w:r>
      <w:bookmarkStart w:name="_bookmark169" w:id="215"/>
      <w:bookmarkEnd w:id="215"/>
      <w:r>
        <w:rPr/>
        <w:t>L</w:t>
      </w:r>
      <w:r>
        <w:rPr/>
        <w:t>øsningsscenarier</w:t>
      </w:r>
    </w:p>
    <w:p>
      <w:pPr>
        <w:pStyle w:val="BodyText"/>
        <w:spacing w:line="288" w:lineRule="auto" w:before="241"/>
        <w:ind w:left="525" w:right="731"/>
        <w:jc w:val="both"/>
      </w:pPr>
      <w:r>
        <w:rPr/>
        <w:t>Anvendelsespotentialer</w:t>
      </w:r>
      <w:r>
        <w:rPr>
          <w:spacing w:val="-17"/>
        </w:rPr>
        <w:t> </w:t>
      </w:r>
      <w:r>
        <w:rPr/>
        <w:t>for</w:t>
      </w:r>
      <w:r>
        <w:rPr>
          <w:spacing w:val="-14"/>
        </w:rPr>
        <w:t> </w:t>
      </w:r>
      <w:r>
        <w:rPr/>
        <w:t>landsdækkende</w:t>
      </w:r>
      <w:r>
        <w:rPr>
          <w:spacing w:val="-15"/>
        </w:rPr>
        <w:t> </w:t>
      </w:r>
      <w:r>
        <w:rPr/>
        <w:t>modelberegninger</w:t>
      </w:r>
      <w:r>
        <w:rPr>
          <w:spacing w:val="-14"/>
        </w:rPr>
        <w:t> </w:t>
      </w:r>
      <w:r>
        <w:rPr/>
        <w:t>til</w:t>
      </w:r>
      <w:r>
        <w:rPr>
          <w:spacing w:val="-12"/>
        </w:rPr>
        <w:t> </w:t>
      </w:r>
      <w:r>
        <w:rPr/>
        <w:t>brug</w:t>
      </w:r>
      <w:r>
        <w:rPr>
          <w:spacing w:val="-13"/>
        </w:rPr>
        <w:t> </w:t>
      </w:r>
      <w:r>
        <w:rPr/>
        <w:t>for</w:t>
      </w:r>
      <w:r>
        <w:rPr>
          <w:spacing w:val="-16"/>
        </w:rPr>
        <w:t> </w:t>
      </w:r>
      <w:r>
        <w:rPr/>
        <w:t>planlægning</w:t>
      </w:r>
      <w:r>
        <w:rPr>
          <w:spacing w:val="-14"/>
        </w:rPr>
        <w:t> </w:t>
      </w:r>
      <w:r>
        <w:rPr/>
        <w:t>er</w:t>
      </w:r>
      <w:r>
        <w:rPr>
          <w:spacing w:val="-14"/>
        </w:rPr>
        <w:t> </w:t>
      </w:r>
      <w:r>
        <w:rPr/>
        <w:t>dis- kuteret på projektmøder. I nærværende rapport er præsenteret fire forskellige løsningssce- narier baseret på hhv. eksisterende 500 m DK-model (baseline), forbedret 500 m DK-model (løsning</w:t>
      </w:r>
      <w:r>
        <w:rPr>
          <w:spacing w:val="-10"/>
        </w:rPr>
        <w:t> </w:t>
      </w:r>
      <w:r>
        <w:rPr/>
        <w:t>I),</w:t>
      </w:r>
      <w:r>
        <w:rPr>
          <w:spacing w:val="-11"/>
        </w:rPr>
        <w:t> </w:t>
      </w:r>
      <w:r>
        <w:rPr/>
        <w:t>transformering</w:t>
      </w:r>
      <w:r>
        <w:rPr>
          <w:spacing w:val="-11"/>
        </w:rPr>
        <w:t> </w:t>
      </w:r>
      <w:r>
        <w:rPr/>
        <w:t>til</w:t>
      </w:r>
      <w:r>
        <w:rPr>
          <w:spacing w:val="-10"/>
        </w:rPr>
        <w:t> </w:t>
      </w:r>
      <w:r>
        <w:rPr/>
        <w:t>100</w:t>
      </w:r>
      <w:r>
        <w:rPr>
          <w:spacing w:val="-11"/>
        </w:rPr>
        <w:t> </w:t>
      </w:r>
      <w:r>
        <w:rPr/>
        <w:t>m</w:t>
      </w:r>
      <w:r>
        <w:rPr>
          <w:spacing w:val="-9"/>
        </w:rPr>
        <w:t> </w:t>
      </w:r>
      <w:r>
        <w:rPr/>
        <w:t>DK-model</w:t>
      </w:r>
      <w:r>
        <w:rPr>
          <w:spacing w:val="-11"/>
        </w:rPr>
        <w:t> </w:t>
      </w:r>
      <w:r>
        <w:rPr/>
        <w:t>(løsning</w:t>
      </w:r>
      <w:r>
        <w:rPr>
          <w:spacing w:val="-9"/>
        </w:rPr>
        <w:t> </w:t>
      </w:r>
      <w:r>
        <w:rPr/>
        <w:t>II),</w:t>
      </w:r>
      <w:r>
        <w:rPr>
          <w:spacing w:val="-12"/>
        </w:rPr>
        <w:t> </w:t>
      </w:r>
      <w:r>
        <w:rPr/>
        <w:t>transformering</w:t>
      </w:r>
      <w:r>
        <w:rPr>
          <w:spacing w:val="-12"/>
        </w:rPr>
        <w:t> </w:t>
      </w:r>
      <w:r>
        <w:rPr/>
        <w:t>til</w:t>
      </w:r>
      <w:r>
        <w:rPr>
          <w:spacing w:val="-11"/>
        </w:rPr>
        <w:t> </w:t>
      </w:r>
      <w:r>
        <w:rPr/>
        <w:t>100</w:t>
      </w:r>
      <w:r>
        <w:rPr>
          <w:spacing w:val="-13"/>
        </w:rPr>
        <w:t> </w:t>
      </w:r>
      <w:r>
        <w:rPr/>
        <w:t>m</w:t>
      </w:r>
      <w:r>
        <w:rPr>
          <w:spacing w:val="-9"/>
        </w:rPr>
        <w:t> </w:t>
      </w:r>
      <w:r>
        <w:rPr/>
        <w:t>DK-model med</w:t>
      </w:r>
      <w:r>
        <w:rPr>
          <w:spacing w:val="-9"/>
        </w:rPr>
        <w:t> </w:t>
      </w:r>
      <w:r>
        <w:rPr/>
        <w:t>fuld</w:t>
      </w:r>
      <w:r>
        <w:rPr>
          <w:spacing w:val="-8"/>
        </w:rPr>
        <w:t> </w:t>
      </w:r>
      <w:r>
        <w:rPr/>
        <w:t>hydrodynamisk</w:t>
      </w:r>
      <w:r>
        <w:rPr>
          <w:spacing w:val="-10"/>
        </w:rPr>
        <w:t> </w:t>
      </w:r>
      <w:r>
        <w:rPr/>
        <w:t>MIKE</w:t>
      </w:r>
      <w:r>
        <w:rPr>
          <w:spacing w:val="-8"/>
        </w:rPr>
        <w:t> </w:t>
      </w:r>
      <w:r>
        <w:rPr/>
        <w:t>HYDRO</w:t>
      </w:r>
      <w:r>
        <w:rPr>
          <w:spacing w:val="-10"/>
        </w:rPr>
        <w:t> </w:t>
      </w:r>
      <w:r>
        <w:rPr/>
        <w:t>River</w:t>
      </w:r>
      <w:r>
        <w:rPr>
          <w:spacing w:val="-9"/>
        </w:rPr>
        <w:t> </w:t>
      </w:r>
      <w:r>
        <w:rPr/>
        <w:t>løsning</w:t>
      </w:r>
      <w:r>
        <w:rPr>
          <w:spacing w:val="-9"/>
        </w:rPr>
        <w:t> </w:t>
      </w:r>
      <w:r>
        <w:rPr/>
        <w:t>(Løsning</w:t>
      </w:r>
      <w:r>
        <w:rPr>
          <w:spacing w:val="-8"/>
        </w:rPr>
        <w:t> </w:t>
      </w:r>
      <w:r>
        <w:rPr/>
        <w:t>III)</w:t>
      </w:r>
      <w:r>
        <w:rPr>
          <w:spacing w:val="-10"/>
        </w:rPr>
        <w:t> </w:t>
      </w:r>
      <w:r>
        <w:rPr/>
        <w:t>og</w:t>
      </w:r>
      <w:r>
        <w:rPr>
          <w:spacing w:val="-8"/>
        </w:rPr>
        <w:t> </w:t>
      </w:r>
      <w:r>
        <w:rPr/>
        <w:t>kombination</w:t>
      </w:r>
      <w:r>
        <w:rPr>
          <w:spacing w:val="-9"/>
        </w:rPr>
        <w:t> </w:t>
      </w:r>
      <w:r>
        <w:rPr/>
        <w:t>af</w:t>
      </w:r>
      <w:r>
        <w:rPr>
          <w:spacing w:val="-7"/>
        </w:rPr>
        <w:t> </w:t>
      </w:r>
      <w:r>
        <w:rPr/>
        <w:t>løsning I og II, dvs. kalibrering med 500 m model og efterfølgende modelkørsler i 100 m DK-model (Løsning</w:t>
      </w:r>
      <w:r>
        <w:rPr>
          <w:spacing w:val="-2"/>
        </w:rPr>
        <w:t> </w:t>
      </w:r>
      <w:r>
        <w:rPr/>
        <w:t>IV):</w:t>
      </w:r>
    </w:p>
    <w:p>
      <w:pPr>
        <w:pStyle w:val="ListParagraph"/>
        <w:numPr>
          <w:ilvl w:val="2"/>
          <w:numId w:val="17"/>
        </w:numPr>
        <w:tabs>
          <w:tab w:pos="1245" w:val="left" w:leader="none"/>
          <w:tab w:pos="1246" w:val="left" w:leader="none"/>
        </w:tabs>
        <w:spacing w:line="240" w:lineRule="auto" w:before="3" w:after="0"/>
        <w:ind w:left="1245" w:right="0" w:hanging="360"/>
        <w:jc w:val="left"/>
        <w:rPr>
          <w:sz w:val="20"/>
        </w:rPr>
      </w:pPr>
      <w:r>
        <w:rPr>
          <w:sz w:val="20"/>
        </w:rPr>
        <w:t>Baseline: Anvendelse af eksisterende DK-model 500 m koncept uden</w:t>
      </w:r>
      <w:r>
        <w:rPr>
          <w:spacing w:val="-7"/>
          <w:sz w:val="20"/>
        </w:rPr>
        <w:t> </w:t>
      </w:r>
      <w:r>
        <w:rPr>
          <w:sz w:val="20"/>
        </w:rPr>
        <w:t>transformation.</w:t>
      </w:r>
    </w:p>
    <w:p>
      <w:pPr>
        <w:pStyle w:val="ListParagraph"/>
        <w:numPr>
          <w:ilvl w:val="2"/>
          <w:numId w:val="17"/>
        </w:numPr>
        <w:tabs>
          <w:tab w:pos="1246" w:val="left" w:leader="none"/>
        </w:tabs>
        <w:spacing w:line="276" w:lineRule="auto" w:before="33" w:after="0"/>
        <w:ind w:left="1245" w:right="733" w:hanging="360"/>
        <w:jc w:val="both"/>
        <w:rPr>
          <w:sz w:val="20"/>
        </w:rPr>
      </w:pPr>
      <w:r>
        <w:rPr>
          <w:sz w:val="20"/>
        </w:rPr>
        <w:t>Løsning</w:t>
      </w:r>
      <w:r>
        <w:rPr>
          <w:spacing w:val="-11"/>
          <w:sz w:val="20"/>
        </w:rPr>
        <w:t> </w:t>
      </w:r>
      <w:r>
        <w:rPr>
          <w:sz w:val="20"/>
        </w:rPr>
        <w:t>I:</w:t>
      </w:r>
      <w:r>
        <w:rPr>
          <w:spacing w:val="-10"/>
          <w:sz w:val="20"/>
        </w:rPr>
        <w:t> </w:t>
      </w:r>
      <w:r>
        <w:rPr>
          <w:sz w:val="20"/>
        </w:rPr>
        <w:t>Anvendelse</w:t>
      </w:r>
      <w:r>
        <w:rPr>
          <w:spacing w:val="-10"/>
          <w:sz w:val="20"/>
        </w:rPr>
        <w:t> </w:t>
      </w:r>
      <w:r>
        <w:rPr>
          <w:sz w:val="20"/>
        </w:rPr>
        <w:t>af</w:t>
      </w:r>
      <w:r>
        <w:rPr>
          <w:spacing w:val="-11"/>
          <w:sz w:val="20"/>
        </w:rPr>
        <w:t> </w:t>
      </w:r>
      <w:r>
        <w:rPr>
          <w:sz w:val="20"/>
        </w:rPr>
        <w:t>forbedret</w:t>
      </w:r>
      <w:r>
        <w:rPr>
          <w:spacing w:val="-10"/>
          <w:sz w:val="20"/>
        </w:rPr>
        <w:t> </w:t>
      </w:r>
      <w:r>
        <w:rPr>
          <w:sz w:val="20"/>
        </w:rPr>
        <w:t>DK-model</w:t>
      </w:r>
      <w:r>
        <w:rPr>
          <w:spacing w:val="-13"/>
          <w:sz w:val="20"/>
        </w:rPr>
        <w:t> </w:t>
      </w:r>
      <w:r>
        <w:rPr>
          <w:sz w:val="20"/>
        </w:rPr>
        <w:t>500</w:t>
      </w:r>
      <w:r>
        <w:rPr>
          <w:spacing w:val="-13"/>
          <w:sz w:val="20"/>
        </w:rPr>
        <w:t> </w:t>
      </w:r>
      <w:r>
        <w:rPr>
          <w:sz w:val="20"/>
        </w:rPr>
        <w:t>m.</w:t>
      </w:r>
      <w:r>
        <w:rPr>
          <w:spacing w:val="-12"/>
          <w:sz w:val="20"/>
        </w:rPr>
        <w:t> </w:t>
      </w:r>
      <w:r>
        <w:rPr>
          <w:sz w:val="20"/>
        </w:rPr>
        <w:t>Modelforbedring</w:t>
      </w:r>
      <w:r>
        <w:rPr>
          <w:spacing w:val="-10"/>
          <w:sz w:val="20"/>
        </w:rPr>
        <w:t> </w:t>
      </w:r>
      <w:r>
        <w:rPr>
          <w:sz w:val="20"/>
        </w:rPr>
        <w:t>inkluderer</w:t>
      </w:r>
      <w:r>
        <w:rPr>
          <w:spacing w:val="-8"/>
          <w:sz w:val="20"/>
        </w:rPr>
        <w:t> </w:t>
      </w:r>
      <w:r>
        <w:rPr>
          <w:sz w:val="20"/>
        </w:rPr>
        <w:t>nye</w:t>
      </w:r>
      <w:r>
        <w:rPr>
          <w:spacing w:val="-11"/>
          <w:sz w:val="20"/>
        </w:rPr>
        <w:t> </w:t>
      </w:r>
      <w:r>
        <w:rPr>
          <w:sz w:val="20"/>
        </w:rPr>
        <w:t>me- toder</w:t>
      </w:r>
      <w:r>
        <w:rPr>
          <w:spacing w:val="-7"/>
          <w:sz w:val="20"/>
        </w:rPr>
        <w:t> </w:t>
      </w:r>
      <w:r>
        <w:rPr>
          <w:sz w:val="20"/>
        </w:rPr>
        <w:t>til</w:t>
      </w:r>
      <w:r>
        <w:rPr>
          <w:spacing w:val="-6"/>
          <w:sz w:val="20"/>
        </w:rPr>
        <w:t> </w:t>
      </w:r>
      <w:r>
        <w:rPr>
          <w:sz w:val="20"/>
        </w:rPr>
        <w:t>bedre</w:t>
      </w:r>
      <w:r>
        <w:rPr>
          <w:spacing w:val="-7"/>
          <w:sz w:val="20"/>
        </w:rPr>
        <w:t> </w:t>
      </w:r>
      <w:r>
        <w:rPr>
          <w:sz w:val="20"/>
        </w:rPr>
        <w:t>modellering</w:t>
      </w:r>
      <w:r>
        <w:rPr>
          <w:spacing w:val="-6"/>
          <w:sz w:val="20"/>
        </w:rPr>
        <w:t> </w:t>
      </w:r>
      <w:r>
        <w:rPr>
          <w:sz w:val="20"/>
        </w:rPr>
        <w:t>af</w:t>
      </w:r>
      <w:r>
        <w:rPr>
          <w:spacing w:val="-6"/>
          <w:sz w:val="20"/>
        </w:rPr>
        <w:t> </w:t>
      </w:r>
      <w:r>
        <w:rPr>
          <w:sz w:val="20"/>
        </w:rPr>
        <w:t>terrænnært</w:t>
      </w:r>
      <w:r>
        <w:rPr>
          <w:spacing w:val="-8"/>
          <w:sz w:val="20"/>
        </w:rPr>
        <w:t> </w:t>
      </w:r>
      <w:r>
        <w:rPr>
          <w:sz w:val="20"/>
        </w:rPr>
        <w:t>grundvand</w:t>
      </w:r>
      <w:r>
        <w:rPr>
          <w:spacing w:val="-5"/>
          <w:sz w:val="20"/>
        </w:rPr>
        <w:t> </w:t>
      </w:r>
      <w:r>
        <w:rPr>
          <w:sz w:val="20"/>
        </w:rPr>
        <w:t>(inkl.</w:t>
      </w:r>
      <w:r>
        <w:rPr>
          <w:spacing w:val="-8"/>
          <w:sz w:val="20"/>
        </w:rPr>
        <w:t> </w:t>
      </w:r>
      <w:r>
        <w:rPr>
          <w:sz w:val="20"/>
        </w:rPr>
        <w:t>distribueret</w:t>
      </w:r>
      <w:r>
        <w:rPr>
          <w:spacing w:val="-5"/>
          <w:sz w:val="20"/>
        </w:rPr>
        <w:t> </w:t>
      </w:r>
      <w:r>
        <w:rPr>
          <w:sz w:val="20"/>
        </w:rPr>
        <w:t>drænog</w:t>
      </w:r>
      <w:r>
        <w:rPr>
          <w:spacing w:val="-5"/>
          <w:sz w:val="20"/>
        </w:rPr>
        <w:t> </w:t>
      </w:r>
      <w:r>
        <w:rPr>
          <w:sz w:val="20"/>
        </w:rPr>
        <w:t>ny</w:t>
      </w:r>
      <w:r>
        <w:rPr>
          <w:spacing w:val="-9"/>
          <w:sz w:val="20"/>
        </w:rPr>
        <w:t> </w:t>
      </w:r>
      <w:r>
        <w:rPr>
          <w:sz w:val="20"/>
        </w:rPr>
        <w:t>kalibre- ringsmetode)). Den eksisterende vandløbsmodel i DK-model anvendes til beregning af vandløbsafstrømning. Efterfølgende nedskalering af simuleret dybde til</w:t>
      </w:r>
      <w:r>
        <w:rPr>
          <w:spacing w:val="-31"/>
          <w:sz w:val="20"/>
        </w:rPr>
        <w:t> </w:t>
      </w:r>
      <w:r>
        <w:rPr>
          <w:sz w:val="20"/>
        </w:rPr>
        <w:t>grundvandsspej- let fra 500 m til 100 m grid. Der er fri adgang til eksterne beregningsmoduler, der er ud- viklet</w:t>
      </w:r>
      <w:r>
        <w:rPr>
          <w:spacing w:val="-6"/>
          <w:sz w:val="20"/>
        </w:rPr>
        <w:t> </w:t>
      </w:r>
      <w:r>
        <w:rPr>
          <w:sz w:val="20"/>
        </w:rPr>
        <w:t>i</w:t>
      </w:r>
      <w:r>
        <w:rPr>
          <w:spacing w:val="-6"/>
          <w:sz w:val="20"/>
        </w:rPr>
        <w:t> </w:t>
      </w:r>
      <w:r>
        <w:rPr>
          <w:sz w:val="20"/>
        </w:rPr>
        <w:t>projektet,</w:t>
      </w:r>
      <w:r>
        <w:rPr>
          <w:spacing w:val="-7"/>
          <w:sz w:val="20"/>
        </w:rPr>
        <w:t> </w:t>
      </w:r>
      <w:r>
        <w:rPr>
          <w:sz w:val="20"/>
        </w:rPr>
        <w:t>således</w:t>
      </w:r>
      <w:r>
        <w:rPr>
          <w:spacing w:val="-5"/>
          <w:sz w:val="20"/>
        </w:rPr>
        <w:t> </w:t>
      </w:r>
      <w:r>
        <w:rPr>
          <w:sz w:val="20"/>
        </w:rPr>
        <w:t>at</w:t>
      </w:r>
      <w:r>
        <w:rPr>
          <w:spacing w:val="-4"/>
          <w:sz w:val="20"/>
        </w:rPr>
        <w:t> </w:t>
      </w:r>
      <w:r>
        <w:rPr>
          <w:sz w:val="20"/>
        </w:rPr>
        <w:t>brugerne</w:t>
      </w:r>
      <w:r>
        <w:rPr>
          <w:spacing w:val="-7"/>
          <w:sz w:val="20"/>
        </w:rPr>
        <w:t> </w:t>
      </w:r>
      <w:r>
        <w:rPr>
          <w:sz w:val="20"/>
        </w:rPr>
        <w:t>selv</w:t>
      </w:r>
      <w:r>
        <w:rPr>
          <w:spacing w:val="-7"/>
          <w:sz w:val="20"/>
        </w:rPr>
        <w:t> </w:t>
      </w:r>
      <w:r>
        <w:rPr>
          <w:sz w:val="20"/>
        </w:rPr>
        <w:t>kan</w:t>
      </w:r>
      <w:r>
        <w:rPr>
          <w:spacing w:val="-7"/>
          <w:sz w:val="20"/>
        </w:rPr>
        <w:t> </w:t>
      </w:r>
      <w:r>
        <w:rPr>
          <w:sz w:val="20"/>
        </w:rPr>
        <w:t>anvende</w:t>
      </w:r>
      <w:r>
        <w:rPr>
          <w:spacing w:val="-6"/>
          <w:sz w:val="20"/>
        </w:rPr>
        <w:t> </w:t>
      </w:r>
      <w:r>
        <w:rPr>
          <w:sz w:val="20"/>
        </w:rPr>
        <w:t>beregnet</w:t>
      </w:r>
      <w:r>
        <w:rPr>
          <w:spacing w:val="-6"/>
          <w:sz w:val="20"/>
        </w:rPr>
        <w:t> </w:t>
      </w:r>
      <w:r>
        <w:rPr>
          <w:sz w:val="20"/>
        </w:rPr>
        <w:t>afstrømning</w:t>
      </w:r>
      <w:r>
        <w:rPr>
          <w:spacing w:val="-7"/>
          <w:sz w:val="20"/>
        </w:rPr>
        <w:t> </w:t>
      </w:r>
      <w:r>
        <w:rPr>
          <w:sz w:val="20"/>
        </w:rPr>
        <w:t>(tværsnits- profiler, bygværker og evt. havvandstand) til vandstandsberegning og oversvømmelses- kortlægning, hvor der er behov. Beregnet vandløbsafstrømning fra DK-modellen kan også anvendes i mere avancerede vandstands- og</w:t>
      </w:r>
      <w:r>
        <w:rPr>
          <w:spacing w:val="-7"/>
          <w:sz w:val="20"/>
        </w:rPr>
        <w:t> </w:t>
      </w:r>
      <w:r>
        <w:rPr>
          <w:sz w:val="20"/>
        </w:rPr>
        <w:t>oversvømmelsesmodeller.</w:t>
      </w:r>
    </w:p>
    <w:p>
      <w:pPr>
        <w:pStyle w:val="ListParagraph"/>
        <w:numPr>
          <w:ilvl w:val="2"/>
          <w:numId w:val="17"/>
        </w:numPr>
        <w:tabs>
          <w:tab w:pos="1246" w:val="left" w:leader="none"/>
        </w:tabs>
        <w:spacing w:line="276" w:lineRule="auto" w:before="0" w:after="0"/>
        <w:ind w:left="1245" w:right="737" w:hanging="360"/>
        <w:jc w:val="both"/>
        <w:rPr>
          <w:sz w:val="20"/>
        </w:rPr>
      </w:pPr>
      <w:r>
        <w:rPr>
          <w:sz w:val="20"/>
        </w:rPr>
        <w:t>Løsning II: Anvendelse af forbedret DK-model 100 m. Modelforbedring inkluderer nye metoder til bedre modellering af terrænnært grundvand (inkl. distribuerede dræn og ny kalibreringsmetode).</w:t>
      </w:r>
      <w:r>
        <w:rPr>
          <w:spacing w:val="-7"/>
          <w:sz w:val="20"/>
        </w:rPr>
        <w:t> </w:t>
      </w:r>
      <w:r>
        <w:rPr>
          <w:sz w:val="20"/>
        </w:rPr>
        <w:t>Efterfølgende</w:t>
      </w:r>
      <w:r>
        <w:rPr>
          <w:spacing w:val="-9"/>
          <w:sz w:val="20"/>
        </w:rPr>
        <w:t> </w:t>
      </w:r>
      <w:r>
        <w:rPr>
          <w:sz w:val="20"/>
        </w:rPr>
        <w:t>nedskalering</w:t>
      </w:r>
      <w:r>
        <w:rPr>
          <w:spacing w:val="-8"/>
          <w:sz w:val="20"/>
        </w:rPr>
        <w:t> </w:t>
      </w:r>
      <w:r>
        <w:rPr>
          <w:sz w:val="20"/>
        </w:rPr>
        <w:t>af</w:t>
      </w:r>
      <w:r>
        <w:rPr>
          <w:spacing w:val="-9"/>
          <w:sz w:val="20"/>
        </w:rPr>
        <w:t> </w:t>
      </w:r>
      <w:r>
        <w:rPr>
          <w:sz w:val="20"/>
        </w:rPr>
        <w:t>simuleret</w:t>
      </w:r>
      <w:r>
        <w:rPr>
          <w:spacing w:val="-10"/>
          <w:sz w:val="20"/>
        </w:rPr>
        <w:t> </w:t>
      </w:r>
      <w:r>
        <w:rPr>
          <w:sz w:val="20"/>
        </w:rPr>
        <w:t>dybde</w:t>
      </w:r>
      <w:r>
        <w:rPr>
          <w:spacing w:val="-10"/>
          <w:sz w:val="20"/>
        </w:rPr>
        <w:t> </w:t>
      </w:r>
      <w:r>
        <w:rPr>
          <w:sz w:val="20"/>
        </w:rPr>
        <w:t>til</w:t>
      </w:r>
      <w:r>
        <w:rPr>
          <w:spacing w:val="-9"/>
          <w:sz w:val="20"/>
        </w:rPr>
        <w:t> </w:t>
      </w:r>
      <w:r>
        <w:rPr>
          <w:sz w:val="20"/>
        </w:rPr>
        <w:t>grundvandsspejlet fra fx 100 m til fx 10 m grid. Der anvendes en ny vandløbsgeometri (forbedret ’riverline’ og</w:t>
      </w:r>
      <w:r>
        <w:rPr>
          <w:spacing w:val="-9"/>
          <w:sz w:val="20"/>
        </w:rPr>
        <w:t> </w:t>
      </w:r>
      <w:r>
        <w:rPr>
          <w:sz w:val="20"/>
        </w:rPr>
        <w:t>flere</w:t>
      </w:r>
      <w:r>
        <w:rPr>
          <w:spacing w:val="-7"/>
          <w:sz w:val="20"/>
        </w:rPr>
        <w:t> </w:t>
      </w:r>
      <w:r>
        <w:rPr>
          <w:sz w:val="20"/>
        </w:rPr>
        <w:t>små</w:t>
      </w:r>
      <w:r>
        <w:rPr>
          <w:spacing w:val="-8"/>
          <w:sz w:val="20"/>
        </w:rPr>
        <w:t> </w:t>
      </w:r>
      <w:r>
        <w:rPr>
          <w:sz w:val="20"/>
        </w:rPr>
        <w:t>vandløb</w:t>
      </w:r>
      <w:r>
        <w:rPr>
          <w:spacing w:val="-6"/>
          <w:sz w:val="20"/>
        </w:rPr>
        <w:t> </w:t>
      </w:r>
      <w:r>
        <w:rPr>
          <w:sz w:val="20"/>
        </w:rPr>
        <w:t>i</w:t>
      </w:r>
      <w:r>
        <w:rPr>
          <w:spacing w:val="-10"/>
          <w:sz w:val="20"/>
        </w:rPr>
        <w:t> </w:t>
      </w:r>
      <w:r>
        <w:rPr>
          <w:sz w:val="20"/>
        </w:rPr>
        <w:t>DK-modellen</w:t>
      </w:r>
      <w:r>
        <w:rPr>
          <w:spacing w:val="-6"/>
          <w:sz w:val="20"/>
        </w:rPr>
        <w:t> </w:t>
      </w:r>
      <w:r>
        <w:rPr>
          <w:sz w:val="20"/>
        </w:rPr>
        <w:t>til</w:t>
      </w:r>
      <w:r>
        <w:rPr>
          <w:spacing w:val="-9"/>
          <w:sz w:val="20"/>
        </w:rPr>
        <w:t> </w:t>
      </w:r>
      <w:r>
        <w:rPr>
          <w:sz w:val="20"/>
        </w:rPr>
        <w:t>beregning</w:t>
      </w:r>
      <w:r>
        <w:rPr>
          <w:spacing w:val="-8"/>
          <w:sz w:val="20"/>
        </w:rPr>
        <w:t> </w:t>
      </w:r>
      <w:r>
        <w:rPr>
          <w:sz w:val="20"/>
        </w:rPr>
        <w:t>af</w:t>
      </w:r>
      <w:r>
        <w:rPr>
          <w:spacing w:val="-4"/>
          <w:sz w:val="20"/>
        </w:rPr>
        <w:t> </w:t>
      </w:r>
      <w:r>
        <w:rPr>
          <w:sz w:val="20"/>
        </w:rPr>
        <w:t>vandløbsafstrømning).</w:t>
      </w:r>
      <w:r>
        <w:rPr>
          <w:spacing w:val="-8"/>
          <w:sz w:val="20"/>
        </w:rPr>
        <w:t> </w:t>
      </w:r>
      <w:r>
        <w:rPr>
          <w:sz w:val="20"/>
        </w:rPr>
        <w:t>Den</w:t>
      </w:r>
      <w:r>
        <w:rPr>
          <w:spacing w:val="-6"/>
          <w:sz w:val="20"/>
        </w:rPr>
        <w:t> </w:t>
      </w:r>
      <w:r>
        <w:rPr>
          <w:sz w:val="20"/>
        </w:rPr>
        <w:t>ny</w:t>
      </w:r>
      <w:r>
        <w:rPr>
          <w:spacing w:val="-9"/>
          <w:sz w:val="20"/>
        </w:rPr>
        <w:t> </w:t>
      </w:r>
      <w:r>
        <w:rPr>
          <w:sz w:val="20"/>
        </w:rPr>
        <w:t>’river- line’</w:t>
      </w:r>
      <w:r>
        <w:rPr>
          <w:spacing w:val="-11"/>
          <w:sz w:val="20"/>
        </w:rPr>
        <w:t> </w:t>
      </w:r>
      <w:r>
        <w:rPr>
          <w:sz w:val="20"/>
        </w:rPr>
        <w:t>er</w:t>
      </w:r>
      <w:r>
        <w:rPr>
          <w:spacing w:val="-12"/>
          <w:sz w:val="20"/>
        </w:rPr>
        <w:t> </w:t>
      </w:r>
      <w:r>
        <w:rPr>
          <w:sz w:val="20"/>
        </w:rPr>
        <w:t>kompatibel</w:t>
      </w:r>
      <w:r>
        <w:rPr>
          <w:spacing w:val="-13"/>
          <w:sz w:val="20"/>
        </w:rPr>
        <w:t> </w:t>
      </w:r>
      <w:r>
        <w:rPr>
          <w:sz w:val="20"/>
        </w:rPr>
        <w:t>med</w:t>
      </w:r>
      <w:r>
        <w:rPr>
          <w:spacing w:val="-13"/>
          <w:sz w:val="20"/>
        </w:rPr>
        <w:t> </w:t>
      </w:r>
      <w:r>
        <w:rPr>
          <w:sz w:val="20"/>
        </w:rPr>
        <w:t>Danmarks</w:t>
      </w:r>
      <w:r>
        <w:rPr>
          <w:spacing w:val="-11"/>
          <w:sz w:val="20"/>
        </w:rPr>
        <w:t> </w:t>
      </w:r>
      <w:r>
        <w:rPr>
          <w:sz w:val="20"/>
        </w:rPr>
        <w:t>Højdemodel.</w:t>
      </w:r>
      <w:r>
        <w:rPr>
          <w:spacing w:val="-12"/>
          <w:sz w:val="20"/>
        </w:rPr>
        <w:t> </w:t>
      </w:r>
      <w:r>
        <w:rPr>
          <w:sz w:val="20"/>
        </w:rPr>
        <w:t>Der</w:t>
      </w:r>
      <w:r>
        <w:rPr>
          <w:spacing w:val="-12"/>
          <w:sz w:val="20"/>
        </w:rPr>
        <w:t> </w:t>
      </w:r>
      <w:r>
        <w:rPr>
          <w:sz w:val="20"/>
        </w:rPr>
        <w:t>er</w:t>
      </w:r>
      <w:r>
        <w:rPr>
          <w:spacing w:val="-12"/>
          <w:sz w:val="20"/>
        </w:rPr>
        <w:t> </w:t>
      </w:r>
      <w:r>
        <w:rPr>
          <w:sz w:val="20"/>
        </w:rPr>
        <w:t>fri</w:t>
      </w:r>
      <w:r>
        <w:rPr>
          <w:spacing w:val="-13"/>
          <w:sz w:val="20"/>
        </w:rPr>
        <w:t> </w:t>
      </w:r>
      <w:r>
        <w:rPr>
          <w:sz w:val="20"/>
        </w:rPr>
        <w:t>adgang</w:t>
      </w:r>
      <w:r>
        <w:rPr>
          <w:spacing w:val="-10"/>
          <w:sz w:val="20"/>
        </w:rPr>
        <w:t> </w:t>
      </w:r>
      <w:r>
        <w:rPr>
          <w:sz w:val="20"/>
        </w:rPr>
        <w:t>til</w:t>
      </w:r>
      <w:r>
        <w:rPr>
          <w:spacing w:val="-13"/>
          <w:sz w:val="20"/>
        </w:rPr>
        <w:t> </w:t>
      </w:r>
      <w:r>
        <w:rPr>
          <w:sz w:val="20"/>
        </w:rPr>
        <w:t>eksterne</w:t>
      </w:r>
      <w:r>
        <w:rPr>
          <w:spacing w:val="-12"/>
          <w:sz w:val="20"/>
        </w:rPr>
        <w:t> </w:t>
      </w:r>
      <w:r>
        <w:rPr>
          <w:sz w:val="20"/>
        </w:rPr>
        <w:t>beregnings- modeller,</w:t>
      </w:r>
      <w:r>
        <w:rPr>
          <w:spacing w:val="-14"/>
          <w:sz w:val="20"/>
        </w:rPr>
        <w:t> </w:t>
      </w:r>
      <w:r>
        <w:rPr>
          <w:sz w:val="20"/>
        </w:rPr>
        <w:t>der</w:t>
      </w:r>
      <w:r>
        <w:rPr>
          <w:spacing w:val="-14"/>
          <w:sz w:val="20"/>
        </w:rPr>
        <w:t> </w:t>
      </w:r>
      <w:r>
        <w:rPr>
          <w:sz w:val="20"/>
        </w:rPr>
        <w:t>er</w:t>
      </w:r>
      <w:r>
        <w:rPr>
          <w:spacing w:val="-13"/>
          <w:sz w:val="20"/>
        </w:rPr>
        <w:t> </w:t>
      </w:r>
      <w:r>
        <w:rPr>
          <w:sz w:val="20"/>
        </w:rPr>
        <w:t>udviklet</w:t>
      </w:r>
      <w:r>
        <w:rPr>
          <w:spacing w:val="-15"/>
          <w:sz w:val="20"/>
        </w:rPr>
        <w:t> </w:t>
      </w:r>
      <w:r>
        <w:rPr>
          <w:sz w:val="20"/>
        </w:rPr>
        <w:t>i</w:t>
      </w:r>
      <w:r>
        <w:rPr>
          <w:spacing w:val="-15"/>
          <w:sz w:val="20"/>
        </w:rPr>
        <w:t> </w:t>
      </w:r>
      <w:r>
        <w:rPr>
          <w:sz w:val="20"/>
        </w:rPr>
        <w:t>projektet,</w:t>
      </w:r>
      <w:r>
        <w:rPr>
          <w:spacing w:val="-15"/>
          <w:sz w:val="20"/>
        </w:rPr>
        <w:t> </w:t>
      </w:r>
      <w:r>
        <w:rPr>
          <w:sz w:val="20"/>
        </w:rPr>
        <w:t>således</w:t>
      </w:r>
      <w:r>
        <w:rPr>
          <w:spacing w:val="-13"/>
          <w:sz w:val="20"/>
        </w:rPr>
        <w:t> </w:t>
      </w:r>
      <w:r>
        <w:rPr>
          <w:sz w:val="20"/>
        </w:rPr>
        <w:t>at</w:t>
      </w:r>
      <w:r>
        <w:rPr>
          <w:spacing w:val="-15"/>
          <w:sz w:val="20"/>
        </w:rPr>
        <w:t> </w:t>
      </w:r>
      <w:r>
        <w:rPr>
          <w:sz w:val="20"/>
        </w:rPr>
        <w:t>brugerne</w:t>
      </w:r>
      <w:r>
        <w:rPr>
          <w:spacing w:val="-13"/>
          <w:sz w:val="20"/>
        </w:rPr>
        <w:t> </w:t>
      </w:r>
      <w:r>
        <w:rPr>
          <w:sz w:val="20"/>
        </w:rPr>
        <w:t>selv</w:t>
      </w:r>
      <w:r>
        <w:rPr>
          <w:spacing w:val="-15"/>
          <w:sz w:val="20"/>
        </w:rPr>
        <w:t> </w:t>
      </w:r>
      <w:r>
        <w:rPr>
          <w:sz w:val="20"/>
        </w:rPr>
        <w:t>kan</w:t>
      </w:r>
      <w:r>
        <w:rPr>
          <w:spacing w:val="-16"/>
          <w:sz w:val="20"/>
        </w:rPr>
        <w:t> </w:t>
      </w:r>
      <w:r>
        <w:rPr>
          <w:sz w:val="20"/>
        </w:rPr>
        <w:t>anvende</w:t>
      </w:r>
      <w:r>
        <w:rPr>
          <w:spacing w:val="-15"/>
          <w:sz w:val="20"/>
        </w:rPr>
        <w:t> </w:t>
      </w:r>
      <w:r>
        <w:rPr>
          <w:sz w:val="20"/>
        </w:rPr>
        <w:t>beregnet</w:t>
      </w:r>
      <w:r>
        <w:rPr>
          <w:spacing w:val="-13"/>
          <w:sz w:val="20"/>
        </w:rPr>
        <w:t> </w:t>
      </w:r>
      <w:r>
        <w:rPr>
          <w:sz w:val="20"/>
        </w:rPr>
        <w:t>vand- løbsafstrømning fra DK-modellen med supplerende lokale vandløbsdata (tværprofiler, bygværker og evt. havvandstand) til vandstandsberegning og oversvømmelseskortlæg- ning. Hvor der er behov. Beregnet vandløbsafstrømning fra DK-model kan også anven- des i mere avancerede vandstands- og</w:t>
      </w:r>
      <w:r>
        <w:rPr>
          <w:spacing w:val="-4"/>
          <w:sz w:val="20"/>
        </w:rPr>
        <w:t> </w:t>
      </w:r>
      <w:r>
        <w:rPr>
          <w:sz w:val="20"/>
        </w:rPr>
        <w:t>oversvømmelsesmodeller.</w:t>
      </w:r>
    </w:p>
    <w:p>
      <w:pPr>
        <w:pStyle w:val="ListParagraph"/>
        <w:numPr>
          <w:ilvl w:val="2"/>
          <w:numId w:val="17"/>
        </w:numPr>
        <w:tabs>
          <w:tab w:pos="1246" w:val="left" w:leader="none"/>
        </w:tabs>
        <w:spacing w:line="271" w:lineRule="auto" w:before="0" w:after="0"/>
        <w:ind w:left="1245" w:right="736" w:hanging="360"/>
        <w:jc w:val="both"/>
        <w:rPr>
          <w:sz w:val="20"/>
        </w:rPr>
      </w:pPr>
      <w:r>
        <w:rPr>
          <w:sz w:val="20"/>
        </w:rPr>
        <w:t>Løsning</w:t>
      </w:r>
      <w:r>
        <w:rPr>
          <w:spacing w:val="-4"/>
          <w:sz w:val="20"/>
        </w:rPr>
        <w:t> </w:t>
      </w:r>
      <w:r>
        <w:rPr>
          <w:sz w:val="20"/>
        </w:rPr>
        <w:t>III:</w:t>
      </w:r>
      <w:r>
        <w:rPr>
          <w:spacing w:val="-2"/>
          <w:sz w:val="20"/>
        </w:rPr>
        <w:t> </w:t>
      </w:r>
      <w:r>
        <w:rPr>
          <w:sz w:val="20"/>
        </w:rPr>
        <w:t>Anvendelse</w:t>
      </w:r>
      <w:r>
        <w:rPr>
          <w:spacing w:val="-5"/>
          <w:sz w:val="20"/>
        </w:rPr>
        <w:t> </w:t>
      </w:r>
      <w:r>
        <w:rPr>
          <w:sz w:val="20"/>
        </w:rPr>
        <w:t>af</w:t>
      </w:r>
      <w:r>
        <w:rPr>
          <w:spacing w:val="-3"/>
          <w:sz w:val="20"/>
        </w:rPr>
        <w:t> </w:t>
      </w:r>
      <w:r>
        <w:rPr>
          <w:sz w:val="20"/>
        </w:rPr>
        <w:t>forbedret</w:t>
      </w:r>
      <w:r>
        <w:rPr>
          <w:spacing w:val="-2"/>
          <w:sz w:val="20"/>
        </w:rPr>
        <w:t> </w:t>
      </w:r>
      <w:r>
        <w:rPr>
          <w:sz w:val="20"/>
        </w:rPr>
        <w:t>DK-model</w:t>
      </w:r>
      <w:r>
        <w:rPr>
          <w:spacing w:val="-6"/>
          <w:sz w:val="20"/>
        </w:rPr>
        <w:t> </w:t>
      </w:r>
      <w:r>
        <w:rPr>
          <w:sz w:val="20"/>
        </w:rPr>
        <w:t>i</w:t>
      </w:r>
      <w:r>
        <w:rPr>
          <w:spacing w:val="-3"/>
          <w:sz w:val="20"/>
        </w:rPr>
        <w:t> </w:t>
      </w:r>
      <w:r>
        <w:rPr>
          <w:sz w:val="20"/>
        </w:rPr>
        <w:t>100</w:t>
      </w:r>
      <w:r>
        <w:rPr>
          <w:spacing w:val="-4"/>
          <w:sz w:val="20"/>
        </w:rPr>
        <w:t> </w:t>
      </w:r>
      <w:r>
        <w:rPr>
          <w:sz w:val="20"/>
        </w:rPr>
        <w:t>m</w:t>
      </w:r>
      <w:r>
        <w:rPr>
          <w:spacing w:val="-1"/>
          <w:sz w:val="20"/>
        </w:rPr>
        <w:t> </w:t>
      </w:r>
      <w:r>
        <w:rPr>
          <w:sz w:val="20"/>
        </w:rPr>
        <w:t>grid</w:t>
      </w:r>
      <w:r>
        <w:rPr>
          <w:spacing w:val="-5"/>
          <w:sz w:val="20"/>
        </w:rPr>
        <w:t> </w:t>
      </w:r>
      <w:r>
        <w:rPr>
          <w:sz w:val="20"/>
        </w:rPr>
        <w:t>med</w:t>
      </w:r>
      <w:r>
        <w:rPr>
          <w:spacing w:val="-5"/>
          <w:sz w:val="20"/>
        </w:rPr>
        <w:t> </w:t>
      </w:r>
      <w:r>
        <w:rPr>
          <w:sz w:val="20"/>
        </w:rPr>
        <w:t>avanceret</w:t>
      </w:r>
      <w:r>
        <w:rPr>
          <w:spacing w:val="-2"/>
          <w:sz w:val="20"/>
        </w:rPr>
        <w:t> </w:t>
      </w:r>
      <w:r>
        <w:rPr>
          <w:sz w:val="20"/>
        </w:rPr>
        <w:t>vandløbsmo- del</w:t>
      </w:r>
      <w:r>
        <w:rPr>
          <w:spacing w:val="12"/>
          <w:sz w:val="20"/>
        </w:rPr>
        <w:t> </w:t>
      </w:r>
      <w:r>
        <w:rPr>
          <w:sz w:val="20"/>
        </w:rPr>
        <w:t>til</w:t>
      </w:r>
      <w:r>
        <w:rPr>
          <w:spacing w:val="12"/>
          <w:sz w:val="20"/>
        </w:rPr>
        <w:t> </w:t>
      </w:r>
      <w:r>
        <w:rPr>
          <w:sz w:val="20"/>
        </w:rPr>
        <w:t>vandstandsberegning</w:t>
      </w:r>
      <w:r>
        <w:rPr>
          <w:spacing w:val="12"/>
          <w:sz w:val="20"/>
        </w:rPr>
        <w:t> </w:t>
      </w:r>
      <w:r>
        <w:rPr>
          <w:sz w:val="20"/>
        </w:rPr>
        <w:t>med</w:t>
      </w:r>
      <w:r>
        <w:rPr>
          <w:spacing w:val="10"/>
          <w:sz w:val="20"/>
        </w:rPr>
        <w:t> </w:t>
      </w:r>
      <w:r>
        <w:rPr>
          <w:sz w:val="20"/>
        </w:rPr>
        <w:t>anvendelse</w:t>
      </w:r>
      <w:r>
        <w:rPr>
          <w:spacing w:val="11"/>
          <w:sz w:val="20"/>
        </w:rPr>
        <w:t> </w:t>
      </w:r>
      <w:r>
        <w:rPr>
          <w:sz w:val="20"/>
        </w:rPr>
        <w:t>af</w:t>
      </w:r>
      <w:r>
        <w:rPr>
          <w:spacing w:val="13"/>
          <w:sz w:val="20"/>
        </w:rPr>
        <w:t> </w:t>
      </w:r>
      <w:r>
        <w:rPr>
          <w:sz w:val="20"/>
        </w:rPr>
        <w:t>fuld</w:t>
      </w:r>
      <w:r>
        <w:rPr>
          <w:spacing w:val="14"/>
          <w:sz w:val="20"/>
        </w:rPr>
        <w:t> </w:t>
      </w:r>
      <w:r>
        <w:rPr>
          <w:sz w:val="20"/>
        </w:rPr>
        <w:t>hydrodynamisk</w:t>
      </w:r>
      <w:r>
        <w:rPr>
          <w:spacing w:val="15"/>
          <w:sz w:val="20"/>
        </w:rPr>
        <w:t> </w:t>
      </w:r>
      <w:r>
        <w:rPr>
          <w:sz w:val="20"/>
        </w:rPr>
        <w:t>vandløbsmodel</w:t>
      </w:r>
      <w:r>
        <w:rPr>
          <w:spacing w:val="10"/>
          <w:sz w:val="20"/>
        </w:rPr>
        <w:t> </w:t>
      </w:r>
      <w:r>
        <w:rPr>
          <w:sz w:val="20"/>
        </w:rPr>
        <w:t>ud</w:t>
      </w:r>
    </w:p>
    <w:p>
      <w:pPr>
        <w:spacing w:after="0" w:line="271" w:lineRule="auto"/>
        <w:jc w:val="both"/>
        <w:rPr>
          <w:sz w:val="20"/>
        </w:rPr>
        <w:sectPr>
          <w:footerReference w:type="default" r:id="rId147"/>
          <w:pgSz w:w="11910" w:h="16850"/>
          <w:pgMar w:footer="857" w:header="0" w:top="1420" w:bottom="1040" w:left="1460" w:right="680"/>
        </w:sectPr>
      </w:pPr>
    </w:p>
    <w:p>
      <w:pPr>
        <w:spacing w:line="276" w:lineRule="auto" w:before="77"/>
        <w:ind w:left="1245" w:right="737" w:firstLine="0"/>
        <w:jc w:val="both"/>
        <w:rPr>
          <w:sz w:val="20"/>
        </w:rPr>
      </w:pPr>
      <w:r>
        <w:rPr>
          <w:sz w:val="20"/>
        </w:rPr>
        <w:t>fra faktisk opmålte tværsnitsprofiler jf. koncept udviklet for Storå og Odense Å, samt ka- librering af hydrodynamiske parametre mod vandstand i vandløb. Efterfølgende nedska- lering af terrænnært grundvand fra 100 m til fx 10 m. Modelforbedring inkluderer nye metoder til bedre modellering af terrænnært grundvand (inkl. distribuerede dræn og ny kalibreringsmetode). Vandstandsberegninger anvendes til kortlægning af oversvømmel- ser fra vandløb på landsdækkende skala.</w:t>
      </w:r>
    </w:p>
    <w:p>
      <w:pPr>
        <w:pStyle w:val="ListParagraph"/>
        <w:numPr>
          <w:ilvl w:val="2"/>
          <w:numId w:val="17"/>
        </w:numPr>
        <w:tabs>
          <w:tab w:pos="1246" w:val="left" w:leader="none"/>
        </w:tabs>
        <w:spacing w:line="276" w:lineRule="auto" w:before="1" w:after="0"/>
        <w:ind w:left="1245" w:right="734" w:hanging="360"/>
        <w:jc w:val="both"/>
        <w:rPr>
          <w:sz w:val="20"/>
        </w:rPr>
      </w:pPr>
      <w:r>
        <w:rPr>
          <w:sz w:val="20"/>
        </w:rPr>
        <w:t>Løsning IV: Kombination af løsning I og II. Anvendelse af forbedret DK-model 500 m til grundvands- og vandbalance kalibrering. Modelforbedring inkluderer nye metoder til bedre modellering af terrænnært grundvand (inkl. distribuerede dræn og ny kalibrerings- metode). Opsætning af DK-model i 100 m grid med forbedret og udbygget vandløbsmo- del opsætning som er mere kompatibel i forhold til Danmarks højdemodel (forbedret ri- verline og udbygning af vandløbsnetværk med små vandløb). Overførsel og/eller ned- skalering af modelparametre fra 500 m til 100 m, produktionskørsler i 100 m grid. Mulig- hed for nedskalering af simuleret dybde til grundvandsspejlet fra fx 100 m til 10 m grid. Der er fri adgang til eksterne beregningsmodeller, der er udviklet i projektet, således at brugerne</w:t>
      </w:r>
      <w:r>
        <w:rPr>
          <w:spacing w:val="-8"/>
          <w:sz w:val="20"/>
        </w:rPr>
        <w:t> </w:t>
      </w:r>
      <w:r>
        <w:rPr>
          <w:sz w:val="20"/>
        </w:rPr>
        <w:t>selv</w:t>
      </w:r>
      <w:r>
        <w:rPr>
          <w:spacing w:val="-9"/>
          <w:sz w:val="20"/>
        </w:rPr>
        <w:t> </w:t>
      </w:r>
      <w:r>
        <w:rPr>
          <w:sz w:val="20"/>
        </w:rPr>
        <w:t>kan</w:t>
      </w:r>
      <w:r>
        <w:rPr>
          <w:spacing w:val="-8"/>
          <w:sz w:val="20"/>
        </w:rPr>
        <w:t> </w:t>
      </w:r>
      <w:r>
        <w:rPr>
          <w:sz w:val="20"/>
        </w:rPr>
        <w:t>anvende</w:t>
      </w:r>
      <w:r>
        <w:rPr>
          <w:spacing w:val="-6"/>
          <w:sz w:val="20"/>
        </w:rPr>
        <w:t> </w:t>
      </w:r>
      <w:r>
        <w:rPr>
          <w:sz w:val="20"/>
        </w:rPr>
        <w:t>beregnet</w:t>
      </w:r>
      <w:r>
        <w:rPr>
          <w:spacing w:val="-5"/>
          <w:sz w:val="20"/>
        </w:rPr>
        <w:t> </w:t>
      </w:r>
      <w:r>
        <w:rPr>
          <w:sz w:val="20"/>
        </w:rPr>
        <w:t>vandløbsafstrømning</w:t>
      </w:r>
      <w:r>
        <w:rPr>
          <w:spacing w:val="-8"/>
          <w:sz w:val="20"/>
        </w:rPr>
        <w:t> </w:t>
      </w:r>
      <w:r>
        <w:rPr>
          <w:sz w:val="20"/>
        </w:rPr>
        <w:t>fra</w:t>
      </w:r>
      <w:r>
        <w:rPr>
          <w:spacing w:val="-8"/>
          <w:sz w:val="20"/>
        </w:rPr>
        <w:t> </w:t>
      </w:r>
      <w:r>
        <w:rPr>
          <w:sz w:val="20"/>
        </w:rPr>
        <w:t>DK-modellen</w:t>
      </w:r>
      <w:r>
        <w:rPr>
          <w:spacing w:val="-8"/>
          <w:sz w:val="20"/>
        </w:rPr>
        <w:t> </w:t>
      </w:r>
      <w:r>
        <w:rPr>
          <w:sz w:val="20"/>
        </w:rPr>
        <w:t>med</w:t>
      </w:r>
      <w:r>
        <w:rPr>
          <w:spacing w:val="-8"/>
          <w:sz w:val="20"/>
        </w:rPr>
        <w:t> </w:t>
      </w:r>
      <w:r>
        <w:rPr>
          <w:sz w:val="20"/>
        </w:rPr>
        <w:t>supple- rende</w:t>
      </w:r>
      <w:r>
        <w:rPr>
          <w:spacing w:val="-18"/>
          <w:sz w:val="20"/>
        </w:rPr>
        <w:t> </w:t>
      </w:r>
      <w:r>
        <w:rPr>
          <w:sz w:val="20"/>
        </w:rPr>
        <w:t>lokale</w:t>
      </w:r>
      <w:r>
        <w:rPr>
          <w:spacing w:val="-16"/>
          <w:sz w:val="20"/>
        </w:rPr>
        <w:t> </w:t>
      </w:r>
      <w:r>
        <w:rPr>
          <w:sz w:val="20"/>
        </w:rPr>
        <w:t>vandløbsdata</w:t>
      </w:r>
      <w:r>
        <w:rPr>
          <w:spacing w:val="-17"/>
          <w:sz w:val="20"/>
        </w:rPr>
        <w:t> </w:t>
      </w:r>
      <w:r>
        <w:rPr>
          <w:sz w:val="20"/>
        </w:rPr>
        <w:t>(tværprofiler,</w:t>
      </w:r>
      <w:r>
        <w:rPr>
          <w:spacing w:val="-16"/>
          <w:sz w:val="20"/>
        </w:rPr>
        <w:t> </w:t>
      </w:r>
      <w:r>
        <w:rPr>
          <w:sz w:val="20"/>
        </w:rPr>
        <w:t>bygværker</w:t>
      </w:r>
      <w:r>
        <w:rPr>
          <w:spacing w:val="-18"/>
          <w:sz w:val="20"/>
        </w:rPr>
        <w:t> </w:t>
      </w:r>
      <w:r>
        <w:rPr>
          <w:sz w:val="20"/>
        </w:rPr>
        <w:t>og</w:t>
      </w:r>
      <w:r>
        <w:rPr>
          <w:spacing w:val="-14"/>
          <w:sz w:val="20"/>
        </w:rPr>
        <w:t> </w:t>
      </w:r>
      <w:r>
        <w:rPr>
          <w:sz w:val="20"/>
        </w:rPr>
        <w:t>evt.</w:t>
      </w:r>
      <w:r>
        <w:rPr>
          <w:spacing w:val="-17"/>
          <w:sz w:val="20"/>
        </w:rPr>
        <w:t> </w:t>
      </w:r>
      <w:r>
        <w:rPr>
          <w:sz w:val="20"/>
        </w:rPr>
        <w:t>havvandstand)</w:t>
      </w:r>
      <w:r>
        <w:rPr>
          <w:spacing w:val="-18"/>
          <w:sz w:val="20"/>
        </w:rPr>
        <w:t> </w:t>
      </w:r>
      <w:r>
        <w:rPr>
          <w:sz w:val="20"/>
        </w:rPr>
        <w:t>til</w:t>
      </w:r>
      <w:r>
        <w:rPr>
          <w:spacing w:val="-15"/>
          <w:sz w:val="20"/>
        </w:rPr>
        <w:t> </w:t>
      </w:r>
      <w:r>
        <w:rPr>
          <w:sz w:val="20"/>
        </w:rPr>
        <w:t>vandstands- beregning og oversvømmelseskortlægning. Hvor der er behov. Beregnet vandløbsaf- strømning fra DK-model kan også anvendes i mere avancerede vandstands- og over- svømmelsesmodeller.</w:t>
      </w:r>
      <w:r>
        <w:rPr>
          <w:spacing w:val="-11"/>
          <w:sz w:val="20"/>
        </w:rPr>
        <w:t> </w:t>
      </w:r>
      <w:r>
        <w:rPr>
          <w:sz w:val="20"/>
        </w:rPr>
        <w:t>Evt.</w:t>
      </w:r>
      <w:r>
        <w:rPr>
          <w:spacing w:val="-9"/>
          <w:sz w:val="20"/>
        </w:rPr>
        <w:t> </w:t>
      </w:r>
      <w:r>
        <w:rPr>
          <w:sz w:val="20"/>
        </w:rPr>
        <w:t>mulighed</w:t>
      </w:r>
      <w:r>
        <w:rPr>
          <w:spacing w:val="-11"/>
          <w:sz w:val="20"/>
        </w:rPr>
        <w:t> </w:t>
      </w:r>
      <w:r>
        <w:rPr>
          <w:sz w:val="20"/>
        </w:rPr>
        <w:t>for</w:t>
      </w:r>
      <w:r>
        <w:rPr>
          <w:spacing w:val="-13"/>
          <w:sz w:val="20"/>
        </w:rPr>
        <w:t> </w:t>
      </w:r>
      <w:r>
        <w:rPr>
          <w:sz w:val="20"/>
        </w:rPr>
        <w:t>landsdækkende</w:t>
      </w:r>
      <w:r>
        <w:rPr>
          <w:spacing w:val="-13"/>
          <w:sz w:val="20"/>
        </w:rPr>
        <w:t> </w:t>
      </w:r>
      <w:r>
        <w:rPr>
          <w:sz w:val="20"/>
        </w:rPr>
        <w:t>beregninger</w:t>
      </w:r>
      <w:r>
        <w:rPr>
          <w:spacing w:val="-13"/>
          <w:sz w:val="20"/>
        </w:rPr>
        <w:t> </w:t>
      </w:r>
      <w:r>
        <w:rPr>
          <w:sz w:val="20"/>
        </w:rPr>
        <w:t>af</w:t>
      </w:r>
      <w:r>
        <w:rPr>
          <w:spacing w:val="-11"/>
          <w:sz w:val="20"/>
        </w:rPr>
        <w:t> </w:t>
      </w:r>
      <w:r>
        <w:rPr>
          <w:sz w:val="20"/>
        </w:rPr>
        <w:t>oversvømmelser med</w:t>
      </w:r>
      <w:r>
        <w:rPr>
          <w:spacing w:val="-7"/>
          <w:sz w:val="20"/>
        </w:rPr>
        <w:t> </w:t>
      </w:r>
      <w:r>
        <w:rPr>
          <w:sz w:val="20"/>
        </w:rPr>
        <w:t>eksterne</w:t>
      </w:r>
      <w:r>
        <w:rPr>
          <w:spacing w:val="-7"/>
          <w:sz w:val="20"/>
        </w:rPr>
        <w:t> </w:t>
      </w:r>
      <w:r>
        <w:rPr>
          <w:sz w:val="20"/>
        </w:rPr>
        <w:t>moduler</w:t>
      </w:r>
      <w:r>
        <w:rPr>
          <w:spacing w:val="-5"/>
          <w:sz w:val="20"/>
        </w:rPr>
        <w:t> </w:t>
      </w:r>
      <w:r>
        <w:rPr>
          <w:sz w:val="20"/>
        </w:rPr>
        <w:t>såfremt</w:t>
      </w:r>
      <w:r>
        <w:rPr>
          <w:spacing w:val="-7"/>
          <w:sz w:val="20"/>
        </w:rPr>
        <w:t> </w:t>
      </w:r>
      <w:r>
        <w:rPr>
          <w:sz w:val="20"/>
        </w:rPr>
        <w:t>tværprofil</w:t>
      </w:r>
      <w:r>
        <w:rPr>
          <w:spacing w:val="-5"/>
          <w:sz w:val="20"/>
        </w:rPr>
        <w:t> </w:t>
      </w:r>
      <w:r>
        <w:rPr>
          <w:sz w:val="20"/>
        </w:rPr>
        <w:t>data</w:t>
      </w:r>
      <w:r>
        <w:rPr>
          <w:spacing w:val="-7"/>
          <w:sz w:val="20"/>
        </w:rPr>
        <w:t> </w:t>
      </w:r>
      <w:r>
        <w:rPr>
          <w:sz w:val="20"/>
        </w:rPr>
        <w:t>kan</w:t>
      </w:r>
      <w:r>
        <w:rPr>
          <w:spacing w:val="-5"/>
          <w:sz w:val="20"/>
        </w:rPr>
        <w:t> </w:t>
      </w:r>
      <w:r>
        <w:rPr>
          <w:sz w:val="20"/>
        </w:rPr>
        <w:t>indlæses</w:t>
      </w:r>
      <w:r>
        <w:rPr>
          <w:spacing w:val="-6"/>
          <w:sz w:val="20"/>
        </w:rPr>
        <w:t> </w:t>
      </w:r>
      <w:r>
        <w:rPr>
          <w:sz w:val="20"/>
        </w:rPr>
        <w:t>fra</w:t>
      </w:r>
      <w:r>
        <w:rPr>
          <w:spacing w:val="-2"/>
          <w:sz w:val="20"/>
        </w:rPr>
        <w:t> </w:t>
      </w:r>
      <w:r>
        <w:rPr>
          <w:sz w:val="20"/>
        </w:rPr>
        <w:t>fælles</w:t>
      </w:r>
      <w:r>
        <w:rPr>
          <w:spacing w:val="-6"/>
          <w:sz w:val="20"/>
        </w:rPr>
        <w:t> </w:t>
      </w:r>
      <w:r>
        <w:rPr>
          <w:sz w:val="20"/>
        </w:rPr>
        <w:t>database</w:t>
      </w:r>
      <w:r>
        <w:rPr>
          <w:spacing w:val="-5"/>
          <w:sz w:val="20"/>
        </w:rPr>
        <w:t> </w:t>
      </w:r>
      <w:r>
        <w:rPr>
          <w:sz w:val="20"/>
        </w:rPr>
        <w:t>relateret til ’riverline’ kompatibel med udbygget 100 m</w:t>
      </w:r>
      <w:r>
        <w:rPr>
          <w:spacing w:val="-1"/>
          <w:sz w:val="20"/>
        </w:rPr>
        <w:t> </w:t>
      </w:r>
      <w:r>
        <w:rPr>
          <w:sz w:val="20"/>
        </w:rPr>
        <w:t>DK-model.</w:t>
      </w:r>
    </w:p>
    <w:p>
      <w:pPr>
        <w:pStyle w:val="BodyText"/>
        <w:spacing w:before="8"/>
        <w:rPr>
          <w:sz w:val="23"/>
        </w:rPr>
      </w:pPr>
    </w:p>
    <w:p>
      <w:pPr>
        <w:pStyle w:val="BodyText"/>
        <w:spacing w:line="276" w:lineRule="auto"/>
        <w:ind w:left="525" w:right="729"/>
        <w:jc w:val="both"/>
      </w:pPr>
      <w:r>
        <w:rPr/>
        <w:t>I </w:t>
      </w:r>
      <w:hyperlink w:history="true" w:anchor="_bookmark170">
        <w:r>
          <w:rPr/>
          <w:t>tabel 35 </w:t>
        </w:r>
      </w:hyperlink>
      <w:r>
        <w:rPr/>
        <w:t>er vist en beregning af opnået performance for kalibreringsperioden med de fire forskellige løsningsforslag (I-IV). Der er vist nøjagtighed på dybde til terrænnært grundvand (middel absolut fejl), nøjagtighed på simuleret vandføring (Nash-Sutcliffe R2) samt kørsels- tid. Løsning I-IV giver omtrent samme performance kvantitativt vurderet i forhold til pejleob- servationer,</w:t>
      </w:r>
      <w:r>
        <w:rPr>
          <w:spacing w:val="-6"/>
        </w:rPr>
        <w:t> </w:t>
      </w:r>
      <w:r>
        <w:rPr/>
        <w:t>men</w:t>
      </w:r>
      <w:r>
        <w:rPr>
          <w:spacing w:val="-3"/>
        </w:rPr>
        <w:t> </w:t>
      </w:r>
      <w:r>
        <w:rPr/>
        <w:t>i</w:t>
      </w:r>
      <w:r>
        <w:rPr>
          <w:spacing w:val="-4"/>
        </w:rPr>
        <w:t> </w:t>
      </w:r>
      <w:r>
        <w:rPr/>
        <w:t>løsning</w:t>
      </w:r>
      <w:r>
        <w:rPr>
          <w:spacing w:val="-4"/>
        </w:rPr>
        <w:t> </w:t>
      </w:r>
      <w:r>
        <w:rPr/>
        <w:t>II-IV</w:t>
      </w:r>
      <w:r>
        <w:rPr>
          <w:spacing w:val="-4"/>
        </w:rPr>
        <w:t> </w:t>
      </w:r>
      <w:r>
        <w:rPr/>
        <w:t>med</w:t>
      </w:r>
      <w:r>
        <w:rPr>
          <w:spacing w:val="-3"/>
        </w:rPr>
        <w:t> </w:t>
      </w:r>
      <w:r>
        <w:rPr/>
        <w:t>mulighed</w:t>
      </w:r>
      <w:r>
        <w:rPr>
          <w:spacing w:val="-4"/>
        </w:rPr>
        <w:t> </w:t>
      </w:r>
      <w:r>
        <w:rPr/>
        <w:t>for</w:t>
      </w:r>
      <w:r>
        <w:rPr>
          <w:spacing w:val="-4"/>
        </w:rPr>
        <w:t> </w:t>
      </w:r>
      <w:r>
        <w:rPr/>
        <w:t>nedskalering</w:t>
      </w:r>
      <w:r>
        <w:rPr>
          <w:spacing w:val="-4"/>
        </w:rPr>
        <w:t> </w:t>
      </w:r>
      <w:r>
        <w:rPr/>
        <w:t>til</w:t>
      </w:r>
      <w:r>
        <w:rPr>
          <w:spacing w:val="-3"/>
        </w:rPr>
        <w:t> </w:t>
      </w:r>
      <w:r>
        <w:rPr/>
        <w:t>10</w:t>
      </w:r>
      <w:r>
        <w:rPr>
          <w:spacing w:val="-5"/>
        </w:rPr>
        <w:t> </w:t>
      </w:r>
      <w:r>
        <w:rPr/>
        <w:t>m,</w:t>
      </w:r>
      <w:r>
        <w:rPr>
          <w:spacing w:val="-5"/>
        </w:rPr>
        <w:t> </w:t>
      </w:r>
      <w:r>
        <w:rPr/>
        <w:t>hvilket</w:t>
      </w:r>
      <w:r>
        <w:rPr>
          <w:spacing w:val="-6"/>
        </w:rPr>
        <w:t> </w:t>
      </w:r>
      <w:r>
        <w:rPr/>
        <w:t>ikke</w:t>
      </w:r>
      <w:r>
        <w:rPr>
          <w:spacing w:val="-4"/>
        </w:rPr>
        <w:t> </w:t>
      </w:r>
      <w:r>
        <w:rPr/>
        <w:t>vurderes muligt</w:t>
      </w:r>
      <w:r>
        <w:rPr>
          <w:spacing w:val="-10"/>
        </w:rPr>
        <w:t> </w:t>
      </w:r>
      <w:r>
        <w:rPr/>
        <w:t>med</w:t>
      </w:r>
      <w:r>
        <w:rPr>
          <w:spacing w:val="-8"/>
        </w:rPr>
        <w:t> </w:t>
      </w:r>
      <w:r>
        <w:rPr/>
        <w:t>løsning</w:t>
      </w:r>
      <w:r>
        <w:rPr>
          <w:spacing w:val="-7"/>
        </w:rPr>
        <w:t> </w:t>
      </w:r>
      <w:r>
        <w:rPr/>
        <w:t>I.</w:t>
      </w:r>
      <w:r>
        <w:rPr>
          <w:spacing w:val="-7"/>
        </w:rPr>
        <w:t> </w:t>
      </w:r>
      <w:r>
        <w:rPr/>
        <w:t>Løsning</w:t>
      </w:r>
      <w:r>
        <w:rPr>
          <w:spacing w:val="-6"/>
        </w:rPr>
        <w:t> </w:t>
      </w:r>
      <w:r>
        <w:rPr/>
        <w:t>II-III</w:t>
      </w:r>
      <w:r>
        <w:rPr>
          <w:spacing w:val="-8"/>
        </w:rPr>
        <w:t> </w:t>
      </w:r>
      <w:r>
        <w:rPr/>
        <w:t>giver</w:t>
      </w:r>
      <w:r>
        <w:rPr>
          <w:spacing w:val="-7"/>
        </w:rPr>
        <w:t> </w:t>
      </w:r>
      <w:r>
        <w:rPr/>
        <w:t>forbedret</w:t>
      </w:r>
      <w:r>
        <w:rPr>
          <w:spacing w:val="-8"/>
        </w:rPr>
        <w:t> </w:t>
      </w:r>
      <w:r>
        <w:rPr/>
        <w:t>performance</w:t>
      </w:r>
      <w:r>
        <w:rPr>
          <w:spacing w:val="-8"/>
        </w:rPr>
        <w:t> </w:t>
      </w:r>
      <w:r>
        <w:rPr/>
        <w:t>i</w:t>
      </w:r>
      <w:r>
        <w:rPr>
          <w:spacing w:val="-8"/>
        </w:rPr>
        <w:t> </w:t>
      </w:r>
      <w:r>
        <w:rPr/>
        <w:t>forhold</w:t>
      </w:r>
      <w:r>
        <w:rPr>
          <w:spacing w:val="-7"/>
        </w:rPr>
        <w:t> </w:t>
      </w:r>
      <w:r>
        <w:rPr/>
        <w:t>til</w:t>
      </w:r>
      <w:r>
        <w:rPr>
          <w:spacing w:val="-8"/>
        </w:rPr>
        <w:t> </w:t>
      </w:r>
      <w:r>
        <w:rPr/>
        <w:t>simuleret</w:t>
      </w:r>
      <w:r>
        <w:rPr>
          <w:spacing w:val="-8"/>
        </w:rPr>
        <w:t> </w:t>
      </w:r>
      <w:r>
        <w:rPr/>
        <w:t>afstrøm- ning</w:t>
      </w:r>
      <w:r>
        <w:rPr>
          <w:spacing w:val="-6"/>
        </w:rPr>
        <w:t> </w:t>
      </w:r>
      <w:r>
        <w:rPr/>
        <w:t>i</w:t>
      </w:r>
      <w:r>
        <w:rPr>
          <w:spacing w:val="-5"/>
        </w:rPr>
        <w:t> </w:t>
      </w:r>
      <w:r>
        <w:rPr/>
        <w:t>Storå,</w:t>
      </w:r>
      <w:r>
        <w:rPr>
          <w:spacing w:val="-8"/>
        </w:rPr>
        <w:t> </w:t>
      </w:r>
      <w:r>
        <w:rPr/>
        <w:t>i</w:t>
      </w:r>
      <w:r>
        <w:rPr>
          <w:spacing w:val="-5"/>
        </w:rPr>
        <w:t> </w:t>
      </w:r>
      <w:r>
        <w:rPr/>
        <w:t>forhold</w:t>
      </w:r>
      <w:r>
        <w:rPr>
          <w:spacing w:val="-6"/>
        </w:rPr>
        <w:t> </w:t>
      </w:r>
      <w:r>
        <w:rPr/>
        <w:t>til</w:t>
      </w:r>
      <w:r>
        <w:rPr>
          <w:spacing w:val="-4"/>
        </w:rPr>
        <w:t> </w:t>
      </w:r>
      <w:r>
        <w:rPr/>
        <w:t>løsning</w:t>
      </w:r>
      <w:r>
        <w:rPr>
          <w:spacing w:val="-6"/>
        </w:rPr>
        <w:t> </w:t>
      </w:r>
      <w:r>
        <w:rPr/>
        <w:t>I</w:t>
      </w:r>
      <w:r>
        <w:rPr>
          <w:spacing w:val="-7"/>
        </w:rPr>
        <w:t> </w:t>
      </w:r>
      <w:r>
        <w:rPr/>
        <w:t>og</w:t>
      </w:r>
      <w:r>
        <w:rPr>
          <w:spacing w:val="-6"/>
        </w:rPr>
        <w:t> </w:t>
      </w:r>
      <w:r>
        <w:rPr/>
        <w:t>IV.</w:t>
      </w:r>
      <w:r>
        <w:rPr>
          <w:spacing w:val="-7"/>
        </w:rPr>
        <w:t> </w:t>
      </w:r>
      <w:r>
        <w:rPr/>
        <w:t>Der</w:t>
      </w:r>
      <w:r>
        <w:rPr>
          <w:spacing w:val="-6"/>
        </w:rPr>
        <w:t> </w:t>
      </w:r>
      <w:r>
        <w:rPr/>
        <w:t>ses</w:t>
      </w:r>
      <w:r>
        <w:rPr>
          <w:spacing w:val="-6"/>
        </w:rPr>
        <w:t> </w:t>
      </w:r>
      <w:r>
        <w:rPr/>
        <w:t>en</w:t>
      </w:r>
      <w:r>
        <w:rPr>
          <w:spacing w:val="-6"/>
        </w:rPr>
        <w:t> </w:t>
      </w:r>
      <w:r>
        <w:rPr/>
        <w:t>meget</w:t>
      </w:r>
      <w:r>
        <w:rPr>
          <w:spacing w:val="-7"/>
        </w:rPr>
        <w:t> </w:t>
      </w:r>
      <w:r>
        <w:rPr/>
        <w:t>væsentlig</w:t>
      </w:r>
      <w:r>
        <w:rPr>
          <w:spacing w:val="-6"/>
        </w:rPr>
        <w:t> </w:t>
      </w:r>
      <w:r>
        <w:rPr/>
        <w:t>forøgelse</w:t>
      </w:r>
      <w:r>
        <w:rPr>
          <w:spacing w:val="-8"/>
        </w:rPr>
        <w:t> </w:t>
      </w:r>
      <w:r>
        <w:rPr/>
        <w:t>af</w:t>
      </w:r>
      <w:r>
        <w:rPr>
          <w:spacing w:val="-1"/>
        </w:rPr>
        <w:t> </w:t>
      </w:r>
      <w:r>
        <w:rPr/>
        <w:t>kørselstider fra Løsning I og IV (ca. 15 min) hvor der anvendes 500 m model til grundvands- og vandba- lance</w:t>
      </w:r>
      <w:r>
        <w:rPr>
          <w:spacing w:val="-9"/>
        </w:rPr>
        <w:t> </w:t>
      </w:r>
      <w:r>
        <w:rPr/>
        <w:t>kalibrering,</w:t>
      </w:r>
      <w:r>
        <w:rPr>
          <w:spacing w:val="-7"/>
        </w:rPr>
        <w:t> </w:t>
      </w:r>
      <w:r>
        <w:rPr/>
        <w:t>over</w:t>
      </w:r>
      <w:r>
        <w:rPr>
          <w:spacing w:val="-8"/>
        </w:rPr>
        <w:t> </w:t>
      </w:r>
      <w:r>
        <w:rPr/>
        <w:t>løsning</w:t>
      </w:r>
      <w:r>
        <w:rPr>
          <w:spacing w:val="-6"/>
        </w:rPr>
        <w:t> </w:t>
      </w:r>
      <w:r>
        <w:rPr/>
        <w:t>II</w:t>
      </w:r>
      <w:r>
        <w:rPr>
          <w:spacing w:val="-7"/>
        </w:rPr>
        <w:t> </w:t>
      </w:r>
      <w:r>
        <w:rPr/>
        <w:t>med</w:t>
      </w:r>
      <w:r>
        <w:rPr>
          <w:spacing w:val="-9"/>
        </w:rPr>
        <w:t> </w:t>
      </w:r>
      <w:r>
        <w:rPr/>
        <w:t>kalibrering</w:t>
      </w:r>
      <w:r>
        <w:rPr>
          <w:spacing w:val="-6"/>
        </w:rPr>
        <w:t> </w:t>
      </w:r>
      <w:r>
        <w:rPr/>
        <w:t>af</w:t>
      </w:r>
      <w:r>
        <w:rPr>
          <w:spacing w:val="-6"/>
        </w:rPr>
        <w:t> </w:t>
      </w:r>
      <w:r>
        <w:rPr/>
        <w:t>100</w:t>
      </w:r>
      <w:r>
        <w:rPr>
          <w:spacing w:val="-8"/>
        </w:rPr>
        <w:t> </w:t>
      </w:r>
      <w:r>
        <w:rPr/>
        <w:t>m</w:t>
      </w:r>
      <w:r>
        <w:rPr>
          <w:spacing w:val="-6"/>
        </w:rPr>
        <w:t> </w:t>
      </w:r>
      <w:r>
        <w:rPr/>
        <w:t>model</w:t>
      </w:r>
      <w:r>
        <w:rPr>
          <w:spacing w:val="-5"/>
        </w:rPr>
        <w:t> </w:t>
      </w:r>
      <w:r>
        <w:rPr/>
        <w:t>(6.5-7.5</w:t>
      </w:r>
      <w:r>
        <w:rPr>
          <w:spacing w:val="-6"/>
        </w:rPr>
        <w:t> </w:t>
      </w:r>
      <w:r>
        <w:rPr/>
        <w:t>timer)</w:t>
      </w:r>
      <w:r>
        <w:rPr>
          <w:spacing w:val="-8"/>
        </w:rPr>
        <w:t> </w:t>
      </w:r>
      <w:r>
        <w:rPr/>
        <w:t>og</w:t>
      </w:r>
      <w:r>
        <w:rPr>
          <w:spacing w:val="-6"/>
        </w:rPr>
        <w:t> </w:t>
      </w:r>
      <w:r>
        <w:rPr/>
        <w:t>til</w:t>
      </w:r>
      <w:r>
        <w:rPr>
          <w:spacing w:val="-6"/>
        </w:rPr>
        <w:t> </w:t>
      </w:r>
      <w:r>
        <w:rPr/>
        <w:t>løsning III hvor fuld hydrodynamisk model anvendes (60-100 timer). Sidstnævnte kan evt. halveres med</w:t>
      </w:r>
      <w:r>
        <w:rPr>
          <w:spacing w:val="-15"/>
        </w:rPr>
        <w:t> </w:t>
      </w:r>
      <w:r>
        <w:rPr/>
        <w:t>brug</w:t>
      </w:r>
      <w:r>
        <w:rPr>
          <w:spacing w:val="-14"/>
        </w:rPr>
        <w:t> </w:t>
      </w:r>
      <w:r>
        <w:rPr/>
        <w:t>af</w:t>
      </w:r>
      <w:r>
        <w:rPr>
          <w:spacing w:val="-13"/>
        </w:rPr>
        <w:t> </w:t>
      </w:r>
      <w:r>
        <w:rPr/>
        <w:t>lidt</w:t>
      </w:r>
      <w:r>
        <w:rPr>
          <w:spacing w:val="-15"/>
        </w:rPr>
        <w:t> </w:t>
      </w:r>
      <w:r>
        <w:rPr/>
        <w:t>simplere</w:t>
      </w:r>
      <w:r>
        <w:rPr>
          <w:spacing w:val="-16"/>
        </w:rPr>
        <w:t> </w:t>
      </w:r>
      <w:r>
        <w:rPr/>
        <w:t>løsningsmetode</w:t>
      </w:r>
      <w:r>
        <w:rPr>
          <w:spacing w:val="-14"/>
        </w:rPr>
        <w:t> </w:t>
      </w:r>
      <w:r>
        <w:rPr/>
        <w:t>i</w:t>
      </w:r>
      <w:r>
        <w:rPr>
          <w:spacing w:val="-13"/>
        </w:rPr>
        <w:t> </w:t>
      </w:r>
      <w:r>
        <w:rPr/>
        <w:t>vandløbsmodel</w:t>
      </w:r>
      <w:r>
        <w:rPr>
          <w:spacing w:val="-13"/>
        </w:rPr>
        <w:t> </w:t>
      </w:r>
      <w:r>
        <w:rPr/>
        <w:t>(Diffusiv</w:t>
      </w:r>
      <w:r>
        <w:rPr>
          <w:spacing w:val="-18"/>
        </w:rPr>
        <w:t> </w:t>
      </w:r>
      <w:r>
        <w:rPr/>
        <w:t>wave).</w:t>
      </w:r>
      <w:r>
        <w:rPr>
          <w:spacing w:val="-12"/>
        </w:rPr>
        <w:t> </w:t>
      </w:r>
      <w:r>
        <w:rPr/>
        <w:t>Resultaterne</w:t>
      </w:r>
      <w:r>
        <w:rPr>
          <w:spacing w:val="-16"/>
        </w:rPr>
        <w:t> </w:t>
      </w:r>
      <w:r>
        <w:rPr/>
        <w:t>med Løsning IV åbner op for muligheden af at overføre parametre mellem skalaer (samt konsi- stente randbetingelser til 100 m modeller), hvilket vil muliggøre en landsdækkende model i 100 m opløsning med en performance som er sammenlignelig med dels 500 m modellen samt</w:t>
      </w:r>
      <w:r>
        <w:rPr>
          <w:spacing w:val="-3"/>
        </w:rPr>
        <w:t> </w:t>
      </w:r>
      <w:r>
        <w:rPr/>
        <w:t>lokal</w:t>
      </w:r>
      <w:r>
        <w:rPr>
          <w:spacing w:val="-4"/>
        </w:rPr>
        <w:t> </w:t>
      </w:r>
      <w:r>
        <w:rPr/>
        <w:t>modeller</w:t>
      </w:r>
      <w:r>
        <w:rPr>
          <w:spacing w:val="-4"/>
        </w:rPr>
        <w:t> </w:t>
      </w:r>
      <w:r>
        <w:rPr/>
        <w:t>kalibreret</w:t>
      </w:r>
      <w:r>
        <w:rPr>
          <w:spacing w:val="-4"/>
        </w:rPr>
        <w:t> </w:t>
      </w:r>
      <w:r>
        <w:rPr/>
        <w:t>i 100</w:t>
      </w:r>
      <w:r>
        <w:rPr>
          <w:spacing w:val="-2"/>
        </w:rPr>
        <w:t> </w:t>
      </w:r>
      <w:r>
        <w:rPr/>
        <w:t>m</w:t>
      </w:r>
      <w:r>
        <w:rPr>
          <w:spacing w:val="-3"/>
        </w:rPr>
        <w:t> </w:t>
      </w:r>
      <w:r>
        <w:rPr/>
        <w:t>opløsning.</w:t>
      </w:r>
      <w:r>
        <w:rPr>
          <w:spacing w:val="-4"/>
        </w:rPr>
        <w:t> </w:t>
      </w:r>
      <w:r>
        <w:rPr/>
        <w:t>Det</w:t>
      </w:r>
      <w:r>
        <w:rPr>
          <w:spacing w:val="-3"/>
        </w:rPr>
        <w:t> </w:t>
      </w:r>
      <w:r>
        <w:rPr/>
        <w:t>vil være</w:t>
      </w:r>
      <w:r>
        <w:rPr>
          <w:spacing w:val="-5"/>
        </w:rPr>
        <w:t> </w:t>
      </w:r>
      <w:r>
        <w:rPr/>
        <w:t>muligt</w:t>
      </w:r>
      <w:r>
        <w:rPr>
          <w:spacing w:val="-5"/>
        </w:rPr>
        <w:t> </w:t>
      </w:r>
      <w:r>
        <w:rPr/>
        <w:t>at</w:t>
      </w:r>
      <w:r>
        <w:rPr>
          <w:spacing w:val="-3"/>
        </w:rPr>
        <w:t> </w:t>
      </w:r>
      <w:r>
        <w:rPr/>
        <w:t>lave</w:t>
      </w:r>
      <w:r>
        <w:rPr>
          <w:spacing w:val="-5"/>
        </w:rPr>
        <w:t> </w:t>
      </w:r>
      <w:r>
        <w:rPr/>
        <w:t>landsdækkende screening</w:t>
      </w:r>
      <w:r>
        <w:rPr>
          <w:spacing w:val="-8"/>
        </w:rPr>
        <w:t> </w:t>
      </w:r>
      <w:r>
        <w:rPr/>
        <w:t>af</w:t>
      </w:r>
      <w:r>
        <w:rPr>
          <w:spacing w:val="-6"/>
        </w:rPr>
        <w:t> </w:t>
      </w:r>
      <w:r>
        <w:rPr/>
        <w:t>risiko</w:t>
      </w:r>
      <w:r>
        <w:rPr>
          <w:spacing w:val="-8"/>
        </w:rPr>
        <w:t> </w:t>
      </w:r>
      <w:r>
        <w:rPr/>
        <w:t>for</w:t>
      </w:r>
      <w:r>
        <w:rPr>
          <w:spacing w:val="-8"/>
        </w:rPr>
        <w:t> </w:t>
      </w:r>
      <w:r>
        <w:rPr/>
        <w:t>oversvømmelser</w:t>
      </w:r>
      <w:r>
        <w:rPr>
          <w:spacing w:val="-7"/>
        </w:rPr>
        <w:t> </w:t>
      </w:r>
      <w:r>
        <w:rPr/>
        <w:t>fra</w:t>
      </w:r>
      <w:r>
        <w:rPr>
          <w:spacing w:val="-7"/>
        </w:rPr>
        <w:t> </w:t>
      </w:r>
      <w:r>
        <w:rPr/>
        <w:t>grundvand</w:t>
      </w:r>
      <w:r>
        <w:rPr>
          <w:spacing w:val="-8"/>
        </w:rPr>
        <w:t> </w:t>
      </w:r>
      <w:r>
        <w:rPr/>
        <w:t>og</w:t>
      </w:r>
      <w:r>
        <w:rPr>
          <w:spacing w:val="-7"/>
        </w:rPr>
        <w:t> </w:t>
      </w:r>
      <w:r>
        <w:rPr/>
        <w:t>vandløb</w:t>
      </w:r>
      <w:r>
        <w:rPr>
          <w:spacing w:val="-9"/>
        </w:rPr>
        <w:t> </w:t>
      </w:r>
      <w:r>
        <w:rPr/>
        <w:t>med</w:t>
      </w:r>
      <w:r>
        <w:rPr>
          <w:spacing w:val="-8"/>
        </w:rPr>
        <w:t> </w:t>
      </w:r>
      <w:r>
        <w:rPr/>
        <w:t>Løsning</w:t>
      </w:r>
      <w:r>
        <w:rPr>
          <w:spacing w:val="-7"/>
        </w:rPr>
        <w:t> </w:t>
      </w:r>
      <w:r>
        <w:rPr/>
        <w:t>IV</w:t>
      </w:r>
      <w:r>
        <w:rPr>
          <w:spacing w:val="-8"/>
        </w:rPr>
        <w:t> </w:t>
      </w:r>
      <w:r>
        <w:rPr/>
        <w:t>og</w:t>
      </w:r>
      <w:r>
        <w:rPr>
          <w:spacing w:val="-4"/>
        </w:rPr>
        <w:t> </w:t>
      </w:r>
      <w:r>
        <w:rPr/>
        <w:t>anven- delse af eksterne modul (’quasi-stationær’ løsning), såfremt fysiske vandløbsdata samles i en fælles database, organiseret i forhold til ny ’riverline’ der er kompatibel med Danmarks Højdemodel (og ’riverline’ i udbygget 100 m</w:t>
      </w:r>
      <w:r>
        <w:rPr>
          <w:spacing w:val="-12"/>
        </w:rPr>
        <w:t> </w:t>
      </w:r>
      <w:r>
        <w:rPr/>
        <w:t>DK-model).</w:t>
      </w:r>
    </w:p>
    <w:p>
      <w:pPr>
        <w:pStyle w:val="BodyText"/>
        <w:spacing w:before="2"/>
        <w:rPr>
          <w:sz w:val="24"/>
        </w:rPr>
      </w:pPr>
    </w:p>
    <w:p>
      <w:pPr>
        <w:pStyle w:val="BodyText"/>
        <w:spacing w:line="273" w:lineRule="auto"/>
        <w:ind w:left="525" w:right="737"/>
        <w:jc w:val="both"/>
      </w:pPr>
      <w:hyperlink w:history="true" w:anchor="_bookmark171">
        <w:r>
          <w:rPr/>
          <w:t>Tabel 36 </w:t>
        </w:r>
      </w:hyperlink>
      <w:r>
        <w:rPr/>
        <w:t>diskuterer fordele, ulemper, omkostninger og gevinster ved de fire løsningsmodel- ler.</w:t>
      </w:r>
    </w:p>
    <w:p>
      <w:pPr>
        <w:spacing w:after="0" w:line="273" w:lineRule="auto"/>
        <w:jc w:val="both"/>
        <w:sectPr>
          <w:footerReference w:type="default" r:id="rId148"/>
          <w:pgSz w:w="11910" w:h="16850"/>
          <w:pgMar w:footer="857" w:header="0" w:top="1340" w:bottom="1040" w:left="1460" w:right="680"/>
          <w:pgNumType w:start="151"/>
        </w:sectPr>
      </w:pPr>
    </w:p>
    <w:p>
      <w:pPr>
        <w:spacing w:before="36"/>
        <w:ind w:left="525" w:right="837" w:firstLine="0"/>
        <w:jc w:val="both"/>
        <w:rPr>
          <w:rFonts w:ascii="Calibri" w:hAnsi="Calibri"/>
          <w:i/>
          <w:sz w:val="18"/>
        </w:rPr>
      </w:pPr>
      <w:bookmarkStart w:name="_bookmark170" w:id="216"/>
      <w:bookmarkEnd w:id="216"/>
      <w:r>
        <w:rPr/>
      </w:r>
      <w:r>
        <w:rPr>
          <w:rFonts w:ascii="Calibri" w:hAnsi="Calibri"/>
          <w:i/>
          <w:color w:val="44536A"/>
          <w:sz w:val="18"/>
        </w:rPr>
        <w:t>Tabel 35 Beregnet performance af løsningsscenarier for Storå/Odense Å for modelleret dybde til terrænnært grund- </w:t>
      </w:r>
      <w:r>
        <w:rPr>
          <w:rFonts w:ascii="Calibri" w:hAnsi="Calibri"/>
          <w:i/>
          <w:color w:val="44536A"/>
          <w:sz w:val="18"/>
        </w:rPr>
        <w:t>vand ”middel absolut fejl, opfyldt for 90 % af terrænnære pejlinger” (MAE tn 90%) og afstrømningsdynamik i vand- løb (Nash-Sutcliffe NSE) for kalibreringsperioden 2000-2008 samt kørselstider ved fire løsningsmodeller</w:t>
      </w:r>
    </w:p>
    <w:p>
      <w:pPr>
        <w:pStyle w:val="BodyText"/>
        <w:spacing w:before="6"/>
        <w:rPr>
          <w:rFonts w:ascii="Calibri"/>
          <w:i/>
          <w:sz w:val="16"/>
        </w:r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9"/>
        <w:gridCol w:w="1842"/>
        <w:gridCol w:w="1844"/>
        <w:gridCol w:w="1844"/>
      </w:tblGrid>
      <w:tr>
        <w:trPr>
          <w:trHeight w:val="2759" w:hRule="atLeast"/>
        </w:trPr>
        <w:tc>
          <w:tcPr>
            <w:tcW w:w="989" w:type="dxa"/>
          </w:tcPr>
          <w:p>
            <w:pPr>
              <w:pStyle w:val="TableParagraph"/>
              <w:spacing w:line="239" w:lineRule="exact"/>
              <w:ind w:left="107"/>
              <w:jc w:val="left"/>
              <w:rPr>
                <w:sz w:val="21"/>
              </w:rPr>
            </w:pPr>
            <w:r>
              <w:rPr>
                <w:sz w:val="21"/>
              </w:rPr>
              <w:t>Løsning</w:t>
            </w:r>
          </w:p>
        </w:tc>
        <w:tc>
          <w:tcPr>
            <w:tcW w:w="1842" w:type="dxa"/>
          </w:tcPr>
          <w:p>
            <w:pPr>
              <w:pStyle w:val="TableParagraph"/>
              <w:spacing w:line="229" w:lineRule="exact"/>
              <w:ind w:left="107"/>
              <w:jc w:val="left"/>
              <w:rPr>
                <w:sz w:val="20"/>
              </w:rPr>
            </w:pPr>
            <w:r>
              <w:rPr>
                <w:sz w:val="20"/>
              </w:rPr>
              <w:t>Nøjagtighed</w:t>
            </w:r>
          </w:p>
          <w:p>
            <w:pPr>
              <w:pStyle w:val="TableParagraph"/>
              <w:spacing w:line="288" w:lineRule="auto" w:before="46"/>
              <w:ind w:left="107" w:right="143"/>
              <w:jc w:val="left"/>
              <w:rPr>
                <w:sz w:val="20"/>
              </w:rPr>
            </w:pPr>
            <w:r>
              <w:rPr>
                <w:sz w:val="20"/>
              </w:rPr>
              <w:t>på dybde til ter- rænnært grund- vand (Middel Ab- solut Error- </w:t>
            </w:r>
            <w:r>
              <w:rPr>
                <w:position w:val="1"/>
                <w:sz w:val="20"/>
              </w:rPr>
              <w:t>MAE</w:t>
            </w:r>
            <w:r>
              <w:rPr>
                <w:sz w:val="13"/>
              </w:rPr>
              <w:t>90Q </w:t>
            </w:r>
            <w:r>
              <w:rPr>
                <w:position w:val="1"/>
                <w:sz w:val="20"/>
              </w:rPr>
              <w:t>tn)</w:t>
            </w:r>
          </w:p>
          <w:p>
            <w:pPr>
              <w:pStyle w:val="TableParagraph"/>
              <w:spacing w:line="290" w:lineRule="auto"/>
              <w:ind w:left="107" w:right="92"/>
              <w:jc w:val="left"/>
              <w:rPr>
                <w:sz w:val="20"/>
              </w:rPr>
            </w:pPr>
            <w:r>
              <w:rPr>
                <w:sz w:val="20"/>
              </w:rPr>
              <w:t>opnået for </w:t>
            </w:r>
            <w:r>
              <w:rPr>
                <w:i/>
                <w:sz w:val="20"/>
              </w:rPr>
              <w:t>kalibre- </w:t>
            </w:r>
            <w:r>
              <w:rPr>
                <w:i/>
                <w:sz w:val="20"/>
              </w:rPr>
              <w:t>ringsperiode </w:t>
            </w:r>
            <w:r>
              <w:rPr>
                <w:sz w:val="20"/>
              </w:rPr>
              <w:t>(Storå/Odense Å)</w:t>
            </w:r>
          </w:p>
          <w:p>
            <w:pPr>
              <w:pStyle w:val="TableParagraph"/>
              <w:spacing w:line="226" w:lineRule="exact"/>
              <w:ind w:left="694" w:right="686"/>
              <w:rPr>
                <w:sz w:val="20"/>
              </w:rPr>
            </w:pPr>
            <w:r>
              <w:rPr>
                <w:sz w:val="20"/>
              </w:rPr>
              <w:t>( m )</w:t>
            </w:r>
          </w:p>
        </w:tc>
        <w:tc>
          <w:tcPr>
            <w:tcW w:w="1844" w:type="dxa"/>
          </w:tcPr>
          <w:p>
            <w:pPr>
              <w:pStyle w:val="TableParagraph"/>
              <w:spacing w:line="288" w:lineRule="auto"/>
              <w:ind w:left="106" w:right="101"/>
              <w:jc w:val="left"/>
              <w:rPr>
                <w:i/>
                <w:sz w:val="20"/>
              </w:rPr>
            </w:pPr>
            <w:r>
              <w:rPr>
                <w:sz w:val="20"/>
              </w:rPr>
              <w:t>Nøjagtighed </w:t>
            </w:r>
            <w:r>
              <w:rPr>
                <w:spacing w:val="-3"/>
                <w:sz w:val="20"/>
              </w:rPr>
              <w:t>simu- </w:t>
            </w:r>
            <w:r>
              <w:rPr>
                <w:sz w:val="20"/>
              </w:rPr>
              <w:t>leret vandføring for </w:t>
            </w:r>
            <w:r>
              <w:rPr>
                <w:i/>
                <w:sz w:val="20"/>
              </w:rPr>
              <w:t>kalibreringspe- </w:t>
            </w:r>
            <w:r>
              <w:rPr>
                <w:i/>
                <w:sz w:val="20"/>
              </w:rPr>
              <w:t>riode</w:t>
            </w:r>
          </w:p>
          <w:p>
            <w:pPr>
              <w:pStyle w:val="TableParagraph"/>
              <w:spacing w:line="288" w:lineRule="auto"/>
              <w:ind w:left="106" w:right="357"/>
              <w:jc w:val="left"/>
              <w:rPr>
                <w:sz w:val="20"/>
              </w:rPr>
            </w:pPr>
            <w:r>
              <w:rPr>
                <w:sz w:val="20"/>
              </w:rPr>
              <w:t>(Nash-Sutcliffe: NSE-R2)</w:t>
            </w:r>
          </w:p>
          <w:p>
            <w:pPr>
              <w:pStyle w:val="TableParagraph"/>
              <w:jc w:val="left"/>
              <w:rPr>
                <w:rFonts w:ascii="Calibri"/>
                <w:i/>
                <w:sz w:val="22"/>
              </w:rPr>
            </w:pPr>
          </w:p>
          <w:p>
            <w:pPr>
              <w:pStyle w:val="TableParagraph"/>
              <w:spacing w:before="11"/>
              <w:jc w:val="left"/>
              <w:rPr>
                <w:rFonts w:ascii="Calibri"/>
                <w:i/>
                <w:sz w:val="19"/>
              </w:rPr>
            </w:pPr>
          </w:p>
          <w:p>
            <w:pPr>
              <w:pStyle w:val="TableParagraph"/>
              <w:spacing w:line="270" w:lineRule="atLeast"/>
              <w:ind w:left="159" w:right="132" w:hanging="53"/>
              <w:jc w:val="left"/>
              <w:rPr>
                <w:sz w:val="20"/>
              </w:rPr>
            </w:pPr>
            <w:r>
              <w:rPr>
                <w:sz w:val="20"/>
              </w:rPr>
              <w:t>(Storå/Odense å) ( dimensionsløs )</w:t>
            </w:r>
          </w:p>
        </w:tc>
        <w:tc>
          <w:tcPr>
            <w:tcW w:w="1844" w:type="dxa"/>
          </w:tcPr>
          <w:p>
            <w:pPr>
              <w:pStyle w:val="TableParagraph"/>
              <w:spacing w:line="285" w:lineRule="auto"/>
              <w:ind w:left="106" w:right="271"/>
              <w:jc w:val="left"/>
              <w:rPr>
                <w:i/>
                <w:sz w:val="20"/>
              </w:rPr>
            </w:pPr>
            <w:r>
              <w:rPr>
                <w:sz w:val="20"/>
              </w:rPr>
              <w:t>Kørselstider </w:t>
            </w:r>
            <w:r>
              <w:rPr>
                <w:i/>
                <w:w w:val="95"/>
                <w:sz w:val="20"/>
              </w:rPr>
              <w:t>Kalibreringsperi- </w:t>
            </w:r>
            <w:r>
              <w:rPr>
                <w:i/>
                <w:sz w:val="20"/>
              </w:rPr>
              <w:t>ode: 2000-2008</w:t>
            </w:r>
          </w:p>
        </w:tc>
      </w:tr>
      <w:tr>
        <w:trPr>
          <w:trHeight w:val="290" w:hRule="atLeast"/>
        </w:trPr>
        <w:tc>
          <w:tcPr>
            <w:tcW w:w="989" w:type="dxa"/>
          </w:tcPr>
          <w:p>
            <w:pPr>
              <w:pStyle w:val="TableParagraph"/>
              <w:spacing w:line="239" w:lineRule="exact"/>
              <w:ind w:left="107"/>
              <w:jc w:val="left"/>
              <w:rPr>
                <w:sz w:val="21"/>
              </w:rPr>
            </w:pPr>
            <w:r>
              <w:rPr>
                <w:w w:val="100"/>
                <w:sz w:val="21"/>
              </w:rPr>
              <w:t>I</w:t>
            </w:r>
          </w:p>
        </w:tc>
        <w:tc>
          <w:tcPr>
            <w:tcW w:w="1842" w:type="dxa"/>
          </w:tcPr>
          <w:p>
            <w:pPr>
              <w:pStyle w:val="TableParagraph"/>
              <w:spacing w:line="229" w:lineRule="exact"/>
              <w:ind w:right="606"/>
              <w:jc w:val="right"/>
              <w:rPr>
                <w:sz w:val="20"/>
              </w:rPr>
            </w:pPr>
            <w:r>
              <w:rPr>
                <w:w w:val="95"/>
                <w:sz w:val="20"/>
              </w:rPr>
              <w:t>1.2/1.9</w:t>
            </w:r>
          </w:p>
        </w:tc>
        <w:tc>
          <w:tcPr>
            <w:tcW w:w="1844" w:type="dxa"/>
          </w:tcPr>
          <w:p>
            <w:pPr>
              <w:pStyle w:val="TableParagraph"/>
              <w:spacing w:line="229" w:lineRule="exact"/>
              <w:ind w:right="496"/>
              <w:jc w:val="right"/>
              <w:rPr>
                <w:sz w:val="20"/>
              </w:rPr>
            </w:pPr>
            <w:r>
              <w:rPr>
                <w:w w:val="95"/>
                <w:sz w:val="20"/>
              </w:rPr>
              <w:t>0.64/0.78</w:t>
            </w:r>
          </w:p>
        </w:tc>
        <w:tc>
          <w:tcPr>
            <w:tcW w:w="1844" w:type="dxa"/>
          </w:tcPr>
          <w:p>
            <w:pPr>
              <w:pStyle w:val="TableParagraph"/>
              <w:spacing w:line="229" w:lineRule="exact"/>
              <w:ind w:left="6"/>
              <w:rPr>
                <w:sz w:val="20"/>
              </w:rPr>
            </w:pPr>
            <w:r>
              <w:rPr>
                <w:sz w:val="20"/>
              </w:rPr>
              <w:t>15 min</w:t>
            </w:r>
          </w:p>
        </w:tc>
      </w:tr>
      <w:tr>
        <w:trPr>
          <w:trHeight w:val="551" w:hRule="atLeast"/>
        </w:trPr>
        <w:tc>
          <w:tcPr>
            <w:tcW w:w="989" w:type="dxa"/>
          </w:tcPr>
          <w:p>
            <w:pPr>
              <w:pStyle w:val="TableParagraph"/>
              <w:spacing w:line="239" w:lineRule="exact"/>
              <w:ind w:left="107"/>
              <w:jc w:val="left"/>
              <w:rPr>
                <w:sz w:val="21"/>
              </w:rPr>
            </w:pPr>
            <w:r>
              <w:rPr>
                <w:sz w:val="21"/>
              </w:rPr>
              <w:t>II</w:t>
            </w:r>
          </w:p>
        </w:tc>
        <w:tc>
          <w:tcPr>
            <w:tcW w:w="1842" w:type="dxa"/>
          </w:tcPr>
          <w:p>
            <w:pPr>
              <w:pStyle w:val="TableParagraph"/>
              <w:spacing w:line="229" w:lineRule="exact"/>
              <w:ind w:right="606"/>
              <w:jc w:val="right"/>
              <w:rPr>
                <w:sz w:val="20"/>
              </w:rPr>
            </w:pPr>
            <w:r>
              <w:rPr>
                <w:w w:val="95"/>
                <w:sz w:val="20"/>
              </w:rPr>
              <w:t>1.1/2.0</w:t>
            </w:r>
          </w:p>
        </w:tc>
        <w:tc>
          <w:tcPr>
            <w:tcW w:w="1844" w:type="dxa"/>
          </w:tcPr>
          <w:p>
            <w:pPr>
              <w:pStyle w:val="TableParagraph"/>
              <w:spacing w:line="229" w:lineRule="exact"/>
              <w:ind w:right="496"/>
              <w:jc w:val="right"/>
              <w:rPr>
                <w:sz w:val="20"/>
              </w:rPr>
            </w:pPr>
            <w:r>
              <w:rPr>
                <w:w w:val="95"/>
                <w:sz w:val="20"/>
              </w:rPr>
              <w:t>0.75/0.78</w:t>
            </w:r>
          </w:p>
        </w:tc>
        <w:tc>
          <w:tcPr>
            <w:tcW w:w="1844" w:type="dxa"/>
          </w:tcPr>
          <w:p>
            <w:pPr>
              <w:pStyle w:val="TableParagraph"/>
              <w:spacing w:line="229" w:lineRule="exact"/>
              <w:ind w:left="5"/>
              <w:rPr>
                <w:sz w:val="20"/>
              </w:rPr>
            </w:pPr>
            <w:r>
              <w:rPr>
                <w:sz w:val="20"/>
              </w:rPr>
              <w:t>6.5-7.5 timer</w:t>
            </w:r>
          </w:p>
        </w:tc>
      </w:tr>
      <w:tr>
        <w:trPr>
          <w:trHeight w:val="290" w:hRule="atLeast"/>
        </w:trPr>
        <w:tc>
          <w:tcPr>
            <w:tcW w:w="989" w:type="dxa"/>
          </w:tcPr>
          <w:p>
            <w:pPr>
              <w:pStyle w:val="TableParagraph"/>
              <w:spacing w:line="239" w:lineRule="exact"/>
              <w:ind w:left="107"/>
              <w:jc w:val="left"/>
              <w:rPr>
                <w:sz w:val="21"/>
              </w:rPr>
            </w:pPr>
            <w:r>
              <w:rPr>
                <w:sz w:val="21"/>
              </w:rPr>
              <w:t>III</w:t>
            </w:r>
          </w:p>
        </w:tc>
        <w:tc>
          <w:tcPr>
            <w:tcW w:w="1842" w:type="dxa"/>
          </w:tcPr>
          <w:p>
            <w:pPr>
              <w:pStyle w:val="TableParagraph"/>
              <w:spacing w:line="229" w:lineRule="exact"/>
              <w:ind w:right="606"/>
              <w:jc w:val="right"/>
              <w:rPr>
                <w:sz w:val="20"/>
              </w:rPr>
            </w:pPr>
            <w:r>
              <w:rPr>
                <w:w w:val="95"/>
                <w:sz w:val="20"/>
              </w:rPr>
              <w:t>1.1/2.0</w:t>
            </w:r>
          </w:p>
        </w:tc>
        <w:tc>
          <w:tcPr>
            <w:tcW w:w="1844" w:type="dxa"/>
          </w:tcPr>
          <w:p>
            <w:pPr>
              <w:pStyle w:val="TableParagraph"/>
              <w:spacing w:line="229" w:lineRule="exact"/>
              <w:ind w:right="496"/>
              <w:jc w:val="right"/>
              <w:rPr>
                <w:sz w:val="20"/>
              </w:rPr>
            </w:pPr>
            <w:r>
              <w:rPr>
                <w:w w:val="95"/>
                <w:sz w:val="20"/>
              </w:rPr>
              <w:t>0.75/0.78</w:t>
            </w:r>
          </w:p>
        </w:tc>
        <w:tc>
          <w:tcPr>
            <w:tcW w:w="1844" w:type="dxa"/>
          </w:tcPr>
          <w:p>
            <w:pPr>
              <w:pStyle w:val="TableParagraph"/>
              <w:spacing w:line="229" w:lineRule="exact"/>
              <w:ind w:left="5"/>
              <w:rPr>
                <w:sz w:val="20"/>
              </w:rPr>
            </w:pPr>
            <w:r>
              <w:rPr>
                <w:sz w:val="20"/>
              </w:rPr>
              <w:t>60-100 timer</w:t>
            </w:r>
          </w:p>
        </w:tc>
      </w:tr>
      <w:tr>
        <w:trPr>
          <w:trHeight w:val="290" w:hRule="atLeast"/>
        </w:trPr>
        <w:tc>
          <w:tcPr>
            <w:tcW w:w="989" w:type="dxa"/>
          </w:tcPr>
          <w:p>
            <w:pPr>
              <w:pStyle w:val="TableParagraph"/>
              <w:spacing w:line="239" w:lineRule="exact"/>
              <w:ind w:left="107"/>
              <w:jc w:val="left"/>
              <w:rPr>
                <w:sz w:val="21"/>
              </w:rPr>
            </w:pPr>
            <w:r>
              <w:rPr>
                <w:sz w:val="21"/>
              </w:rPr>
              <w:t>IV</w:t>
            </w:r>
          </w:p>
        </w:tc>
        <w:tc>
          <w:tcPr>
            <w:tcW w:w="1842" w:type="dxa"/>
          </w:tcPr>
          <w:p>
            <w:pPr>
              <w:pStyle w:val="TableParagraph"/>
              <w:spacing w:line="229" w:lineRule="exact"/>
              <w:ind w:right="606"/>
              <w:jc w:val="right"/>
              <w:rPr>
                <w:sz w:val="20"/>
              </w:rPr>
            </w:pPr>
            <w:r>
              <w:rPr>
                <w:w w:val="95"/>
                <w:sz w:val="20"/>
              </w:rPr>
              <w:t>1.2/2.2</w:t>
            </w:r>
          </w:p>
        </w:tc>
        <w:tc>
          <w:tcPr>
            <w:tcW w:w="1844" w:type="dxa"/>
          </w:tcPr>
          <w:p>
            <w:pPr>
              <w:pStyle w:val="TableParagraph"/>
              <w:spacing w:line="229" w:lineRule="exact"/>
              <w:ind w:right="496"/>
              <w:jc w:val="right"/>
              <w:rPr>
                <w:sz w:val="20"/>
              </w:rPr>
            </w:pPr>
            <w:r>
              <w:rPr>
                <w:w w:val="95"/>
                <w:sz w:val="20"/>
              </w:rPr>
              <w:t>0.63/0.74</w:t>
            </w:r>
          </w:p>
        </w:tc>
        <w:tc>
          <w:tcPr>
            <w:tcW w:w="1844" w:type="dxa"/>
          </w:tcPr>
          <w:p>
            <w:pPr>
              <w:pStyle w:val="TableParagraph"/>
              <w:spacing w:line="229" w:lineRule="exact"/>
              <w:ind w:left="6"/>
              <w:rPr>
                <w:sz w:val="20"/>
              </w:rPr>
            </w:pPr>
            <w:r>
              <w:rPr>
                <w:sz w:val="20"/>
              </w:rPr>
              <w:t>15 min</w:t>
            </w:r>
          </w:p>
        </w:tc>
      </w:tr>
    </w:tbl>
    <w:p>
      <w:pPr>
        <w:pStyle w:val="BodyText"/>
        <w:rPr>
          <w:rFonts w:ascii="Calibri"/>
          <w:i/>
          <w:sz w:val="18"/>
        </w:rPr>
      </w:pPr>
    </w:p>
    <w:p>
      <w:pPr>
        <w:pStyle w:val="BodyText"/>
        <w:spacing w:before="7"/>
        <w:rPr>
          <w:rFonts w:ascii="Calibri"/>
          <w:i/>
          <w:sz w:val="23"/>
        </w:rPr>
      </w:pPr>
    </w:p>
    <w:p>
      <w:pPr>
        <w:spacing w:before="0"/>
        <w:ind w:left="525" w:right="0" w:firstLine="0"/>
        <w:jc w:val="both"/>
        <w:rPr>
          <w:rFonts w:ascii="Calibri" w:hAnsi="Calibri"/>
          <w:i/>
          <w:sz w:val="18"/>
        </w:rPr>
      </w:pPr>
      <w:bookmarkStart w:name="_bookmark171" w:id="217"/>
      <w:bookmarkEnd w:id="217"/>
      <w:r>
        <w:rPr/>
      </w:r>
      <w:r>
        <w:rPr>
          <w:rFonts w:ascii="Calibri" w:hAnsi="Calibri"/>
          <w:i/>
          <w:color w:val="44536A"/>
          <w:sz w:val="18"/>
        </w:rPr>
        <w:t>Tabel 36 Diskussion af fordele, ulemper, omkostninger og gevinster ved de fire løsningsmodeller</w:t>
      </w:r>
    </w:p>
    <w:p>
      <w:pPr>
        <w:pStyle w:val="BodyText"/>
        <w:spacing w:before="3" w:after="1"/>
        <w:rPr>
          <w:rFonts w:ascii="Calibri"/>
          <w:i/>
          <w:sz w:val="16"/>
        </w:r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99"/>
        <w:gridCol w:w="1700"/>
        <w:gridCol w:w="1697"/>
        <w:gridCol w:w="1699"/>
        <w:gridCol w:w="1700"/>
      </w:tblGrid>
      <w:tr>
        <w:trPr>
          <w:trHeight w:val="290" w:hRule="atLeast"/>
        </w:trPr>
        <w:tc>
          <w:tcPr>
            <w:tcW w:w="1699" w:type="dxa"/>
          </w:tcPr>
          <w:p>
            <w:pPr>
              <w:pStyle w:val="TableParagraph"/>
              <w:spacing w:line="241" w:lineRule="exact"/>
              <w:ind w:left="107"/>
              <w:jc w:val="left"/>
              <w:rPr>
                <w:sz w:val="21"/>
              </w:rPr>
            </w:pPr>
            <w:r>
              <w:rPr>
                <w:sz w:val="21"/>
              </w:rPr>
              <w:t>Løsning</w:t>
            </w:r>
          </w:p>
        </w:tc>
        <w:tc>
          <w:tcPr>
            <w:tcW w:w="1700" w:type="dxa"/>
          </w:tcPr>
          <w:p>
            <w:pPr>
              <w:pStyle w:val="TableParagraph"/>
              <w:spacing w:line="241" w:lineRule="exact"/>
              <w:ind w:left="107"/>
              <w:jc w:val="left"/>
              <w:rPr>
                <w:sz w:val="21"/>
              </w:rPr>
            </w:pPr>
            <w:r>
              <w:rPr>
                <w:sz w:val="21"/>
              </w:rPr>
              <w:t>Fordele</w:t>
            </w:r>
          </w:p>
        </w:tc>
        <w:tc>
          <w:tcPr>
            <w:tcW w:w="1697" w:type="dxa"/>
          </w:tcPr>
          <w:p>
            <w:pPr>
              <w:pStyle w:val="TableParagraph"/>
              <w:spacing w:line="241" w:lineRule="exact"/>
              <w:ind w:left="107"/>
              <w:jc w:val="left"/>
              <w:rPr>
                <w:sz w:val="21"/>
              </w:rPr>
            </w:pPr>
            <w:r>
              <w:rPr>
                <w:sz w:val="21"/>
              </w:rPr>
              <w:t>Ulemper</w:t>
            </w:r>
          </w:p>
        </w:tc>
        <w:tc>
          <w:tcPr>
            <w:tcW w:w="1699" w:type="dxa"/>
          </w:tcPr>
          <w:p>
            <w:pPr>
              <w:pStyle w:val="TableParagraph"/>
              <w:spacing w:line="241" w:lineRule="exact"/>
              <w:ind w:left="107"/>
              <w:jc w:val="left"/>
              <w:rPr>
                <w:sz w:val="21"/>
              </w:rPr>
            </w:pPr>
            <w:r>
              <w:rPr>
                <w:sz w:val="21"/>
              </w:rPr>
              <w:t>Omkostninger</w:t>
            </w:r>
          </w:p>
        </w:tc>
        <w:tc>
          <w:tcPr>
            <w:tcW w:w="1700" w:type="dxa"/>
          </w:tcPr>
          <w:p>
            <w:pPr>
              <w:pStyle w:val="TableParagraph"/>
              <w:spacing w:line="241" w:lineRule="exact"/>
              <w:ind w:left="108"/>
              <w:jc w:val="left"/>
              <w:rPr>
                <w:sz w:val="21"/>
              </w:rPr>
            </w:pPr>
            <w:r>
              <w:rPr>
                <w:sz w:val="21"/>
              </w:rPr>
              <w:t>Gevinster</w:t>
            </w:r>
          </w:p>
        </w:tc>
      </w:tr>
      <w:tr>
        <w:trPr>
          <w:trHeight w:val="2484" w:hRule="atLeast"/>
        </w:trPr>
        <w:tc>
          <w:tcPr>
            <w:tcW w:w="1699" w:type="dxa"/>
          </w:tcPr>
          <w:p>
            <w:pPr>
              <w:pStyle w:val="TableParagraph"/>
              <w:spacing w:line="239" w:lineRule="exact"/>
              <w:ind w:left="107"/>
              <w:jc w:val="left"/>
              <w:rPr>
                <w:sz w:val="21"/>
              </w:rPr>
            </w:pPr>
            <w:r>
              <w:rPr>
                <w:w w:val="100"/>
                <w:sz w:val="21"/>
              </w:rPr>
              <w:t>I</w:t>
            </w:r>
          </w:p>
        </w:tc>
        <w:tc>
          <w:tcPr>
            <w:tcW w:w="1700" w:type="dxa"/>
          </w:tcPr>
          <w:p>
            <w:pPr>
              <w:pStyle w:val="TableParagraph"/>
              <w:spacing w:line="288" w:lineRule="auto"/>
              <w:ind w:left="107" w:right="131"/>
              <w:jc w:val="left"/>
              <w:rPr>
                <w:sz w:val="18"/>
              </w:rPr>
            </w:pPr>
            <w:r>
              <w:rPr>
                <w:sz w:val="18"/>
              </w:rPr>
              <w:t>Kan give et godt bud til screening på vandkredsløb, vandbalance, af- strømning og grundvandsstand. Kan bidrage med flow randbetingel- ser til mere detal-</w:t>
            </w:r>
          </w:p>
          <w:p>
            <w:pPr>
              <w:pStyle w:val="TableParagraph"/>
              <w:ind w:left="107"/>
              <w:jc w:val="left"/>
              <w:rPr>
                <w:sz w:val="18"/>
              </w:rPr>
            </w:pPr>
            <w:r>
              <w:rPr>
                <w:sz w:val="18"/>
              </w:rPr>
              <w:t>jerede modeller.</w:t>
            </w:r>
          </w:p>
        </w:tc>
        <w:tc>
          <w:tcPr>
            <w:tcW w:w="1697" w:type="dxa"/>
          </w:tcPr>
          <w:p>
            <w:pPr>
              <w:pStyle w:val="TableParagraph"/>
              <w:spacing w:line="288" w:lineRule="auto"/>
              <w:ind w:left="107" w:right="119"/>
              <w:jc w:val="left"/>
              <w:rPr>
                <w:sz w:val="18"/>
              </w:rPr>
            </w:pPr>
            <w:r>
              <w:rPr>
                <w:sz w:val="18"/>
              </w:rPr>
              <w:t>Giver ikke mulig- hed for simulering af vandstand i vandløb og vand i terræn. Stor usik- kerhed på terræn- nært grundvand. Grov opløsning (500x500 m)</w:t>
            </w:r>
          </w:p>
        </w:tc>
        <w:tc>
          <w:tcPr>
            <w:tcW w:w="1699" w:type="dxa"/>
          </w:tcPr>
          <w:p>
            <w:pPr>
              <w:pStyle w:val="TableParagraph"/>
              <w:spacing w:line="290" w:lineRule="auto"/>
              <w:ind w:left="107" w:right="231"/>
              <w:jc w:val="left"/>
              <w:rPr>
                <w:sz w:val="18"/>
              </w:rPr>
            </w:pPr>
            <w:r>
              <w:rPr>
                <w:sz w:val="18"/>
              </w:rPr>
              <w:t>Relativt begræn- sede.</w:t>
            </w:r>
          </w:p>
        </w:tc>
        <w:tc>
          <w:tcPr>
            <w:tcW w:w="1700" w:type="dxa"/>
          </w:tcPr>
          <w:p>
            <w:pPr>
              <w:pStyle w:val="TableParagraph"/>
              <w:spacing w:line="288" w:lineRule="auto"/>
              <w:ind w:left="108" w:right="81"/>
              <w:jc w:val="left"/>
              <w:rPr>
                <w:sz w:val="18"/>
              </w:rPr>
            </w:pPr>
            <w:r>
              <w:rPr>
                <w:sz w:val="18"/>
              </w:rPr>
              <w:t>Ingen reelle gevin- ster i forhold til si- mulering af vand- stand i vandløb og dybde til terræn- nært grundvand.</w:t>
            </w:r>
          </w:p>
        </w:tc>
      </w:tr>
      <w:tr>
        <w:trPr>
          <w:trHeight w:val="4720" w:hRule="atLeast"/>
        </w:trPr>
        <w:tc>
          <w:tcPr>
            <w:tcW w:w="1699" w:type="dxa"/>
          </w:tcPr>
          <w:p>
            <w:pPr>
              <w:pStyle w:val="TableParagraph"/>
              <w:spacing w:line="239" w:lineRule="exact"/>
              <w:ind w:left="107"/>
              <w:jc w:val="left"/>
              <w:rPr>
                <w:sz w:val="21"/>
              </w:rPr>
            </w:pPr>
            <w:r>
              <w:rPr>
                <w:sz w:val="21"/>
              </w:rPr>
              <w:t>II</w:t>
            </w:r>
          </w:p>
        </w:tc>
        <w:tc>
          <w:tcPr>
            <w:tcW w:w="1700" w:type="dxa"/>
          </w:tcPr>
          <w:p>
            <w:pPr>
              <w:pStyle w:val="TableParagraph"/>
              <w:spacing w:line="288" w:lineRule="auto"/>
              <w:ind w:left="107" w:right="92"/>
              <w:jc w:val="left"/>
              <w:rPr>
                <w:sz w:val="18"/>
              </w:rPr>
            </w:pPr>
            <w:r>
              <w:rPr>
                <w:sz w:val="18"/>
              </w:rPr>
              <w:t>Forbedret nøjagtig i simulering af af- strømning og dybde til terræn- nært grundvand. Kan kalibreres for hele landet. Hur- tige kørselstider, kan køre i realtid.</w:t>
            </w:r>
          </w:p>
        </w:tc>
        <w:tc>
          <w:tcPr>
            <w:tcW w:w="1697" w:type="dxa"/>
          </w:tcPr>
          <w:p>
            <w:pPr>
              <w:pStyle w:val="TableParagraph"/>
              <w:spacing w:line="288" w:lineRule="auto"/>
              <w:ind w:left="107" w:right="96"/>
              <w:jc w:val="left"/>
              <w:rPr>
                <w:sz w:val="18"/>
              </w:rPr>
            </w:pPr>
            <w:r>
              <w:rPr>
                <w:sz w:val="18"/>
              </w:rPr>
              <w:t>Opløsning for grov (500x500 m) i for- hold til ønsker vedr. terrænnært grundvand. Ned- skalering af dybde til terrænnært grundvand til skala mindre end 100 m er ikke mu- lig.</w:t>
            </w:r>
          </w:p>
        </w:tc>
        <w:tc>
          <w:tcPr>
            <w:tcW w:w="1699" w:type="dxa"/>
          </w:tcPr>
          <w:p>
            <w:pPr>
              <w:pStyle w:val="TableParagraph"/>
              <w:spacing w:line="288" w:lineRule="auto"/>
              <w:ind w:left="107" w:right="81"/>
              <w:jc w:val="left"/>
              <w:rPr>
                <w:sz w:val="18"/>
              </w:rPr>
            </w:pPr>
            <w:r>
              <w:rPr>
                <w:sz w:val="18"/>
              </w:rPr>
              <w:t>Omkostninger til forbedring af drænopsætning, indsamling af pej- linger fra Regioner og kalibrering af model er relativt begrænsede.</w:t>
            </w:r>
          </w:p>
          <w:p>
            <w:pPr>
              <w:pStyle w:val="TableParagraph"/>
              <w:spacing w:line="288" w:lineRule="auto"/>
              <w:ind w:left="107" w:right="111"/>
              <w:jc w:val="left"/>
              <w:rPr>
                <w:sz w:val="18"/>
              </w:rPr>
            </w:pPr>
            <w:r>
              <w:rPr>
                <w:sz w:val="18"/>
              </w:rPr>
              <w:t>Løsningen forud- sætter at eksterne moduler skal ind- læse fysiske data (tværprofiler, byg- værker mm.) fra lokale kommunale databaser, som ligger i mange for- skellige formater.</w:t>
            </w:r>
          </w:p>
        </w:tc>
        <w:tc>
          <w:tcPr>
            <w:tcW w:w="1700" w:type="dxa"/>
          </w:tcPr>
          <w:p>
            <w:pPr>
              <w:pStyle w:val="TableParagraph"/>
              <w:spacing w:line="288" w:lineRule="auto"/>
              <w:ind w:left="108" w:right="91"/>
              <w:jc w:val="left"/>
              <w:rPr>
                <w:sz w:val="18"/>
              </w:rPr>
            </w:pPr>
            <w:r>
              <w:rPr>
                <w:sz w:val="18"/>
              </w:rPr>
              <w:t>Der tilvejebringes en 500 m referen- cemodel som kan give flow randbe- tingelser og præ- kalibrerede para- meterinput til lo- kale modeller (fx 100 m modeller). Bedre udgangs- punkt for vurde- ring af oversvøm- melsesrisiko ved brug af eksterne moduler/eller lo- kale hydrodynami- ske modeller.</w:t>
            </w:r>
          </w:p>
        </w:tc>
      </w:tr>
    </w:tbl>
    <w:p>
      <w:pPr>
        <w:spacing w:after="0" w:line="288" w:lineRule="auto"/>
        <w:jc w:val="left"/>
        <w:rPr>
          <w:sz w:val="18"/>
        </w:rPr>
        <w:sectPr>
          <w:pgSz w:w="11910" w:h="16850"/>
          <w:pgMar w:header="0" w:footer="857" w:top="1380" w:bottom="1120" w:left="1460" w:right="680"/>
        </w:sectPr>
      </w:pPr>
    </w:p>
    <w:tbl>
      <w:tblPr>
        <w:tblW w:w="0" w:type="auto"/>
        <w:jc w:val="left"/>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99"/>
        <w:gridCol w:w="1700"/>
        <w:gridCol w:w="1697"/>
        <w:gridCol w:w="1699"/>
        <w:gridCol w:w="1700"/>
      </w:tblGrid>
      <w:tr>
        <w:trPr>
          <w:trHeight w:val="5215" w:hRule="atLeast"/>
        </w:trPr>
        <w:tc>
          <w:tcPr>
            <w:tcW w:w="1699" w:type="dxa"/>
          </w:tcPr>
          <w:p>
            <w:pPr>
              <w:pStyle w:val="TableParagraph"/>
              <w:spacing w:line="236" w:lineRule="exact"/>
              <w:ind w:left="107"/>
              <w:jc w:val="left"/>
              <w:rPr>
                <w:sz w:val="21"/>
              </w:rPr>
            </w:pPr>
            <w:r>
              <w:rPr>
                <w:sz w:val="21"/>
              </w:rPr>
              <w:t>III</w:t>
            </w:r>
          </w:p>
        </w:tc>
        <w:tc>
          <w:tcPr>
            <w:tcW w:w="1700" w:type="dxa"/>
          </w:tcPr>
          <w:p>
            <w:pPr>
              <w:pStyle w:val="TableParagraph"/>
              <w:spacing w:line="288" w:lineRule="auto"/>
              <w:ind w:left="107" w:right="112"/>
              <w:jc w:val="left"/>
              <w:rPr>
                <w:sz w:val="18"/>
              </w:rPr>
            </w:pPr>
            <w:r>
              <w:rPr>
                <w:sz w:val="18"/>
              </w:rPr>
              <w:t>Som II, en øget nøjagtighed på af- strømning i små vandløb og bedre nøjagtighed på dybde til terræn- nært grundvand. Kan nedskaleres til fx 10 m.</w:t>
            </w:r>
          </w:p>
          <w:p>
            <w:pPr>
              <w:pStyle w:val="TableParagraph"/>
              <w:spacing w:line="288" w:lineRule="auto"/>
              <w:ind w:left="107" w:right="112"/>
              <w:jc w:val="left"/>
              <w:rPr>
                <w:sz w:val="18"/>
              </w:rPr>
            </w:pPr>
            <w:r>
              <w:rPr>
                <w:sz w:val="18"/>
              </w:rPr>
              <w:t>Forbedret ud- gangspunkt for eksterne moduler udtrukket fra DK- model til fx HY- MOD (ny riverline, nyt vandløbs- setup, nye tvær- profiler fx for hver 100 m afstemt DHM osv.).</w:t>
            </w:r>
          </w:p>
        </w:tc>
        <w:tc>
          <w:tcPr>
            <w:tcW w:w="1697" w:type="dxa"/>
          </w:tcPr>
          <w:p>
            <w:pPr>
              <w:pStyle w:val="TableParagraph"/>
              <w:spacing w:line="288" w:lineRule="auto"/>
              <w:ind w:left="107" w:right="105"/>
              <w:jc w:val="left"/>
              <w:rPr>
                <w:sz w:val="18"/>
              </w:rPr>
            </w:pPr>
            <w:r>
              <w:rPr>
                <w:sz w:val="18"/>
              </w:rPr>
              <w:t>Øgede kørselsti- der (20-30 gange </w:t>
            </w:r>
            <w:r>
              <w:rPr>
                <w:spacing w:val="-11"/>
                <w:sz w:val="18"/>
              </w:rPr>
              <w:t>i </w:t>
            </w:r>
            <w:r>
              <w:rPr>
                <w:sz w:val="18"/>
              </w:rPr>
              <w:t>forhold til løsning II). Problematisk at kalibrere mo- dellen i 100</w:t>
            </w:r>
            <w:r>
              <w:rPr>
                <w:spacing w:val="-4"/>
                <w:sz w:val="18"/>
              </w:rPr>
              <w:t> </w:t>
            </w:r>
            <w:r>
              <w:rPr>
                <w:sz w:val="18"/>
              </w:rPr>
              <w:t>m.</w:t>
            </w:r>
          </w:p>
          <w:p>
            <w:pPr>
              <w:pStyle w:val="TableParagraph"/>
              <w:spacing w:line="288" w:lineRule="auto"/>
              <w:ind w:left="107" w:right="125"/>
              <w:jc w:val="left"/>
              <w:rPr>
                <w:sz w:val="18"/>
              </w:rPr>
            </w:pPr>
            <w:r>
              <w:rPr>
                <w:sz w:val="18"/>
              </w:rPr>
              <w:t>Beregning af vandstand kan ske med eksterne moduler (HY- MOD), men løs- ningen omfatter ikke indbygning af bygværker og hy- drodynamisk løs- ning, og dynamisk beregning af vandstande i vandløb er ikke muligt.</w:t>
            </w:r>
          </w:p>
        </w:tc>
        <w:tc>
          <w:tcPr>
            <w:tcW w:w="1699" w:type="dxa"/>
          </w:tcPr>
          <w:p>
            <w:pPr>
              <w:pStyle w:val="TableParagraph"/>
              <w:spacing w:line="288" w:lineRule="auto"/>
              <w:ind w:left="107" w:right="170"/>
              <w:jc w:val="left"/>
              <w:rPr>
                <w:sz w:val="18"/>
              </w:rPr>
            </w:pPr>
            <w:r>
              <w:rPr>
                <w:sz w:val="18"/>
              </w:rPr>
              <w:t>Omkostninger til opsætning af 100 m model er bety- delige.</w:t>
            </w:r>
          </w:p>
          <w:p>
            <w:pPr>
              <w:pStyle w:val="TableParagraph"/>
              <w:spacing w:line="288" w:lineRule="auto"/>
              <w:ind w:left="107" w:right="81"/>
              <w:jc w:val="left"/>
              <w:rPr>
                <w:sz w:val="18"/>
              </w:rPr>
            </w:pPr>
            <w:r>
              <w:rPr>
                <w:sz w:val="18"/>
              </w:rPr>
              <w:t>Såfremt der skal indsamles tvær- profiler, bygvær- ker mm. vil der være betydelige omkostninger her, hver gang eks- terne moduler skal opstilles.</w:t>
            </w:r>
          </w:p>
        </w:tc>
        <w:tc>
          <w:tcPr>
            <w:tcW w:w="1700" w:type="dxa"/>
          </w:tcPr>
          <w:p>
            <w:pPr>
              <w:pStyle w:val="TableParagraph"/>
              <w:spacing w:line="288" w:lineRule="auto"/>
              <w:ind w:left="108" w:right="177"/>
              <w:jc w:val="left"/>
              <w:rPr>
                <w:sz w:val="18"/>
              </w:rPr>
            </w:pPr>
            <w:r>
              <w:rPr>
                <w:sz w:val="18"/>
              </w:rPr>
              <w:t>Løsningen giver primært gevinster i forhold til væ- sentligt forbedret simulering af de- taljeret kort af dybde til terræn- nært grundvand i 100x100 m (efter nedskalering jf. DHM yderligere detaljering til fx 10x10 m). Desu- den et bedre ud- gangspunkt for brug af eksterne moduler til fx vandstandssimu- lering i vandløb, vandføringsevne</w:t>
            </w:r>
          </w:p>
          <w:p>
            <w:pPr>
              <w:pStyle w:val="TableParagraph"/>
              <w:ind w:left="108"/>
              <w:jc w:val="left"/>
              <w:rPr>
                <w:sz w:val="18"/>
              </w:rPr>
            </w:pPr>
            <w:r>
              <w:rPr>
                <w:sz w:val="18"/>
              </w:rPr>
              <w:t>mm.</w:t>
            </w:r>
          </w:p>
        </w:tc>
      </w:tr>
      <w:tr>
        <w:trPr>
          <w:trHeight w:val="5714" w:hRule="atLeast"/>
        </w:trPr>
        <w:tc>
          <w:tcPr>
            <w:tcW w:w="1699" w:type="dxa"/>
          </w:tcPr>
          <w:p>
            <w:pPr>
              <w:pStyle w:val="TableParagraph"/>
              <w:spacing w:line="236" w:lineRule="exact"/>
              <w:ind w:left="107"/>
              <w:jc w:val="left"/>
              <w:rPr>
                <w:sz w:val="21"/>
              </w:rPr>
            </w:pPr>
            <w:r>
              <w:rPr>
                <w:sz w:val="21"/>
              </w:rPr>
              <w:t>IV</w:t>
            </w:r>
          </w:p>
        </w:tc>
        <w:tc>
          <w:tcPr>
            <w:tcW w:w="1700" w:type="dxa"/>
          </w:tcPr>
          <w:p>
            <w:pPr>
              <w:pStyle w:val="TableParagraph"/>
              <w:spacing w:line="288" w:lineRule="auto"/>
              <w:ind w:left="107" w:right="92"/>
              <w:jc w:val="left"/>
              <w:rPr>
                <w:sz w:val="18"/>
              </w:rPr>
            </w:pPr>
            <w:r>
              <w:rPr>
                <w:sz w:val="18"/>
              </w:rPr>
              <w:t>Giver mulighed for simulering af vandstande i vandløb på basis af hydrodynamisk beregning samt dybde til terræn- nært grundvand med i en fuld inte- greret model.</w:t>
            </w:r>
          </w:p>
        </w:tc>
        <w:tc>
          <w:tcPr>
            <w:tcW w:w="1697" w:type="dxa"/>
          </w:tcPr>
          <w:p>
            <w:pPr>
              <w:pStyle w:val="TableParagraph"/>
              <w:spacing w:line="288" w:lineRule="auto"/>
              <w:ind w:left="107" w:right="106"/>
              <w:jc w:val="left"/>
              <w:rPr>
                <w:sz w:val="18"/>
              </w:rPr>
            </w:pPr>
            <w:r>
              <w:rPr>
                <w:sz w:val="18"/>
              </w:rPr>
              <w:t>Meget tungt at køre, og meget ressourcekræ- vende at indbygge tværprofiler, byg- værker, brede profiler mm.</w:t>
            </w:r>
          </w:p>
          <w:p>
            <w:pPr>
              <w:pStyle w:val="TableParagraph"/>
              <w:ind w:left="107"/>
              <w:jc w:val="left"/>
              <w:rPr>
                <w:sz w:val="18"/>
              </w:rPr>
            </w:pPr>
            <w:r>
              <w:rPr>
                <w:sz w:val="18"/>
              </w:rPr>
              <w:t>Svært at kalibrere.</w:t>
            </w:r>
          </w:p>
        </w:tc>
        <w:tc>
          <w:tcPr>
            <w:tcW w:w="1699" w:type="dxa"/>
          </w:tcPr>
          <w:p>
            <w:pPr>
              <w:pStyle w:val="TableParagraph"/>
              <w:spacing w:line="288" w:lineRule="auto"/>
              <w:ind w:left="107" w:right="117"/>
              <w:jc w:val="left"/>
              <w:rPr>
                <w:sz w:val="18"/>
              </w:rPr>
            </w:pPr>
            <w:r>
              <w:rPr>
                <w:sz w:val="18"/>
              </w:rPr>
              <w:t>Omkostninger til opsætning af inte- greret model for hele landet er me- get betragtelige og vil kræve en meget høj grad af interessentinvol- vering (for at få lo- kal viden/data med).</w:t>
            </w:r>
          </w:p>
        </w:tc>
        <w:tc>
          <w:tcPr>
            <w:tcW w:w="1700" w:type="dxa"/>
          </w:tcPr>
          <w:p>
            <w:pPr>
              <w:pStyle w:val="TableParagraph"/>
              <w:spacing w:line="288" w:lineRule="auto"/>
              <w:ind w:left="108" w:right="101"/>
              <w:jc w:val="left"/>
              <w:rPr>
                <w:sz w:val="18"/>
              </w:rPr>
            </w:pPr>
            <w:r>
              <w:rPr>
                <w:sz w:val="18"/>
              </w:rPr>
              <w:t>Løsningen giver mulighed for at indbygge alle de data der findes og som er relevante for simulering af vandstande i vandløb og over- svømmelser i ter- ræn i en lands- dækkende DK- model. Herfra vil man kunne ud- trække modelop- sætninger som kan anvendes i lo- kale modeller i kommunerne, samt eksterne moduler. Kan kali- breres og valide- res i forhold til</w:t>
            </w:r>
          </w:p>
          <w:p>
            <w:pPr>
              <w:pStyle w:val="TableParagraph"/>
              <w:ind w:left="108"/>
              <w:jc w:val="left"/>
              <w:rPr>
                <w:sz w:val="18"/>
              </w:rPr>
            </w:pPr>
            <w:r>
              <w:rPr>
                <w:sz w:val="18"/>
              </w:rPr>
              <w:t>tidsseriedata.</w:t>
            </w:r>
          </w:p>
        </w:tc>
      </w:tr>
    </w:tbl>
    <w:p>
      <w:pPr>
        <w:spacing w:after="0"/>
        <w:jc w:val="left"/>
        <w:rPr>
          <w:sz w:val="18"/>
        </w:rPr>
        <w:sectPr>
          <w:pgSz w:w="11910" w:h="16850"/>
          <w:pgMar w:header="0" w:footer="857" w:top="1420" w:bottom="1040" w:left="1460" w:right="680"/>
        </w:sectPr>
      </w:pPr>
    </w:p>
    <w:p>
      <w:pPr>
        <w:pStyle w:val="Heading2"/>
        <w:numPr>
          <w:ilvl w:val="1"/>
          <w:numId w:val="17"/>
        </w:numPr>
        <w:tabs>
          <w:tab w:pos="1141" w:val="left" w:leader="none"/>
          <w:tab w:pos="1142" w:val="left" w:leader="none"/>
        </w:tabs>
        <w:spacing w:line="240" w:lineRule="auto" w:before="74" w:after="0"/>
        <w:ind w:left="525" w:right="1249" w:firstLine="0"/>
        <w:jc w:val="left"/>
      </w:pPr>
      <w:bookmarkStart w:name="_bookmark172" w:id="218"/>
      <w:bookmarkEnd w:id="218"/>
      <w:r>
        <w:rPr>
          <w:b w:val="0"/>
        </w:rPr>
      </w:r>
      <w:bookmarkStart w:name="_bookmark172" w:id="219"/>
      <w:bookmarkEnd w:id="219"/>
      <w:r>
        <w:rPr/>
        <w:t>K</w:t>
      </w:r>
      <w:r>
        <w:rPr/>
        <w:t>onklusioner baseret på modelsimuleringer i forhold til terrænnært grundvand, vandstand og</w:t>
      </w:r>
      <w:r>
        <w:rPr>
          <w:spacing w:val="-8"/>
        </w:rPr>
        <w:t> </w:t>
      </w:r>
      <w:r>
        <w:rPr/>
        <w:t>oversvømmelser</w:t>
      </w:r>
    </w:p>
    <w:p>
      <w:pPr>
        <w:pStyle w:val="Heading4"/>
        <w:spacing w:before="212"/>
      </w:pPr>
      <w:r>
        <w:rPr/>
        <w:t>Bedre beskrivelse af terrænnært grundvand</w:t>
      </w:r>
    </w:p>
    <w:p>
      <w:pPr>
        <w:pStyle w:val="ListParagraph"/>
        <w:numPr>
          <w:ilvl w:val="0"/>
          <w:numId w:val="18"/>
        </w:numPr>
        <w:tabs>
          <w:tab w:pos="1245" w:val="left" w:leader="none"/>
          <w:tab w:pos="1246" w:val="left" w:leader="none"/>
        </w:tabs>
        <w:spacing w:line="240" w:lineRule="auto" w:before="34" w:after="0"/>
        <w:ind w:left="1245" w:right="0" w:hanging="360"/>
        <w:jc w:val="left"/>
        <w:rPr>
          <w:sz w:val="21"/>
        </w:rPr>
      </w:pPr>
      <w:r>
        <w:rPr>
          <w:sz w:val="21"/>
        </w:rPr>
        <w:t>Overgang fra 500 m til 100 m</w:t>
      </w:r>
      <w:r>
        <w:rPr>
          <w:spacing w:val="-6"/>
          <w:sz w:val="21"/>
        </w:rPr>
        <w:t> </w:t>
      </w:r>
      <w:r>
        <w:rPr>
          <w:sz w:val="21"/>
        </w:rPr>
        <w:t>grid</w:t>
      </w:r>
    </w:p>
    <w:p>
      <w:pPr>
        <w:pStyle w:val="ListParagraph"/>
        <w:numPr>
          <w:ilvl w:val="1"/>
          <w:numId w:val="18"/>
        </w:numPr>
        <w:tabs>
          <w:tab w:pos="1965" w:val="left" w:leader="none"/>
          <w:tab w:pos="1966" w:val="left" w:leader="none"/>
        </w:tabs>
        <w:spacing w:line="240" w:lineRule="auto" w:before="37" w:after="0"/>
        <w:ind w:left="1965" w:right="0" w:hanging="360"/>
        <w:jc w:val="left"/>
        <w:rPr>
          <w:sz w:val="21"/>
        </w:rPr>
      </w:pPr>
      <w:r>
        <w:rPr>
          <w:sz w:val="21"/>
        </w:rPr>
        <w:t>Samme performance på store vandføringsstationer – bedre for</w:t>
      </w:r>
      <w:r>
        <w:rPr>
          <w:spacing w:val="-15"/>
          <w:sz w:val="21"/>
        </w:rPr>
        <w:t> </w:t>
      </w:r>
      <w:r>
        <w:rPr>
          <w:sz w:val="21"/>
        </w:rPr>
        <w:t>små</w:t>
      </w:r>
    </w:p>
    <w:p>
      <w:pPr>
        <w:pStyle w:val="ListParagraph"/>
        <w:numPr>
          <w:ilvl w:val="1"/>
          <w:numId w:val="18"/>
        </w:numPr>
        <w:tabs>
          <w:tab w:pos="1965" w:val="left" w:leader="none"/>
          <w:tab w:pos="1966" w:val="left" w:leader="none"/>
        </w:tabs>
        <w:spacing w:line="240" w:lineRule="auto" w:before="37" w:after="0"/>
        <w:ind w:left="1965" w:right="0" w:hanging="360"/>
        <w:jc w:val="left"/>
        <w:rPr>
          <w:sz w:val="21"/>
        </w:rPr>
      </w:pPr>
      <w:r>
        <w:rPr>
          <w:sz w:val="21"/>
        </w:rPr>
        <w:t>Lidt bedre performance på terrænnært</w:t>
      </w:r>
      <w:r>
        <w:rPr>
          <w:spacing w:val="-8"/>
          <w:sz w:val="21"/>
        </w:rPr>
        <w:t> </w:t>
      </w:r>
      <w:r>
        <w:rPr>
          <w:sz w:val="21"/>
        </w:rPr>
        <w:t>grundvand</w:t>
      </w:r>
    </w:p>
    <w:p>
      <w:pPr>
        <w:pStyle w:val="BodyText"/>
        <w:tabs>
          <w:tab w:pos="1965" w:val="left" w:leader="none"/>
        </w:tabs>
        <w:spacing w:before="34"/>
        <w:ind w:left="1605"/>
      </w:pPr>
      <w:r>
        <w:rPr>
          <w:position w:val="2"/>
        </w:rPr>
        <w:t>–</w:t>
        <w:tab/>
        <w:t>MAE</w:t>
      </w:r>
      <w:r>
        <w:rPr>
          <w:sz w:val="14"/>
        </w:rPr>
        <w:t>90% </w:t>
      </w:r>
      <w:r>
        <w:rPr>
          <w:position w:val="2"/>
        </w:rPr>
        <w:t>tn ≈ 1.0-2.0</w:t>
      </w:r>
      <w:r>
        <w:rPr>
          <w:spacing w:val="-24"/>
          <w:position w:val="2"/>
        </w:rPr>
        <w:t> </w:t>
      </w:r>
      <w:r>
        <w:rPr>
          <w:position w:val="2"/>
        </w:rPr>
        <w:t>m</w:t>
      </w:r>
    </w:p>
    <w:p>
      <w:pPr>
        <w:pStyle w:val="BodyText"/>
        <w:rPr>
          <w:sz w:val="27"/>
        </w:rPr>
      </w:pPr>
    </w:p>
    <w:p>
      <w:pPr>
        <w:pStyle w:val="ListParagraph"/>
        <w:numPr>
          <w:ilvl w:val="0"/>
          <w:numId w:val="18"/>
        </w:numPr>
        <w:tabs>
          <w:tab w:pos="1245" w:val="left" w:leader="none"/>
          <w:tab w:pos="1246" w:val="left" w:leader="none"/>
        </w:tabs>
        <w:spacing w:line="240" w:lineRule="auto" w:before="0" w:after="0"/>
        <w:ind w:left="1245" w:right="0" w:hanging="360"/>
        <w:jc w:val="left"/>
        <w:rPr>
          <w:sz w:val="21"/>
        </w:rPr>
      </w:pPr>
      <w:r>
        <w:rPr>
          <w:sz w:val="21"/>
        </w:rPr>
        <w:t>Inddragelse af nye terrænnære</w:t>
      </w:r>
      <w:r>
        <w:rPr>
          <w:spacing w:val="-3"/>
          <w:sz w:val="21"/>
        </w:rPr>
        <w:t> </w:t>
      </w:r>
      <w:r>
        <w:rPr>
          <w:sz w:val="21"/>
        </w:rPr>
        <w:t>pejledata</w:t>
      </w:r>
    </w:p>
    <w:p>
      <w:pPr>
        <w:pStyle w:val="ListParagraph"/>
        <w:numPr>
          <w:ilvl w:val="1"/>
          <w:numId w:val="18"/>
        </w:numPr>
        <w:tabs>
          <w:tab w:pos="1965" w:val="left" w:leader="none"/>
          <w:tab w:pos="1966" w:val="left" w:leader="none"/>
        </w:tabs>
        <w:spacing w:line="240" w:lineRule="auto" w:before="37" w:after="0"/>
        <w:ind w:left="1965" w:right="0" w:hanging="360"/>
        <w:jc w:val="left"/>
        <w:rPr>
          <w:sz w:val="21"/>
        </w:rPr>
      </w:pPr>
      <w:r>
        <w:rPr>
          <w:sz w:val="21"/>
        </w:rPr>
        <w:t>Ingen effekt på parameter</w:t>
      </w:r>
      <w:r>
        <w:rPr>
          <w:spacing w:val="-8"/>
          <w:sz w:val="21"/>
        </w:rPr>
        <w:t> </w:t>
      </w:r>
      <w:r>
        <w:rPr>
          <w:sz w:val="21"/>
        </w:rPr>
        <w:t>optimering</w:t>
      </w:r>
    </w:p>
    <w:p>
      <w:pPr>
        <w:pStyle w:val="ListParagraph"/>
        <w:numPr>
          <w:ilvl w:val="1"/>
          <w:numId w:val="18"/>
        </w:numPr>
        <w:tabs>
          <w:tab w:pos="1965" w:val="left" w:leader="none"/>
          <w:tab w:pos="1966" w:val="left" w:leader="none"/>
        </w:tabs>
        <w:spacing w:line="240" w:lineRule="auto" w:before="35" w:after="0"/>
        <w:ind w:left="1965" w:right="0" w:hanging="360"/>
        <w:jc w:val="left"/>
        <w:rPr>
          <w:sz w:val="21"/>
        </w:rPr>
      </w:pPr>
      <w:r>
        <w:rPr>
          <w:sz w:val="21"/>
        </w:rPr>
        <w:t>Stærkere validerings grundlag – bedre udpegning af</w:t>
      </w:r>
      <w:r>
        <w:rPr>
          <w:spacing w:val="-9"/>
          <w:sz w:val="21"/>
        </w:rPr>
        <w:t> </w:t>
      </w:r>
      <w:r>
        <w:rPr>
          <w:sz w:val="21"/>
        </w:rPr>
        <w:t>problemområder</w:t>
      </w:r>
    </w:p>
    <w:p>
      <w:pPr>
        <w:pStyle w:val="ListParagraph"/>
        <w:numPr>
          <w:ilvl w:val="1"/>
          <w:numId w:val="18"/>
        </w:numPr>
        <w:tabs>
          <w:tab w:pos="1966" w:val="left" w:leader="none"/>
        </w:tabs>
        <w:spacing w:line="276" w:lineRule="auto" w:before="37" w:after="0"/>
        <w:ind w:left="1965" w:right="732" w:hanging="360"/>
        <w:jc w:val="both"/>
        <w:rPr>
          <w:sz w:val="21"/>
        </w:rPr>
      </w:pPr>
      <w:r>
        <w:rPr>
          <w:sz w:val="21"/>
        </w:rPr>
        <w:t>GEO’s data har begrænset rumlig udbredelse, men kan anvendes til valide- ring.</w:t>
      </w:r>
      <w:r>
        <w:rPr>
          <w:spacing w:val="-10"/>
          <w:sz w:val="21"/>
        </w:rPr>
        <w:t> </w:t>
      </w:r>
      <w:r>
        <w:rPr>
          <w:sz w:val="21"/>
        </w:rPr>
        <w:t>Kræver</w:t>
      </w:r>
      <w:r>
        <w:rPr>
          <w:spacing w:val="-10"/>
          <w:sz w:val="21"/>
        </w:rPr>
        <w:t> </w:t>
      </w:r>
      <w:r>
        <w:rPr>
          <w:sz w:val="21"/>
        </w:rPr>
        <w:t>som</w:t>
      </w:r>
      <w:r>
        <w:rPr>
          <w:spacing w:val="-10"/>
          <w:sz w:val="21"/>
        </w:rPr>
        <w:t> </w:t>
      </w:r>
      <w:r>
        <w:rPr>
          <w:sz w:val="21"/>
        </w:rPr>
        <w:t>Regionernes</w:t>
      </w:r>
      <w:r>
        <w:rPr>
          <w:spacing w:val="-8"/>
          <w:sz w:val="21"/>
        </w:rPr>
        <w:t> </w:t>
      </w:r>
      <w:r>
        <w:rPr>
          <w:sz w:val="21"/>
        </w:rPr>
        <w:t>data</w:t>
      </w:r>
      <w:r>
        <w:rPr>
          <w:spacing w:val="-9"/>
          <w:sz w:val="21"/>
        </w:rPr>
        <w:t> </w:t>
      </w:r>
      <w:r>
        <w:rPr>
          <w:sz w:val="21"/>
        </w:rPr>
        <w:t>yderligere</w:t>
      </w:r>
      <w:r>
        <w:rPr>
          <w:spacing w:val="-12"/>
          <w:sz w:val="21"/>
        </w:rPr>
        <w:t> </w:t>
      </w:r>
      <w:r>
        <w:rPr>
          <w:sz w:val="21"/>
        </w:rPr>
        <w:t>kvalitetssikring</w:t>
      </w:r>
      <w:r>
        <w:rPr>
          <w:spacing w:val="-9"/>
          <w:sz w:val="21"/>
        </w:rPr>
        <w:t> </w:t>
      </w:r>
      <w:r>
        <w:rPr>
          <w:sz w:val="21"/>
        </w:rPr>
        <w:t>til</w:t>
      </w:r>
      <w:r>
        <w:rPr>
          <w:spacing w:val="-8"/>
          <w:sz w:val="21"/>
        </w:rPr>
        <w:t> </w:t>
      </w:r>
      <w:r>
        <w:rPr>
          <w:sz w:val="21"/>
        </w:rPr>
        <w:t>brug</w:t>
      </w:r>
      <w:r>
        <w:rPr>
          <w:spacing w:val="-11"/>
          <w:sz w:val="21"/>
        </w:rPr>
        <w:t> </w:t>
      </w:r>
      <w:r>
        <w:rPr>
          <w:sz w:val="21"/>
        </w:rPr>
        <w:t>for</w:t>
      </w:r>
      <w:r>
        <w:rPr>
          <w:spacing w:val="-12"/>
          <w:sz w:val="21"/>
        </w:rPr>
        <w:t> </w:t>
      </w:r>
      <w:r>
        <w:rPr>
          <w:sz w:val="21"/>
        </w:rPr>
        <w:t>mo- dellering</w:t>
      </w:r>
    </w:p>
    <w:p>
      <w:pPr>
        <w:pStyle w:val="ListParagraph"/>
        <w:numPr>
          <w:ilvl w:val="1"/>
          <w:numId w:val="18"/>
        </w:numPr>
        <w:tabs>
          <w:tab w:pos="1965" w:val="left" w:leader="none"/>
          <w:tab w:pos="1966" w:val="left" w:leader="none"/>
        </w:tabs>
        <w:spacing w:line="240" w:lineRule="auto" w:before="0" w:after="0"/>
        <w:ind w:left="1965" w:right="0" w:hanging="360"/>
        <w:jc w:val="left"/>
        <w:rPr>
          <w:sz w:val="21"/>
        </w:rPr>
      </w:pPr>
      <w:r>
        <w:rPr>
          <w:sz w:val="21"/>
        </w:rPr>
        <w:t>Mangler stadig pejletidsserier (god performance på dynamik for</w:t>
      </w:r>
      <w:r>
        <w:rPr>
          <w:spacing w:val="-15"/>
          <w:sz w:val="21"/>
        </w:rPr>
        <w:t> </w:t>
      </w:r>
      <w:r>
        <w:rPr>
          <w:sz w:val="21"/>
        </w:rPr>
        <w:t>Sunds)</w:t>
      </w:r>
    </w:p>
    <w:p>
      <w:pPr>
        <w:pStyle w:val="BodyText"/>
        <w:spacing w:before="4"/>
        <w:rPr>
          <w:sz w:val="27"/>
        </w:rPr>
      </w:pPr>
    </w:p>
    <w:p>
      <w:pPr>
        <w:pStyle w:val="ListParagraph"/>
        <w:numPr>
          <w:ilvl w:val="0"/>
          <w:numId w:val="18"/>
        </w:numPr>
        <w:tabs>
          <w:tab w:pos="1245" w:val="left" w:leader="none"/>
          <w:tab w:pos="1246" w:val="left" w:leader="none"/>
        </w:tabs>
        <w:spacing w:line="240" w:lineRule="auto" w:before="1" w:after="0"/>
        <w:ind w:left="1245" w:right="0" w:hanging="360"/>
        <w:jc w:val="left"/>
        <w:rPr>
          <w:sz w:val="21"/>
        </w:rPr>
      </w:pPr>
      <w:r>
        <w:rPr>
          <w:sz w:val="21"/>
        </w:rPr>
        <w:t>Nyt kalibreringskoncept med øget fokus på terrænnært</w:t>
      </w:r>
      <w:r>
        <w:rPr>
          <w:spacing w:val="-11"/>
          <w:sz w:val="21"/>
        </w:rPr>
        <w:t> </w:t>
      </w:r>
      <w:r>
        <w:rPr>
          <w:sz w:val="21"/>
        </w:rPr>
        <w:t>grundvand</w:t>
      </w:r>
    </w:p>
    <w:p>
      <w:pPr>
        <w:pStyle w:val="ListParagraph"/>
        <w:numPr>
          <w:ilvl w:val="1"/>
          <w:numId w:val="18"/>
        </w:numPr>
        <w:tabs>
          <w:tab w:pos="1965" w:val="left" w:leader="none"/>
          <w:tab w:pos="1966" w:val="left" w:leader="none"/>
        </w:tabs>
        <w:spacing w:line="276" w:lineRule="auto" w:before="34" w:after="0"/>
        <w:ind w:left="1965" w:right="731" w:hanging="360"/>
        <w:jc w:val="left"/>
        <w:rPr>
          <w:sz w:val="21"/>
        </w:rPr>
      </w:pPr>
      <w:r>
        <w:rPr>
          <w:sz w:val="21"/>
        </w:rPr>
        <w:t>Lovende og robust objektivfunktion design, som planlægges overført til </w:t>
      </w:r>
      <w:r>
        <w:rPr>
          <w:spacing w:val="2"/>
          <w:sz w:val="21"/>
        </w:rPr>
        <w:t>DK- </w:t>
      </w:r>
      <w:r>
        <w:rPr>
          <w:sz w:val="21"/>
        </w:rPr>
        <w:t>modellen i</w:t>
      </w:r>
      <w:r>
        <w:rPr>
          <w:spacing w:val="-5"/>
          <w:sz w:val="21"/>
        </w:rPr>
        <w:t> </w:t>
      </w:r>
      <w:r>
        <w:rPr>
          <w:sz w:val="21"/>
        </w:rPr>
        <w:t>fremtiden</w:t>
      </w:r>
    </w:p>
    <w:p>
      <w:pPr>
        <w:pStyle w:val="ListParagraph"/>
        <w:numPr>
          <w:ilvl w:val="1"/>
          <w:numId w:val="18"/>
        </w:numPr>
        <w:tabs>
          <w:tab w:pos="1965" w:val="left" w:leader="none"/>
          <w:tab w:pos="1966" w:val="left" w:leader="none"/>
        </w:tabs>
        <w:spacing w:line="273" w:lineRule="auto" w:before="2" w:after="0"/>
        <w:ind w:left="1965" w:right="734" w:hanging="360"/>
        <w:jc w:val="left"/>
        <w:rPr>
          <w:sz w:val="21"/>
        </w:rPr>
      </w:pPr>
      <w:r>
        <w:rPr>
          <w:sz w:val="21"/>
        </w:rPr>
        <w:t>Bedre mulighed for parameter optimering ved anvendelse af mange pejle- data af varierende kvalitet og ved konceptuelle model</w:t>
      </w:r>
      <w:r>
        <w:rPr>
          <w:spacing w:val="-17"/>
          <w:sz w:val="21"/>
        </w:rPr>
        <w:t> </w:t>
      </w:r>
      <w:r>
        <w:rPr>
          <w:sz w:val="21"/>
        </w:rPr>
        <w:t>fejl</w:t>
      </w:r>
    </w:p>
    <w:p>
      <w:pPr>
        <w:pStyle w:val="ListParagraph"/>
        <w:numPr>
          <w:ilvl w:val="1"/>
          <w:numId w:val="18"/>
        </w:numPr>
        <w:tabs>
          <w:tab w:pos="1965" w:val="left" w:leader="none"/>
          <w:tab w:pos="1966" w:val="left" w:leader="none"/>
        </w:tabs>
        <w:spacing w:line="276" w:lineRule="auto" w:before="3" w:after="0"/>
        <w:ind w:left="1965" w:right="737" w:hanging="360"/>
        <w:jc w:val="left"/>
        <w:rPr>
          <w:sz w:val="21"/>
        </w:rPr>
      </w:pPr>
      <w:r>
        <w:rPr>
          <w:sz w:val="21"/>
        </w:rPr>
        <w:t>Bedre udpegning af problemområder, hvor den konceptuelle model er util- strækkelig</w:t>
      </w:r>
    </w:p>
    <w:p>
      <w:pPr>
        <w:pStyle w:val="BodyText"/>
        <w:spacing w:before="2"/>
        <w:rPr>
          <w:sz w:val="24"/>
        </w:rPr>
      </w:pPr>
    </w:p>
    <w:p>
      <w:pPr>
        <w:pStyle w:val="Heading4"/>
      </w:pPr>
      <w:r>
        <w:rPr/>
        <w:t>Bedre beskrivelse af vandstand i vandløb</w:t>
      </w:r>
    </w:p>
    <w:p>
      <w:pPr>
        <w:pStyle w:val="ListParagraph"/>
        <w:numPr>
          <w:ilvl w:val="0"/>
          <w:numId w:val="18"/>
        </w:numPr>
        <w:tabs>
          <w:tab w:pos="1245" w:val="left" w:leader="none"/>
          <w:tab w:pos="1246" w:val="left" w:leader="none"/>
        </w:tabs>
        <w:spacing w:line="240" w:lineRule="auto" w:before="37" w:after="0"/>
        <w:ind w:left="1245" w:right="0" w:hanging="360"/>
        <w:jc w:val="left"/>
        <w:rPr>
          <w:sz w:val="21"/>
        </w:rPr>
      </w:pPr>
      <w:r>
        <w:rPr>
          <w:sz w:val="21"/>
        </w:rPr>
        <w:t>Indbygning af detaljerede tværsnit, bygværker</w:t>
      </w:r>
      <w:r>
        <w:rPr>
          <w:spacing w:val="-9"/>
          <w:sz w:val="21"/>
        </w:rPr>
        <w:t> </w:t>
      </w:r>
      <w:r>
        <w:rPr>
          <w:sz w:val="21"/>
        </w:rPr>
        <w:t>osv.</w:t>
      </w:r>
    </w:p>
    <w:p>
      <w:pPr>
        <w:pStyle w:val="ListParagraph"/>
        <w:numPr>
          <w:ilvl w:val="1"/>
          <w:numId w:val="18"/>
        </w:numPr>
        <w:tabs>
          <w:tab w:pos="1965" w:val="left" w:leader="none"/>
          <w:tab w:pos="1966" w:val="left" w:leader="none"/>
        </w:tabs>
        <w:spacing w:line="240" w:lineRule="auto" w:before="37" w:after="0"/>
        <w:ind w:left="1965" w:right="0" w:hanging="360"/>
        <w:jc w:val="left"/>
        <w:rPr>
          <w:sz w:val="21"/>
        </w:rPr>
      </w:pPr>
      <w:r>
        <w:rPr>
          <w:sz w:val="21"/>
        </w:rPr>
        <w:t>Stort og meget tidskrævende</w:t>
      </w:r>
      <w:r>
        <w:rPr>
          <w:spacing w:val="-7"/>
          <w:sz w:val="21"/>
        </w:rPr>
        <w:t> </w:t>
      </w:r>
      <w:r>
        <w:rPr>
          <w:sz w:val="21"/>
        </w:rPr>
        <w:t>arbejde</w:t>
      </w:r>
    </w:p>
    <w:p>
      <w:pPr>
        <w:pStyle w:val="BodyText"/>
        <w:spacing w:before="2"/>
        <w:rPr>
          <w:sz w:val="27"/>
        </w:rPr>
      </w:pPr>
    </w:p>
    <w:p>
      <w:pPr>
        <w:pStyle w:val="ListParagraph"/>
        <w:numPr>
          <w:ilvl w:val="0"/>
          <w:numId w:val="18"/>
        </w:numPr>
        <w:tabs>
          <w:tab w:pos="1245" w:val="left" w:leader="none"/>
          <w:tab w:pos="1246" w:val="left" w:leader="none"/>
        </w:tabs>
        <w:spacing w:line="240" w:lineRule="auto" w:before="0" w:after="0"/>
        <w:ind w:left="1245" w:right="0" w:hanging="360"/>
        <w:jc w:val="left"/>
        <w:rPr>
          <w:sz w:val="21"/>
        </w:rPr>
      </w:pPr>
      <w:r>
        <w:rPr>
          <w:sz w:val="21"/>
        </w:rPr>
        <w:t>Overgang til hydrodynamisk løsning i MIKE HYDRO</w:t>
      </w:r>
      <w:r>
        <w:rPr>
          <w:spacing w:val="-13"/>
          <w:sz w:val="21"/>
        </w:rPr>
        <w:t> </w:t>
      </w:r>
      <w:r>
        <w:rPr>
          <w:sz w:val="21"/>
        </w:rPr>
        <w:t>River</w:t>
      </w:r>
    </w:p>
    <w:p>
      <w:pPr>
        <w:pStyle w:val="ListParagraph"/>
        <w:numPr>
          <w:ilvl w:val="1"/>
          <w:numId w:val="18"/>
        </w:numPr>
        <w:tabs>
          <w:tab w:pos="1965" w:val="left" w:leader="none"/>
          <w:tab w:pos="1966" w:val="left" w:leader="none"/>
        </w:tabs>
        <w:spacing w:line="273" w:lineRule="auto" w:before="37" w:after="0"/>
        <w:ind w:left="1965" w:right="732" w:hanging="360"/>
        <w:jc w:val="left"/>
        <w:rPr>
          <w:sz w:val="21"/>
        </w:rPr>
      </w:pPr>
      <w:r>
        <w:rPr>
          <w:sz w:val="21"/>
        </w:rPr>
        <w:t>Lang beregningstid, svært at kombinere med national model i 100 m opløs- ning</w:t>
      </w:r>
    </w:p>
    <w:p>
      <w:pPr>
        <w:pStyle w:val="BodyText"/>
        <w:spacing w:before="6"/>
        <w:rPr>
          <w:sz w:val="24"/>
        </w:rPr>
      </w:pPr>
    </w:p>
    <w:p>
      <w:pPr>
        <w:pStyle w:val="ListParagraph"/>
        <w:numPr>
          <w:ilvl w:val="0"/>
          <w:numId w:val="18"/>
        </w:numPr>
        <w:tabs>
          <w:tab w:pos="1245" w:val="left" w:leader="none"/>
          <w:tab w:pos="1246" w:val="left" w:leader="none"/>
        </w:tabs>
        <w:spacing w:line="240" w:lineRule="auto" w:before="1" w:after="0"/>
        <w:ind w:left="1245" w:right="0" w:hanging="360"/>
        <w:jc w:val="left"/>
        <w:rPr>
          <w:sz w:val="21"/>
        </w:rPr>
      </w:pPr>
      <w:r>
        <w:rPr>
          <w:sz w:val="21"/>
        </w:rPr>
        <w:t>Kalibrering specifikt mod</w:t>
      </w:r>
      <w:r>
        <w:rPr>
          <w:spacing w:val="-8"/>
          <w:sz w:val="21"/>
        </w:rPr>
        <w:t> </w:t>
      </w:r>
      <w:r>
        <w:rPr>
          <w:sz w:val="21"/>
        </w:rPr>
        <w:t>vandstand</w:t>
      </w:r>
    </w:p>
    <w:p>
      <w:pPr>
        <w:pStyle w:val="ListParagraph"/>
        <w:numPr>
          <w:ilvl w:val="1"/>
          <w:numId w:val="18"/>
        </w:numPr>
        <w:tabs>
          <w:tab w:pos="1965" w:val="left" w:leader="none"/>
          <w:tab w:pos="1966" w:val="left" w:leader="none"/>
        </w:tabs>
        <w:spacing w:line="240" w:lineRule="auto" w:before="37" w:after="0"/>
        <w:ind w:left="1965" w:right="0" w:hanging="360"/>
        <w:jc w:val="left"/>
        <w:rPr>
          <w:sz w:val="21"/>
        </w:rPr>
      </w:pPr>
      <w:r>
        <w:rPr>
          <w:sz w:val="21"/>
        </w:rPr>
        <w:t>Rimelig performance på vandstand i vandløb (RMSE ≈ 20</w:t>
      </w:r>
      <w:r>
        <w:rPr>
          <w:spacing w:val="-14"/>
          <w:sz w:val="21"/>
        </w:rPr>
        <w:t> </w:t>
      </w:r>
      <w:r>
        <w:rPr>
          <w:sz w:val="21"/>
        </w:rPr>
        <w:t>cm)</w:t>
      </w:r>
    </w:p>
    <w:p>
      <w:pPr>
        <w:pStyle w:val="ListParagraph"/>
        <w:numPr>
          <w:ilvl w:val="1"/>
          <w:numId w:val="18"/>
        </w:numPr>
        <w:tabs>
          <w:tab w:pos="1965" w:val="left" w:leader="none"/>
          <w:tab w:pos="1966" w:val="left" w:leader="none"/>
        </w:tabs>
        <w:spacing w:line="240" w:lineRule="auto" w:before="34" w:after="0"/>
        <w:ind w:left="1965" w:right="0" w:hanging="360"/>
        <w:jc w:val="left"/>
        <w:rPr>
          <w:sz w:val="21"/>
        </w:rPr>
      </w:pPr>
      <w:r>
        <w:rPr>
          <w:sz w:val="21"/>
        </w:rPr>
        <w:t>Simpel, men lovende parametrisering af</w:t>
      </w:r>
      <w:r>
        <w:rPr>
          <w:spacing w:val="-6"/>
          <w:sz w:val="21"/>
        </w:rPr>
        <w:t> </w:t>
      </w:r>
      <w:r>
        <w:rPr>
          <w:sz w:val="21"/>
        </w:rPr>
        <w:t>Manningtal</w:t>
      </w:r>
    </w:p>
    <w:p>
      <w:pPr>
        <w:pStyle w:val="ListParagraph"/>
        <w:numPr>
          <w:ilvl w:val="1"/>
          <w:numId w:val="18"/>
        </w:numPr>
        <w:tabs>
          <w:tab w:pos="1965" w:val="left" w:leader="none"/>
          <w:tab w:pos="1966" w:val="left" w:leader="none"/>
        </w:tabs>
        <w:spacing w:line="240" w:lineRule="auto" w:before="37" w:after="0"/>
        <w:ind w:left="1965" w:right="0" w:hanging="360"/>
        <w:jc w:val="left"/>
        <w:rPr>
          <w:sz w:val="21"/>
        </w:rPr>
      </w:pPr>
      <w:r>
        <w:rPr>
          <w:sz w:val="21"/>
        </w:rPr>
        <w:t>Forbedres ved kombination af sæson og steds-varierende</w:t>
      </w:r>
      <w:r>
        <w:rPr>
          <w:spacing w:val="-12"/>
          <w:sz w:val="21"/>
        </w:rPr>
        <w:t> </w:t>
      </w:r>
      <w:r>
        <w:rPr>
          <w:sz w:val="21"/>
        </w:rPr>
        <w:t>implementering</w:t>
      </w:r>
    </w:p>
    <w:p>
      <w:pPr>
        <w:pStyle w:val="ListParagraph"/>
        <w:numPr>
          <w:ilvl w:val="1"/>
          <w:numId w:val="18"/>
        </w:numPr>
        <w:tabs>
          <w:tab w:pos="1966" w:val="left" w:leader="none"/>
        </w:tabs>
        <w:spacing w:line="276" w:lineRule="auto" w:before="37" w:after="0"/>
        <w:ind w:left="1965" w:right="728" w:hanging="360"/>
        <w:jc w:val="both"/>
        <w:rPr>
          <w:sz w:val="21"/>
        </w:rPr>
      </w:pPr>
      <w:r>
        <w:rPr>
          <w:sz w:val="21"/>
        </w:rPr>
        <w:t>Overraskende god vandstandsperformance for Storå for den simple routing model i DK-Modellen (uden udbyggede tværsnit og uden kalibrering af Man- ningtal eller mod vandstand), dog dårlig performance for strækninger med kompliceret</w:t>
      </w:r>
      <w:r>
        <w:rPr>
          <w:spacing w:val="-4"/>
          <w:sz w:val="21"/>
        </w:rPr>
        <w:t> </w:t>
      </w:r>
      <w:r>
        <w:rPr>
          <w:sz w:val="21"/>
        </w:rPr>
        <w:t>geometri</w:t>
      </w:r>
    </w:p>
    <w:p>
      <w:pPr>
        <w:pStyle w:val="BodyText"/>
        <w:spacing w:before="1"/>
        <w:rPr>
          <w:sz w:val="24"/>
        </w:rPr>
      </w:pPr>
    </w:p>
    <w:p>
      <w:pPr>
        <w:pStyle w:val="Heading4"/>
      </w:pPr>
      <w:r>
        <w:rPr/>
        <w:t>Simulering af oversvømmelse og vand på terræn</w:t>
      </w:r>
    </w:p>
    <w:p>
      <w:pPr>
        <w:pStyle w:val="ListParagraph"/>
        <w:numPr>
          <w:ilvl w:val="0"/>
          <w:numId w:val="18"/>
        </w:numPr>
        <w:tabs>
          <w:tab w:pos="1245" w:val="left" w:leader="none"/>
          <w:tab w:pos="1246" w:val="left" w:leader="none"/>
        </w:tabs>
        <w:spacing w:line="240" w:lineRule="auto" w:before="37" w:after="0"/>
        <w:ind w:left="1245" w:right="0" w:hanging="360"/>
        <w:jc w:val="left"/>
        <w:rPr>
          <w:sz w:val="21"/>
        </w:rPr>
      </w:pPr>
      <w:r>
        <w:rPr>
          <w:sz w:val="21"/>
        </w:rPr>
        <w:t>Simulering af vandstand bredt ud på terræn (DKM-HD -&gt; COWI</w:t>
      </w:r>
      <w:r>
        <w:rPr>
          <w:spacing w:val="-12"/>
          <w:sz w:val="21"/>
        </w:rPr>
        <w:t> </w:t>
      </w:r>
      <w:r>
        <w:rPr>
          <w:sz w:val="21"/>
        </w:rPr>
        <w:t>tool)</w:t>
      </w:r>
    </w:p>
    <w:p>
      <w:pPr>
        <w:pStyle w:val="ListParagraph"/>
        <w:numPr>
          <w:ilvl w:val="1"/>
          <w:numId w:val="18"/>
        </w:numPr>
        <w:tabs>
          <w:tab w:pos="1965" w:val="left" w:leader="none"/>
          <w:tab w:pos="1966" w:val="left" w:leader="none"/>
        </w:tabs>
        <w:spacing w:line="273" w:lineRule="auto" w:before="37" w:after="0"/>
        <w:ind w:left="1965" w:right="738" w:hanging="360"/>
        <w:jc w:val="left"/>
        <w:rPr>
          <w:sz w:val="21"/>
        </w:rPr>
      </w:pPr>
      <w:r>
        <w:rPr>
          <w:sz w:val="21"/>
        </w:rPr>
        <w:t>Ser fornuftigt ud, men svært at kvantificere, lille overlap med satellitdata for enkelte</w:t>
      </w:r>
      <w:r>
        <w:rPr>
          <w:spacing w:val="-2"/>
          <w:sz w:val="21"/>
        </w:rPr>
        <w:t> </w:t>
      </w:r>
      <w:r>
        <w:rPr>
          <w:sz w:val="21"/>
        </w:rPr>
        <w:t>events</w:t>
      </w:r>
    </w:p>
    <w:p>
      <w:pPr>
        <w:pStyle w:val="ListParagraph"/>
        <w:numPr>
          <w:ilvl w:val="0"/>
          <w:numId w:val="18"/>
        </w:numPr>
        <w:tabs>
          <w:tab w:pos="1245" w:val="left" w:leader="none"/>
          <w:tab w:pos="1246" w:val="left" w:leader="none"/>
        </w:tabs>
        <w:spacing w:line="240" w:lineRule="auto" w:before="4" w:after="0"/>
        <w:ind w:left="1245" w:right="0" w:hanging="360"/>
        <w:jc w:val="left"/>
        <w:rPr>
          <w:sz w:val="21"/>
        </w:rPr>
      </w:pPr>
      <w:r>
        <w:rPr>
          <w:sz w:val="21"/>
        </w:rPr>
        <w:t>Nedskalering af simuleret dybde til</w:t>
      </w:r>
      <w:r>
        <w:rPr>
          <w:spacing w:val="-5"/>
          <w:sz w:val="21"/>
        </w:rPr>
        <w:t> </w:t>
      </w:r>
      <w:r>
        <w:rPr>
          <w:sz w:val="21"/>
        </w:rPr>
        <w:t>grundvandsspejl</w:t>
      </w:r>
    </w:p>
    <w:p>
      <w:pPr>
        <w:pStyle w:val="ListParagraph"/>
        <w:numPr>
          <w:ilvl w:val="1"/>
          <w:numId w:val="18"/>
        </w:numPr>
        <w:tabs>
          <w:tab w:pos="1965" w:val="left" w:leader="none"/>
          <w:tab w:pos="1966" w:val="left" w:leader="none"/>
        </w:tabs>
        <w:spacing w:line="276" w:lineRule="auto" w:before="37" w:after="0"/>
        <w:ind w:left="1965" w:right="737" w:hanging="360"/>
        <w:jc w:val="left"/>
        <w:rPr>
          <w:sz w:val="21"/>
        </w:rPr>
      </w:pPr>
      <w:r>
        <w:rPr>
          <w:sz w:val="21"/>
        </w:rPr>
        <w:t>Ser fornuftigt ud, men ligeledes svært at kvantificere, lille overlap med satel- litdata for enkelte</w:t>
      </w:r>
      <w:r>
        <w:rPr>
          <w:spacing w:val="-8"/>
          <w:sz w:val="21"/>
        </w:rPr>
        <w:t> </w:t>
      </w:r>
      <w:r>
        <w:rPr>
          <w:sz w:val="21"/>
        </w:rPr>
        <w:t>events</w:t>
      </w:r>
    </w:p>
    <w:p>
      <w:pPr>
        <w:spacing w:after="0" w:line="276" w:lineRule="auto"/>
        <w:jc w:val="left"/>
        <w:rPr>
          <w:sz w:val="21"/>
        </w:rPr>
        <w:sectPr>
          <w:pgSz w:w="11910" w:h="16850"/>
          <w:pgMar w:header="0" w:footer="857" w:top="1340" w:bottom="1040" w:left="1460" w:right="680"/>
        </w:sectPr>
      </w:pPr>
    </w:p>
    <w:p>
      <w:pPr>
        <w:pStyle w:val="ListParagraph"/>
        <w:numPr>
          <w:ilvl w:val="1"/>
          <w:numId w:val="18"/>
        </w:numPr>
        <w:tabs>
          <w:tab w:pos="1966" w:val="left" w:leader="none"/>
        </w:tabs>
        <w:spacing w:line="276" w:lineRule="auto" w:before="75" w:after="0"/>
        <w:ind w:left="1965" w:right="738" w:hanging="360"/>
        <w:jc w:val="both"/>
        <w:rPr>
          <w:sz w:val="21"/>
        </w:rPr>
      </w:pPr>
      <w:r>
        <w:rPr>
          <w:sz w:val="21"/>
        </w:rPr>
        <w:t>Nedskaleringen reflekterer det generelle billede af forholdet mellem afstand til grundvandsspejl i hhv. ådale og bakketoppe, som også understøttes af pejleobservationer</w:t>
      </w:r>
    </w:p>
    <w:p>
      <w:pPr>
        <w:pStyle w:val="ListParagraph"/>
        <w:numPr>
          <w:ilvl w:val="0"/>
          <w:numId w:val="18"/>
        </w:numPr>
        <w:tabs>
          <w:tab w:pos="1245" w:val="left" w:leader="none"/>
          <w:tab w:pos="1246" w:val="left" w:leader="none"/>
        </w:tabs>
        <w:spacing w:line="240" w:lineRule="auto" w:before="0" w:after="0"/>
        <w:ind w:left="1245" w:right="0" w:hanging="360"/>
        <w:jc w:val="left"/>
        <w:rPr>
          <w:sz w:val="21"/>
        </w:rPr>
      </w:pPr>
      <w:r>
        <w:rPr>
          <w:sz w:val="21"/>
        </w:rPr>
        <w:t>Time vs. Døgn nedbør som input til hydrologisk</w:t>
      </w:r>
      <w:r>
        <w:rPr>
          <w:spacing w:val="-10"/>
          <w:sz w:val="21"/>
        </w:rPr>
        <w:t> </w:t>
      </w:r>
      <w:r>
        <w:rPr>
          <w:sz w:val="21"/>
        </w:rPr>
        <w:t>model</w:t>
      </w:r>
    </w:p>
    <w:p>
      <w:pPr>
        <w:pStyle w:val="ListParagraph"/>
        <w:numPr>
          <w:ilvl w:val="1"/>
          <w:numId w:val="18"/>
        </w:numPr>
        <w:tabs>
          <w:tab w:pos="1966" w:val="left" w:leader="none"/>
        </w:tabs>
        <w:spacing w:line="273" w:lineRule="auto" w:before="37" w:after="0"/>
        <w:ind w:left="1965" w:right="737" w:hanging="360"/>
        <w:jc w:val="both"/>
        <w:rPr>
          <w:sz w:val="21"/>
        </w:rPr>
      </w:pPr>
      <w:r>
        <w:rPr>
          <w:sz w:val="21"/>
        </w:rPr>
        <w:t>Ubetydelig</w:t>
      </w:r>
      <w:r>
        <w:rPr>
          <w:spacing w:val="-5"/>
          <w:sz w:val="21"/>
        </w:rPr>
        <w:t> </w:t>
      </w:r>
      <w:r>
        <w:rPr>
          <w:sz w:val="21"/>
        </w:rPr>
        <w:t>forskel</w:t>
      </w:r>
      <w:r>
        <w:rPr>
          <w:spacing w:val="-4"/>
          <w:sz w:val="21"/>
        </w:rPr>
        <w:t> </w:t>
      </w:r>
      <w:r>
        <w:rPr>
          <w:sz w:val="21"/>
        </w:rPr>
        <w:t>i</w:t>
      </w:r>
      <w:r>
        <w:rPr>
          <w:spacing w:val="-4"/>
          <w:sz w:val="21"/>
        </w:rPr>
        <w:t> </w:t>
      </w:r>
      <w:r>
        <w:rPr>
          <w:sz w:val="21"/>
        </w:rPr>
        <w:t>simuleret</w:t>
      </w:r>
      <w:r>
        <w:rPr>
          <w:spacing w:val="-6"/>
          <w:sz w:val="21"/>
        </w:rPr>
        <w:t> </w:t>
      </w:r>
      <w:r>
        <w:rPr>
          <w:sz w:val="21"/>
        </w:rPr>
        <w:t>dybde</w:t>
      </w:r>
      <w:r>
        <w:rPr>
          <w:spacing w:val="-4"/>
          <w:sz w:val="21"/>
        </w:rPr>
        <w:t> </w:t>
      </w:r>
      <w:r>
        <w:rPr>
          <w:sz w:val="21"/>
        </w:rPr>
        <w:t>til</w:t>
      </w:r>
      <w:r>
        <w:rPr>
          <w:spacing w:val="-4"/>
          <w:sz w:val="21"/>
        </w:rPr>
        <w:t> </w:t>
      </w:r>
      <w:r>
        <w:rPr>
          <w:sz w:val="21"/>
        </w:rPr>
        <w:t>grundvandstand</w:t>
      </w:r>
      <w:r>
        <w:rPr>
          <w:spacing w:val="-4"/>
          <w:sz w:val="21"/>
        </w:rPr>
        <w:t> </w:t>
      </w:r>
      <w:r>
        <w:rPr>
          <w:sz w:val="21"/>
        </w:rPr>
        <w:t>for</w:t>
      </w:r>
      <w:r>
        <w:rPr>
          <w:spacing w:val="-5"/>
          <w:sz w:val="21"/>
        </w:rPr>
        <w:t> </w:t>
      </w:r>
      <w:r>
        <w:rPr>
          <w:sz w:val="21"/>
        </w:rPr>
        <w:t>enkelt</w:t>
      </w:r>
      <w:r>
        <w:rPr>
          <w:spacing w:val="-6"/>
          <w:sz w:val="21"/>
        </w:rPr>
        <w:t> </w:t>
      </w:r>
      <w:r>
        <w:rPr>
          <w:sz w:val="21"/>
        </w:rPr>
        <w:t>event</w:t>
      </w:r>
      <w:r>
        <w:rPr>
          <w:spacing w:val="-6"/>
          <w:sz w:val="21"/>
        </w:rPr>
        <w:t> </w:t>
      </w:r>
      <w:r>
        <w:rPr>
          <w:sz w:val="21"/>
        </w:rPr>
        <w:t>(Dec 2015)</w:t>
      </w:r>
    </w:p>
    <w:p>
      <w:pPr>
        <w:pStyle w:val="ListParagraph"/>
        <w:numPr>
          <w:ilvl w:val="1"/>
          <w:numId w:val="18"/>
        </w:numPr>
        <w:tabs>
          <w:tab w:pos="1966" w:val="left" w:leader="none"/>
        </w:tabs>
        <w:spacing w:line="276" w:lineRule="auto" w:before="4" w:after="0"/>
        <w:ind w:left="1965" w:right="737" w:hanging="360"/>
        <w:jc w:val="both"/>
        <w:rPr>
          <w:sz w:val="21"/>
        </w:rPr>
      </w:pPr>
      <w:r>
        <w:rPr>
          <w:sz w:val="21"/>
        </w:rPr>
        <w:t>Ligeledes meget begrænset effekt på simuleret vandstand i vandløb for samme</w:t>
      </w:r>
      <w:r>
        <w:rPr>
          <w:spacing w:val="-1"/>
          <w:sz w:val="21"/>
        </w:rPr>
        <w:t> </w:t>
      </w:r>
      <w:r>
        <w:rPr>
          <w:sz w:val="21"/>
        </w:rPr>
        <w:t>event.</w:t>
      </w:r>
    </w:p>
    <w:p>
      <w:pPr>
        <w:spacing w:after="0" w:line="276" w:lineRule="auto"/>
        <w:jc w:val="both"/>
        <w:rPr>
          <w:sz w:val="21"/>
        </w:rPr>
        <w:sectPr>
          <w:pgSz w:w="11910" w:h="16850"/>
          <w:pgMar w:header="0" w:footer="857" w:top="1340" w:bottom="1120" w:left="1460" w:right="680"/>
        </w:sectPr>
      </w:pPr>
    </w:p>
    <w:p>
      <w:pPr>
        <w:pStyle w:val="BodyText"/>
        <w:spacing w:before="4"/>
        <w:rPr>
          <w:rFonts w:ascii="Times New Roman"/>
          <w:sz w:val="17"/>
        </w:rPr>
      </w:pPr>
    </w:p>
    <w:p>
      <w:pPr>
        <w:spacing w:after="0"/>
        <w:rPr>
          <w:rFonts w:ascii="Times New Roman"/>
          <w:sz w:val="17"/>
        </w:rPr>
        <w:sectPr>
          <w:pgSz w:w="11910" w:h="16850"/>
          <w:pgMar w:header="0" w:footer="857" w:top="1600" w:bottom="1040" w:left="1460" w:right="680"/>
        </w:sectPr>
      </w:pPr>
    </w:p>
    <w:p>
      <w:pPr>
        <w:pStyle w:val="Heading1"/>
        <w:numPr>
          <w:ilvl w:val="0"/>
          <w:numId w:val="16"/>
        </w:numPr>
        <w:tabs>
          <w:tab w:pos="1092" w:val="left" w:leader="none"/>
        </w:tabs>
        <w:spacing w:line="240" w:lineRule="auto" w:before="73" w:after="0"/>
        <w:ind w:left="1091" w:right="0" w:hanging="566"/>
        <w:jc w:val="both"/>
      </w:pPr>
      <w:bookmarkStart w:name="_bookmark173" w:id="220"/>
      <w:bookmarkEnd w:id="220"/>
      <w:r>
        <w:rPr>
          <w:b w:val="0"/>
        </w:rPr>
      </w:r>
      <w:bookmarkStart w:name="_bookmark173" w:id="221"/>
      <w:bookmarkEnd w:id="221"/>
      <w:r>
        <w:rPr/>
        <w:t>Refe</w:t>
      </w:r>
      <w:r>
        <w:rPr/>
        <w:t>rencer</w:t>
      </w:r>
    </w:p>
    <w:p>
      <w:pPr>
        <w:pStyle w:val="BodyText"/>
        <w:spacing w:before="4"/>
        <w:rPr>
          <w:b/>
          <w:sz w:val="52"/>
        </w:rPr>
      </w:pPr>
    </w:p>
    <w:p>
      <w:pPr>
        <w:pStyle w:val="BodyText"/>
        <w:spacing w:line="273" w:lineRule="auto"/>
        <w:ind w:left="525" w:right="733"/>
        <w:jc w:val="both"/>
      </w:pPr>
      <w:r>
        <w:rPr/>
        <w:t>COWI</w:t>
      </w:r>
      <w:r>
        <w:rPr>
          <w:spacing w:val="-11"/>
        </w:rPr>
        <w:t> </w:t>
      </w:r>
      <w:r>
        <w:rPr/>
        <w:t>2018a.</w:t>
      </w:r>
      <w:r>
        <w:rPr>
          <w:spacing w:val="-8"/>
        </w:rPr>
        <w:t> </w:t>
      </w:r>
      <w:r>
        <w:rPr/>
        <w:t>Vandløbshydraulisk</w:t>
      </w:r>
      <w:r>
        <w:rPr>
          <w:spacing w:val="-8"/>
        </w:rPr>
        <w:t> </w:t>
      </w:r>
      <w:r>
        <w:rPr/>
        <w:t>modelopsætning.</w:t>
      </w:r>
      <w:r>
        <w:rPr>
          <w:spacing w:val="-8"/>
        </w:rPr>
        <w:t> </w:t>
      </w:r>
      <w:r>
        <w:rPr/>
        <w:t>Notat</w:t>
      </w:r>
      <w:r>
        <w:rPr>
          <w:spacing w:val="-7"/>
        </w:rPr>
        <w:t> </w:t>
      </w:r>
      <w:r>
        <w:rPr/>
        <w:t>udarbejdet</w:t>
      </w:r>
      <w:r>
        <w:rPr>
          <w:spacing w:val="-8"/>
        </w:rPr>
        <w:t> </w:t>
      </w:r>
      <w:r>
        <w:rPr/>
        <w:t>for</w:t>
      </w:r>
      <w:r>
        <w:rPr>
          <w:spacing w:val="-9"/>
        </w:rPr>
        <w:t> </w:t>
      </w:r>
      <w:r>
        <w:rPr/>
        <w:t>Styrelsen</w:t>
      </w:r>
      <w:r>
        <w:rPr>
          <w:spacing w:val="-9"/>
        </w:rPr>
        <w:t> </w:t>
      </w:r>
      <w:r>
        <w:rPr/>
        <w:t>for</w:t>
      </w:r>
      <w:r>
        <w:rPr>
          <w:spacing w:val="-9"/>
        </w:rPr>
        <w:t> </w:t>
      </w:r>
      <w:r>
        <w:rPr/>
        <w:t>Data- forsyning og Effektivisering. 39</w:t>
      </w:r>
      <w:r>
        <w:rPr>
          <w:spacing w:val="-8"/>
        </w:rPr>
        <w:t> </w:t>
      </w:r>
      <w:r>
        <w:rPr/>
        <w:t>sider.</w:t>
      </w:r>
    </w:p>
    <w:p>
      <w:pPr>
        <w:pStyle w:val="BodyText"/>
        <w:spacing w:before="6"/>
        <w:rPr>
          <w:sz w:val="24"/>
        </w:rPr>
      </w:pPr>
    </w:p>
    <w:p>
      <w:pPr>
        <w:pStyle w:val="BodyText"/>
        <w:spacing w:line="276" w:lineRule="auto" w:before="1"/>
        <w:ind w:left="525" w:right="736"/>
        <w:jc w:val="both"/>
      </w:pPr>
      <w:r>
        <w:rPr/>
        <w:t>COWI 2018b. Udvikling af open source Python script til kortlægning af vand på terræn med anvendelse af Danmarks Højdemodel. Notat udarbejdet for Styrelsen for Dataforsyning og Effektivisering. 41 sider.</w:t>
      </w:r>
    </w:p>
    <w:p>
      <w:pPr>
        <w:pStyle w:val="BodyText"/>
        <w:spacing w:before="2"/>
        <w:rPr>
          <w:sz w:val="24"/>
        </w:rPr>
      </w:pPr>
    </w:p>
    <w:p>
      <w:pPr>
        <w:pStyle w:val="BodyText"/>
        <w:spacing w:line="276" w:lineRule="auto"/>
        <w:ind w:left="525" w:right="733"/>
        <w:jc w:val="both"/>
      </w:pPr>
      <w:r>
        <w:rPr/>
        <w:t>Gneiting, T., Raftery, A. E., Westveld, A. H. and Goldman, T.: Calibrated Probabilistic Fore- casting Using Ensemble Model Output Statistics and Minimum CRPS Estimation, Mon. Weather Rev., 133, 1098–1118, doi:10.1175/MWR2904.1, 2005.</w:t>
      </w:r>
    </w:p>
    <w:p>
      <w:pPr>
        <w:pStyle w:val="BodyText"/>
        <w:spacing w:before="2"/>
        <w:rPr>
          <w:sz w:val="24"/>
        </w:rPr>
      </w:pPr>
    </w:p>
    <w:p>
      <w:pPr>
        <w:pStyle w:val="BodyText"/>
        <w:spacing w:line="276" w:lineRule="auto"/>
        <w:ind w:left="525" w:right="732"/>
        <w:jc w:val="both"/>
      </w:pPr>
      <w:r>
        <w:rPr/>
        <w:t>Henriksen, H.J., Højberg A.L, Seaby, L.P., van der Keur, P., Stisen, S., Troldborg, L., Son- nenborg,</w:t>
      </w:r>
      <w:r>
        <w:rPr>
          <w:spacing w:val="-8"/>
        </w:rPr>
        <w:t> </w:t>
      </w:r>
      <w:r>
        <w:rPr/>
        <w:t>T.O.,</w:t>
      </w:r>
      <w:r>
        <w:rPr>
          <w:spacing w:val="-6"/>
        </w:rPr>
        <w:t> </w:t>
      </w:r>
      <w:r>
        <w:rPr/>
        <w:t>Refsgaard,</w:t>
      </w:r>
      <w:r>
        <w:rPr>
          <w:spacing w:val="-10"/>
        </w:rPr>
        <w:t> </w:t>
      </w:r>
      <w:r>
        <w:rPr/>
        <w:t>J.C.</w:t>
      </w:r>
      <w:r>
        <w:rPr>
          <w:spacing w:val="-5"/>
        </w:rPr>
        <w:t> </w:t>
      </w:r>
      <w:r>
        <w:rPr/>
        <w:t>2012.</w:t>
      </w:r>
      <w:r>
        <w:rPr>
          <w:spacing w:val="-7"/>
        </w:rPr>
        <w:t> </w:t>
      </w:r>
      <w:r>
        <w:rPr/>
        <w:t>Klimaeffekter</w:t>
      </w:r>
      <w:r>
        <w:rPr>
          <w:spacing w:val="-6"/>
        </w:rPr>
        <w:t> </w:t>
      </w:r>
      <w:r>
        <w:rPr/>
        <w:t>på</w:t>
      </w:r>
      <w:r>
        <w:rPr>
          <w:spacing w:val="-6"/>
        </w:rPr>
        <w:t> </w:t>
      </w:r>
      <w:r>
        <w:rPr/>
        <w:t>hydrologi</w:t>
      </w:r>
      <w:r>
        <w:rPr>
          <w:spacing w:val="-4"/>
        </w:rPr>
        <w:t> </w:t>
      </w:r>
      <w:r>
        <w:rPr/>
        <w:t>og</w:t>
      </w:r>
      <w:r>
        <w:rPr>
          <w:spacing w:val="-6"/>
        </w:rPr>
        <w:t> </w:t>
      </w:r>
      <w:r>
        <w:rPr/>
        <w:t>grundvand</w:t>
      </w:r>
      <w:r>
        <w:rPr>
          <w:spacing w:val="-5"/>
        </w:rPr>
        <w:t> </w:t>
      </w:r>
      <w:r>
        <w:rPr/>
        <w:t>(Klimagrund- vandskort). GEUS rapport 2012/116. 86</w:t>
      </w:r>
      <w:r>
        <w:rPr>
          <w:spacing w:val="-8"/>
        </w:rPr>
        <w:t> </w:t>
      </w:r>
      <w:r>
        <w:rPr/>
        <w:t>sider.</w:t>
      </w:r>
    </w:p>
    <w:p>
      <w:pPr>
        <w:pStyle w:val="BodyText"/>
        <w:rPr>
          <w:sz w:val="24"/>
        </w:rPr>
      </w:pPr>
    </w:p>
    <w:p>
      <w:pPr>
        <w:pStyle w:val="BodyText"/>
        <w:spacing w:line="276" w:lineRule="auto"/>
        <w:ind w:left="525" w:right="735"/>
        <w:jc w:val="both"/>
      </w:pPr>
      <w:r>
        <w:rPr/>
        <w:t>Henriksen HJ, Olsen M og Troldborg L 2013. Klimaekstremvandføring. Klimaeffekter på hy- drologi og afstrømning. GEUS rapport 2013/29. 47 sider.</w:t>
      </w:r>
    </w:p>
    <w:p>
      <w:pPr>
        <w:pStyle w:val="BodyText"/>
        <w:spacing w:before="1"/>
        <w:rPr>
          <w:sz w:val="24"/>
        </w:rPr>
      </w:pPr>
    </w:p>
    <w:p>
      <w:pPr>
        <w:pStyle w:val="BodyText"/>
        <w:spacing w:line="276" w:lineRule="auto" w:before="1"/>
        <w:ind w:left="525" w:right="731"/>
        <w:jc w:val="both"/>
      </w:pPr>
      <w:r>
        <w:rPr/>
        <w:t>Henriksen, H.J., Pang, B., Olsen, M., Sonnenborg, T.O., Refsgaard, J.C., og Madsen, H. 2014. Klimaeffekter på ekstremværdi afstrømninger. GEUS rapport 2014/38. 69 sider.</w:t>
      </w:r>
    </w:p>
    <w:p>
      <w:pPr>
        <w:pStyle w:val="BodyText"/>
        <w:spacing w:before="3"/>
        <w:rPr>
          <w:sz w:val="24"/>
        </w:rPr>
      </w:pPr>
    </w:p>
    <w:p>
      <w:pPr>
        <w:pStyle w:val="BodyText"/>
        <w:spacing w:line="276" w:lineRule="auto"/>
        <w:ind w:left="525" w:right="734"/>
        <w:jc w:val="both"/>
      </w:pPr>
      <w:r>
        <w:rPr/>
        <w:t>Henriksen, H.J., Troldborg, L., Sonnenborg, T.O., Højberg, A.L., Stisen, S., Kidmose, J. og Refsgaard, J.C. 2017. Geovejledning nr. 2017/1 – Hydrologisk geovejledning. God praksis i hydrologisk modellering. 126 sider.</w:t>
      </w:r>
    </w:p>
    <w:p>
      <w:pPr>
        <w:pStyle w:val="BodyText"/>
        <w:rPr>
          <w:sz w:val="24"/>
        </w:rPr>
      </w:pPr>
    </w:p>
    <w:p>
      <w:pPr>
        <w:pStyle w:val="BodyText"/>
        <w:spacing w:line="276" w:lineRule="auto" w:before="1"/>
        <w:ind w:left="525" w:right="732"/>
        <w:jc w:val="both"/>
      </w:pPr>
      <w:r>
        <w:rPr/>
        <w:t>HYDROINFORM</w:t>
      </w:r>
      <w:r>
        <w:rPr>
          <w:spacing w:val="-15"/>
        </w:rPr>
        <w:t> </w:t>
      </w:r>
      <w:r>
        <w:rPr/>
        <w:t>2018.</w:t>
      </w:r>
      <w:r>
        <w:rPr>
          <w:spacing w:val="-15"/>
        </w:rPr>
        <w:t> </w:t>
      </w:r>
      <w:r>
        <w:rPr/>
        <w:t>Udvikling</w:t>
      </w:r>
      <w:r>
        <w:rPr>
          <w:spacing w:val="-13"/>
        </w:rPr>
        <w:t> </w:t>
      </w:r>
      <w:r>
        <w:rPr/>
        <w:t>af</w:t>
      </w:r>
      <w:r>
        <w:rPr>
          <w:spacing w:val="-13"/>
        </w:rPr>
        <w:t> </w:t>
      </w:r>
      <w:r>
        <w:rPr/>
        <w:t>vandstandsmodul.</w:t>
      </w:r>
      <w:r>
        <w:rPr>
          <w:spacing w:val="-15"/>
        </w:rPr>
        <w:t> </w:t>
      </w:r>
      <w:r>
        <w:rPr/>
        <w:t>Notat</w:t>
      </w:r>
      <w:r>
        <w:rPr>
          <w:spacing w:val="-14"/>
        </w:rPr>
        <w:t> </w:t>
      </w:r>
      <w:r>
        <w:rPr/>
        <w:t>udarbejdet</w:t>
      </w:r>
      <w:r>
        <w:rPr>
          <w:spacing w:val="-15"/>
        </w:rPr>
        <w:t> </w:t>
      </w:r>
      <w:r>
        <w:rPr/>
        <w:t>for</w:t>
      </w:r>
      <w:r>
        <w:rPr>
          <w:spacing w:val="-15"/>
        </w:rPr>
        <w:t> </w:t>
      </w:r>
      <w:r>
        <w:rPr/>
        <w:t>Styrelsen</w:t>
      </w:r>
      <w:r>
        <w:rPr>
          <w:spacing w:val="-13"/>
        </w:rPr>
        <w:t> </w:t>
      </w:r>
      <w:r>
        <w:rPr/>
        <w:t>for</w:t>
      </w:r>
      <w:r>
        <w:rPr>
          <w:spacing w:val="-17"/>
        </w:rPr>
        <w:t> </w:t>
      </w:r>
      <w:r>
        <w:rPr/>
        <w:t>Da- taforsyning og Effektivisering. 10</w:t>
      </w:r>
      <w:r>
        <w:rPr>
          <w:spacing w:val="-8"/>
        </w:rPr>
        <w:t> </w:t>
      </w:r>
      <w:r>
        <w:rPr/>
        <w:t>sider.</w:t>
      </w:r>
    </w:p>
    <w:p>
      <w:pPr>
        <w:pStyle w:val="BodyText"/>
        <w:spacing w:before="3"/>
        <w:rPr>
          <w:sz w:val="24"/>
        </w:rPr>
      </w:pPr>
    </w:p>
    <w:p>
      <w:pPr>
        <w:pStyle w:val="BodyText"/>
        <w:spacing w:line="276" w:lineRule="auto"/>
        <w:ind w:left="525" w:right="733"/>
        <w:jc w:val="both"/>
      </w:pPr>
      <w:r>
        <w:rPr/>
        <w:t>Højberg, A. L., Troldborg, L., Nyegaard, P., Ondracek, M., Stisen, S. and Christenses, B. S. B.: DK-model2009 - Sammenfatning af opdateringen 2005 - 2009. [online] Available from: </w:t>
      </w:r>
      <w:hyperlink r:id="rId149">
        <w:r>
          <w:rPr/>
          <w:t>http://vandmodel.dk/xpdf/dk-model2009_sammenfatning.pdf, </w:t>
        </w:r>
      </w:hyperlink>
      <w:r>
        <w:rPr/>
        <w:t>2010.</w:t>
      </w:r>
    </w:p>
    <w:p>
      <w:pPr>
        <w:pStyle w:val="BodyText"/>
        <w:rPr>
          <w:sz w:val="24"/>
        </w:rPr>
      </w:pPr>
    </w:p>
    <w:p>
      <w:pPr>
        <w:pStyle w:val="BodyText"/>
        <w:spacing w:line="276" w:lineRule="auto"/>
        <w:ind w:left="525" w:right="737"/>
        <w:jc w:val="both"/>
      </w:pPr>
      <w:r>
        <w:rPr/>
        <w:t>Højberg, A. L., Stisen, S., Olsen, M., Troldborg, L., Uglebjerg, T. B. and Jørgensen, L. F.: DK-model2014 - Model opdatering og kalibrering. 2015.</w:t>
      </w:r>
    </w:p>
    <w:p>
      <w:pPr>
        <w:pStyle w:val="BodyText"/>
        <w:spacing w:before="4"/>
        <w:rPr>
          <w:sz w:val="24"/>
        </w:rPr>
      </w:pPr>
    </w:p>
    <w:p>
      <w:pPr>
        <w:pStyle w:val="BodyText"/>
        <w:spacing w:line="276" w:lineRule="auto"/>
        <w:ind w:left="525" w:right="739"/>
        <w:jc w:val="both"/>
      </w:pPr>
      <w:r>
        <w:rPr/>
        <w:t>Møller A., Beucher A., Iversen BV and Greve MH 2018 Predicting artiﬁcially drained areas by means of a selective model ensemble. Geoderma 320: 30-42.</w:t>
      </w:r>
    </w:p>
    <w:p>
      <w:pPr>
        <w:pStyle w:val="BodyText"/>
        <w:spacing w:before="2"/>
        <w:rPr>
          <w:sz w:val="24"/>
        </w:rPr>
      </w:pPr>
    </w:p>
    <w:p>
      <w:pPr>
        <w:pStyle w:val="BodyText"/>
        <w:spacing w:line="276" w:lineRule="auto"/>
        <w:ind w:left="525" w:right="732"/>
        <w:jc w:val="both"/>
      </w:pPr>
      <w:r>
        <w:rPr/>
        <w:t>Ovesen, N. B., Larsen, S. E., Schlünsen, K., Moeslund, B. and Larsen, L. K.: Afprøvning af forslag</w:t>
      </w:r>
      <w:r>
        <w:rPr>
          <w:spacing w:val="-8"/>
        </w:rPr>
        <w:t> </w:t>
      </w:r>
      <w:r>
        <w:rPr/>
        <w:t>til</w:t>
      </w:r>
      <w:r>
        <w:rPr>
          <w:spacing w:val="-6"/>
        </w:rPr>
        <w:t> </w:t>
      </w:r>
      <w:r>
        <w:rPr/>
        <w:t>metode</w:t>
      </w:r>
      <w:r>
        <w:rPr>
          <w:spacing w:val="-7"/>
        </w:rPr>
        <w:t> </w:t>
      </w:r>
      <w:r>
        <w:rPr/>
        <w:t>til</w:t>
      </w:r>
      <w:r>
        <w:rPr>
          <w:spacing w:val="-9"/>
        </w:rPr>
        <w:t> </w:t>
      </w:r>
      <w:r>
        <w:rPr/>
        <w:t>konsekvensvurdering</w:t>
      </w:r>
      <w:r>
        <w:rPr>
          <w:spacing w:val="-7"/>
        </w:rPr>
        <w:t> </w:t>
      </w:r>
      <w:r>
        <w:rPr/>
        <w:t>af</w:t>
      </w:r>
      <w:r>
        <w:rPr>
          <w:spacing w:val="-6"/>
        </w:rPr>
        <w:t> </w:t>
      </w:r>
      <w:r>
        <w:rPr/>
        <w:t>ændret</w:t>
      </w:r>
      <w:r>
        <w:rPr>
          <w:spacing w:val="-9"/>
        </w:rPr>
        <w:t> </w:t>
      </w:r>
      <w:r>
        <w:rPr/>
        <w:t>vandløbsvedligeholdelse.</w:t>
      </w:r>
      <w:r>
        <w:rPr>
          <w:spacing w:val="-5"/>
        </w:rPr>
        <w:t> </w:t>
      </w:r>
      <w:r>
        <w:rPr/>
        <w:t>[online]</w:t>
      </w:r>
      <w:r>
        <w:rPr>
          <w:spacing w:val="-8"/>
        </w:rPr>
        <w:t> </w:t>
      </w:r>
      <w:r>
        <w:rPr/>
        <w:t>Avail- able from: </w:t>
      </w:r>
      <w:hyperlink r:id="rId150">
        <w:r>
          <w:rPr/>
          <w:t>http://dce2.au.dk/pub/TR49.pdf,</w:t>
        </w:r>
        <w:r>
          <w:rPr>
            <w:spacing w:val="-6"/>
          </w:rPr>
          <w:t> </w:t>
        </w:r>
      </w:hyperlink>
      <w:r>
        <w:rPr/>
        <w:t>2015.</w:t>
      </w:r>
    </w:p>
    <w:p>
      <w:pPr>
        <w:pStyle w:val="BodyText"/>
        <w:spacing w:before="11"/>
        <w:rPr>
          <w:sz w:val="23"/>
        </w:rPr>
      </w:pPr>
    </w:p>
    <w:p>
      <w:pPr>
        <w:pStyle w:val="BodyText"/>
        <w:spacing w:line="276" w:lineRule="auto"/>
        <w:ind w:left="525" w:right="733"/>
        <w:jc w:val="both"/>
      </w:pPr>
      <w:r>
        <w:rPr/>
        <w:t>Ovesen</w:t>
      </w:r>
      <w:r>
        <w:rPr>
          <w:spacing w:val="-8"/>
        </w:rPr>
        <w:t> </w:t>
      </w:r>
      <w:r>
        <w:rPr/>
        <w:t>N.B.,</w:t>
      </w:r>
      <w:r>
        <w:rPr>
          <w:spacing w:val="-8"/>
        </w:rPr>
        <w:t> </w:t>
      </w:r>
      <w:r>
        <w:rPr/>
        <w:t>Iversen,</w:t>
      </w:r>
      <w:r>
        <w:rPr>
          <w:spacing w:val="-8"/>
        </w:rPr>
        <w:t> </w:t>
      </w:r>
      <w:r>
        <w:rPr/>
        <w:t>H.L.,</w:t>
      </w:r>
      <w:r>
        <w:rPr>
          <w:spacing w:val="-8"/>
        </w:rPr>
        <w:t> </w:t>
      </w:r>
      <w:r>
        <w:rPr/>
        <w:t>Larsen,</w:t>
      </w:r>
      <w:r>
        <w:rPr>
          <w:spacing w:val="-8"/>
        </w:rPr>
        <w:t> </w:t>
      </w:r>
      <w:r>
        <w:rPr/>
        <w:t>S.E.,</w:t>
      </w:r>
      <w:r>
        <w:rPr>
          <w:spacing w:val="-8"/>
        </w:rPr>
        <w:t> </w:t>
      </w:r>
      <w:r>
        <w:rPr/>
        <w:t>Müller-Wohlfeil,</w:t>
      </w:r>
      <w:r>
        <w:rPr>
          <w:spacing w:val="-10"/>
        </w:rPr>
        <w:t> </w:t>
      </w:r>
      <w:r>
        <w:rPr/>
        <w:t>D.I.,</w:t>
      </w:r>
      <w:r>
        <w:rPr>
          <w:spacing w:val="-8"/>
        </w:rPr>
        <w:t> </w:t>
      </w:r>
      <w:r>
        <w:rPr/>
        <w:t>Svendsen,</w:t>
      </w:r>
      <w:r>
        <w:rPr>
          <w:spacing w:val="-8"/>
        </w:rPr>
        <w:t> </w:t>
      </w:r>
      <w:r>
        <w:rPr/>
        <w:t>L.M.,</w:t>
      </w:r>
      <w:r>
        <w:rPr>
          <w:spacing w:val="-8"/>
        </w:rPr>
        <w:t> </w:t>
      </w:r>
      <w:r>
        <w:rPr/>
        <w:t>Blicher,</w:t>
      </w:r>
      <w:r>
        <w:rPr>
          <w:spacing w:val="-12"/>
        </w:rPr>
        <w:t> </w:t>
      </w:r>
      <w:r>
        <w:rPr/>
        <w:t>A.S. og</w:t>
      </w:r>
      <w:r>
        <w:rPr>
          <w:spacing w:val="16"/>
        </w:rPr>
        <w:t> </w:t>
      </w:r>
      <w:r>
        <w:rPr/>
        <w:t>Jensen,</w:t>
      </w:r>
      <w:r>
        <w:rPr>
          <w:spacing w:val="14"/>
        </w:rPr>
        <w:t> </w:t>
      </w:r>
      <w:r>
        <w:rPr/>
        <w:t>P.M.</w:t>
      </w:r>
      <w:r>
        <w:rPr>
          <w:spacing w:val="14"/>
        </w:rPr>
        <w:t> </w:t>
      </w:r>
      <w:r>
        <w:rPr/>
        <w:t>2000.</w:t>
      </w:r>
      <w:r>
        <w:rPr>
          <w:spacing w:val="14"/>
        </w:rPr>
        <w:t> </w:t>
      </w:r>
      <w:r>
        <w:rPr/>
        <w:t>Afstrømningsforhold</w:t>
      </w:r>
      <w:r>
        <w:rPr>
          <w:spacing w:val="17"/>
        </w:rPr>
        <w:t> </w:t>
      </w:r>
      <w:r>
        <w:rPr/>
        <w:t>i</w:t>
      </w:r>
      <w:r>
        <w:rPr>
          <w:spacing w:val="16"/>
        </w:rPr>
        <w:t> </w:t>
      </w:r>
      <w:r>
        <w:rPr/>
        <w:t>danske</w:t>
      </w:r>
      <w:r>
        <w:rPr>
          <w:spacing w:val="16"/>
        </w:rPr>
        <w:t> </w:t>
      </w:r>
      <w:r>
        <w:rPr/>
        <w:t>vandløb.</w:t>
      </w:r>
      <w:r>
        <w:rPr>
          <w:spacing w:val="14"/>
        </w:rPr>
        <w:t> </w:t>
      </w:r>
      <w:r>
        <w:rPr/>
        <w:t>Faglig</w:t>
      </w:r>
      <w:r>
        <w:rPr>
          <w:spacing w:val="16"/>
        </w:rPr>
        <w:t> </w:t>
      </w:r>
      <w:r>
        <w:rPr/>
        <w:t>rapport</w:t>
      </w:r>
      <w:r>
        <w:rPr>
          <w:spacing w:val="12"/>
        </w:rPr>
        <w:t> </w:t>
      </w:r>
      <w:r>
        <w:rPr/>
        <w:t>fra</w:t>
      </w:r>
      <w:r>
        <w:rPr>
          <w:spacing w:val="16"/>
        </w:rPr>
        <w:t> </w:t>
      </w:r>
      <w:r>
        <w:rPr/>
        <w:t>DMU,</w:t>
      </w:r>
      <w:r>
        <w:rPr>
          <w:spacing w:val="14"/>
        </w:rPr>
        <w:t> </w:t>
      </w:r>
      <w:r>
        <w:rPr/>
        <w:t>nr.</w:t>
      </w:r>
    </w:p>
    <w:p>
      <w:pPr>
        <w:pStyle w:val="BodyText"/>
        <w:spacing w:before="2"/>
        <w:ind w:left="525"/>
        <w:jc w:val="both"/>
      </w:pPr>
      <w:r>
        <w:rPr/>
        <w:t>340. 236 sider.</w:t>
      </w:r>
    </w:p>
    <w:p>
      <w:pPr>
        <w:spacing w:after="0"/>
        <w:jc w:val="both"/>
        <w:sectPr>
          <w:pgSz w:w="11910" w:h="16850"/>
          <w:pgMar w:header="0" w:footer="857" w:top="1340" w:bottom="1040" w:left="1460" w:right="680"/>
        </w:sectPr>
      </w:pPr>
    </w:p>
    <w:p>
      <w:pPr>
        <w:pStyle w:val="BodyText"/>
        <w:spacing w:line="276" w:lineRule="auto" w:before="94"/>
        <w:ind w:left="525" w:right="734"/>
        <w:jc w:val="both"/>
      </w:pPr>
      <w:r>
        <w:rPr/>
        <w:t>Watermark Numerical Computing: PEST User Manual Part I: PEST, SENSAN and Global Optimisers. [online] Available from: </w:t>
      </w:r>
      <w:hyperlink r:id="rId151">
        <w:r>
          <w:rPr/>
          <w:t>http://www.pesthomepage.org/Downloads.php#hdr1,</w:t>
        </w:r>
      </w:hyperlink>
      <w:r>
        <w:rPr/>
        <w:t> 2016.</w:t>
      </w:r>
    </w:p>
    <w:p>
      <w:pPr>
        <w:spacing w:after="0" w:line="276" w:lineRule="auto"/>
        <w:jc w:val="both"/>
        <w:sectPr>
          <w:pgSz w:w="11910" w:h="16850"/>
          <w:pgMar w:header="0" w:footer="857" w:top="1600" w:bottom="1120" w:left="1460" w:right="680"/>
        </w:sectPr>
      </w:pPr>
    </w:p>
    <w:p>
      <w:pPr>
        <w:pStyle w:val="Heading1"/>
        <w:ind w:left="525" w:right="1101" w:firstLine="0"/>
      </w:pPr>
      <w:bookmarkStart w:name="_bookmark174" w:id="222"/>
      <w:bookmarkEnd w:id="222"/>
      <w:r>
        <w:rPr>
          <w:b w:val="0"/>
        </w:rPr>
      </w:r>
      <w:r>
        <w:rPr/>
        <w:t>Appendix 1. Python scripts til kortlægning af vand på terræn</w:t>
      </w:r>
    </w:p>
    <w:p>
      <w:pPr>
        <w:pStyle w:val="BodyText"/>
        <w:rPr>
          <w:b/>
          <w:sz w:val="38"/>
        </w:rPr>
      </w:pPr>
    </w:p>
    <w:p>
      <w:pPr>
        <w:pStyle w:val="BodyText"/>
        <w:spacing w:before="5"/>
        <w:rPr>
          <w:b/>
          <w:sz w:val="39"/>
        </w:rPr>
      </w:pPr>
    </w:p>
    <w:p>
      <w:pPr>
        <w:pStyle w:val="BodyText"/>
        <w:ind w:left="525" w:right="815"/>
      </w:pPr>
      <w:r>
        <w:rPr/>
        <w:t>######################################################################## ######</w:t>
      </w:r>
    </w:p>
    <w:p>
      <w:pPr>
        <w:pStyle w:val="BodyText"/>
        <w:spacing w:line="241" w:lineRule="exact"/>
        <w:ind w:left="525"/>
      </w:pPr>
      <w:r>
        <w:rPr>
          <w:w w:val="100"/>
        </w:rPr>
        <w:t>#</w:t>
      </w:r>
    </w:p>
    <w:p>
      <w:pPr>
        <w:pStyle w:val="BodyText"/>
        <w:tabs>
          <w:tab w:pos="2063" w:val="left" w:leader="none"/>
        </w:tabs>
        <w:spacing w:before="1"/>
        <w:ind w:left="525" w:right="3797"/>
      </w:pPr>
      <w:r>
        <w:rPr/>
        <w:t>#</w:t>
      </w:r>
      <w:r>
        <w:rPr>
          <w:spacing w:val="-2"/>
        </w:rPr>
        <w:t> </w:t>
      </w:r>
      <w:r>
        <w:rPr/>
        <w:t>MODULE:</w:t>
        <w:tab/>
        <w:t>SDFE 1D model results to 2D flood extent #</w:t>
      </w:r>
    </w:p>
    <w:p>
      <w:pPr>
        <w:pStyle w:val="BodyText"/>
        <w:tabs>
          <w:tab w:pos="2156" w:val="left" w:leader="none"/>
        </w:tabs>
        <w:ind w:left="525" w:right="7335"/>
      </w:pPr>
      <w:r>
        <w:rPr/>
        <w:t>#</w:t>
      </w:r>
      <w:r>
        <w:rPr>
          <w:spacing w:val="-2"/>
        </w:rPr>
        <w:t> </w:t>
      </w:r>
      <w:r>
        <w:rPr/>
        <w:t>AUTHOR(S):</w:t>
        <w:tab/>
      </w:r>
      <w:r>
        <w:rPr>
          <w:spacing w:val="-5"/>
        </w:rPr>
        <w:t>lifa </w:t>
      </w:r>
      <w:r>
        <w:rPr/>
        <w:t>#</w:t>
      </w:r>
    </w:p>
    <w:p>
      <w:pPr>
        <w:pStyle w:val="BodyText"/>
        <w:tabs>
          <w:tab w:pos="2132" w:val="left" w:leader="none"/>
        </w:tabs>
        <w:ind w:left="525" w:right="5610"/>
      </w:pPr>
      <w:r>
        <w:rPr/>
        <w:t>#</w:t>
      </w:r>
      <w:r>
        <w:rPr>
          <w:spacing w:val="-2"/>
        </w:rPr>
        <w:t> </w:t>
      </w:r>
      <w:r>
        <w:rPr/>
        <w:t>PURPOSE:</w:t>
        <w:tab/>
        <w:t>Interpolate using </w:t>
      </w:r>
      <w:r>
        <w:rPr>
          <w:spacing w:val="-8"/>
        </w:rPr>
        <w:t>IDW </w:t>
      </w:r>
      <w:r>
        <w:rPr/>
        <w:t>#</w:t>
      </w:r>
    </w:p>
    <w:p>
      <w:pPr>
        <w:pStyle w:val="BodyText"/>
        <w:tabs>
          <w:tab w:pos="1839" w:val="left" w:leader="none"/>
        </w:tabs>
        <w:spacing w:before="1"/>
        <w:ind w:left="525" w:right="5399"/>
      </w:pPr>
      <w:r>
        <w:rPr/>
        <w:t>#</w:t>
      </w:r>
      <w:r>
        <w:rPr>
          <w:spacing w:val="-1"/>
        </w:rPr>
        <w:t> </w:t>
      </w:r>
      <w:r>
        <w:rPr/>
        <w:t>DATE:</w:t>
        <w:tab/>
        <w:t>Mon Feb 05 15:15:49 </w:t>
      </w:r>
      <w:r>
        <w:rPr>
          <w:spacing w:val="-5"/>
        </w:rPr>
        <w:t>2018 </w:t>
      </w:r>
      <w:r>
        <w:rPr/>
        <w:t>#</w:t>
      </w:r>
    </w:p>
    <w:p>
      <w:pPr>
        <w:pStyle w:val="BodyText"/>
        <w:ind w:left="525" w:right="815"/>
      </w:pPr>
      <w:r>
        <w:rPr/>
        <w:t>######################################################################## ####</w:t>
      </w:r>
    </w:p>
    <w:p>
      <w:pPr>
        <w:pStyle w:val="BodyText"/>
        <w:spacing w:line="241" w:lineRule="exact"/>
        <w:ind w:left="525"/>
      </w:pPr>
      <w:r>
        <w:rPr/>
        <w:t>#%module</w:t>
      </w:r>
    </w:p>
    <w:p>
      <w:pPr>
        <w:pStyle w:val="BodyText"/>
        <w:spacing w:before="1"/>
        <w:ind w:left="525" w:right="4100"/>
      </w:pPr>
      <w:r>
        <w:rPr/>
        <w:t>#% description: Inverse distance weighted interpolation #% keyword: vector</w:t>
      </w:r>
    </w:p>
    <w:p>
      <w:pPr>
        <w:pStyle w:val="BodyText"/>
        <w:spacing w:line="240" w:lineRule="exact"/>
        <w:ind w:left="525"/>
      </w:pPr>
      <w:r>
        <w:rPr/>
        <w:t>#% keyword: surface</w:t>
      </w:r>
    </w:p>
    <w:p>
      <w:pPr>
        <w:pStyle w:val="BodyText"/>
        <w:ind w:left="525" w:right="6820"/>
      </w:pPr>
      <w:r>
        <w:rPr/>
        <w:t>#% keyword: interpolation #%end</w:t>
      </w:r>
    </w:p>
    <w:p>
      <w:pPr>
        <w:pStyle w:val="BodyText"/>
        <w:spacing w:before="1"/>
        <w:ind w:left="525" w:right="6575"/>
      </w:pPr>
      <w:r>
        <w:rPr/>
        <w:t>#%option G_OPT_V_INPUT #% key: points</w:t>
      </w:r>
    </w:p>
    <w:p>
      <w:pPr>
        <w:pStyle w:val="BodyText"/>
        <w:ind w:left="525" w:right="5080"/>
      </w:pPr>
      <w:r>
        <w:rPr/>
        <w:t>#% label: Vector points containing seed data #%end</w:t>
      </w:r>
    </w:p>
    <w:p>
      <w:pPr>
        <w:pStyle w:val="BodyText"/>
        <w:spacing w:line="241" w:lineRule="exact"/>
        <w:ind w:left="525"/>
      </w:pPr>
      <w:r>
        <w:rPr/>
        <w:t>#%option</w:t>
      </w:r>
    </w:p>
    <w:p>
      <w:pPr>
        <w:pStyle w:val="BodyText"/>
        <w:spacing w:before="1"/>
        <w:ind w:left="525" w:right="7100"/>
      </w:pPr>
      <w:r>
        <w:rPr/>
        <w:t>#% key: column_name #% type: string</w:t>
      </w:r>
    </w:p>
    <w:p>
      <w:pPr>
        <w:pStyle w:val="BodyText"/>
        <w:ind w:left="525" w:right="5361"/>
      </w:pPr>
      <w:r>
        <w:rPr/>
        <w:t>#% label: Name of column with seed data #% required: yes</w:t>
      </w:r>
    </w:p>
    <w:p>
      <w:pPr>
        <w:pStyle w:val="BodyText"/>
        <w:spacing w:line="241" w:lineRule="exact"/>
        <w:ind w:left="525"/>
      </w:pPr>
      <w:r>
        <w:rPr/>
        <w:t>#%end</w:t>
      </w:r>
    </w:p>
    <w:p>
      <w:pPr>
        <w:pStyle w:val="BodyText"/>
        <w:ind w:left="525" w:right="6330"/>
      </w:pPr>
      <w:r>
        <w:rPr/>
        <w:t>#%option G_OPT_R_OUTPUT #% key: raster</w:t>
      </w:r>
    </w:p>
    <w:p>
      <w:pPr>
        <w:pStyle w:val="BodyText"/>
        <w:ind w:left="525" w:right="4544"/>
      </w:pPr>
      <w:r>
        <w:rPr/>
        <w:t>#% description: Name of output interpolated raster #%end</w:t>
      </w:r>
    </w:p>
    <w:p>
      <w:pPr>
        <w:pStyle w:val="BodyText"/>
        <w:ind w:left="525" w:right="8081"/>
      </w:pPr>
      <w:r>
        <w:rPr/>
        <w:t>import sys import os import atexit</w:t>
      </w:r>
    </w:p>
    <w:p>
      <w:pPr>
        <w:pStyle w:val="BodyText"/>
        <w:spacing w:before="2"/>
      </w:pPr>
    </w:p>
    <w:p>
      <w:pPr>
        <w:pStyle w:val="BodyText"/>
        <w:spacing w:line="480" w:lineRule="atLeast"/>
        <w:ind w:left="525" w:right="6657"/>
      </w:pPr>
      <w:r>
        <w:rPr/>
        <w:t>import grass.script as grass def cleanup():</w:t>
      </w:r>
    </w:p>
    <w:p>
      <w:pPr>
        <w:pStyle w:val="BodyText"/>
        <w:spacing w:line="482" w:lineRule="auto" w:before="4"/>
        <w:ind w:left="525" w:right="8233" w:firstLine="230"/>
      </w:pPr>
      <w:r>
        <w:rPr/>
        <w:t>pass def</w:t>
      </w:r>
      <w:r>
        <w:rPr>
          <w:spacing w:val="6"/>
        </w:rPr>
        <w:t> </w:t>
      </w:r>
      <w:r>
        <w:rPr>
          <w:spacing w:val="-4"/>
        </w:rPr>
        <w:t>main():</w:t>
      </w:r>
    </w:p>
    <w:p>
      <w:pPr>
        <w:pStyle w:val="BodyText"/>
        <w:spacing w:before="6"/>
        <w:rPr>
          <w:sz w:val="20"/>
        </w:rPr>
      </w:pPr>
    </w:p>
    <w:p>
      <w:pPr>
        <w:pStyle w:val="BodyText"/>
        <w:ind w:left="755" w:right="5843"/>
      </w:pPr>
      <w:r>
        <w:rPr/>
        <w:t># Define options for user interface options, flags = grass.parser() points = options['points']</w:t>
      </w:r>
    </w:p>
    <w:p>
      <w:pPr>
        <w:spacing w:after="0"/>
        <w:sectPr>
          <w:pgSz w:w="11910" w:h="16850"/>
          <w:pgMar w:header="0" w:footer="857" w:top="1340" w:bottom="1120" w:left="1460" w:right="680"/>
        </w:sectPr>
      </w:pPr>
    </w:p>
    <w:p>
      <w:pPr>
        <w:pStyle w:val="BodyText"/>
        <w:spacing w:before="75"/>
        <w:ind w:left="755" w:right="5243"/>
      </w:pPr>
      <w:r>
        <w:rPr/>
        <w:t>column_name = options['column_name'] raster = options['raster']</w:t>
      </w:r>
    </w:p>
    <w:p>
      <w:pPr>
        <w:pStyle w:val="BodyText"/>
      </w:pPr>
    </w:p>
    <w:p>
      <w:pPr>
        <w:pStyle w:val="BodyText"/>
        <w:ind w:left="755" w:right="3847"/>
      </w:pPr>
      <w:r>
        <w:rPr/>
        <w:t># read points list to check number of points and provide # user warning if high computation cost</w:t>
      </w:r>
    </w:p>
    <w:p>
      <w:pPr>
        <w:pStyle w:val="BodyText"/>
        <w:spacing w:line="241" w:lineRule="exact"/>
        <w:ind w:left="755"/>
      </w:pPr>
      <w:r>
        <w:rPr/>
        <w:t># used code from</w:t>
      </w:r>
    </w:p>
    <w:p>
      <w:pPr>
        <w:pStyle w:val="BodyText"/>
        <w:spacing w:before="1"/>
        <w:ind w:left="755" w:right="1887"/>
      </w:pPr>
      <w:r>
        <w:rPr/>
        <w:t># https://trac.osgeo.org/grass/browser/grass-addons/grass7/vector/v.surf.icw points_list = grass.read_command('v.out.ascii', input = points,</w:t>
      </w:r>
    </w:p>
    <w:p>
      <w:pPr>
        <w:pStyle w:val="BodyText"/>
        <w:spacing w:line="241" w:lineRule="exact"/>
        <w:ind w:left="2683"/>
      </w:pPr>
      <w:r>
        <w:rPr/>
        <w:t>output = '-', flags = 'r',</w:t>
      </w:r>
    </w:p>
    <w:p>
      <w:pPr>
        <w:pStyle w:val="BodyText"/>
        <w:spacing w:line="241" w:lineRule="exact" w:before="1"/>
        <w:ind w:left="2683"/>
      </w:pPr>
      <w:r>
        <w:rPr/>
        <w:t>).splitlines()</w:t>
      </w:r>
    </w:p>
    <w:p>
      <w:pPr>
        <w:pStyle w:val="BodyText"/>
        <w:ind w:left="755" w:right="2890"/>
      </w:pPr>
      <w:r>
        <w:rPr/>
        <w:t># Needed to strip away empty entries from MS Windows newlines # list() is needed for Python 3 compatibility</w:t>
      </w:r>
    </w:p>
    <w:p>
      <w:pPr>
        <w:pStyle w:val="BodyText"/>
        <w:spacing w:line="241" w:lineRule="exact"/>
        <w:ind w:left="755"/>
      </w:pPr>
      <w:r>
        <w:rPr/>
        <w:t>points_list = list(filter(None, points_list))</w:t>
      </w:r>
    </w:p>
    <w:p>
      <w:pPr>
        <w:pStyle w:val="BodyText"/>
        <w:spacing w:before="1"/>
        <w:ind w:left="755" w:right="4313"/>
      </w:pPr>
      <w:r>
        <w:rPr/>
        <w:t># convert into a 2D list, drop unneeded cat column for i in range(len(points_list)):</w:t>
      </w:r>
    </w:p>
    <w:p>
      <w:pPr>
        <w:pStyle w:val="BodyText"/>
        <w:ind w:left="988"/>
      </w:pPr>
      <w:r>
        <w:rPr/>
        <w:t>points_list[i] = points_list[i].split('|')</w:t>
      </w:r>
    </w:p>
    <w:p>
      <w:pPr>
        <w:pStyle w:val="BodyText"/>
        <w:ind w:left="755" w:right="5177"/>
      </w:pPr>
      <w:r>
        <w:rPr/>
        <w:t># count number of points for interpolation n = len(points_list)</w:t>
      </w:r>
    </w:p>
    <w:p>
      <w:pPr>
        <w:pStyle w:val="BodyText"/>
        <w:spacing w:line="241" w:lineRule="exact"/>
        <w:ind w:left="755"/>
      </w:pPr>
      <w:r>
        <w:rPr/>
        <w:t>if n &gt; 150:</w:t>
      </w:r>
    </w:p>
    <w:p>
      <w:pPr>
        <w:pStyle w:val="BodyText"/>
        <w:spacing w:line="241" w:lineRule="exact" w:before="1"/>
        <w:ind w:left="988"/>
      </w:pPr>
      <w:r>
        <w:rPr/>
        <w:t>grass.warning(_("%s points imported. Computation is expensive! \n" %(n)</w:t>
      </w:r>
    </w:p>
    <w:p>
      <w:pPr>
        <w:pStyle w:val="BodyText"/>
        <w:ind w:left="988" w:right="3307" w:firstLine="818"/>
      </w:pPr>
      <w:r>
        <w:rPr/>
        <w:t>+ "Consider fewer points, or get ready to wait..." )) import time</w:t>
      </w:r>
    </w:p>
    <w:p>
      <w:pPr>
        <w:pStyle w:val="BodyText"/>
        <w:spacing w:before="1"/>
        <w:ind w:left="990"/>
      </w:pPr>
      <w:r>
        <w:rPr/>
        <w:t>time.sleep(5)</w:t>
      </w:r>
    </w:p>
    <w:p>
      <w:pPr>
        <w:pStyle w:val="BodyText"/>
        <w:spacing w:line="480" w:lineRule="atLeast" w:before="3"/>
        <w:ind w:left="525" w:right="815" w:firstLine="230"/>
      </w:pPr>
      <w:r>
        <w:rPr/>
        <w:t>grass.message(_("Starting interpolations ...")) ########################################################################</w:t>
      </w:r>
    </w:p>
    <w:p>
      <w:pPr>
        <w:pStyle w:val="BodyText"/>
        <w:spacing w:before="3"/>
        <w:ind w:left="698" w:right="5973" w:firstLine="57"/>
      </w:pPr>
      <w:r>
        <w:rPr/>
        <w:t>## Commence calculations grass.run_command("v.surf.idw",</w:t>
      </w:r>
    </w:p>
    <w:p>
      <w:pPr>
        <w:pStyle w:val="BodyText"/>
        <w:ind w:left="1456" w:right="6712"/>
      </w:pPr>
      <w:r>
        <w:rPr/>
        <w:t>overwrite = True, verbose = True, input = points, layer = "1",</w:t>
      </w:r>
    </w:p>
    <w:p>
      <w:pPr>
        <w:pStyle w:val="BodyText"/>
        <w:ind w:left="1456" w:right="6000"/>
      </w:pPr>
      <w:r>
        <w:rPr/>
        <w:t>column = column_name, output = raster,</w:t>
      </w:r>
    </w:p>
    <w:p>
      <w:pPr>
        <w:pStyle w:val="BodyText"/>
        <w:spacing w:line="241" w:lineRule="exact" w:before="1"/>
        <w:ind w:left="1456"/>
      </w:pPr>
      <w:r>
        <w:rPr/>
        <w:t>npoints = 12,</w:t>
      </w:r>
    </w:p>
    <w:p>
      <w:pPr>
        <w:pStyle w:val="BodyText"/>
        <w:spacing w:line="241" w:lineRule="exact"/>
        <w:ind w:left="1456"/>
      </w:pPr>
      <w:r>
        <w:rPr/>
        <w:t>power = 3)</w:t>
      </w:r>
    </w:p>
    <w:p>
      <w:pPr>
        <w:pStyle w:val="BodyText"/>
        <w:spacing w:line="241" w:lineRule="exact" w:before="1"/>
        <w:ind w:left="755"/>
      </w:pPr>
      <w:r>
        <w:rPr/>
        <w:t>return 0</w:t>
      </w:r>
    </w:p>
    <w:p>
      <w:pPr>
        <w:pStyle w:val="BodyText"/>
        <w:tabs>
          <w:tab w:pos="1736" w:val="left" w:leader="none"/>
        </w:tabs>
        <w:ind w:left="755" w:right="6219" w:hanging="231"/>
      </w:pPr>
      <w:r>
        <w:rPr/>
        <w:t>if</w:t>
      </w:r>
      <w:r>
        <w:rPr>
          <w:u w:val="single"/>
        </w:rPr>
        <w:t>   </w:t>
      </w:r>
      <w:r>
        <w:rPr>
          <w:spacing w:val="57"/>
          <w:u w:val="single"/>
        </w:rPr>
        <w:t> </w:t>
      </w:r>
      <w:r>
        <w:rPr/>
        <w:t>name</w:t>
      </w:r>
      <w:r>
        <w:rPr>
          <w:u w:val="single"/>
        </w:rPr>
        <w:t> </w:t>
        <w:tab/>
      </w:r>
      <w:r>
        <w:rPr/>
        <w:t>== "</w:t>
      </w:r>
      <w:r>
        <w:rPr>
          <w:u w:val="single"/>
        </w:rPr>
        <w:t> </w:t>
      </w:r>
      <w:r>
        <w:rPr/>
        <w:t>main</w:t>
      </w:r>
      <w:r>
        <w:rPr>
          <w:u w:val="single"/>
        </w:rPr>
        <w:t> </w:t>
      </w:r>
      <w:r>
        <w:rPr/>
        <w:t>": options, flags = grass.parser() atexit.register(cleanup) sys.exit(main())</w:t>
      </w:r>
    </w:p>
    <w:p>
      <w:pPr>
        <w:spacing w:after="0"/>
        <w:sectPr>
          <w:footerReference w:type="default" r:id="rId152"/>
          <w:pgSz w:w="11910" w:h="16850"/>
          <w:pgMar w:footer="937" w:header="0" w:top="1580" w:bottom="1120" w:left="1460" w:right="680"/>
        </w:sectPr>
      </w:pPr>
    </w:p>
    <w:p>
      <w:pPr>
        <w:pStyle w:val="BodyText"/>
        <w:spacing w:before="75"/>
        <w:ind w:left="525" w:right="815"/>
      </w:pPr>
      <w:r>
        <w:rPr/>
        <w:t>######################################################################## ######</w:t>
      </w:r>
    </w:p>
    <w:p>
      <w:pPr>
        <w:pStyle w:val="BodyText"/>
        <w:spacing w:line="241" w:lineRule="exact"/>
        <w:ind w:left="525"/>
      </w:pPr>
      <w:r>
        <w:rPr>
          <w:w w:val="100"/>
        </w:rPr>
        <w:t>#</w:t>
      </w:r>
    </w:p>
    <w:p>
      <w:pPr>
        <w:pStyle w:val="BodyText"/>
        <w:tabs>
          <w:tab w:pos="2063" w:val="left" w:leader="none"/>
        </w:tabs>
        <w:spacing w:before="1"/>
        <w:ind w:left="525" w:right="3799"/>
      </w:pPr>
      <w:r>
        <w:rPr/>
        <w:t>#</w:t>
      </w:r>
      <w:r>
        <w:rPr>
          <w:spacing w:val="-2"/>
        </w:rPr>
        <w:t> </w:t>
      </w:r>
      <w:r>
        <w:rPr/>
        <w:t>MODULE:</w:t>
        <w:tab/>
        <w:t>SDFE 1D model results to 2D flood extent #</w:t>
      </w:r>
    </w:p>
    <w:p>
      <w:pPr>
        <w:pStyle w:val="BodyText"/>
        <w:tabs>
          <w:tab w:pos="2156" w:val="left" w:leader="none"/>
        </w:tabs>
        <w:ind w:left="525" w:right="7335"/>
      </w:pPr>
      <w:r>
        <w:rPr/>
        <w:t>#</w:t>
      </w:r>
      <w:r>
        <w:rPr>
          <w:spacing w:val="-2"/>
        </w:rPr>
        <w:t> </w:t>
      </w:r>
      <w:r>
        <w:rPr/>
        <w:t>AUTHOR(S):</w:t>
        <w:tab/>
      </w:r>
      <w:r>
        <w:rPr>
          <w:spacing w:val="-5"/>
        </w:rPr>
        <w:t>lifa </w:t>
      </w:r>
      <w:r>
        <w:rPr/>
        <w:t>#</w:t>
      </w:r>
    </w:p>
    <w:p>
      <w:pPr>
        <w:pStyle w:val="BodyText"/>
        <w:tabs>
          <w:tab w:pos="1514" w:val="left" w:leader="none"/>
          <w:tab w:pos="2132" w:val="left" w:leader="none"/>
        </w:tabs>
        <w:ind w:left="525" w:right="2235"/>
      </w:pPr>
      <w:r>
        <w:rPr/>
        <w:t>#</w:t>
      </w:r>
      <w:r>
        <w:rPr>
          <w:spacing w:val="-2"/>
        </w:rPr>
        <w:t> </w:t>
      </w:r>
      <w:r>
        <w:rPr/>
        <w:t>PURPOSE:</w:t>
        <w:tab/>
        <w:t>Generate 2D flood extent and depths using cost allocation #</w:t>
        <w:tab/>
        <w:t>based on input DTM, 1D river model water level</w:t>
      </w:r>
      <w:r>
        <w:rPr>
          <w:spacing w:val="-11"/>
        </w:rPr>
        <w:t> </w:t>
      </w:r>
      <w:r>
        <w:rPr/>
        <w:t>results.</w:t>
      </w:r>
    </w:p>
    <w:p>
      <w:pPr>
        <w:pStyle w:val="BodyText"/>
        <w:spacing w:line="241" w:lineRule="exact" w:before="1"/>
        <w:ind w:left="525"/>
      </w:pPr>
      <w:r>
        <w:rPr>
          <w:w w:val="100"/>
        </w:rPr>
        <w:t>#</w:t>
      </w:r>
    </w:p>
    <w:p>
      <w:pPr>
        <w:pStyle w:val="BodyText"/>
        <w:tabs>
          <w:tab w:pos="1840" w:val="left" w:leader="none"/>
        </w:tabs>
        <w:ind w:left="525" w:right="5397"/>
      </w:pPr>
      <w:r>
        <w:rPr/>
        <w:t>#</w:t>
      </w:r>
      <w:r>
        <w:rPr>
          <w:spacing w:val="-1"/>
        </w:rPr>
        <w:t> </w:t>
      </w:r>
      <w:r>
        <w:rPr/>
        <w:t>DATE:</w:t>
        <w:tab/>
        <w:t>Mon Feb 05 14:50:04 </w:t>
      </w:r>
      <w:r>
        <w:rPr>
          <w:spacing w:val="-5"/>
        </w:rPr>
        <w:t>2018 </w:t>
      </w:r>
      <w:r>
        <w:rPr/>
        <w:t>#</w:t>
      </w:r>
    </w:p>
    <w:p>
      <w:pPr>
        <w:pStyle w:val="BodyText"/>
        <w:ind w:left="525" w:right="815"/>
      </w:pPr>
      <w:r>
        <w:rPr/>
        <w:t>######################################################################## ####</w:t>
      </w:r>
    </w:p>
    <w:p>
      <w:pPr>
        <w:pStyle w:val="BodyText"/>
        <w:spacing w:line="241" w:lineRule="exact"/>
        <w:ind w:left="525"/>
      </w:pPr>
      <w:r>
        <w:rPr/>
        <w:t>#%module</w:t>
      </w:r>
    </w:p>
    <w:p>
      <w:pPr>
        <w:pStyle w:val="BodyText"/>
        <w:ind w:left="525" w:right="5384"/>
      </w:pPr>
      <w:r>
        <w:rPr/>
        <w:t>#% description: Generate 2D flood extent #% keyword: raster</w:t>
      </w:r>
    </w:p>
    <w:p>
      <w:pPr>
        <w:pStyle w:val="BodyText"/>
        <w:spacing w:before="2"/>
        <w:ind w:left="525" w:right="6984"/>
      </w:pPr>
      <w:r>
        <w:rPr/>
        <w:t>#% keyword: algebra #% keyword: cost raster #%end</w:t>
      </w:r>
    </w:p>
    <w:p>
      <w:pPr>
        <w:pStyle w:val="BodyText"/>
        <w:ind w:left="525" w:right="6563"/>
      </w:pPr>
      <w:r>
        <w:rPr/>
        <w:t>#%option G_OPT_R_INPUT #% key: vsp_flade</w:t>
      </w:r>
    </w:p>
    <w:p>
      <w:pPr>
        <w:pStyle w:val="BodyText"/>
        <w:ind w:left="525" w:right="5303"/>
      </w:pPr>
      <w:r>
        <w:rPr/>
        <w:t>#% description: Input raster for water level #%end</w:t>
      </w:r>
    </w:p>
    <w:p>
      <w:pPr>
        <w:pStyle w:val="BodyText"/>
        <w:ind w:left="525" w:right="6563"/>
      </w:pPr>
      <w:r>
        <w:rPr/>
        <w:t>#%option G_OPT_R_INPUT #% key: terrain</w:t>
      </w:r>
    </w:p>
    <w:p>
      <w:pPr>
        <w:pStyle w:val="BodyText"/>
        <w:ind w:left="525" w:right="5711"/>
      </w:pPr>
      <w:r>
        <w:rPr/>
        <w:t>#% description: Input raster for terrain #%end</w:t>
      </w:r>
    </w:p>
    <w:p>
      <w:pPr>
        <w:pStyle w:val="BodyText"/>
        <w:ind w:left="525" w:right="6575"/>
      </w:pPr>
      <w:r>
        <w:rPr/>
        <w:t>#%option G_OPT_V_INPUT #% key: riverpolyline</w:t>
      </w:r>
    </w:p>
    <w:p>
      <w:pPr>
        <w:pStyle w:val="BodyText"/>
        <w:ind w:left="525" w:right="5664"/>
      </w:pPr>
      <w:r>
        <w:rPr/>
        <w:t>#% label: Input vector for river polyline #%end</w:t>
      </w:r>
    </w:p>
    <w:p>
      <w:pPr>
        <w:pStyle w:val="BodyText"/>
        <w:spacing w:before="9"/>
        <w:rPr>
          <w:sz w:val="20"/>
        </w:rPr>
      </w:pPr>
    </w:p>
    <w:p>
      <w:pPr>
        <w:pStyle w:val="BodyText"/>
        <w:spacing w:before="1"/>
        <w:ind w:left="525" w:right="6330"/>
      </w:pPr>
      <w:r>
        <w:rPr/>
        <w:t>#%option G_OPT_R_OUTPUT #% key: costras</w:t>
      </w:r>
    </w:p>
    <w:p>
      <w:pPr>
        <w:pStyle w:val="BodyText"/>
        <w:spacing w:before="1"/>
        <w:ind w:left="525" w:right="5256"/>
      </w:pPr>
      <w:r>
        <w:rPr/>
        <w:t>#% description: Name of output cost raster #%end</w:t>
      </w:r>
    </w:p>
    <w:p>
      <w:pPr>
        <w:pStyle w:val="BodyText"/>
        <w:ind w:left="525" w:right="6330"/>
      </w:pPr>
      <w:r>
        <w:rPr/>
        <w:t>#%option G_OPT_R_OUTPUT #% key: costnearest</w:t>
      </w:r>
    </w:p>
    <w:p>
      <w:pPr>
        <w:pStyle w:val="BodyText"/>
        <w:ind w:left="525" w:right="4310"/>
      </w:pPr>
      <w:r>
        <w:rPr/>
        <w:t>#% description: Name of output cost allocation raster #%end</w:t>
      </w:r>
    </w:p>
    <w:p>
      <w:pPr>
        <w:pStyle w:val="BodyText"/>
        <w:ind w:left="525" w:right="6330"/>
      </w:pPr>
      <w:r>
        <w:rPr/>
        <w:t>#%option G_OPT_R_OUTPUT #% key: costcumulative</w:t>
      </w:r>
    </w:p>
    <w:p>
      <w:pPr>
        <w:pStyle w:val="BodyText"/>
        <w:spacing w:before="1"/>
        <w:ind w:left="525" w:right="4194"/>
      </w:pPr>
      <w:r>
        <w:rPr/>
        <w:t>#% description: Name of output cumulative cost raster #%end</w:t>
      </w:r>
    </w:p>
    <w:p>
      <w:pPr>
        <w:pStyle w:val="BodyText"/>
        <w:spacing w:line="241" w:lineRule="exact"/>
        <w:ind w:left="525"/>
      </w:pPr>
      <w:r>
        <w:rPr/>
        <w:t>#%option</w:t>
      </w:r>
    </w:p>
    <w:p>
      <w:pPr>
        <w:pStyle w:val="BodyText"/>
        <w:ind w:left="525" w:right="7661"/>
      </w:pPr>
      <w:r>
        <w:rPr/>
        <w:t>#% key: memory #% type: double</w:t>
      </w:r>
    </w:p>
    <w:p>
      <w:pPr>
        <w:pStyle w:val="BodyText"/>
        <w:spacing w:before="1"/>
        <w:ind w:left="525" w:right="6085"/>
      </w:pPr>
      <w:r>
        <w:rPr/>
        <w:t>#% label: Memory used (typ. 300) #% required: yes</w:t>
      </w:r>
    </w:p>
    <w:p>
      <w:pPr>
        <w:pStyle w:val="BodyText"/>
        <w:ind w:left="525" w:right="8081"/>
      </w:pPr>
      <w:r>
        <w:rPr/>
        <w:t>#%end import sys import os import atexit</w:t>
      </w:r>
    </w:p>
    <w:p>
      <w:pPr>
        <w:pStyle w:val="BodyText"/>
        <w:spacing w:line="240" w:lineRule="exact"/>
        <w:ind w:left="525"/>
      </w:pPr>
      <w:r>
        <w:rPr/>
        <w:t>import grass.script as grass</w:t>
      </w:r>
    </w:p>
    <w:p>
      <w:pPr>
        <w:spacing w:after="0" w:line="240" w:lineRule="exact"/>
        <w:sectPr>
          <w:footerReference w:type="default" r:id="rId153"/>
          <w:pgSz w:w="11910" w:h="16850"/>
          <w:pgMar w:footer="857" w:header="0" w:top="1580" w:bottom="1040" w:left="1460" w:right="680"/>
          <w:pgNumType w:start="161"/>
        </w:sectPr>
      </w:pPr>
    </w:p>
    <w:p>
      <w:pPr>
        <w:pStyle w:val="BodyText"/>
        <w:spacing w:before="72"/>
        <w:ind w:left="755" w:right="7941" w:hanging="231"/>
      </w:pPr>
      <w:r>
        <w:rPr/>
        <w:t>def cleanup(): pass</w:t>
      </w:r>
    </w:p>
    <w:p>
      <w:pPr>
        <w:pStyle w:val="BodyText"/>
        <w:spacing w:line="241" w:lineRule="exact" w:before="3"/>
        <w:ind w:left="525"/>
      </w:pPr>
      <w:r>
        <w:rPr/>
        <w:t>def main():</w:t>
      </w:r>
    </w:p>
    <w:p>
      <w:pPr>
        <w:pStyle w:val="BodyText"/>
        <w:ind w:left="755" w:right="5640"/>
      </w:pPr>
      <w:r>
        <w:rPr/>
        <w:t># Define options for user interface options, flags = grass.parser() vsp_flade = options['vsp_flade'] terrain = options['terrain'] riverpolyline = options['riverpolyline']</w:t>
      </w:r>
    </w:p>
    <w:p>
      <w:pPr>
        <w:pStyle w:val="BodyText"/>
        <w:spacing w:before="11"/>
        <w:rPr>
          <w:sz w:val="20"/>
        </w:rPr>
      </w:pPr>
    </w:p>
    <w:p>
      <w:pPr>
        <w:pStyle w:val="BodyText"/>
        <w:ind w:left="755" w:right="5710"/>
      </w:pPr>
      <w:r>
        <w:rPr/>
        <w:t>memory = options['memory'] costras = options['costras'] costnearest = options['costnearest']</w:t>
      </w:r>
    </w:p>
    <w:p>
      <w:pPr>
        <w:pStyle w:val="BodyText"/>
        <w:ind w:left="755" w:right="3885"/>
      </w:pPr>
      <w:r>
        <w:rPr/>
        <w:t>costcumulative = options['costcumulative'] grass.message(_("Coverting river polyline to raster...")) # Convert river polyline to raster, step 1 grass.run_command("v.to.rast",</w:t>
      </w:r>
    </w:p>
    <w:p>
      <w:pPr>
        <w:pStyle w:val="BodyText"/>
        <w:ind w:left="1456" w:right="6420"/>
      </w:pPr>
      <w:r>
        <w:rPr/>
        <w:t>overwrite = True, verbose = True, input = riverpolyline, layer = "1",</w:t>
      </w:r>
    </w:p>
    <w:p>
      <w:pPr>
        <w:pStyle w:val="BodyText"/>
        <w:spacing w:line="241" w:lineRule="exact" w:before="1"/>
        <w:ind w:left="1456"/>
      </w:pPr>
      <w:r>
        <w:rPr/>
        <w:t>type = "line",</w:t>
      </w:r>
    </w:p>
    <w:p>
      <w:pPr>
        <w:pStyle w:val="BodyText"/>
        <w:ind w:left="1456" w:right="6341"/>
      </w:pPr>
      <w:r>
        <w:rPr/>
        <w:t>output = "RiverRast", use = "val",</w:t>
      </w:r>
    </w:p>
    <w:p>
      <w:pPr>
        <w:pStyle w:val="BodyText"/>
        <w:spacing w:line="241" w:lineRule="exact" w:before="1"/>
        <w:ind w:left="1458"/>
      </w:pPr>
      <w:r>
        <w:rPr/>
        <w:t>value = 1,</w:t>
      </w:r>
    </w:p>
    <w:p>
      <w:pPr>
        <w:pStyle w:val="BodyText"/>
        <w:spacing w:line="241" w:lineRule="exact"/>
        <w:ind w:left="1456"/>
      </w:pPr>
      <w:r>
        <w:rPr/>
        <w:t>memory = memory)</w:t>
      </w:r>
    </w:p>
    <w:p>
      <w:pPr>
        <w:pStyle w:val="BodyText"/>
        <w:spacing w:line="241" w:lineRule="exact" w:before="1"/>
        <w:ind w:left="755"/>
      </w:pPr>
      <w:r>
        <w:rPr/>
        <w:t># Convert river polyline to raster, step 2</w:t>
      </w:r>
    </w:p>
    <w:p>
      <w:pPr>
        <w:pStyle w:val="BodyText"/>
        <w:ind w:left="755" w:right="5003"/>
      </w:pPr>
      <w:r>
        <w:rPr/>
        <w:t># Extract the water levels to the river raster grass.run_command("r.mapcalc",</w:t>
      </w:r>
    </w:p>
    <w:p>
      <w:pPr>
        <w:pStyle w:val="BodyText"/>
        <w:spacing w:before="1"/>
        <w:ind w:left="1458" w:right="6713" w:hanging="3"/>
      </w:pPr>
      <w:r>
        <w:rPr/>
        <w:t>overwrite = True, verbose = True,</w:t>
      </w:r>
    </w:p>
    <w:p>
      <w:pPr>
        <w:pStyle w:val="BodyText"/>
        <w:ind w:left="755" w:right="3978" w:firstLine="700"/>
      </w:pPr>
      <w:r>
        <w:rPr/>
        <w:t>expression = "VL_vsp = RiverRast*vsp_flade") grass.message(_("Creating cost raster..."))</w:t>
      </w:r>
    </w:p>
    <w:p>
      <w:pPr>
        <w:pStyle w:val="BodyText"/>
        <w:ind w:left="755" w:right="3403"/>
      </w:pPr>
      <w:r>
        <w:rPr/>
        <w:t># Creates the cost raster with value of 1 where there is flood # and high cost value of 99999 where there is no flood grass.run_command("r.mapcalc",</w:t>
      </w:r>
    </w:p>
    <w:p>
      <w:pPr>
        <w:pStyle w:val="BodyText"/>
        <w:ind w:left="1458" w:right="6713" w:hanging="3"/>
      </w:pPr>
      <w:r>
        <w:rPr/>
        <w:t>overwrite = True, verbose = True,</w:t>
      </w:r>
    </w:p>
    <w:p>
      <w:pPr>
        <w:pStyle w:val="BodyText"/>
        <w:spacing w:line="241" w:lineRule="exact"/>
        <w:ind w:left="1456"/>
      </w:pPr>
      <w:r>
        <w:rPr/>
        <w:t>expression = "%s = if((%s - %s) &lt; 0, 1, 99999)"</w:t>
      </w:r>
    </w:p>
    <w:p>
      <w:pPr>
        <w:pStyle w:val="BodyText"/>
        <w:spacing w:before="1"/>
        <w:ind w:left="1456"/>
      </w:pPr>
      <w:r>
        <w:rPr/>
        <w:t>%(costras, terrain, vsp_flade))</w:t>
      </w:r>
    </w:p>
    <w:p>
      <w:pPr>
        <w:pStyle w:val="BodyText"/>
        <w:rPr>
          <w:sz w:val="24"/>
        </w:rPr>
      </w:pPr>
    </w:p>
    <w:p>
      <w:pPr>
        <w:pStyle w:val="BodyText"/>
        <w:spacing w:before="207"/>
        <w:ind w:left="755" w:right="2053"/>
      </w:pPr>
      <w:r>
        <w:rPr/>
        <w:t>grass.message(_("Creating cumulative cost and cost allocation rasters...")) # Creates two ouputs: (1) cumulative cost and</w:t>
      </w:r>
    </w:p>
    <w:p>
      <w:pPr>
        <w:pStyle w:val="BodyText"/>
        <w:ind w:left="755" w:right="5773"/>
      </w:pPr>
      <w:r>
        <w:rPr/>
        <w:t># (2) allocated cost or nearest cost grass.run_command("r.cost",</w:t>
      </w:r>
    </w:p>
    <w:p>
      <w:pPr>
        <w:pStyle w:val="BodyText"/>
        <w:ind w:left="1456" w:right="6712"/>
      </w:pPr>
      <w:r>
        <w:rPr/>
        <w:t>flags = 'k', overwrite = True, verbose = True, input = costras,</w:t>
      </w:r>
    </w:p>
    <w:p>
      <w:pPr>
        <w:pStyle w:val="BodyText"/>
        <w:spacing w:before="1"/>
        <w:ind w:left="1456" w:right="5477"/>
      </w:pPr>
      <w:r>
        <w:rPr/>
        <w:t>output = costcumulative, nearest = "costnearest_temp", start_raster = "VL_vsp", max_cost = 5000,</w:t>
      </w:r>
    </w:p>
    <w:p>
      <w:pPr>
        <w:pStyle w:val="BodyText"/>
        <w:spacing w:line="240" w:lineRule="exact"/>
        <w:ind w:left="1456"/>
      </w:pPr>
      <w:r>
        <w:rPr/>
        <w:t>memory = memory)</w:t>
      </w:r>
    </w:p>
    <w:p>
      <w:pPr>
        <w:pStyle w:val="BodyText"/>
        <w:spacing w:line="241" w:lineRule="exact" w:before="1"/>
        <w:ind w:left="755"/>
      </w:pPr>
      <w:r>
        <w:rPr/>
        <w:t># Crop out the allocated cost raster cells where the cumulative cost</w:t>
      </w:r>
    </w:p>
    <w:p>
      <w:pPr>
        <w:pStyle w:val="BodyText"/>
        <w:spacing w:line="241" w:lineRule="exact"/>
        <w:ind w:left="755"/>
      </w:pPr>
      <w:r>
        <w:rPr/>
        <w:t># exceeds 50000. This step makes the GRASS GIS output identical to</w:t>
      </w:r>
    </w:p>
    <w:p>
      <w:pPr>
        <w:spacing w:after="0" w:line="241" w:lineRule="exact"/>
        <w:sectPr>
          <w:pgSz w:w="11910" w:h="16850"/>
          <w:pgMar w:header="0" w:footer="857" w:top="1340" w:bottom="1120" w:left="1460" w:right="680"/>
        </w:sectPr>
      </w:pPr>
    </w:p>
    <w:p>
      <w:pPr>
        <w:pStyle w:val="BodyText"/>
        <w:spacing w:before="72"/>
        <w:ind w:left="755"/>
      </w:pPr>
      <w:r>
        <w:rPr/>
        <w:t># Arcmap.</w:t>
      </w:r>
    </w:p>
    <w:p>
      <w:pPr>
        <w:pStyle w:val="BodyText"/>
        <w:spacing w:before="2"/>
        <w:ind w:left="755" w:right="2592"/>
      </w:pPr>
      <w:r>
        <w:rPr/>
        <w:t># First use reclass to keep cells where cumulative cost &lt; 50000. This # will be used as a mask in the next step</w:t>
      </w:r>
    </w:p>
    <w:p>
      <w:pPr>
        <w:pStyle w:val="BodyText"/>
        <w:ind w:left="755" w:right="5870"/>
      </w:pPr>
      <w:r>
        <w:rPr/>
        <w:t>reclassrules = "0 thru 50000 = 1" grass.write_command("r.reclass",</w:t>
      </w:r>
    </w:p>
    <w:p>
      <w:pPr>
        <w:pStyle w:val="BodyText"/>
        <w:spacing w:line="241" w:lineRule="exact" w:before="1"/>
        <w:ind w:left="1456"/>
      </w:pPr>
      <w:r>
        <w:rPr/>
        <w:t>overwrite = True,</w:t>
      </w:r>
    </w:p>
    <w:p>
      <w:pPr>
        <w:pStyle w:val="BodyText"/>
        <w:ind w:left="1456" w:right="6152"/>
      </w:pPr>
      <w:r>
        <w:rPr/>
        <w:t>input = costcumulative, output = "costreclass", rules = "-",</w:t>
      </w:r>
    </w:p>
    <w:p>
      <w:pPr>
        <w:pStyle w:val="BodyText"/>
        <w:ind w:left="1456"/>
      </w:pPr>
      <w:r>
        <w:rPr/>
        <w:t>stdin = reclassrules)</w:t>
      </w:r>
    </w:p>
    <w:p>
      <w:pPr>
        <w:pStyle w:val="BodyText"/>
        <w:ind w:left="755" w:right="5893"/>
      </w:pPr>
      <w:r>
        <w:rPr/>
        <w:t># Crop the cost allocation raster grass.run_command("r.mapcalc",</w:t>
      </w:r>
    </w:p>
    <w:p>
      <w:pPr>
        <w:pStyle w:val="BodyText"/>
        <w:ind w:left="1458" w:right="6713" w:hanging="3"/>
      </w:pPr>
      <w:r>
        <w:rPr/>
        <w:t>overwrite = True, verbose = True,</w:t>
      </w:r>
    </w:p>
    <w:p>
      <w:pPr>
        <w:pStyle w:val="BodyText"/>
        <w:spacing w:line="241" w:lineRule="exact"/>
        <w:ind w:left="1456"/>
      </w:pPr>
      <w:r>
        <w:rPr/>
        <w:t>expression = "%s = if(costreclass, costnearest_temp)"</w:t>
      </w:r>
    </w:p>
    <w:p>
      <w:pPr>
        <w:pStyle w:val="BodyText"/>
        <w:spacing w:before="1"/>
        <w:ind w:left="1456" w:right="6598"/>
      </w:pPr>
      <w:r>
        <w:rPr/>
        <w:t>%(costnearest), region = "current")</w:t>
      </w:r>
    </w:p>
    <w:p>
      <w:pPr>
        <w:pStyle w:val="BodyText"/>
        <w:ind w:left="755" w:right="3053"/>
      </w:pPr>
      <w:r>
        <w:rPr/>
        <w:t># Force removal (flag f) of intermediate files used in calculations grass.run_command('g.remove',</w:t>
      </w:r>
    </w:p>
    <w:p>
      <w:pPr>
        <w:pStyle w:val="BodyText"/>
        <w:ind w:left="1456" w:right="7099"/>
      </w:pPr>
      <w:r>
        <w:rPr/>
        <w:t>flags='f', type='raster',</w:t>
      </w:r>
    </w:p>
    <w:p>
      <w:pPr>
        <w:pStyle w:val="BodyText"/>
        <w:ind w:left="1456" w:right="2458"/>
      </w:pPr>
      <w:r>
        <w:rPr/>
        <w:t>name=['RiverRast', 'VL_vsp', 'costreclass', 'costnearest_temp'], quiet =</w:t>
      </w:r>
      <w:r>
        <w:rPr>
          <w:spacing w:val="-4"/>
        </w:rPr>
        <w:t> </w:t>
      </w:r>
      <w:r>
        <w:rPr/>
        <w:t>True)</w:t>
      </w:r>
    </w:p>
    <w:p>
      <w:pPr>
        <w:pStyle w:val="BodyText"/>
        <w:spacing w:line="241" w:lineRule="exact" w:before="1"/>
        <w:ind w:left="755"/>
      </w:pPr>
      <w:r>
        <w:rPr/>
        <w:t>return 0</w:t>
      </w:r>
    </w:p>
    <w:p>
      <w:pPr>
        <w:pStyle w:val="BodyText"/>
        <w:tabs>
          <w:tab w:pos="1736" w:val="left" w:leader="none"/>
        </w:tabs>
        <w:ind w:left="755" w:right="6219" w:hanging="231"/>
      </w:pPr>
      <w:r>
        <w:rPr/>
        <w:t>if</w:t>
      </w:r>
      <w:r>
        <w:rPr>
          <w:u w:val="single"/>
        </w:rPr>
        <w:t>   </w:t>
      </w:r>
      <w:r>
        <w:rPr>
          <w:spacing w:val="57"/>
          <w:u w:val="single"/>
        </w:rPr>
        <w:t> </w:t>
      </w:r>
      <w:r>
        <w:rPr/>
        <w:t>name</w:t>
      </w:r>
      <w:r>
        <w:rPr>
          <w:u w:val="single"/>
        </w:rPr>
        <w:t> </w:t>
        <w:tab/>
      </w:r>
      <w:r>
        <w:rPr/>
        <w:t>== "</w:t>
      </w:r>
      <w:r>
        <w:rPr>
          <w:u w:val="single"/>
        </w:rPr>
        <w:t> </w:t>
      </w:r>
      <w:r>
        <w:rPr/>
        <w:t>main</w:t>
      </w:r>
      <w:r>
        <w:rPr>
          <w:u w:val="single"/>
        </w:rPr>
        <w:t> </w:t>
      </w:r>
      <w:r>
        <w:rPr/>
        <w:t>": options, flags = grass.parser() atexit.register(cleanup) sys.exit(main())</w:t>
      </w:r>
    </w:p>
    <w:p>
      <w:pPr>
        <w:spacing w:after="0"/>
        <w:sectPr>
          <w:pgSz w:w="11910" w:h="16850"/>
          <w:pgMar w:header="0" w:footer="857" w:top="1340" w:bottom="1120" w:left="1460" w:right="680"/>
        </w:sectPr>
      </w:pPr>
    </w:p>
    <w:p>
      <w:pPr>
        <w:pStyle w:val="BodyText"/>
        <w:spacing w:before="4"/>
        <w:rPr>
          <w:rFonts w:ascii="Times New Roman"/>
          <w:sz w:val="17"/>
        </w:rPr>
      </w:pPr>
    </w:p>
    <w:p>
      <w:pPr>
        <w:spacing w:after="0"/>
        <w:rPr>
          <w:rFonts w:ascii="Times New Roman"/>
          <w:sz w:val="17"/>
        </w:rPr>
        <w:sectPr>
          <w:pgSz w:w="11910" w:h="16850"/>
          <w:pgMar w:header="0" w:footer="857" w:top="1600" w:bottom="1040" w:left="1460" w:right="680"/>
        </w:sectPr>
      </w:pPr>
    </w:p>
    <w:p>
      <w:pPr>
        <w:pStyle w:val="Heading1"/>
        <w:ind w:left="525" w:right="855" w:firstLine="0"/>
      </w:pPr>
      <w:bookmarkStart w:name="_bookmark175" w:id="223"/>
      <w:bookmarkEnd w:id="223"/>
      <w:r>
        <w:rPr>
          <w:b w:val="0"/>
        </w:rPr>
      </w:r>
      <w:r>
        <w:rPr/>
        <w:t>Appendix 2 Tids- og dybdemæssige performance af model</w:t>
      </w:r>
    </w:p>
    <w:p>
      <w:pPr>
        <w:pStyle w:val="BodyText"/>
        <w:spacing w:before="4"/>
        <w:rPr>
          <w:b/>
          <w:sz w:val="52"/>
        </w:rPr>
      </w:pPr>
    </w:p>
    <w:p>
      <w:pPr>
        <w:pStyle w:val="Heading5"/>
        <w:spacing w:line="285" w:lineRule="auto" w:before="1"/>
        <w:ind w:right="732"/>
        <w:jc w:val="both"/>
      </w:pPr>
      <w:r>
        <w:rPr>
          <w:i/>
        </w:rPr>
        <w:t>Analyse</w:t>
      </w:r>
      <w:r>
        <w:rPr>
          <w:i/>
          <w:spacing w:val="-10"/>
        </w:rPr>
        <w:t> </w:t>
      </w:r>
      <w:r>
        <w:rPr>
          <w:i/>
        </w:rPr>
        <w:t>af</w:t>
      </w:r>
      <w:r>
        <w:rPr>
          <w:i/>
          <w:spacing w:val="-10"/>
        </w:rPr>
        <w:t> </w:t>
      </w:r>
      <w:r>
        <w:rPr>
          <w:i/>
        </w:rPr>
        <w:t>tidslig</w:t>
      </w:r>
      <w:r>
        <w:rPr>
          <w:i/>
          <w:spacing w:val="-9"/>
        </w:rPr>
        <w:t> </w:t>
      </w:r>
      <w:r>
        <w:rPr>
          <w:i/>
        </w:rPr>
        <w:t>udvikling</w:t>
      </w:r>
      <w:r>
        <w:rPr>
          <w:i/>
          <w:spacing w:val="-9"/>
        </w:rPr>
        <w:t> </w:t>
      </w:r>
      <w:r>
        <w:rPr>
          <w:i/>
        </w:rPr>
        <w:t>i</w:t>
      </w:r>
      <w:r>
        <w:rPr>
          <w:i/>
          <w:spacing w:val="-12"/>
        </w:rPr>
        <w:t> </w:t>
      </w:r>
      <w:r>
        <w:rPr>
          <w:i/>
        </w:rPr>
        <w:t>modelleret</w:t>
      </w:r>
      <w:r>
        <w:rPr>
          <w:i/>
          <w:spacing w:val="-11"/>
        </w:rPr>
        <w:t> </w:t>
      </w:r>
      <w:r>
        <w:rPr>
          <w:i/>
        </w:rPr>
        <w:t>og</w:t>
      </w:r>
      <w:r>
        <w:rPr>
          <w:i/>
          <w:spacing w:val="-9"/>
        </w:rPr>
        <w:t> </w:t>
      </w:r>
      <w:r>
        <w:rPr>
          <w:i/>
        </w:rPr>
        <w:t>simuleret</w:t>
      </w:r>
      <w:r>
        <w:rPr>
          <w:i/>
          <w:spacing w:val="-12"/>
        </w:rPr>
        <w:t> </w:t>
      </w:r>
      <w:r>
        <w:rPr>
          <w:i/>
        </w:rPr>
        <w:t>terrænnært</w:t>
      </w:r>
      <w:r>
        <w:rPr>
          <w:i/>
          <w:spacing w:val="-10"/>
        </w:rPr>
        <w:t> </w:t>
      </w:r>
      <w:r>
        <w:rPr>
          <w:i/>
        </w:rPr>
        <w:t>trykniveau</w:t>
      </w:r>
      <w:r>
        <w:rPr>
          <w:i/>
          <w:spacing w:val="-9"/>
        </w:rPr>
        <w:t> </w:t>
      </w:r>
      <w:r>
        <w:rPr>
          <w:i/>
        </w:rPr>
        <w:t>middelfejl </w:t>
      </w:r>
      <w:r>
        <w:rPr/>
        <w:t>(ME) gennem kalibrerings- og</w:t>
      </w:r>
      <w:r>
        <w:rPr>
          <w:spacing w:val="-7"/>
        </w:rPr>
        <w:t> </w:t>
      </w:r>
      <w:r>
        <w:rPr/>
        <w:t>valideringsperiode</w:t>
      </w:r>
    </w:p>
    <w:p>
      <w:pPr>
        <w:pStyle w:val="BodyText"/>
        <w:spacing w:line="288" w:lineRule="auto" w:before="3"/>
        <w:ind w:left="525" w:right="730"/>
        <w:jc w:val="both"/>
      </w:pPr>
      <w:r>
        <w:rPr/>
        <w:t>Sammenlignes middelfejlen for 90% af grids (uden ’outliers’) for henholdsvis kalibreringspe- rioden (2000-2008) og valideringsperioden (2009-2015) mellem observeret og simuleret</w:t>
      </w:r>
      <w:r>
        <w:rPr>
          <w:spacing w:val="-40"/>
        </w:rPr>
        <w:t> </w:t>
      </w:r>
      <w:r>
        <w:rPr/>
        <w:t>ter- rænnær grundvandsstand, får man et mål for om der er en trend i afvigelsen og dermed om der er en udvikling i det terrænnære grundvandsspejl gennem tiden, som ikke er med i mo- delbeskrivelsen.</w:t>
      </w:r>
      <w:r>
        <w:rPr>
          <w:spacing w:val="-9"/>
        </w:rPr>
        <w:t> </w:t>
      </w:r>
      <w:r>
        <w:rPr/>
        <w:t>I</w:t>
      </w:r>
      <w:r>
        <w:rPr>
          <w:spacing w:val="-9"/>
        </w:rPr>
        <w:t> </w:t>
      </w:r>
      <w:r>
        <w:rPr/>
        <w:t>analysen</w:t>
      </w:r>
      <w:r>
        <w:rPr>
          <w:spacing w:val="-8"/>
        </w:rPr>
        <w:t> </w:t>
      </w:r>
      <w:r>
        <w:rPr/>
        <w:t>kigges</w:t>
      </w:r>
      <w:r>
        <w:rPr>
          <w:spacing w:val="-8"/>
        </w:rPr>
        <w:t> </w:t>
      </w:r>
      <w:r>
        <w:rPr/>
        <w:t>udelukkende</w:t>
      </w:r>
      <w:r>
        <w:rPr>
          <w:spacing w:val="-8"/>
        </w:rPr>
        <w:t> </w:t>
      </w:r>
      <w:r>
        <w:rPr/>
        <w:t>på</w:t>
      </w:r>
      <w:r>
        <w:rPr>
          <w:spacing w:val="-9"/>
        </w:rPr>
        <w:t> </w:t>
      </w:r>
      <w:r>
        <w:rPr/>
        <w:t>ME</w:t>
      </w:r>
      <w:r>
        <w:rPr>
          <w:spacing w:val="-8"/>
        </w:rPr>
        <w:t> </w:t>
      </w:r>
      <w:r>
        <w:rPr/>
        <w:t>for</w:t>
      </w:r>
      <w:r>
        <w:rPr>
          <w:spacing w:val="-9"/>
        </w:rPr>
        <w:t> </w:t>
      </w:r>
      <w:r>
        <w:rPr/>
        <w:t>de</w:t>
      </w:r>
      <w:r>
        <w:rPr>
          <w:spacing w:val="-8"/>
        </w:rPr>
        <w:t> </w:t>
      </w:r>
      <w:r>
        <w:rPr/>
        <w:t>90%</w:t>
      </w:r>
      <w:r>
        <w:rPr>
          <w:spacing w:val="-11"/>
        </w:rPr>
        <w:t> </w:t>
      </w:r>
      <w:r>
        <w:rPr/>
        <w:t>af</w:t>
      </w:r>
      <w:r>
        <w:rPr>
          <w:spacing w:val="-6"/>
        </w:rPr>
        <w:t> </w:t>
      </w:r>
      <w:r>
        <w:rPr/>
        <w:t>grids</w:t>
      </w:r>
      <w:r>
        <w:rPr>
          <w:spacing w:val="-8"/>
        </w:rPr>
        <w:t> </w:t>
      </w:r>
      <w:r>
        <w:rPr/>
        <w:t>og</w:t>
      </w:r>
      <w:r>
        <w:rPr>
          <w:spacing w:val="-11"/>
        </w:rPr>
        <w:t> </w:t>
      </w:r>
      <w:r>
        <w:rPr/>
        <w:t>for</w:t>
      </w:r>
      <w:r>
        <w:rPr>
          <w:spacing w:val="-9"/>
        </w:rPr>
        <w:t> </w:t>
      </w:r>
      <w:r>
        <w:rPr/>
        <w:t>det</w:t>
      </w:r>
      <w:r>
        <w:rPr>
          <w:spacing w:val="-5"/>
        </w:rPr>
        <w:t> </w:t>
      </w:r>
      <w:r>
        <w:rPr/>
        <w:t>terræn- nære grundvand. I tabel A2.1 er vist en sammenligning af middelfejl for hhv. JUP+REG pej- linger og JUP pejlinger med beregnet trend. I tabellen er vist beregnet trend for såvel JUPI- TER pejlinger som for Region pejlinger, for at vurdere en evt. forskel i trenden for de to da- tasæt.</w:t>
      </w:r>
    </w:p>
    <w:p>
      <w:pPr>
        <w:pStyle w:val="BodyText"/>
        <w:spacing w:before="4"/>
        <w:rPr>
          <w:sz w:val="25"/>
        </w:rPr>
      </w:pPr>
    </w:p>
    <w:p>
      <w:pPr>
        <w:pStyle w:val="BodyText"/>
        <w:spacing w:line="288" w:lineRule="auto" w:before="1"/>
        <w:ind w:left="525" w:right="733"/>
        <w:jc w:val="both"/>
      </w:pPr>
      <w:hyperlink w:history="true" w:anchor="_bookmark176">
        <w:r>
          <w:rPr/>
          <w:t>Tabel </w:t>
        </w:r>
      </w:hyperlink>
      <w:r>
        <w:rPr/>
        <w:t>Tabel A2.1 viser eksempelvis at 90% af alle grids med Jupiter pejlinger og 100 m </w:t>
      </w:r>
      <w:r>
        <w:rPr>
          <w:position w:val="2"/>
        </w:rPr>
        <w:t>model har en ME</w:t>
      </w:r>
      <w:r>
        <w:rPr>
          <w:sz w:val="14"/>
        </w:rPr>
        <w:t>90Q </w:t>
      </w:r>
      <w:r>
        <w:rPr>
          <w:position w:val="2"/>
        </w:rPr>
        <w:t>tn på -0.3 m for kalibreringsperioden hvilket svarer til at der simuleres i </w:t>
      </w:r>
      <w:r>
        <w:rPr/>
        <w:t>gennemsnit 30 cm højere vandstand med Storåmodellen end målt. For valideringsperioden simuleres 40 cm mindre end målt. Det betyder samlet, at afvigelser mellem modelleret og målt</w:t>
      </w:r>
      <w:r>
        <w:rPr>
          <w:spacing w:val="-12"/>
        </w:rPr>
        <w:t> </w:t>
      </w:r>
      <w:r>
        <w:rPr/>
        <w:t>terrænnært</w:t>
      </w:r>
      <w:r>
        <w:rPr>
          <w:spacing w:val="-12"/>
        </w:rPr>
        <w:t> </w:t>
      </w:r>
      <w:r>
        <w:rPr/>
        <w:t>grundvandsspejl</w:t>
      </w:r>
      <w:r>
        <w:rPr>
          <w:spacing w:val="-9"/>
        </w:rPr>
        <w:t> </w:t>
      </w:r>
      <w:r>
        <w:rPr/>
        <w:t>i</w:t>
      </w:r>
      <w:r>
        <w:rPr>
          <w:spacing w:val="-10"/>
        </w:rPr>
        <w:t> </w:t>
      </w:r>
      <w:r>
        <w:rPr/>
        <w:t>middel</w:t>
      </w:r>
      <w:r>
        <w:rPr>
          <w:spacing w:val="-10"/>
        </w:rPr>
        <w:t> </w:t>
      </w:r>
      <w:r>
        <w:rPr/>
        <w:t>har</w:t>
      </w:r>
      <w:r>
        <w:rPr>
          <w:spacing w:val="-10"/>
        </w:rPr>
        <w:t> </w:t>
      </w:r>
      <w:r>
        <w:rPr/>
        <w:t>en</w:t>
      </w:r>
      <w:r>
        <w:rPr>
          <w:spacing w:val="-10"/>
        </w:rPr>
        <w:t> </w:t>
      </w:r>
      <w:r>
        <w:rPr/>
        <w:t>forskel</w:t>
      </w:r>
      <w:r>
        <w:rPr>
          <w:spacing w:val="-9"/>
        </w:rPr>
        <w:t> </w:t>
      </w:r>
      <w:r>
        <w:rPr/>
        <w:t>på</w:t>
      </w:r>
      <w:r>
        <w:rPr>
          <w:spacing w:val="-10"/>
        </w:rPr>
        <w:t> </w:t>
      </w:r>
      <w:r>
        <w:rPr/>
        <w:t>ca.</w:t>
      </w:r>
      <w:r>
        <w:rPr>
          <w:spacing w:val="-12"/>
        </w:rPr>
        <w:t> </w:t>
      </w:r>
      <w:r>
        <w:rPr/>
        <w:t>70</w:t>
      </w:r>
      <w:r>
        <w:rPr>
          <w:spacing w:val="-9"/>
        </w:rPr>
        <w:t> </w:t>
      </w:r>
      <w:r>
        <w:rPr/>
        <w:t>cm</w:t>
      </w:r>
      <w:r>
        <w:rPr>
          <w:spacing w:val="-9"/>
        </w:rPr>
        <w:t> </w:t>
      </w:r>
      <w:r>
        <w:rPr/>
        <w:t>for</w:t>
      </w:r>
      <w:r>
        <w:rPr>
          <w:spacing w:val="-11"/>
        </w:rPr>
        <w:t> </w:t>
      </w:r>
      <w:r>
        <w:rPr/>
        <w:t>2009-2015</w:t>
      </w:r>
      <w:r>
        <w:rPr>
          <w:spacing w:val="-9"/>
        </w:rPr>
        <w:t> </w:t>
      </w:r>
      <w:r>
        <w:rPr/>
        <w:t>i</w:t>
      </w:r>
      <w:r>
        <w:rPr>
          <w:spacing w:val="-10"/>
        </w:rPr>
        <w:t> </w:t>
      </w:r>
      <w:r>
        <w:rPr/>
        <w:t>forhold til</w:t>
      </w:r>
      <w:r>
        <w:rPr>
          <w:spacing w:val="-4"/>
        </w:rPr>
        <w:t> </w:t>
      </w:r>
      <w:r>
        <w:rPr/>
        <w:t>2000-2008,</w:t>
      </w:r>
      <w:r>
        <w:rPr>
          <w:spacing w:val="-7"/>
        </w:rPr>
        <w:t> </w:t>
      </w:r>
      <w:r>
        <w:rPr/>
        <w:t>eller</w:t>
      </w:r>
      <w:r>
        <w:rPr>
          <w:spacing w:val="-6"/>
        </w:rPr>
        <w:t> </w:t>
      </w:r>
      <w:r>
        <w:rPr/>
        <w:t>ca.</w:t>
      </w:r>
      <w:r>
        <w:rPr>
          <w:spacing w:val="-6"/>
        </w:rPr>
        <w:t> </w:t>
      </w:r>
      <w:r>
        <w:rPr/>
        <w:t>5-10</w:t>
      </w:r>
      <w:r>
        <w:rPr>
          <w:spacing w:val="-5"/>
        </w:rPr>
        <w:t> </w:t>
      </w:r>
      <w:r>
        <w:rPr/>
        <w:t>cm</w:t>
      </w:r>
      <w:r>
        <w:rPr>
          <w:spacing w:val="-4"/>
        </w:rPr>
        <w:t> </w:t>
      </w:r>
      <w:r>
        <w:rPr/>
        <w:t>pr.</w:t>
      </w:r>
      <w:r>
        <w:rPr>
          <w:spacing w:val="-7"/>
        </w:rPr>
        <w:t> </w:t>
      </w:r>
      <w:r>
        <w:rPr/>
        <w:t>år.</w:t>
      </w:r>
      <w:r>
        <w:rPr>
          <w:spacing w:val="-7"/>
        </w:rPr>
        <w:t> </w:t>
      </w:r>
      <w:r>
        <w:rPr/>
        <w:t>Denne</w:t>
      </w:r>
      <w:r>
        <w:rPr>
          <w:spacing w:val="-5"/>
        </w:rPr>
        <w:t> </w:t>
      </w:r>
      <w:r>
        <w:rPr/>
        <w:t>stigning</w:t>
      </w:r>
      <w:r>
        <w:rPr>
          <w:spacing w:val="-5"/>
        </w:rPr>
        <w:t> </w:t>
      </w:r>
      <w:r>
        <w:rPr/>
        <w:t>pr.</w:t>
      </w:r>
      <w:r>
        <w:rPr>
          <w:spacing w:val="-7"/>
        </w:rPr>
        <w:t> </w:t>
      </w:r>
      <w:r>
        <w:rPr/>
        <w:t>år</w:t>
      </w:r>
      <w:r>
        <w:rPr>
          <w:spacing w:val="-3"/>
        </w:rPr>
        <w:t> </w:t>
      </w:r>
      <w:r>
        <w:rPr/>
        <w:t>i</w:t>
      </w:r>
      <w:r>
        <w:rPr>
          <w:spacing w:val="-4"/>
        </w:rPr>
        <w:t> </w:t>
      </w:r>
      <w:r>
        <w:rPr/>
        <w:t>det</w:t>
      </w:r>
      <w:r>
        <w:rPr>
          <w:spacing w:val="-6"/>
        </w:rPr>
        <w:t> </w:t>
      </w:r>
      <w:r>
        <w:rPr/>
        <w:t>terrænnære</w:t>
      </w:r>
      <w:r>
        <w:rPr>
          <w:spacing w:val="-5"/>
        </w:rPr>
        <w:t> </w:t>
      </w:r>
      <w:r>
        <w:rPr/>
        <w:t>grundvand</w:t>
      </w:r>
      <w:r>
        <w:rPr>
          <w:spacing w:val="-7"/>
        </w:rPr>
        <w:t> </w:t>
      </w:r>
      <w:r>
        <w:rPr/>
        <w:t>kan modellen med andre ord ikke gøre rede</w:t>
      </w:r>
      <w:r>
        <w:rPr>
          <w:spacing w:val="-14"/>
        </w:rPr>
        <w:t> </w:t>
      </w:r>
      <w:r>
        <w:rPr/>
        <w:t>for.</w:t>
      </w:r>
    </w:p>
    <w:p>
      <w:pPr>
        <w:pStyle w:val="BodyText"/>
        <w:spacing w:before="10"/>
        <w:rPr>
          <w:sz w:val="24"/>
        </w:rPr>
      </w:pPr>
    </w:p>
    <w:p>
      <w:pPr>
        <w:spacing w:before="0"/>
        <w:ind w:left="525" w:right="766" w:firstLine="0"/>
        <w:jc w:val="both"/>
        <w:rPr>
          <w:rFonts w:ascii="Calibri" w:hAnsi="Calibri"/>
          <w:i/>
          <w:sz w:val="18"/>
        </w:rPr>
      </w:pPr>
      <w:bookmarkStart w:name="_bookmark176" w:id="224"/>
      <w:bookmarkEnd w:id="224"/>
      <w:r>
        <w:rPr/>
      </w:r>
      <w:r>
        <w:rPr>
          <w:rFonts w:ascii="Calibri" w:hAnsi="Calibri"/>
          <w:i/>
          <w:color w:val="44536A"/>
          <w:sz w:val="18"/>
        </w:rPr>
        <w:t>Tabel A2.1Trend i middelfejl (ME) fra kalibreringsperiode til valideringsperiode (målt minus simuleret vandføring) for </w:t>
      </w:r>
      <w:r>
        <w:rPr>
          <w:rFonts w:ascii="Calibri" w:hAnsi="Calibri"/>
          <w:i/>
          <w:color w:val="44536A"/>
          <w:sz w:val="18"/>
        </w:rPr>
        <w:t>100 m model kalibreret ud fra Jupiter og Regionsdata sammenlignet med DK model version august 2018.</w:t>
      </w:r>
    </w:p>
    <w:p>
      <w:pPr>
        <w:pStyle w:val="BodyText"/>
        <w:spacing w:before="5"/>
        <w:rPr>
          <w:rFonts w:ascii="Calibri"/>
          <w:i/>
          <w:sz w:val="16"/>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7"/>
        <w:gridCol w:w="1832"/>
        <w:gridCol w:w="1552"/>
        <w:gridCol w:w="992"/>
        <w:gridCol w:w="1134"/>
        <w:gridCol w:w="1262"/>
      </w:tblGrid>
      <w:tr>
        <w:trPr>
          <w:trHeight w:val="482" w:hRule="atLeast"/>
        </w:trPr>
        <w:tc>
          <w:tcPr>
            <w:tcW w:w="1717" w:type="dxa"/>
            <w:shd w:val="clear" w:color="auto" w:fill="D9D9D9"/>
          </w:tcPr>
          <w:p>
            <w:pPr>
              <w:pStyle w:val="TableParagraph"/>
              <w:spacing w:line="237" w:lineRule="exact"/>
              <w:ind w:left="69"/>
              <w:jc w:val="left"/>
              <w:rPr>
                <w:b/>
                <w:sz w:val="21"/>
              </w:rPr>
            </w:pPr>
            <w:r>
              <w:rPr>
                <w:b/>
                <w:sz w:val="21"/>
              </w:rPr>
              <w:t>Opland</w:t>
            </w:r>
          </w:p>
        </w:tc>
        <w:tc>
          <w:tcPr>
            <w:tcW w:w="1832" w:type="dxa"/>
            <w:shd w:val="clear" w:color="auto" w:fill="D9D9D9"/>
          </w:tcPr>
          <w:p>
            <w:pPr>
              <w:pStyle w:val="TableParagraph"/>
              <w:jc w:val="left"/>
              <w:rPr>
                <w:rFonts w:ascii="Times New Roman"/>
                <w:sz w:val="20"/>
              </w:rPr>
            </w:pPr>
          </w:p>
        </w:tc>
        <w:tc>
          <w:tcPr>
            <w:tcW w:w="1552" w:type="dxa"/>
            <w:shd w:val="clear" w:color="auto" w:fill="D9D9D9"/>
          </w:tcPr>
          <w:p>
            <w:pPr>
              <w:pStyle w:val="TableParagraph"/>
              <w:spacing w:line="237" w:lineRule="exact"/>
              <w:ind w:left="202" w:right="330"/>
              <w:rPr>
                <w:b/>
                <w:sz w:val="21"/>
              </w:rPr>
            </w:pPr>
            <w:r>
              <w:rPr>
                <w:b/>
                <w:sz w:val="21"/>
              </w:rPr>
              <w:t>100 m</w:t>
            </w:r>
          </w:p>
          <w:p>
            <w:pPr>
              <w:pStyle w:val="TableParagraph"/>
              <w:spacing w:line="225" w:lineRule="exact" w:before="1"/>
              <w:ind w:left="207" w:right="330"/>
              <w:rPr>
                <w:sz w:val="21"/>
              </w:rPr>
            </w:pPr>
            <w:r>
              <w:rPr>
                <w:sz w:val="21"/>
              </w:rPr>
              <w:t>JUP+REG</w:t>
            </w:r>
          </w:p>
        </w:tc>
        <w:tc>
          <w:tcPr>
            <w:tcW w:w="992" w:type="dxa"/>
            <w:tcBorders>
              <w:right w:val="single" w:sz="8" w:space="0" w:color="000000"/>
            </w:tcBorders>
            <w:shd w:val="clear" w:color="auto" w:fill="D9D9D9"/>
          </w:tcPr>
          <w:p>
            <w:pPr>
              <w:pStyle w:val="TableParagraph"/>
              <w:jc w:val="left"/>
              <w:rPr>
                <w:rFonts w:ascii="Times New Roman"/>
                <w:sz w:val="20"/>
              </w:rPr>
            </w:pPr>
          </w:p>
        </w:tc>
        <w:tc>
          <w:tcPr>
            <w:tcW w:w="2396" w:type="dxa"/>
            <w:gridSpan w:val="2"/>
            <w:tcBorders>
              <w:left w:val="single" w:sz="8" w:space="0" w:color="000000"/>
              <w:right w:val="single" w:sz="8" w:space="0" w:color="000000"/>
            </w:tcBorders>
            <w:shd w:val="clear" w:color="auto" w:fill="D9D9D9"/>
          </w:tcPr>
          <w:p>
            <w:pPr>
              <w:pStyle w:val="TableParagraph"/>
              <w:spacing w:line="237" w:lineRule="exact"/>
              <w:ind w:left="339"/>
              <w:jc w:val="left"/>
              <w:rPr>
                <w:b/>
                <w:sz w:val="21"/>
              </w:rPr>
            </w:pPr>
            <w:r>
              <w:rPr>
                <w:b/>
                <w:sz w:val="21"/>
              </w:rPr>
              <w:t>DK model aug.18</w:t>
            </w:r>
          </w:p>
        </w:tc>
      </w:tr>
      <w:tr>
        <w:trPr>
          <w:trHeight w:val="482" w:hRule="atLeast"/>
        </w:trPr>
        <w:tc>
          <w:tcPr>
            <w:tcW w:w="1717" w:type="dxa"/>
            <w:shd w:val="clear" w:color="auto" w:fill="D9D9D9"/>
          </w:tcPr>
          <w:p>
            <w:pPr>
              <w:pStyle w:val="TableParagraph"/>
              <w:jc w:val="left"/>
              <w:rPr>
                <w:rFonts w:ascii="Times New Roman"/>
                <w:sz w:val="20"/>
              </w:rPr>
            </w:pPr>
          </w:p>
        </w:tc>
        <w:tc>
          <w:tcPr>
            <w:tcW w:w="1832" w:type="dxa"/>
            <w:shd w:val="clear" w:color="auto" w:fill="D9D9D9"/>
          </w:tcPr>
          <w:p>
            <w:pPr>
              <w:pStyle w:val="TableParagraph"/>
              <w:spacing w:line="240" w:lineRule="exact" w:before="2"/>
              <w:ind w:left="971" w:right="309" w:hanging="29"/>
              <w:jc w:val="left"/>
              <w:rPr>
                <w:b/>
                <w:sz w:val="21"/>
              </w:rPr>
            </w:pPr>
            <w:r>
              <w:rPr>
                <w:b/>
                <w:sz w:val="21"/>
              </w:rPr>
              <w:t>Pejle- data:</w:t>
            </w:r>
          </w:p>
        </w:tc>
        <w:tc>
          <w:tcPr>
            <w:tcW w:w="1552" w:type="dxa"/>
            <w:tcBorders>
              <w:right w:val="single" w:sz="4" w:space="0" w:color="000000"/>
            </w:tcBorders>
            <w:shd w:val="clear" w:color="auto" w:fill="D9D9D9"/>
          </w:tcPr>
          <w:p>
            <w:pPr>
              <w:pStyle w:val="TableParagraph"/>
              <w:spacing w:line="240" w:lineRule="exact" w:before="2"/>
              <w:ind w:left="548" w:right="466" w:hanging="188"/>
              <w:jc w:val="left"/>
              <w:rPr>
                <w:b/>
                <w:sz w:val="21"/>
              </w:rPr>
            </w:pPr>
            <w:r>
              <w:rPr>
                <w:b/>
                <w:sz w:val="21"/>
              </w:rPr>
              <w:t>Jupiter (m)</w:t>
            </w:r>
          </w:p>
        </w:tc>
        <w:tc>
          <w:tcPr>
            <w:tcW w:w="992" w:type="dxa"/>
            <w:tcBorders>
              <w:left w:val="single" w:sz="4" w:space="0" w:color="000000"/>
              <w:right w:val="single" w:sz="8" w:space="0" w:color="000000"/>
            </w:tcBorders>
            <w:shd w:val="clear" w:color="auto" w:fill="D9D9D9"/>
          </w:tcPr>
          <w:p>
            <w:pPr>
              <w:pStyle w:val="TableParagraph"/>
              <w:spacing w:line="240" w:lineRule="exact" w:before="2"/>
              <w:ind w:left="328" w:right="109" w:hanging="192"/>
              <w:jc w:val="left"/>
              <w:rPr>
                <w:b/>
                <w:sz w:val="21"/>
              </w:rPr>
            </w:pPr>
            <w:r>
              <w:rPr>
                <w:b/>
                <w:sz w:val="21"/>
              </w:rPr>
              <w:t>Region (m)</w:t>
            </w:r>
          </w:p>
        </w:tc>
        <w:tc>
          <w:tcPr>
            <w:tcW w:w="1134" w:type="dxa"/>
            <w:tcBorders>
              <w:left w:val="single" w:sz="8" w:space="0" w:color="000000"/>
              <w:right w:val="single" w:sz="8" w:space="0" w:color="000000"/>
            </w:tcBorders>
            <w:shd w:val="clear" w:color="auto" w:fill="D9D9D9"/>
          </w:tcPr>
          <w:p>
            <w:pPr>
              <w:pStyle w:val="TableParagraph"/>
              <w:spacing w:line="240" w:lineRule="exact" w:before="2"/>
              <w:ind w:left="397" w:right="184" w:hanging="188"/>
              <w:jc w:val="left"/>
              <w:rPr>
                <w:b/>
                <w:sz w:val="21"/>
              </w:rPr>
            </w:pPr>
            <w:r>
              <w:rPr>
                <w:b/>
                <w:sz w:val="21"/>
              </w:rPr>
              <w:t>Jupiter (m)</w:t>
            </w:r>
          </w:p>
        </w:tc>
        <w:tc>
          <w:tcPr>
            <w:tcW w:w="1262" w:type="dxa"/>
            <w:tcBorders>
              <w:left w:val="single" w:sz="8" w:space="0" w:color="000000"/>
              <w:right w:val="single" w:sz="8" w:space="0" w:color="000000"/>
            </w:tcBorders>
            <w:shd w:val="clear" w:color="auto" w:fill="D9D9D9"/>
          </w:tcPr>
          <w:p>
            <w:pPr>
              <w:pStyle w:val="TableParagraph"/>
              <w:spacing w:line="240" w:lineRule="exact" w:before="2"/>
              <w:ind w:left="463" w:right="242" w:hanging="195"/>
              <w:jc w:val="left"/>
              <w:rPr>
                <w:b/>
                <w:sz w:val="21"/>
              </w:rPr>
            </w:pPr>
            <w:r>
              <w:rPr>
                <w:b/>
                <w:sz w:val="21"/>
              </w:rPr>
              <w:t>Region (m)</w:t>
            </w:r>
          </w:p>
        </w:tc>
      </w:tr>
      <w:tr>
        <w:trPr>
          <w:trHeight w:val="349" w:hRule="atLeast"/>
        </w:trPr>
        <w:tc>
          <w:tcPr>
            <w:tcW w:w="1717" w:type="dxa"/>
            <w:shd w:val="clear" w:color="auto" w:fill="E7E6E6"/>
          </w:tcPr>
          <w:p>
            <w:pPr>
              <w:pStyle w:val="TableParagraph"/>
              <w:spacing w:line="239" w:lineRule="exact"/>
              <w:ind w:left="69"/>
              <w:jc w:val="left"/>
              <w:rPr>
                <w:b/>
                <w:sz w:val="21"/>
              </w:rPr>
            </w:pPr>
            <w:r>
              <w:rPr>
                <w:b/>
                <w:sz w:val="21"/>
              </w:rPr>
              <w:t>Storå</w:t>
            </w:r>
          </w:p>
        </w:tc>
        <w:tc>
          <w:tcPr>
            <w:tcW w:w="1832" w:type="dxa"/>
            <w:shd w:val="clear" w:color="auto" w:fill="E7E6E6"/>
          </w:tcPr>
          <w:p>
            <w:pPr>
              <w:pStyle w:val="TableParagraph"/>
              <w:jc w:val="left"/>
              <w:rPr>
                <w:rFonts w:ascii="Times New Roman"/>
                <w:sz w:val="20"/>
              </w:rPr>
            </w:pPr>
          </w:p>
        </w:tc>
        <w:tc>
          <w:tcPr>
            <w:tcW w:w="1552" w:type="dxa"/>
            <w:tcBorders>
              <w:right w:val="single" w:sz="4" w:space="0" w:color="000000"/>
            </w:tcBorders>
            <w:shd w:val="clear" w:color="auto" w:fill="E7E6E6"/>
          </w:tcPr>
          <w:p>
            <w:pPr>
              <w:pStyle w:val="TableParagraph"/>
              <w:jc w:val="left"/>
              <w:rPr>
                <w:rFonts w:ascii="Times New Roman"/>
                <w:sz w:val="20"/>
              </w:rPr>
            </w:pPr>
          </w:p>
        </w:tc>
        <w:tc>
          <w:tcPr>
            <w:tcW w:w="992" w:type="dxa"/>
            <w:tcBorders>
              <w:left w:val="single" w:sz="4" w:space="0" w:color="000000"/>
              <w:right w:val="single" w:sz="8" w:space="0" w:color="000000"/>
            </w:tcBorders>
            <w:shd w:val="clear" w:color="auto" w:fill="E7E6E6"/>
          </w:tcPr>
          <w:p>
            <w:pPr>
              <w:pStyle w:val="TableParagraph"/>
              <w:jc w:val="left"/>
              <w:rPr>
                <w:rFonts w:ascii="Times New Roman"/>
                <w:sz w:val="20"/>
              </w:rPr>
            </w:pPr>
          </w:p>
        </w:tc>
        <w:tc>
          <w:tcPr>
            <w:tcW w:w="1134" w:type="dxa"/>
            <w:tcBorders>
              <w:left w:val="single" w:sz="8" w:space="0" w:color="000000"/>
              <w:right w:val="single" w:sz="8" w:space="0" w:color="000000"/>
            </w:tcBorders>
            <w:shd w:val="clear" w:color="auto" w:fill="E7E6E6"/>
          </w:tcPr>
          <w:p>
            <w:pPr>
              <w:pStyle w:val="TableParagraph"/>
              <w:jc w:val="left"/>
              <w:rPr>
                <w:rFonts w:ascii="Times New Roman"/>
                <w:sz w:val="20"/>
              </w:rPr>
            </w:pPr>
          </w:p>
        </w:tc>
        <w:tc>
          <w:tcPr>
            <w:tcW w:w="1262" w:type="dxa"/>
            <w:tcBorders>
              <w:left w:val="single" w:sz="8" w:space="0" w:color="000000"/>
              <w:right w:val="single" w:sz="8" w:space="0" w:color="000000"/>
            </w:tcBorders>
            <w:shd w:val="clear" w:color="auto" w:fill="E7E6E6"/>
          </w:tcPr>
          <w:p>
            <w:pPr>
              <w:pStyle w:val="TableParagraph"/>
              <w:jc w:val="left"/>
              <w:rPr>
                <w:rFonts w:ascii="Times New Roman"/>
                <w:sz w:val="20"/>
              </w:rPr>
            </w:pPr>
          </w:p>
        </w:tc>
      </w:tr>
      <w:tr>
        <w:trPr>
          <w:trHeight w:val="456" w:hRule="atLeast"/>
        </w:trPr>
        <w:tc>
          <w:tcPr>
            <w:tcW w:w="1717" w:type="dxa"/>
            <w:shd w:val="clear" w:color="auto" w:fill="E7E6E6"/>
          </w:tcPr>
          <w:p>
            <w:pPr>
              <w:pStyle w:val="TableParagraph"/>
              <w:spacing w:before="103"/>
              <w:ind w:left="69"/>
              <w:jc w:val="left"/>
              <w:rPr>
                <w:sz w:val="21"/>
              </w:rPr>
            </w:pPr>
            <w:r>
              <w:rPr>
                <w:position w:val="2"/>
                <w:sz w:val="21"/>
              </w:rPr>
              <w:t>ME</w:t>
            </w:r>
            <w:r>
              <w:rPr>
                <w:sz w:val="14"/>
              </w:rPr>
              <w:t>90Q </w:t>
            </w:r>
            <w:r>
              <w:rPr>
                <w:position w:val="2"/>
                <w:sz w:val="21"/>
              </w:rPr>
              <w:t>tn</w:t>
            </w:r>
          </w:p>
        </w:tc>
        <w:tc>
          <w:tcPr>
            <w:tcW w:w="1832" w:type="dxa"/>
            <w:shd w:val="clear" w:color="auto" w:fill="E7E6E6"/>
          </w:tcPr>
          <w:p>
            <w:pPr>
              <w:pStyle w:val="TableParagraph"/>
              <w:spacing w:before="104"/>
              <w:ind w:right="220"/>
              <w:jc w:val="right"/>
              <w:rPr>
                <w:sz w:val="21"/>
              </w:rPr>
            </w:pPr>
            <w:r>
              <w:rPr>
                <w:sz w:val="21"/>
              </w:rPr>
              <w:t>2000-08</w:t>
            </w:r>
          </w:p>
        </w:tc>
        <w:tc>
          <w:tcPr>
            <w:tcW w:w="1552" w:type="dxa"/>
            <w:tcBorders>
              <w:right w:val="single" w:sz="4" w:space="0" w:color="000000"/>
            </w:tcBorders>
            <w:shd w:val="clear" w:color="auto" w:fill="E7E6E6"/>
          </w:tcPr>
          <w:p>
            <w:pPr>
              <w:pStyle w:val="TableParagraph"/>
              <w:spacing w:before="104"/>
              <w:ind w:left="529"/>
              <w:jc w:val="left"/>
              <w:rPr>
                <w:sz w:val="21"/>
              </w:rPr>
            </w:pPr>
            <w:r>
              <w:rPr>
                <w:sz w:val="21"/>
              </w:rPr>
              <w:t>-0.3</w:t>
            </w:r>
          </w:p>
        </w:tc>
        <w:tc>
          <w:tcPr>
            <w:tcW w:w="992" w:type="dxa"/>
            <w:tcBorders>
              <w:left w:val="single" w:sz="4" w:space="0" w:color="000000"/>
              <w:right w:val="single" w:sz="8" w:space="0" w:color="000000"/>
            </w:tcBorders>
            <w:shd w:val="clear" w:color="auto" w:fill="E7E6E6"/>
          </w:tcPr>
          <w:p>
            <w:pPr>
              <w:pStyle w:val="TableParagraph"/>
              <w:spacing w:before="104"/>
              <w:ind w:left="325" w:right="319"/>
              <w:rPr>
                <w:sz w:val="21"/>
              </w:rPr>
            </w:pPr>
            <w:r>
              <w:rPr>
                <w:sz w:val="21"/>
              </w:rPr>
              <w:t>1.0</w:t>
            </w:r>
          </w:p>
        </w:tc>
        <w:tc>
          <w:tcPr>
            <w:tcW w:w="1134" w:type="dxa"/>
            <w:tcBorders>
              <w:left w:val="single" w:sz="8" w:space="0" w:color="000000"/>
              <w:right w:val="single" w:sz="8" w:space="0" w:color="000000"/>
            </w:tcBorders>
            <w:shd w:val="clear" w:color="auto" w:fill="E7E6E6"/>
          </w:tcPr>
          <w:p>
            <w:pPr>
              <w:pStyle w:val="TableParagraph"/>
              <w:spacing w:before="104"/>
              <w:ind w:left="358" w:right="354"/>
              <w:rPr>
                <w:sz w:val="21"/>
              </w:rPr>
            </w:pPr>
            <w:r>
              <w:rPr>
                <w:sz w:val="21"/>
              </w:rPr>
              <w:t>-1.0</w:t>
            </w:r>
          </w:p>
        </w:tc>
        <w:tc>
          <w:tcPr>
            <w:tcW w:w="1262" w:type="dxa"/>
            <w:tcBorders>
              <w:left w:val="single" w:sz="8" w:space="0" w:color="000000"/>
              <w:right w:val="single" w:sz="8" w:space="0" w:color="000000"/>
            </w:tcBorders>
            <w:shd w:val="clear" w:color="auto" w:fill="E7E6E6"/>
          </w:tcPr>
          <w:p>
            <w:pPr>
              <w:pStyle w:val="TableParagraph"/>
              <w:spacing w:before="104"/>
              <w:ind w:left="424" w:right="415"/>
              <w:rPr>
                <w:sz w:val="21"/>
              </w:rPr>
            </w:pPr>
            <w:r>
              <w:rPr>
                <w:sz w:val="21"/>
              </w:rPr>
              <w:t>-0.4</w:t>
            </w:r>
          </w:p>
        </w:tc>
      </w:tr>
      <w:tr>
        <w:trPr>
          <w:trHeight w:val="452" w:hRule="atLeast"/>
        </w:trPr>
        <w:tc>
          <w:tcPr>
            <w:tcW w:w="1717" w:type="dxa"/>
            <w:shd w:val="clear" w:color="auto" w:fill="E7E6E6"/>
          </w:tcPr>
          <w:p>
            <w:pPr>
              <w:pStyle w:val="TableParagraph"/>
              <w:jc w:val="left"/>
              <w:rPr>
                <w:rFonts w:ascii="Times New Roman"/>
                <w:sz w:val="20"/>
              </w:rPr>
            </w:pPr>
          </w:p>
        </w:tc>
        <w:tc>
          <w:tcPr>
            <w:tcW w:w="1832" w:type="dxa"/>
            <w:shd w:val="clear" w:color="auto" w:fill="E7E6E6"/>
          </w:tcPr>
          <w:p>
            <w:pPr>
              <w:pStyle w:val="TableParagraph"/>
              <w:spacing w:before="101"/>
              <w:ind w:right="220"/>
              <w:jc w:val="right"/>
              <w:rPr>
                <w:sz w:val="21"/>
              </w:rPr>
            </w:pPr>
            <w:r>
              <w:rPr>
                <w:sz w:val="21"/>
              </w:rPr>
              <w:t>2009-15</w:t>
            </w:r>
          </w:p>
        </w:tc>
        <w:tc>
          <w:tcPr>
            <w:tcW w:w="1552" w:type="dxa"/>
            <w:tcBorders>
              <w:right w:val="single" w:sz="4" w:space="0" w:color="000000"/>
            </w:tcBorders>
            <w:shd w:val="clear" w:color="auto" w:fill="E7E6E6"/>
          </w:tcPr>
          <w:p>
            <w:pPr>
              <w:pStyle w:val="TableParagraph"/>
              <w:spacing w:before="101"/>
              <w:ind w:left="565"/>
              <w:jc w:val="left"/>
              <w:rPr>
                <w:sz w:val="21"/>
              </w:rPr>
            </w:pPr>
            <w:r>
              <w:rPr>
                <w:sz w:val="21"/>
              </w:rPr>
              <w:t>0.4</w:t>
            </w:r>
          </w:p>
        </w:tc>
        <w:tc>
          <w:tcPr>
            <w:tcW w:w="992" w:type="dxa"/>
            <w:tcBorders>
              <w:left w:val="single" w:sz="4" w:space="0" w:color="000000"/>
              <w:right w:val="single" w:sz="8" w:space="0" w:color="000000"/>
            </w:tcBorders>
            <w:shd w:val="clear" w:color="auto" w:fill="E7E6E6"/>
          </w:tcPr>
          <w:p>
            <w:pPr>
              <w:pStyle w:val="TableParagraph"/>
              <w:spacing w:before="101"/>
              <w:ind w:left="325" w:right="319"/>
              <w:rPr>
                <w:sz w:val="21"/>
              </w:rPr>
            </w:pPr>
            <w:r>
              <w:rPr>
                <w:sz w:val="21"/>
              </w:rPr>
              <w:t>2.5</w:t>
            </w:r>
          </w:p>
        </w:tc>
        <w:tc>
          <w:tcPr>
            <w:tcW w:w="1134" w:type="dxa"/>
            <w:tcBorders>
              <w:left w:val="single" w:sz="8" w:space="0" w:color="000000"/>
              <w:right w:val="single" w:sz="8" w:space="0" w:color="000000"/>
            </w:tcBorders>
            <w:shd w:val="clear" w:color="auto" w:fill="E7E6E6"/>
          </w:tcPr>
          <w:p>
            <w:pPr>
              <w:pStyle w:val="TableParagraph"/>
              <w:spacing w:before="101"/>
              <w:ind w:left="358" w:right="354"/>
              <w:rPr>
                <w:sz w:val="21"/>
              </w:rPr>
            </w:pPr>
            <w:r>
              <w:rPr>
                <w:sz w:val="21"/>
              </w:rPr>
              <w:t>-0.9</w:t>
            </w:r>
          </w:p>
        </w:tc>
        <w:tc>
          <w:tcPr>
            <w:tcW w:w="1262" w:type="dxa"/>
            <w:tcBorders>
              <w:left w:val="single" w:sz="8" w:space="0" w:color="000000"/>
              <w:right w:val="single" w:sz="8" w:space="0" w:color="000000"/>
            </w:tcBorders>
            <w:shd w:val="clear" w:color="auto" w:fill="E7E6E6"/>
          </w:tcPr>
          <w:p>
            <w:pPr>
              <w:pStyle w:val="TableParagraph"/>
              <w:spacing w:before="101"/>
              <w:ind w:left="424" w:right="413"/>
              <w:rPr>
                <w:sz w:val="21"/>
              </w:rPr>
            </w:pPr>
            <w:r>
              <w:rPr>
                <w:sz w:val="21"/>
              </w:rPr>
              <w:t>0.1</w:t>
            </w:r>
          </w:p>
        </w:tc>
      </w:tr>
      <w:tr>
        <w:trPr>
          <w:trHeight w:val="454" w:hRule="atLeast"/>
        </w:trPr>
        <w:tc>
          <w:tcPr>
            <w:tcW w:w="1717" w:type="dxa"/>
            <w:shd w:val="clear" w:color="auto" w:fill="E7E6E6"/>
          </w:tcPr>
          <w:p>
            <w:pPr>
              <w:pStyle w:val="TableParagraph"/>
              <w:jc w:val="left"/>
              <w:rPr>
                <w:rFonts w:ascii="Times New Roman"/>
                <w:sz w:val="20"/>
              </w:rPr>
            </w:pPr>
          </w:p>
        </w:tc>
        <w:tc>
          <w:tcPr>
            <w:tcW w:w="1832" w:type="dxa"/>
            <w:shd w:val="clear" w:color="auto" w:fill="E7E6E6"/>
          </w:tcPr>
          <w:p>
            <w:pPr>
              <w:pStyle w:val="TableParagraph"/>
              <w:spacing w:before="104"/>
              <w:ind w:right="366"/>
              <w:jc w:val="right"/>
              <w:rPr>
                <w:i/>
                <w:sz w:val="21"/>
              </w:rPr>
            </w:pPr>
            <w:r>
              <w:rPr>
                <w:i/>
                <w:color w:val="4471C4"/>
                <w:sz w:val="21"/>
              </w:rPr>
              <w:t>trend</w:t>
            </w:r>
          </w:p>
        </w:tc>
        <w:tc>
          <w:tcPr>
            <w:tcW w:w="1552" w:type="dxa"/>
            <w:tcBorders>
              <w:right w:val="single" w:sz="4" w:space="0" w:color="000000"/>
            </w:tcBorders>
            <w:shd w:val="clear" w:color="auto" w:fill="E7E6E6"/>
          </w:tcPr>
          <w:p>
            <w:pPr>
              <w:pStyle w:val="TableParagraph"/>
              <w:spacing w:before="104"/>
              <w:ind w:left="565"/>
              <w:jc w:val="left"/>
              <w:rPr>
                <w:b/>
                <w:i/>
                <w:sz w:val="21"/>
              </w:rPr>
            </w:pPr>
            <w:r>
              <w:rPr>
                <w:b/>
                <w:i/>
                <w:color w:val="4471C4"/>
                <w:sz w:val="21"/>
              </w:rPr>
              <w:t>0.7</w:t>
            </w:r>
          </w:p>
        </w:tc>
        <w:tc>
          <w:tcPr>
            <w:tcW w:w="992" w:type="dxa"/>
            <w:tcBorders>
              <w:left w:val="single" w:sz="4" w:space="0" w:color="000000"/>
              <w:right w:val="single" w:sz="8" w:space="0" w:color="000000"/>
            </w:tcBorders>
            <w:shd w:val="clear" w:color="auto" w:fill="E7E6E6"/>
          </w:tcPr>
          <w:p>
            <w:pPr>
              <w:pStyle w:val="TableParagraph"/>
              <w:spacing w:before="104"/>
              <w:ind w:left="325" w:right="319"/>
              <w:rPr>
                <w:b/>
                <w:i/>
                <w:sz w:val="21"/>
              </w:rPr>
            </w:pPr>
            <w:r>
              <w:rPr>
                <w:b/>
                <w:i/>
                <w:color w:val="4471C4"/>
                <w:sz w:val="21"/>
              </w:rPr>
              <w:t>1.5</w:t>
            </w:r>
          </w:p>
        </w:tc>
        <w:tc>
          <w:tcPr>
            <w:tcW w:w="1134" w:type="dxa"/>
            <w:tcBorders>
              <w:left w:val="single" w:sz="8" w:space="0" w:color="000000"/>
              <w:right w:val="single" w:sz="8" w:space="0" w:color="000000"/>
            </w:tcBorders>
            <w:shd w:val="clear" w:color="auto" w:fill="E7E6E6"/>
          </w:tcPr>
          <w:p>
            <w:pPr>
              <w:pStyle w:val="TableParagraph"/>
              <w:spacing w:before="104"/>
              <w:ind w:left="358" w:right="352"/>
              <w:rPr>
                <w:b/>
                <w:i/>
                <w:sz w:val="21"/>
              </w:rPr>
            </w:pPr>
            <w:r>
              <w:rPr>
                <w:b/>
                <w:i/>
                <w:color w:val="4471C4"/>
                <w:sz w:val="21"/>
              </w:rPr>
              <w:t>0.1</w:t>
            </w:r>
          </w:p>
        </w:tc>
        <w:tc>
          <w:tcPr>
            <w:tcW w:w="1262" w:type="dxa"/>
            <w:tcBorders>
              <w:left w:val="single" w:sz="8" w:space="0" w:color="000000"/>
              <w:right w:val="single" w:sz="8" w:space="0" w:color="000000"/>
            </w:tcBorders>
            <w:shd w:val="clear" w:color="auto" w:fill="E7E6E6"/>
          </w:tcPr>
          <w:p>
            <w:pPr>
              <w:pStyle w:val="TableParagraph"/>
              <w:spacing w:before="104"/>
              <w:ind w:left="424" w:right="413"/>
              <w:rPr>
                <w:b/>
                <w:i/>
                <w:sz w:val="21"/>
              </w:rPr>
            </w:pPr>
            <w:r>
              <w:rPr>
                <w:b/>
                <w:i/>
                <w:color w:val="4471C4"/>
                <w:sz w:val="21"/>
              </w:rPr>
              <w:t>0.5</w:t>
            </w:r>
          </w:p>
        </w:tc>
      </w:tr>
      <w:tr>
        <w:trPr>
          <w:trHeight w:val="407" w:hRule="atLeast"/>
        </w:trPr>
        <w:tc>
          <w:tcPr>
            <w:tcW w:w="1717" w:type="dxa"/>
            <w:shd w:val="clear" w:color="auto" w:fill="E7E6E6"/>
          </w:tcPr>
          <w:p>
            <w:pPr>
              <w:pStyle w:val="TableParagraph"/>
              <w:spacing w:before="103"/>
              <w:ind w:left="69"/>
              <w:jc w:val="left"/>
              <w:rPr>
                <w:b/>
                <w:sz w:val="21"/>
              </w:rPr>
            </w:pPr>
            <w:r>
              <w:rPr>
                <w:b/>
                <w:sz w:val="21"/>
              </w:rPr>
              <w:t>Odense Å</w:t>
            </w:r>
          </w:p>
        </w:tc>
        <w:tc>
          <w:tcPr>
            <w:tcW w:w="1832" w:type="dxa"/>
            <w:shd w:val="clear" w:color="auto" w:fill="E7E6E6"/>
          </w:tcPr>
          <w:p>
            <w:pPr>
              <w:pStyle w:val="TableParagraph"/>
              <w:jc w:val="left"/>
              <w:rPr>
                <w:rFonts w:ascii="Times New Roman"/>
                <w:sz w:val="20"/>
              </w:rPr>
            </w:pPr>
          </w:p>
        </w:tc>
        <w:tc>
          <w:tcPr>
            <w:tcW w:w="1552" w:type="dxa"/>
            <w:tcBorders>
              <w:right w:val="single" w:sz="4" w:space="0" w:color="000000"/>
            </w:tcBorders>
            <w:shd w:val="clear" w:color="auto" w:fill="E7E6E6"/>
          </w:tcPr>
          <w:p>
            <w:pPr>
              <w:pStyle w:val="TableParagraph"/>
              <w:jc w:val="left"/>
              <w:rPr>
                <w:rFonts w:ascii="Times New Roman"/>
                <w:sz w:val="20"/>
              </w:rPr>
            </w:pPr>
          </w:p>
        </w:tc>
        <w:tc>
          <w:tcPr>
            <w:tcW w:w="992" w:type="dxa"/>
            <w:tcBorders>
              <w:left w:val="single" w:sz="4" w:space="0" w:color="000000"/>
              <w:right w:val="single" w:sz="8" w:space="0" w:color="000000"/>
            </w:tcBorders>
            <w:shd w:val="clear" w:color="auto" w:fill="E7E6E6"/>
          </w:tcPr>
          <w:p>
            <w:pPr>
              <w:pStyle w:val="TableParagraph"/>
              <w:jc w:val="left"/>
              <w:rPr>
                <w:rFonts w:ascii="Times New Roman"/>
                <w:sz w:val="20"/>
              </w:rPr>
            </w:pPr>
          </w:p>
        </w:tc>
        <w:tc>
          <w:tcPr>
            <w:tcW w:w="1134" w:type="dxa"/>
            <w:tcBorders>
              <w:left w:val="single" w:sz="8" w:space="0" w:color="000000"/>
              <w:right w:val="single" w:sz="8" w:space="0" w:color="000000"/>
            </w:tcBorders>
            <w:shd w:val="clear" w:color="auto" w:fill="E7E6E6"/>
          </w:tcPr>
          <w:p>
            <w:pPr>
              <w:pStyle w:val="TableParagraph"/>
              <w:jc w:val="left"/>
              <w:rPr>
                <w:rFonts w:ascii="Times New Roman"/>
                <w:sz w:val="20"/>
              </w:rPr>
            </w:pPr>
          </w:p>
        </w:tc>
        <w:tc>
          <w:tcPr>
            <w:tcW w:w="1262" w:type="dxa"/>
            <w:tcBorders>
              <w:left w:val="single" w:sz="8" w:space="0" w:color="000000"/>
              <w:right w:val="single" w:sz="8" w:space="0" w:color="000000"/>
            </w:tcBorders>
            <w:shd w:val="clear" w:color="auto" w:fill="E7E6E6"/>
          </w:tcPr>
          <w:p>
            <w:pPr>
              <w:pStyle w:val="TableParagraph"/>
              <w:jc w:val="left"/>
              <w:rPr>
                <w:rFonts w:ascii="Times New Roman"/>
                <w:sz w:val="20"/>
              </w:rPr>
            </w:pPr>
          </w:p>
        </w:tc>
      </w:tr>
      <w:tr>
        <w:trPr>
          <w:trHeight w:val="462" w:hRule="atLeast"/>
        </w:trPr>
        <w:tc>
          <w:tcPr>
            <w:tcW w:w="1717" w:type="dxa"/>
            <w:shd w:val="clear" w:color="auto" w:fill="E7E6E6"/>
          </w:tcPr>
          <w:p>
            <w:pPr>
              <w:pStyle w:val="TableParagraph"/>
              <w:spacing w:before="55"/>
              <w:ind w:left="69"/>
              <w:jc w:val="left"/>
              <w:rPr>
                <w:sz w:val="21"/>
              </w:rPr>
            </w:pPr>
            <w:r>
              <w:rPr>
                <w:position w:val="2"/>
                <w:sz w:val="21"/>
              </w:rPr>
              <w:t>ME</w:t>
            </w:r>
            <w:r>
              <w:rPr>
                <w:sz w:val="14"/>
              </w:rPr>
              <w:t>90Q </w:t>
            </w:r>
            <w:r>
              <w:rPr>
                <w:position w:val="2"/>
                <w:sz w:val="21"/>
              </w:rPr>
              <w:t>tn</w:t>
            </w:r>
          </w:p>
        </w:tc>
        <w:tc>
          <w:tcPr>
            <w:tcW w:w="1832" w:type="dxa"/>
            <w:shd w:val="clear" w:color="auto" w:fill="E7E6E6"/>
          </w:tcPr>
          <w:p>
            <w:pPr>
              <w:pStyle w:val="TableParagraph"/>
              <w:spacing w:before="56"/>
              <w:ind w:right="220"/>
              <w:jc w:val="right"/>
              <w:rPr>
                <w:i/>
                <w:sz w:val="21"/>
              </w:rPr>
            </w:pPr>
            <w:r>
              <w:rPr>
                <w:i/>
                <w:sz w:val="21"/>
              </w:rPr>
              <w:t>2000-08</w:t>
            </w:r>
          </w:p>
        </w:tc>
        <w:tc>
          <w:tcPr>
            <w:tcW w:w="1552" w:type="dxa"/>
            <w:tcBorders>
              <w:right w:val="single" w:sz="4" w:space="0" w:color="000000"/>
            </w:tcBorders>
            <w:shd w:val="clear" w:color="auto" w:fill="E7E6E6"/>
          </w:tcPr>
          <w:p>
            <w:pPr>
              <w:pStyle w:val="TableParagraph"/>
              <w:spacing w:before="164"/>
              <w:ind w:left="565"/>
              <w:jc w:val="left"/>
              <w:rPr>
                <w:sz w:val="21"/>
              </w:rPr>
            </w:pPr>
            <w:r>
              <w:rPr>
                <w:sz w:val="21"/>
              </w:rPr>
              <w:t>0.5</w:t>
            </w:r>
          </w:p>
        </w:tc>
        <w:tc>
          <w:tcPr>
            <w:tcW w:w="992" w:type="dxa"/>
            <w:tcBorders>
              <w:left w:val="single" w:sz="4" w:space="0" w:color="000000"/>
              <w:right w:val="single" w:sz="8" w:space="0" w:color="000000"/>
            </w:tcBorders>
            <w:shd w:val="clear" w:color="auto" w:fill="E7E6E6"/>
          </w:tcPr>
          <w:p>
            <w:pPr>
              <w:pStyle w:val="TableParagraph"/>
              <w:spacing w:before="164"/>
              <w:ind w:left="325" w:right="319"/>
              <w:rPr>
                <w:sz w:val="21"/>
              </w:rPr>
            </w:pPr>
            <w:r>
              <w:rPr>
                <w:sz w:val="21"/>
              </w:rPr>
              <w:t>0.0</w:t>
            </w:r>
          </w:p>
        </w:tc>
        <w:tc>
          <w:tcPr>
            <w:tcW w:w="1134" w:type="dxa"/>
            <w:tcBorders>
              <w:left w:val="single" w:sz="8" w:space="0" w:color="000000"/>
              <w:right w:val="single" w:sz="8" w:space="0" w:color="000000"/>
            </w:tcBorders>
            <w:shd w:val="clear" w:color="auto" w:fill="E7E6E6"/>
          </w:tcPr>
          <w:p>
            <w:pPr>
              <w:pStyle w:val="TableParagraph"/>
              <w:spacing w:before="56"/>
              <w:ind w:left="358" w:right="354"/>
              <w:rPr>
                <w:sz w:val="21"/>
              </w:rPr>
            </w:pPr>
            <w:r>
              <w:rPr>
                <w:sz w:val="21"/>
              </w:rPr>
              <w:t>-1.2</w:t>
            </w:r>
          </w:p>
        </w:tc>
        <w:tc>
          <w:tcPr>
            <w:tcW w:w="1262" w:type="dxa"/>
            <w:tcBorders>
              <w:left w:val="single" w:sz="8" w:space="0" w:color="000000"/>
              <w:right w:val="single" w:sz="8" w:space="0" w:color="000000"/>
            </w:tcBorders>
            <w:shd w:val="clear" w:color="auto" w:fill="E7E6E6"/>
          </w:tcPr>
          <w:p>
            <w:pPr>
              <w:pStyle w:val="TableParagraph"/>
              <w:spacing w:before="56"/>
              <w:ind w:left="424" w:right="415"/>
              <w:rPr>
                <w:sz w:val="21"/>
              </w:rPr>
            </w:pPr>
            <w:r>
              <w:rPr>
                <w:sz w:val="21"/>
              </w:rPr>
              <w:t>-1.1</w:t>
            </w:r>
          </w:p>
        </w:tc>
      </w:tr>
      <w:tr>
        <w:trPr>
          <w:trHeight w:val="453" w:hRule="atLeast"/>
        </w:trPr>
        <w:tc>
          <w:tcPr>
            <w:tcW w:w="1717" w:type="dxa"/>
            <w:shd w:val="clear" w:color="auto" w:fill="E7E6E6"/>
          </w:tcPr>
          <w:p>
            <w:pPr>
              <w:pStyle w:val="TableParagraph"/>
              <w:jc w:val="left"/>
              <w:rPr>
                <w:rFonts w:ascii="Times New Roman"/>
                <w:sz w:val="20"/>
              </w:rPr>
            </w:pPr>
          </w:p>
        </w:tc>
        <w:tc>
          <w:tcPr>
            <w:tcW w:w="1832" w:type="dxa"/>
            <w:shd w:val="clear" w:color="auto" w:fill="E7E6E6"/>
          </w:tcPr>
          <w:p>
            <w:pPr>
              <w:pStyle w:val="TableParagraph"/>
              <w:spacing w:before="50"/>
              <w:ind w:right="220"/>
              <w:jc w:val="right"/>
              <w:rPr>
                <w:i/>
                <w:sz w:val="21"/>
              </w:rPr>
            </w:pPr>
            <w:r>
              <w:rPr>
                <w:i/>
                <w:sz w:val="21"/>
              </w:rPr>
              <w:t>2009-15</w:t>
            </w:r>
          </w:p>
        </w:tc>
        <w:tc>
          <w:tcPr>
            <w:tcW w:w="1552" w:type="dxa"/>
            <w:tcBorders>
              <w:right w:val="single" w:sz="4" w:space="0" w:color="000000"/>
            </w:tcBorders>
            <w:shd w:val="clear" w:color="auto" w:fill="E7E6E6"/>
          </w:tcPr>
          <w:p>
            <w:pPr>
              <w:pStyle w:val="TableParagraph"/>
              <w:spacing w:before="156"/>
              <w:ind w:left="565"/>
              <w:jc w:val="left"/>
              <w:rPr>
                <w:sz w:val="21"/>
              </w:rPr>
            </w:pPr>
            <w:r>
              <w:rPr>
                <w:sz w:val="21"/>
              </w:rPr>
              <w:t>0.7</w:t>
            </w:r>
          </w:p>
        </w:tc>
        <w:tc>
          <w:tcPr>
            <w:tcW w:w="992" w:type="dxa"/>
            <w:tcBorders>
              <w:left w:val="single" w:sz="4" w:space="0" w:color="000000"/>
              <w:right w:val="single" w:sz="8" w:space="0" w:color="000000"/>
            </w:tcBorders>
            <w:shd w:val="clear" w:color="auto" w:fill="E7E6E6"/>
          </w:tcPr>
          <w:p>
            <w:pPr>
              <w:pStyle w:val="TableParagraph"/>
              <w:spacing w:before="156"/>
              <w:ind w:left="325" w:right="319"/>
              <w:rPr>
                <w:sz w:val="21"/>
              </w:rPr>
            </w:pPr>
            <w:r>
              <w:rPr>
                <w:sz w:val="21"/>
              </w:rPr>
              <w:t>0.8</w:t>
            </w:r>
          </w:p>
        </w:tc>
        <w:tc>
          <w:tcPr>
            <w:tcW w:w="1134" w:type="dxa"/>
            <w:tcBorders>
              <w:left w:val="single" w:sz="8" w:space="0" w:color="000000"/>
              <w:right w:val="single" w:sz="8" w:space="0" w:color="000000"/>
            </w:tcBorders>
            <w:shd w:val="clear" w:color="auto" w:fill="E7E6E6"/>
          </w:tcPr>
          <w:p>
            <w:pPr>
              <w:pStyle w:val="TableParagraph"/>
              <w:spacing w:before="50"/>
              <w:ind w:left="358" w:right="354"/>
              <w:rPr>
                <w:sz w:val="21"/>
              </w:rPr>
            </w:pPr>
            <w:r>
              <w:rPr>
                <w:sz w:val="21"/>
              </w:rPr>
              <w:t>-0.9</w:t>
            </w:r>
          </w:p>
        </w:tc>
        <w:tc>
          <w:tcPr>
            <w:tcW w:w="1262" w:type="dxa"/>
            <w:tcBorders>
              <w:left w:val="single" w:sz="8" w:space="0" w:color="000000"/>
              <w:right w:val="single" w:sz="8" w:space="0" w:color="000000"/>
            </w:tcBorders>
            <w:shd w:val="clear" w:color="auto" w:fill="E7E6E6"/>
          </w:tcPr>
          <w:p>
            <w:pPr>
              <w:pStyle w:val="TableParagraph"/>
              <w:spacing w:before="50"/>
              <w:ind w:left="424" w:right="415"/>
              <w:rPr>
                <w:sz w:val="21"/>
              </w:rPr>
            </w:pPr>
            <w:r>
              <w:rPr>
                <w:sz w:val="21"/>
              </w:rPr>
              <w:t>-0.7</w:t>
            </w:r>
          </w:p>
        </w:tc>
      </w:tr>
      <w:tr>
        <w:trPr>
          <w:trHeight w:val="508" w:hRule="atLeast"/>
        </w:trPr>
        <w:tc>
          <w:tcPr>
            <w:tcW w:w="1717" w:type="dxa"/>
            <w:shd w:val="clear" w:color="auto" w:fill="E7E6E6"/>
          </w:tcPr>
          <w:p>
            <w:pPr>
              <w:pStyle w:val="TableParagraph"/>
              <w:jc w:val="left"/>
              <w:rPr>
                <w:rFonts w:ascii="Times New Roman"/>
                <w:sz w:val="20"/>
              </w:rPr>
            </w:pPr>
          </w:p>
        </w:tc>
        <w:tc>
          <w:tcPr>
            <w:tcW w:w="1832" w:type="dxa"/>
            <w:shd w:val="clear" w:color="auto" w:fill="E7E6E6"/>
          </w:tcPr>
          <w:p>
            <w:pPr>
              <w:pStyle w:val="TableParagraph"/>
              <w:spacing w:before="50"/>
              <w:ind w:right="366"/>
              <w:jc w:val="right"/>
              <w:rPr>
                <w:i/>
                <w:sz w:val="21"/>
              </w:rPr>
            </w:pPr>
            <w:r>
              <w:rPr>
                <w:i/>
                <w:color w:val="4471C4"/>
                <w:sz w:val="21"/>
              </w:rPr>
              <w:t>trend</w:t>
            </w:r>
          </w:p>
        </w:tc>
        <w:tc>
          <w:tcPr>
            <w:tcW w:w="1552" w:type="dxa"/>
            <w:tcBorders>
              <w:right w:val="single" w:sz="4" w:space="0" w:color="000000"/>
            </w:tcBorders>
            <w:shd w:val="clear" w:color="auto" w:fill="E7E6E6"/>
          </w:tcPr>
          <w:p>
            <w:pPr>
              <w:pStyle w:val="TableParagraph"/>
              <w:spacing w:before="50"/>
              <w:ind w:left="565"/>
              <w:jc w:val="left"/>
              <w:rPr>
                <w:b/>
                <w:i/>
                <w:sz w:val="21"/>
              </w:rPr>
            </w:pPr>
            <w:r>
              <w:rPr>
                <w:b/>
                <w:i/>
                <w:color w:val="4471C4"/>
                <w:sz w:val="21"/>
              </w:rPr>
              <w:t>0.2</w:t>
            </w:r>
          </w:p>
        </w:tc>
        <w:tc>
          <w:tcPr>
            <w:tcW w:w="992" w:type="dxa"/>
            <w:tcBorders>
              <w:left w:val="single" w:sz="4" w:space="0" w:color="000000"/>
              <w:right w:val="single" w:sz="8" w:space="0" w:color="000000"/>
            </w:tcBorders>
            <w:shd w:val="clear" w:color="auto" w:fill="E7E6E6"/>
          </w:tcPr>
          <w:p>
            <w:pPr>
              <w:pStyle w:val="TableParagraph"/>
              <w:spacing w:before="50"/>
              <w:ind w:left="325" w:right="319"/>
              <w:rPr>
                <w:b/>
                <w:i/>
                <w:sz w:val="21"/>
              </w:rPr>
            </w:pPr>
            <w:r>
              <w:rPr>
                <w:b/>
                <w:i/>
                <w:color w:val="4471C4"/>
                <w:sz w:val="21"/>
              </w:rPr>
              <w:t>0.8</w:t>
            </w:r>
          </w:p>
        </w:tc>
        <w:tc>
          <w:tcPr>
            <w:tcW w:w="1134" w:type="dxa"/>
            <w:tcBorders>
              <w:left w:val="single" w:sz="8" w:space="0" w:color="000000"/>
              <w:right w:val="single" w:sz="8" w:space="0" w:color="000000"/>
            </w:tcBorders>
            <w:shd w:val="clear" w:color="auto" w:fill="E7E6E6"/>
          </w:tcPr>
          <w:p>
            <w:pPr>
              <w:pStyle w:val="TableParagraph"/>
              <w:spacing w:before="50"/>
              <w:ind w:left="358" w:right="352"/>
              <w:rPr>
                <w:b/>
                <w:i/>
                <w:sz w:val="21"/>
              </w:rPr>
            </w:pPr>
            <w:r>
              <w:rPr>
                <w:b/>
                <w:i/>
                <w:color w:val="4471C4"/>
                <w:sz w:val="21"/>
              </w:rPr>
              <w:t>0.3</w:t>
            </w:r>
          </w:p>
        </w:tc>
        <w:tc>
          <w:tcPr>
            <w:tcW w:w="1262" w:type="dxa"/>
            <w:tcBorders>
              <w:left w:val="single" w:sz="8" w:space="0" w:color="000000"/>
              <w:right w:val="single" w:sz="8" w:space="0" w:color="000000"/>
            </w:tcBorders>
            <w:shd w:val="clear" w:color="auto" w:fill="E7E6E6"/>
          </w:tcPr>
          <w:p>
            <w:pPr>
              <w:pStyle w:val="TableParagraph"/>
              <w:spacing w:before="50"/>
              <w:ind w:left="424" w:right="413"/>
              <w:rPr>
                <w:b/>
                <w:i/>
                <w:sz w:val="21"/>
              </w:rPr>
            </w:pPr>
            <w:r>
              <w:rPr>
                <w:b/>
                <w:i/>
                <w:color w:val="4471C4"/>
                <w:sz w:val="21"/>
              </w:rPr>
              <w:t>0.4</w:t>
            </w:r>
          </w:p>
        </w:tc>
      </w:tr>
    </w:tbl>
    <w:p>
      <w:pPr>
        <w:pStyle w:val="BodyText"/>
        <w:spacing w:before="7"/>
        <w:rPr>
          <w:rFonts w:ascii="Calibri"/>
          <w:i/>
          <w:sz w:val="23"/>
        </w:rPr>
      </w:pPr>
    </w:p>
    <w:p>
      <w:pPr>
        <w:pStyle w:val="BodyText"/>
        <w:spacing w:line="288" w:lineRule="auto"/>
        <w:ind w:left="525" w:right="728"/>
        <w:jc w:val="both"/>
      </w:pPr>
      <w:r>
        <w:rPr/>
        <w:t>Ser</w:t>
      </w:r>
      <w:r>
        <w:rPr>
          <w:spacing w:val="-12"/>
        </w:rPr>
        <w:t> </w:t>
      </w:r>
      <w:r>
        <w:rPr/>
        <w:t>man</w:t>
      </w:r>
      <w:r>
        <w:rPr>
          <w:spacing w:val="-9"/>
        </w:rPr>
        <w:t> </w:t>
      </w:r>
      <w:r>
        <w:rPr/>
        <w:t>på</w:t>
      </w:r>
      <w:r>
        <w:rPr>
          <w:spacing w:val="-9"/>
        </w:rPr>
        <w:t> </w:t>
      </w:r>
      <w:r>
        <w:rPr/>
        <w:t>regionens</w:t>
      </w:r>
      <w:r>
        <w:rPr>
          <w:spacing w:val="-10"/>
        </w:rPr>
        <w:t> </w:t>
      </w:r>
      <w:r>
        <w:rPr/>
        <w:t>data</w:t>
      </w:r>
      <w:r>
        <w:rPr>
          <w:spacing w:val="-9"/>
        </w:rPr>
        <w:t> </w:t>
      </w:r>
      <w:r>
        <w:rPr/>
        <w:t>alene</w:t>
      </w:r>
      <w:r>
        <w:rPr>
          <w:spacing w:val="-9"/>
        </w:rPr>
        <w:t> </w:t>
      </w:r>
      <w:r>
        <w:rPr/>
        <w:t>(som</w:t>
      </w:r>
      <w:r>
        <w:rPr>
          <w:spacing w:val="-9"/>
        </w:rPr>
        <w:t> </w:t>
      </w:r>
      <w:r>
        <w:rPr/>
        <w:t>i</w:t>
      </w:r>
      <w:r>
        <w:rPr>
          <w:spacing w:val="-9"/>
        </w:rPr>
        <w:t> </w:t>
      </w:r>
      <w:r>
        <w:rPr/>
        <w:t>højere</w:t>
      </w:r>
      <w:r>
        <w:rPr>
          <w:spacing w:val="-9"/>
        </w:rPr>
        <w:t> </w:t>
      </w:r>
      <w:r>
        <w:rPr/>
        <w:t>grad</w:t>
      </w:r>
      <w:r>
        <w:rPr>
          <w:spacing w:val="-11"/>
        </w:rPr>
        <w:t> </w:t>
      </w:r>
      <w:r>
        <w:rPr/>
        <w:t>må</w:t>
      </w:r>
      <w:r>
        <w:rPr>
          <w:spacing w:val="-9"/>
        </w:rPr>
        <w:t> </w:t>
      </w:r>
      <w:r>
        <w:rPr/>
        <w:t>formodes</w:t>
      </w:r>
      <w:r>
        <w:rPr>
          <w:spacing w:val="-9"/>
        </w:rPr>
        <w:t> </w:t>
      </w:r>
      <w:r>
        <w:rPr/>
        <w:t>at</w:t>
      </w:r>
      <w:r>
        <w:rPr>
          <w:spacing w:val="-10"/>
        </w:rPr>
        <w:t> </w:t>
      </w:r>
      <w:r>
        <w:rPr/>
        <w:t>stamme</w:t>
      </w:r>
      <w:r>
        <w:rPr>
          <w:spacing w:val="-11"/>
        </w:rPr>
        <w:t> </w:t>
      </w:r>
      <w:r>
        <w:rPr/>
        <w:t>fra</w:t>
      </w:r>
      <w:r>
        <w:rPr>
          <w:spacing w:val="-9"/>
        </w:rPr>
        <w:t> </w:t>
      </w:r>
      <w:r>
        <w:rPr/>
        <w:t>byområder) noteres for Storå en trend på 1.5 m, der ikke kan gøres rede for med modellen eller ca. 15- 20</w:t>
      </w:r>
      <w:r>
        <w:rPr>
          <w:spacing w:val="-7"/>
        </w:rPr>
        <w:t> </w:t>
      </w:r>
      <w:r>
        <w:rPr/>
        <w:t>cm</w:t>
      </w:r>
      <w:r>
        <w:rPr>
          <w:spacing w:val="-6"/>
        </w:rPr>
        <w:t> </w:t>
      </w:r>
      <w:r>
        <w:rPr/>
        <w:t>pr.</w:t>
      </w:r>
      <w:r>
        <w:rPr>
          <w:spacing w:val="-9"/>
        </w:rPr>
        <w:t> </w:t>
      </w:r>
      <w:r>
        <w:rPr/>
        <w:t>år.</w:t>
      </w:r>
      <w:r>
        <w:rPr>
          <w:spacing w:val="-9"/>
        </w:rPr>
        <w:t> </w:t>
      </w:r>
      <w:r>
        <w:rPr/>
        <w:t>For</w:t>
      </w:r>
      <w:r>
        <w:rPr>
          <w:spacing w:val="-7"/>
        </w:rPr>
        <w:t> </w:t>
      </w:r>
      <w:r>
        <w:rPr/>
        <w:t>Odense</w:t>
      </w:r>
      <w:r>
        <w:rPr>
          <w:spacing w:val="-5"/>
        </w:rPr>
        <w:t> </w:t>
      </w:r>
      <w:r>
        <w:rPr/>
        <w:t>Å</w:t>
      </w:r>
      <w:r>
        <w:rPr>
          <w:spacing w:val="-7"/>
        </w:rPr>
        <w:t> </w:t>
      </w:r>
      <w:r>
        <w:rPr/>
        <w:t>er</w:t>
      </w:r>
      <w:r>
        <w:rPr>
          <w:spacing w:val="-7"/>
        </w:rPr>
        <w:t> </w:t>
      </w:r>
      <w:r>
        <w:rPr/>
        <w:t>den</w:t>
      </w:r>
      <w:r>
        <w:rPr>
          <w:spacing w:val="-7"/>
        </w:rPr>
        <w:t> </w:t>
      </w:r>
      <w:r>
        <w:rPr/>
        <w:t>tilsvarende</w:t>
      </w:r>
      <w:r>
        <w:rPr>
          <w:spacing w:val="-7"/>
        </w:rPr>
        <w:t> </w:t>
      </w:r>
      <w:r>
        <w:rPr/>
        <w:t>trend</w:t>
      </w:r>
      <w:r>
        <w:rPr>
          <w:spacing w:val="-7"/>
        </w:rPr>
        <w:t> </w:t>
      </w:r>
      <w:r>
        <w:rPr/>
        <w:t>hhv.</w:t>
      </w:r>
      <w:r>
        <w:rPr>
          <w:spacing w:val="-7"/>
        </w:rPr>
        <w:t> </w:t>
      </w:r>
      <w:r>
        <w:rPr/>
        <w:t>0.02-0.03</w:t>
      </w:r>
      <w:r>
        <w:rPr>
          <w:spacing w:val="-7"/>
        </w:rPr>
        <w:t> </w:t>
      </w:r>
      <w:r>
        <w:rPr/>
        <w:t>cm</w:t>
      </w:r>
      <w:r>
        <w:rPr>
          <w:spacing w:val="-6"/>
        </w:rPr>
        <w:t> </w:t>
      </w:r>
      <w:r>
        <w:rPr/>
        <w:t>pr</w:t>
      </w:r>
      <w:r>
        <w:rPr>
          <w:spacing w:val="-8"/>
        </w:rPr>
        <w:t> </w:t>
      </w:r>
      <w:r>
        <w:rPr/>
        <w:t>år</w:t>
      </w:r>
      <w:r>
        <w:rPr>
          <w:spacing w:val="-7"/>
        </w:rPr>
        <w:t> </w:t>
      </w:r>
      <w:r>
        <w:rPr/>
        <w:t>og</w:t>
      </w:r>
      <w:r>
        <w:rPr>
          <w:spacing w:val="-5"/>
        </w:rPr>
        <w:t> </w:t>
      </w:r>
      <w:r>
        <w:rPr/>
        <w:t>0.05-0.10</w:t>
      </w:r>
      <w:r>
        <w:rPr>
          <w:spacing w:val="-9"/>
        </w:rPr>
        <w:t> </w:t>
      </w:r>
      <w:r>
        <w:rPr/>
        <w:t>cm</w:t>
      </w:r>
    </w:p>
    <w:p>
      <w:pPr>
        <w:spacing w:after="0" w:line="288" w:lineRule="auto"/>
        <w:jc w:val="both"/>
        <w:sectPr>
          <w:pgSz w:w="11910" w:h="16850"/>
          <w:pgMar w:header="0" w:footer="857" w:top="1340" w:bottom="1040" w:left="1460" w:right="680"/>
        </w:sectPr>
      </w:pPr>
    </w:p>
    <w:p>
      <w:pPr>
        <w:pStyle w:val="BodyText"/>
        <w:spacing w:line="288" w:lineRule="auto" w:before="75"/>
        <w:ind w:left="525" w:right="731"/>
        <w:jc w:val="both"/>
      </w:pPr>
      <w:r>
        <w:rPr/>
        <w:t>pr. år. Omtrent sammen tendens ses også i 100 m JUP modellen og 500 m JUP+REG mo- dellen. Til højre i tabel A2.1 er resultater fra DK model vist.</w:t>
      </w:r>
    </w:p>
    <w:p>
      <w:pPr>
        <w:pStyle w:val="BodyText"/>
        <w:spacing w:before="2"/>
        <w:rPr>
          <w:sz w:val="25"/>
        </w:rPr>
      </w:pPr>
    </w:p>
    <w:p>
      <w:pPr>
        <w:pStyle w:val="BodyText"/>
        <w:spacing w:line="288" w:lineRule="auto"/>
        <w:ind w:left="525" w:right="729"/>
        <w:jc w:val="both"/>
      </w:pPr>
      <w:r>
        <w:rPr/>
        <w:t>Resultater</w:t>
      </w:r>
      <w:r>
        <w:rPr>
          <w:spacing w:val="-17"/>
        </w:rPr>
        <w:t> </w:t>
      </w:r>
      <w:r>
        <w:rPr/>
        <w:t>indikerer</w:t>
      </w:r>
      <w:r>
        <w:rPr>
          <w:spacing w:val="-17"/>
        </w:rPr>
        <w:t> </w:t>
      </w:r>
      <w:r>
        <w:rPr/>
        <w:t>at</w:t>
      </w:r>
      <w:r>
        <w:rPr>
          <w:spacing w:val="-16"/>
        </w:rPr>
        <w:t> </w:t>
      </w:r>
      <w:r>
        <w:rPr/>
        <w:t>Regionspejlinger</w:t>
      </w:r>
      <w:r>
        <w:rPr>
          <w:spacing w:val="-16"/>
        </w:rPr>
        <w:t> </w:t>
      </w:r>
      <w:r>
        <w:rPr/>
        <w:t>(byområder)</w:t>
      </w:r>
      <w:r>
        <w:rPr>
          <w:spacing w:val="-16"/>
        </w:rPr>
        <w:t> </w:t>
      </w:r>
      <w:r>
        <w:rPr/>
        <w:t>har</w:t>
      </w:r>
      <w:r>
        <w:rPr>
          <w:spacing w:val="-16"/>
        </w:rPr>
        <w:t> </w:t>
      </w:r>
      <w:r>
        <w:rPr/>
        <w:t>større</w:t>
      </w:r>
      <w:r>
        <w:rPr>
          <w:spacing w:val="-13"/>
        </w:rPr>
        <w:t> </w:t>
      </w:r>
      <w:r>
        <w:rPr/>
        <w:t>trend</w:t>
      </w:r>
      <w:r>
        <w:rPr>
          <w:spacing w:val="-15"/>
        </w:rPr>
        <w:t> </w:t>
      </w:r>
      <w:r>
        <w:rPr/>
        <w:t>end</w:t>
      </w:r>
      <w:r>
        <w:rPr>
          <w:spacing w:val="-15"/>
        </w:rPr>
        <w:t> </w:t>
      </w:r>
      <w:r>
        <w:rPr/>
        <w:t>JUPITER</w:t>
      </w:r>
      <w:r>
        <w:rPr>
          <w:spacing w:val="-15"/>
        </w:rPr>
        <w:t> </w:t>
      </w:r>
      <w:r>
        <w:rPr/>
        <w:t>pejlinger, og kan skyldes ændrede urbane forhold, der ikke er beskrevet i modellen. 100 m model og DK model udviser i store træk samme ’trend’. Det er dog ikke muligt at vurdere, om trenden er signifikant, og trenden kan evt. skyldes intial betingelser og at pejledata ikke har fra de samme pejleboringer for hhv. kalibrerings- og valideringsperioden. Resultater tyder dog på at</w:t>
      </w:r>
      <w:r>
        <w:rPr>
          <w:spacing w:val="-14"/>
        </w:rPr>
        <w:t> </w:t>
      </w:r>
      <w:r>
        <w:rPr/>
        <w:t>forskellen</w:t>
      </w:r>
      <w:r>
        <w:rPr>
          <w:spacing w:val="-14"/>
        </w:rPr>
        <w:t> </w:t>
      </w:r>
      <w:r>
        <w:rPr/>
        <w:t>mellem</w:t>
      </w:r>
      <w:r>
        <w:rPr>
          <w:spacing w:val="-11"/>
        </w:rPr>
        <w:t> </w:t>
      </w:r>
      <w:r>
        <w:rPr/>
        <w:t>observerede</w:t>
      </w:r>
      <w:r>
        <w:rPr>
          <w:spacing w:val="-12"/>
        </w:rPr>
        <w:t> </w:t>
      </w:r>
      <w:r>
        <w:rPr/>
        <w:t>pejlinger</w:t>
      </w:r>
      <w:r>
        <w:rPr>
          <w:spacing w:val="-12"/>
        </w:rPr>
        <w:t> </w:t>
      </w:r>
      <w:r>
        <w:rPr/>
        <w:t>minus</w:t>
      </w:r>
      <w:r>
        <w:rPr>
          <w:spacing w:val="-15"/>
        </w:rPr>
        <w:t> </w:t>
      </w:r>
      <w:r>
        <w:rPr/>
        <w:t>modelsimulerede</w:t>
      </w:r>
      <w:r>
        <w:rPr>
          <w:spacing w:val="-11"/>
        </w:rPr>
        <w:t> </w:t>
      </w:r>
      <w:r>
        <w:rPr/>
        <w:t>pejlinger</w:t>
      </w:r>
      <w:r>
        <w:rPr>
          <w:spacing w:val="-12"/>
        </w:rPr>
        <w:t> </w:t>
      </w:r>
      <w:r>
        <w:rPr/>
        <w:t>udviser</w:t>
      </w:r>
      <w:r>
        <w:rPr>
          <w:spacing w:val="-13"/>
        </w:rPr>
        <w:t> </w:t>
      </w:r>
      <w:r>
        <w:rPr/>
        <w:t>en</w:t>
      </w:r>
      <w:r>
        <w:rPr>
          <w:spacing w:val="-11"/>
        </w:rPr>
        <w:t> </w:t>
      </w:r>
      <w:r>
        <w:rPr/>
        <w:t>svag positiv trend, altså at forskellen mellem målt og simuleret trykniveau i valideringsperioden</w:t>
      </w:r>
      <w:r>
        <w:rPr>
          <w:spacing w:val="-41"/>
        </w:rPr>
        <w:t> </w:t>
      </w:r>
      <w:r>
        <w:rPr/>
        <w:t>er lidt højere i forhold til kalibreringsperioden. Det skyldes enten at inputdata (f.eks. nedbøren) er</w:t>
      </w:r>
      <w:r>
        <w:rPr>
          <w:spacing w:val="-14"/>
        </w:rPr>
        <w:t> </w:t>
      </w:r>
      <w:r>
        <w:rPr/>
        <w:t>undervurderet</w:t>
      </w:r>
      <w:r>
        <w:rPr>
          <w:spacing w:val="-16"/>
        </w:rPr>
        <w:t> </w:t>
      </w:r>
      <w:r>
        <w:rPr/>
        <w:t>i</w:t>
      </w:r>
      <w:r>
        <w:rPr>
          <w:spacing w:val="-12"/>
        </w:rPr>
        <w:t> </w:t>
      </w:r>
      <w:r>
        <w:rPr/>
        <w:t>valideringsperioden,</w:t>
      </w:r>
      <w:r>
        <w:rPr>
          <w:spacing w:val="-13"/>
        </w:rPr>
        <w:t> </w:t>
      </w:r>
      <w:r>
        <w:rPr/>
        <w:t>at</w:t>
      </w:r>
      <w:r>
        <w:rPr>
          <w:spacing w:val="-16"/>
        </w:rPr>
        <w:t> </w:t>
      </w:r>
      <w:r>
        <w:rPr/>
        <w:t>modelstrukturforhold</w:t>
      </w:r>
      <w:r>
        <w:rPr>
          <w:spacing w:val="-13"/>
        </w:rPr>
        <w:t> </w:t>
      </w:r>
      <w:r>
        <w:rPr/>
        <w:t>f.eks.</w:t>
      </w:r>
      <w:r>
        <w:rPr>
          <w:spacing w:val="-13"/>
        </w:rPr>
        <w:t> </w:t>
      </w:r>
      <w:r>
        <w:rPr/>
        <w:t>befæstede</w:t>
      </w:r>
      <w:r>
        <w:rPr>
          <w:spacing w:val="-13"/>
        </w:rPr>
        <w:t> </w:t>
      </w:r>
      <w:r>
        <w:rPr/>
        <w:t>arealer,</w:t>
      </w:r>
      <w:r>
        <w:rPr>
          <w:spacing w:val="-15"/>
        </w:rPr>
        <w:t> </w:t>
      </w:r>
      <w:r>
        <w:rPr/>
        <w:t>are- alanvendelse,</w:t>
      </w:r>
      <w:r>
        <w:rPr>
          <w:spacing w:val="-13"/>
        </w:rPr>
        <w:t> </w:t>
      </w:r>
      <w:r>
        <w:rPr/>
        <w:t>infiltration</w:t>
      </w:r>
      <w:r>
        <w:rPr>
          <w:spacing w:val="-11"/>
        </w:rPr>
        <w:t> </w:t>
      </w:r>
      <w:r>
        <w:rPr/>
        <w:t>af</w:t>
      </w:r>
      <w:r>
        <w:rPr>
          <w:spacing w:val="-12"/>
        </w:rPr>
        <w:t> </w:t>
      </w:r>
      <w:r>
        <w:rPr/>
        <w:t>regnvand,</w:t>
      </w:r>
      <w:r>
        <w:rPr>
          <w:spacing w:val="-13"/>
        </w:rPr>
        <w:t> </w:t>
      </w:r>
      <w:r>
        <w:rPr/>
        <w:t>drænforhold</w:t>
      </w:r>
      <w:r>
        <w:rPr>
          <w:spacing w:val="-12"/>
        </w:rPr>
        <w:t> </w:t>
      </w:r>
      <w:r>
        <w:rPr/>
        <w:t>mm.</w:t>
      </w:r>
      <w:r>
        <w:rPr>
          <w:spacing w:val="-12"/>
        </w:rPr>
        <w:t> </w:t>
      </w:r>
      <w:r>
        <w:rPr/>
        <w:t>er</w:t>
      </w:r>
      <w:r>
        <w:rPr>
          <w:spacing w:val="-13"/>
        </w:rPr>
        <w:t> </w:t>
      </w:r>
      <w:r>
        <w:rPr/>
        <w:t>under</w:t>
      </w:r>
      <w:r>
        <w:rPr>
          <w:spacing w:val="-12"/>
        </w:rPr>
        <w:t> </w:t>
      </w:r>
      <w:r>
        <w:rPr/>
        <w:t>udvikling</w:t>
      </w:r>
      <w:r>
        <w:rPr>
          <w:spacing w:val="-11"/>
        </w:rPr>
        <w:t> </w:t>
      </w:r>
      <w:r>
        <w:rPr/>
        <w:t>gennem</w:t>
      </w:r>
      <w:r>
        <w:rPr>
          <w:spacing w:val="-13"/>
        </w:rPr>
        <w:t> </w:t>
      </w:r>
      <w:r>
        <w:rPr/>
        <w:t>perioden, eller</w:t>
      </w:r>
      <w:r>
        <w:rPr>
          <w:spacing w:val="-7"/>
        </w:rPr>
        <w:t> </w:t>
      </w:r>
      <w:r>
        <w:rPr/>
        <w:t>at</w:t>
      </w:r>
      <w:r>
        <w:rPr>
          <w:spacing w:val="-7"/>
        </w:rPr>
        <w:t> </w:t>
      </w:r>
      <w:r>
        <w:rPr/>
        <w:t>magasintal</w:t>
      </w:r>
      <w:r>
        <w:rPr>
          <w:spacing w:val="-5"/>
        </w:rPr>
        <w:t> </w:t>
      </w:r>
      <w:r>
        <w:rPr/>
        <w:t>(specifikke</w:t>
      </w:r>
      <w:r>
        <w:rPr>
          <w:spacing w:val="-6"/>
        </w:rPr>
        <w:t> </w:t>
      </w:r>
      <w:r>
        <w:rPr/>
        <w:t>ydelser</w:t>
      </w:r>
      <w:r>
        <w:rPr>
          <w:spacing w:val="-7"/>
        </w:rPr>
        <w:t> </w:t>
      </w:r>
      <w:r>
        <w:rPr/>
        <w:t>og</w:t>
      </w:r>
      <w:r>
        <w:rPr>
          <w:spacing w:val="-6"/>
        </w:rPr>
        <w:t> </w:t>
      </w:r>
      <w:r>
        <w:rPr/>
        <w:t>magasinkoefficient)</w:t>
      </w:r>
      <w:r>
        <w:rPr>
          <w:spacing w:val="-7"/>
        </w:rPr>
        <w:t> </w:t>
      </w:r>
      <w:r>
        <w:rPr/>
        <w:t>evt.</w:t>
      </w:r>
      <w:r>
        <w:rPr>
          <w:spacing w:val="-7"/>
        </w:rPr>
        <w:t> </w:t>
      </w:r>
      <w:r>
        <w:rPr/>
        <w:t>ikke</w:t>
      </w:r>
      <w:r>
        <w:rPr>
          <w:spacing w:val="-6"/>
        </w:rPr>
        <w:t> </w:t>
      </w:r>
      <w:r>
        <w:rPr/>
        <w:t>helt</w:t>
      </w:r>
      <w:r>
        <w:rPr>
          <w:spacing w:val="-3"/>
        </w:rPr>
        <w:t> </w:t>
      </w:r>
      <w:r>
        <w:rPr/>
        <w:t>finkalibrerede,</w:t>
      </w:r>
      <w:r>
        <w:rPr>
          <w:spacing w:val="-6"/>
        </w:rPr>
        <w:t> </w:t>
      </w:r>
      <w:r>
        <w:rPr/>
        <w:t>og at modellen derfor ikke helt kan følge med de tidsmæssige variationer i</w:t>
      </w:r>
      <w:r>
        <w:rPr>
          <w:spacing w:val="-18"/>
        </w:rPr>
        <w:t> </w:t>
      </w:r>
      <w:r>
        <w:rPr/>
        <w:t>trykniveauet.</w:t>
      </w:r>
    </w:p>
    <w:p>
      <w:pPr>
        <w:pStyle w:val="BodyText"/>
        <w:spacing w:before="4"/>
        <w:rPr>
          <w:sz w:val="25"/>
        </w:rPr>
      </w:pPr>
    </w:p>
    <w:p>
      <w:pPr>
        <w:spacing w:line="288" w:lineRule="auto" w:before="0"/>
        <w:ind w:left="525" w:right="656" w:firstLine="0"/>
        <w:jc w:val="left"/>
        <w:rPr>
          <w:sz w:val="21"/>
        </w:rPr>
      </w:pPr>
      <w:r>
        <w:rPr>
          <w:b/>
          <w:i/>
          <w:sz w:val="21"/>
        </w:rPr>
        <w:t>Analyse af trend i vandbalance fejl mellem kalibrerings- og valideringsperiode </w:t>
      </w:r>
      <w:r>
        <w:rPr>
          <w:sz w:val="21"/>
        </w:rPr>
        <w:t>Analyserer man vandbalancefejl for hele oplandet for hhv. kalibrerings- og valideringsperio- den kan man identificere en positiv vandbalanceforskel mellem målte data og det modellen simulerer for de to perioder. I kalibreringsperioden med 100 m modellen simuleres ca. 1.4</w:t>
      </w:r>
      <w:r>
        <w:rPr>
          <w:spacing w:val="-3"/>
          <w:sz w:val="21"/>
        </w:rPr>
        <w:t> </w:t>
      </w:r>
      <w:r>
        <w:rPr>
          <w:sz w:val="21"/>
        </w:rPr>
        <w:t>–</w:t>
      </w:r>
    </w:p>
    <w:p>
      <w:pPr>
        <w:pStyle w:val="BodyText"/>
        <w:spacing w:line="285" w:lineRule="auto"/>
        <w:ind w:left="525" w:right="731"/>
        <w:jc w:val="both"/>
      </w:pPr>
      <w:r>
        <w:rPr/>
        <w:t>4.4</w:t>
      </w:r>
      <w:r>
        <w:rPr>
          <w:spacing w:val="-4"/>
        </w:rPr>
        <w:t> </w:t>
      </w:r>
      <w:r>
        <w:rPr/>
        <w:t>%</w:t>
      </w:r>
      <w:r>
        <w:rPr>
          <w:spacing w:val="-4"/>
        </w:rPr>
        <w:t> </w:t>
      </w:r>
      <w:r>
        <w:rPr/>
        <w:t>for</w:t>
      </w:r>
      <w:r>
        <w:rPr>
          <w:spacing w:val="-3"/>
        </w:rPr>
        <w:t> </w:t>
      </w:r>
      <w:r>
        <w:rPr/>
        <w:t>lidt</w:t>
      </w:r>
      <w:r>
        <w:rPr>
          <w:spacing w:val="-5"/>
        </w:rPr>
        <w:t> </w:t>
      </w:r>
      <w:r>
        <w:rPr/>
        <w:t>vand</w:t>
      </w:r>
      <w:r>
        <w:rPr>
          <w:spacing w:val="-3"/>
        </w:rPr>
        <w:t> </w:t>
      </w:r>
      <w:r>
        <w:rPr/>
        <w:t>i</w:t>
      </w:r>
      <w:r>
        <w:rPr>
          <w:spacing w:val="-2"/>
        </w:rPr>
        <w:t> </w:t>
      </w:r>
      <w:r>
        <w:rPr/>
        <w:t>forhold</w:t>
      </w:r>
      <w:r>
        <w:rPr>
          <w:spacing w:val="-4"/>
        </w:rPr>
        <w:t> </w:t>
      </w:r>
      <w:r>
        <w:rPr/>
        <w:t>til</w:t>
      </w:r>
      <w:r>
        <w:rPr>
          <w:spacing w:val="-5"/>
        </w:rPr>
        <w:t> </w:t>
      </w:r>
      <w:r>
        <w:rPr/>
        <w:t>målinger,</w:t>
      </w:r>
      <w:r>
        <w:rPr>
          <w:spacing w:val="-6"/>
        </w:rPr>
        <w:t> </w:t>
      </w:r>
      <w:r>
        <w:rPr/>
        <w:t>mens</w:t>
      </w:r>
      <w:r>
        <w:rPr>
          <w:spacing w:val="-6"/>
        </w:rPr>
        <w:t> </w:t>
      </w:r>
      <w:r>
        <w:rPr/>
        <w:t>fejlen</w:t>
      </w:r>
      <w:r>
        <w:rPr>
          <w:spacing w:val="-6"/>
        </w:rPr>
        <w:t> </w:t>
      </w:r>
      <w:r>
        <w:rPr/>
        <w:t>i</w:t>
      </w:r>
      <w:r>
        <w:rPr>
          <w:spacing w:val="-2"/>
        </w:rPr>
        <w:t> </w:t>
      </w:r>
      <w:r>
        <w:rPr/>
        <w:t>valideringsperioden</w:t>
      </w:r>
      <w:r>
        <w:rPr>
          <w:spacing w:val="-6"/>
        </w:rPr>
        <w:t> </w:t>
      </w:r>
      <w:r>
        <w:rPr/>
        <w:t>øges</w:t>
      </w:r>
      <w:r>
        <w:rPr>
          <w:spacing w:val="-5"/>
        </w:rPr>
        <w:t> </w:t>
      </w:r>
      <w:r>
        <w:rPr/>
        <w:t>til</w:t>
      </w:r>
      <w:r>
        <w:rPr>
          <w:spacing w:val="-3"/>
        </w:rPr>
        <w:t> </w:t>
      </w:r>
      <w:r>
        <w:rPr/>
        <w:t>8.8-21.2</w:t>
      </w:r>
      <w:r>
        <w:rPr>
          <w:spacing w:val="-4"/>
        </w:rPr>
        <w:t> </w:t>
      </w:r>
      <w:r>
        <w:rPr/>
        <w:t>% for</w:t>
      </w:r>
      <w:r>
        <w:rPr>
          <w:spacing w:val="-8"/>
        </w:rPr>
        <w:t> </w:t>
      </w:r>
      <w:r>
        <w:rPr/>
        <w:t>lidt</w:t>
      </w:r>
      <w:r>
        <w:rPr>
          <w:spacing w:val="-7"/>
        </w:rPr>
        <w:t> </w:t>
      </w:r>
      <w:r>
        <w:rPr/>
        <w:t>vand</w:t>
      </w:r>
      <w:r>
        <w:rPr>
          <w:spacing w:val="-7"/>
        </w:rPr>
        <w:t> </w:t>
      </w:r>
      <w:r>
        <w:rPr/>
        <w:t>i</w:t>
      </w:r>
      <w:r>
        <w:rPr>
          <w:spacing w:val="-8"/>
        </w:rPr>
        <w:t> </w:t>
      </w:r>
      <w:r>
        <w:rPr/>
        <w:t>de</w:t>
      </w:r>
      <w:r>
        <w:rPr>
          <w:spacing w:val="-6"/>
        </w:rPr>
        <w:t> </w:t>
      </w:r>
      <w:r>
        <w:rPr/>
        <w:t>to</w:t>
      </w:r>
      <w:r>
        <w:rPr>
          <w:spacing w:val="-7"/>
        </w:rPr>
        <w:t> </w:t>
      </w:r>
      <w:r>
        <w:rPr/>
        <w:t>oplande</w:t>
      </w:r>
      <w:r>
        <w:rPr>
          <w:spacing w:val="-6"/>
        </w:rPr>
        <w:t> </w:t>
      </w:r>
      <w:r>
        <w:rPr/>
        <w:t>(se</w:t>
      </w:r>
      <w:r>
        <w:rPr>
          <w:spacing w:val="-7"/>
        </w:rPr>
        <w:t> </w:t>
      </w:r>
      <w:r>
        <w:rPr/>
        <w:t>tabel</w:t>
      </w:r>
      <w:r>
        <w:rPr>
          <w:spacing w:val="-5"/>
        </w:rPr>
        <w:t> </w:t>
      </w:r>
      <w:r>
        <w:rPr/>
        <w:t>A2.2).</w:t>
      </w:r>
      <w:r>
        <w:rPr>
          <w:spacing w:val="-7"/>
        </w:rPr>
        <w:t> </w:t>
      </w:r>
      <w:r>
        <w:rPr/>
        <w:t>Det</w:t>
      </w:r>
      <w:r>
        <w:rPr>
          <w:spacing w:val="-8"/>
        </w:rPr>
        <w:t> </w:t>
      </w:r>
      <w:r>
        <w:rPr/>
        <w:t>vil</w:t>
      </w:r>
      <w:r>
        <w:rPr>
          <w:spacing w:val="-5"/>
        </w:rPr>
        <w:t> </w:t>
      </w:r>
      <w:r>
        <w:rPr/>
        <w:t>sige</w:t>
      </w:r>
      <w:r>
        <w:rPr>
          <w:spacing w:val="-7"/>
        </w:rPr>
        <w:t> </w:t>
      </w:r>
      <w:r>
        <w:rPr/>
        <w:t>der</w:t>
      </w:r>
      <w:r>
        <w:rPr>
          <w:spacing w:val="-9"/>
        </w:rPr>
        <w:t> </w:t>
      </w:r>
      <w:r>
        <w:rPr/>
        <w:t>måles</w:t>
      </w:r>
      <w:r>
        <w:rPr>
          <w:spacing w:val="-6"/>
        </w:rPr>
        <w:t> </w:t>
      </w:r>
      <w:r>
        <w:rPr/>
        <w:t>relativt</w:t>
      </w:r>
      <w:r>
        <w:rPr>
          <w:spacing w:val="-8"/>
        </w:rPr>
        <w:t> </w:t>
      </w:r>
      <w:r>
        <w:rPr/>
        <w:t>mere</w:t>
      </w:r>
      <w:r>
        <w:rPr>
          <w:spacing w:val="-9"/>
        </w:rPr>
        <w:t> </w:t>
      </w:r>
      <w:r>
        <w:rPr/>
        <w:t>vand</w:t>
      </w:r>
      <w:r>
        <w:rPr>
          <w:spacing w:val="-7"/>
        </w:rPr>
        <w:t> </w:t>
      </w:r>
      <w:r>
        <w:rPr/>
        <w:t>hhv.</w:t>
      </w:r>
      <w:r>
        <w:rPr>
          <w:spacing w:val="-5"/>
        </w:rPr>
        <w:t> </w:t>
      </w:r>
      <w:r>
        <w:rPr/>
        <w:t>7.4</w:t>
      </w:r>
    </w:p>
    <w:p>
      <w:pPr>
        <w:pStyle w:val="BodyText"/>
        <w:spacing w:line="288" w:lineRule="auto" w:before="3"/>
        <w:ind w:left="525" w:right="729"/>
        <w:jc w:val="both"/>
      </w:pPr>
      <w:r>
        <w:rPr/>
        <w:t>% for Storå og 16.8 % for Odense Å end der modelleres, når man tager forskellen mellem kalibrerings- og valideringsperioden. For DK model simuleres for lidt vand i kalibreringsperi- oden</w:t>
      </w:r>
      <w:r>
        <w:rPr>
          <w:spacing w:val="-6"/>
        </w:rPr>
        <w:t> </w:t>
      </w:r>
      <w:r>
        <w:rPr/>
        <w:t>i</w:t>
      </w:r>
      <w:r>
        <w:rPr>
          <w:spacing w:val="-4"/>
        </w:rPr>
        <w:t> </w:t>
      </w:r>
      <w:r>
        <w:rPr/>
        <w:t>begge</w:t>
      </w:r>
      <w:r>
        <w:rPr>
          <w:spacing w:val="-5"/>
        </w:rPr>
        <w:t> </w:t>
      </w:r>
      <w:r>
        <w:rPr/>
        <w:t>oplande,</w:t>
      </w:r>
      <w:r>
        <w:rPr>
          <w:spacing w:val="-6"/>
        </w:rPr>
        <w:t> </w:t>
      </w:r>
      <w:r>
        <w:rPr/>
        <w:t>men</w:t>
      </w:r>
      <w:r>
        <w:rPr>
          <w:spacing w:val="-5"/>
        </w:rPr>
        <w:t> </w:t>
      </w:r>
      <w:r>
        <w:rPr/>
        <w:t>den</w:t>
      </w:r>
      <w:r>
        <w:rPr>
          <w:spacing w:val="-5"/>
        </w:rPr>
        <w:t> </w:t>
      </w:r>
      <w:r>
        <w:rPr/>
        <w:t>overordnede</w:t>
      </w:r>
      <w:r>
        <w:rPr>
          <w:spacing w:val="-5"/>
        </w:rPr>
        <w:t> </w:t>
      </w:r>
      <w:r>
        <w:rPr/>
        <w:t>trend</w:t>
      </w:r>
      <w:r>
        <w:rPr>
          <w:spacing w:val="-7"/>
        </w:rPr>
        <w:t> </w:t>
      </w:r>
      <w:r>
        <w:rPr/>
        <w:t>er</w:t>
      </w:r>
      <w:r>
        <w:rPr>
          <w:spacing w:val="-6"/>
        </w:rPr>
        <w:t> </w:t>
      </w:r>
      <w:r>
        <w:rPr/>
        <w:t>i</w:t>
      </w:r>
      <w:r>
        <w:rPr>
          <w:spacing w:val="-4"/>
        </w:rPr>
        <w:t> </w:t>
      </w:r>
      <w:r>
        <w:rPr/>
        <w:t>samme</w:t>
      </w:r>
      <w:r>
        <w:rPr>
          <w:spacing w:val="-5"/>
        </w:rPr>
        <w:t> </w:t>
      </w:r>
      <w:r>
        <w:rPr/>
        <w:t>størrelsesorden</w:t>
      </w:r>
      <w:r>
        <w:rPr>
          <w:spacing w:val="-5"/>
        </w:rPr>
        <w:t> </w:t>
      </w:r>
      <w:r>
        <w:rPr/>
        <w:t>med</w:t>
      </w:r>
      <w:r>
        <w:rPr>
          <w:spacing w:val="-5"/>
        </w:rPr>
        <w:t> </w:t>
      </w:r>
      <w:r>
        <w:rPr/>
        <w:t>en</w:t>
      </w:r>
      <w:r>
        <w:rPr>
          <w:spacing w:val="-5"/>
        </w:rPr>
        <w:t> </w:t>
      </w:r>
      <w:r>
        <w:rPr/>
        <w:t>stig- ning</w:t>
      </w:r>
      <w:r>
        <w:rPr>
          <w:spacing w:val="-8"/>
        </w:rPr>
        <w:t> </w:t>
      </w:r>
      <w:r>
        <w:rPr/>
        <w:t>på</w:t>
      </w:r>
      <w:r>
        <w:rPr>
          <w:spacing w:val="-8"/>
        </w:rPr>
        <w:t> </w:t>
      </w:r>
      <w:r>
        <w:rPr/>
        <w:t>5.6%</w:t>
      </w:r>
      <w:r>
        <w:rPr>
          <w:spacing w:val="-8"/>
        </w:rPr>
        <w:t> </w:t>
      </w:r>
      <w:r>
        <w:rPr/>
        <w:t>for</w:t>
      </w:r>
      <w:r>
        <w:rPr>
          <w:spacing w:val="-11"/>
        </w:rPr>
        <w:t> </w:t>
      </w:r>
      <w:r>
        <w:rPr/>
        <w:t>Storå</w:t>
      </w:r>
      <w:r>
        <w:rPr>
          <w:spacing w:val="-9"/>
        </w:rPr>
        <w:t> </w:t>
      </w:r>
      <w:r>
        <w:rPr/>
        <w:t>og</w:t>
      </w:r>
      <w:r>
        <w:rPr>
          <w:spacing w:val="-7"/>
        </w:rPr>
        <w:t> </w:t>
      </w:r>
      <w:r>
        <w:rPr/>
        <w:t>15.1</w:t>
      </w:r>
      <w:r>
        <w:rPr>
          <w:spacing w:val="-8"/>
        </w:rPr>
        <w:t> </w:t>
      </w:r>
      <w:r>
        <w:rPr/>
        <w:t>%</w:t>
      </w:r>
      <w:r>
        <w:rPr>
          <w:spacing w:val="-9"/>
        </w:rPr>
        <w:t> </w:t>
      </w:r>
      <w:r>
        <w:rPr/>
        <w:t>for</w:t>
      </w:r>
      <w:r>
        <w:rPr>
          <w:spacing w:val="-8"/>
        </w:rPr>
        <w:t> </w:t>
      </w:r>
      <w:r>
        <w:rPr/>
        <w:t>Odense</w:t>
      </w:r>
      <w:r>
        <w:rPr>
          <w:spacing w:val="-8"/>
        </w:rPr>
        <w:t> </w:t>
      </w:r>
      <w:r>
        <w:rPr/>
        <w:t>Å.</w:t>
      </w:r>
      <w:r>
        <w:rPr>
          <w:spacing w:val="-11"/>
        </w:rPr>
        <w:t> </w:t>
      </w:r>
      <w:r>
        <w:rPr/>
        <w:t>Det</w:t>
      </w:r>
      <w:r>
        <w:rPr>
          <w:spacing w:val="-12"/>
        </w:rPr>
        <w:t> </w:t>
      </w:r>
      <w:r>
        <w:rPr/>
        <w:t>understøtter</w:t>
      </w:r>
      <w:r>
        <w:rPr>
          <w:spacing w:val="-9"/>
        </w:rPr>
        <w:t> </w:t>
      </w:r>
      <w:r>
        <w:rPr/>
        <w:t>resultatet</w:t>
      </w:r>
      <w:r>
        <w:rPr>
          <w:spacing w:val="-11"/>
        </w:rPr>
        <w:t> </w:t>
      </w:r>
      <w:r>
        <w:rPr/>
        <w:t>med</w:t>
      </w:r>
      <w:r>
        <w:rPr>
          <w:spacing w:val="-8"/>
        </w:rPr>
        <w:t> </w:t>
      </w:r>
      <w:r>
        <w:rPr/>
        <w:t>100m</w:t>
      </w:r>
      <w:r>
        <w:rPr>
          <w:spacing w:val="-9"/>
        </w:rPr>
        <w:t> </w:t>
      </w:r>
      <w:r>
        <w:rPr/>
        <w:t>model at begge modeller viser samme</w:t>
      </w:r>
      <w:r>
        <w:rPr>
          <w:spacing w:val="-11"/>
        </w:rPr>
        <w:t> </w:t>
      </w:r>
      <w:r>
        <w:rPr/>
        <w:t>trend.</w:t>
      </w:r>
    </w:p>
    <w:p>
      <w:pPr>
        <w:pStyle w:val="BodyText"/>
        <w:spacing w:before="4"/>
      </w:pPr>
    </w:p>
    <w:p>
      <w:pPr>
        <w:spacing w:before="0"/>
        <w:ind w:left="525" w:right="0" w:firstLine="0"/>
        <w:jc w:val="both"/>
        <w:rPr>
          <w:rFonts w:ascii="Calibri"/>
          <w:i/>
          <w:sz w:val="18"/>
        </w:rPr>
      </w:pPr>
      <w:r>
        <w:rPr>
          <w:rFonts w:ascii="Calibri"/>
          <w:i/>
          <w:color w:val="44536A"/>
          <w:sz w:val="18"/>
        </w:rPr>
        <w:t>Tabel A2.2 Trend i Fbal mellem kalibrerings- og valideringsperioden</w:t>
      </w:r>
    </w:p>
    <w:p>
      <w:pPr>
        <w:pStyle w:val="BodyText"/>
        <w:spacing w:before="3" w:after="1"/>
        <w:rPr>
          <w:rFonts w:ascii="Calibri"/>
          <w:i/>
          <w:sz w:val="16"/>
        </w:rPr>
      </w:pP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21"/>
        <w:gridCol w:w="2938"/>
        <w:gridCol w:w="1812"/>
        <w:gridCol w:w="1684"/>
      </w:tblGrid>
      <w:tr>
        <w:trPr>
          <w:trHeight w:val="844" w:hRule="atLeast"/>
        </w:trPr>
        <w:tc>
          <w:tcPr>
            <w:tcW w:w="921" w:type="dxa"/>
            <w:shd w:val="clear" w:color="auto" w:fill="E7E6E6"/>
          </w:tcPr>
          <w:p>
            <w:pPr>
              <w:pStyle w:val="TableParagraph"/>
              <w:jc w:val="left"/>
              <w:rPr>
                <w:rFonts w:ascii="Calibri"/>
                <w:i/>
                <w:sz w:val="24"/>
              </w:rPr>
            </w:pPr>
          </w:p>
          <w:p>
            <w:pPr>
              <w:pStyle w:val="TableParagraph"/>
              <w:spacing w:before="187"/>
              <w:ind w:left="69"/>
              <w:jc w:val="left"/>
              <w:rPr>
                <w:b/>
                <w:sz w:val="21"/>
              </w:rPr>
            </w:pPr>
            <w:r>
              <w:rPr>
                <w:b/>
                <w:sz w:val="21"/>
              </w:rPr>
              <w:t>Station</w:t>
            </w:r>
          </w:p>
        </w:tc>
        <w:tc>
          <w:tcPr>
            <w:tcW w:w="2938" w:type="dxa"/>
            <w:tcBorders>
              <w:right w:val="single" w:sz="4" w:space="0" w:color="000000"/>
            </w:tcBorders>
            <w:shd w:val="clear" w:color="auto" w:fill="E7E6E6"/>
          </w:tcPr>
          <w:p>
            <w:pPr>
              <w:pStyle w:val="TableParagraph"/>
              <w:jc w:val="left"/>
              <w:rPr>
                <w:rFonts w:ascii="Times New Roman"/>
                <w:sz w:val="20"/>
              </w:rPr>
            </w:pPr>
          </w:p>
        </w:tc>
        <w:tc>
          <w:tcPr>
            <w:tcW w:w="1812" w:type="dxa"/>
            <w:tcBorders>
              <w:left w:val="single" w:sz="4" w:space="0" w:color="000000"/>
              <w:right w:val="single" w:sz="4" w:space="0" w:color="000000"/>
            </w:tcBorders>
            <w:shd w:val="clear" w:color="auto" w:fill="E7E6E6"/>
          </w:tcPr>
          <w:p>
            <w:pPr>
              <w:pStyle w:val="TableParagraph"/>
              <w:ind w:left="266" w:right="257"/>
              <w:rPr>
                <w:b/>
                <w:sz w:val="21"/>
              </w:rPr>
            </w:pPr>
            <w:r>
              <w:rPr>
                <w:b/>
                <w:sz w:val="21"/>
              </w:rPr>
              <w:t>100 m model Fbal</w:t>
            </w:r>
          </w:p>
          <w:p>
            <w:pPr>
              <w:pStyle w:val="TableParagraph"/>
              <w:spacing w:line="241" w:lineRule="exact"/>
              <w:ind w:left="259" w:right="257"/>
              <w:rPr>
                <w:b/>
                <w:sz w:val="21"/>
              </w:rPr>
            </w:pPr>
            <w:r>
              <w:rPr>
                <w:b/>
                <w:sz w:val="21"/>
              </w:rPr>
              <w:t>[%]</w:t>
            </w:r>
          </w:p>
        </w:tc>
        <w:tc>
          <w:tcPr>
            <w:tcW w:w="1684" w:type="dxa"/>
            <w:tcBorders>
              <w:left w:val="single" w:sz="4" w:space="0" w:color="000000"/>
            </w:tcBorders>
            <w:shd w:val="clear" w:color="auto" w:fill="E7E6E6"/>
          </w:tcPr>
          <w:p>
            <w:pPr>
              <w:pStyle w:val="TableParagraph"/>
              <w:ind w:left="622" w:right="330" w:hanging="274"/>
              <w:jc w:val="left"/>
              <w:rPr>
                <w:b/>
                <w:sz w:val="21"/>
              </w:rPr>
            </w:pPr>
            <w:r>
              <w:rPr>
                <w:b/>
                <w:sz w:val="21"/>
              </w:rPr>
              <w:t>DK model Fbal [%]</w:t>
            </w:r>
          </w:p>
        </w:tc>
      </w:tr>
      <w:tr>
        <w:trPr>
          <w:trHeight w:val="724" w:hRule="atLeast"/>
        </w:trPr>
        <w:tc>
          <w:tcPr>
            <w:tcW w:w="921" w:type="dxa"/>
            <w:shd w:val="clear" w:color="auto" w:fill="E7E6E6"/>
          </w:tcPr>
          <w:p>
            <w:pPr>
              <w:pStyle w:val="TableParagraph"/>
              <w:spacing w:before="117"/>
              <w:ind w:left="69"/>
              <w:jc w:val="left"/>
              <w:rPr>
                <w:sz w:val="21"/>
              </w:rPr>
            </w:pPr>
            <w:r>
              <w:rPr>
                <w:sz w:val="21"/>
              </w:rPr>
              <w:t>220062</w:t>
            </w:r>
          </w:p>
          <w:p>
            <w:pPr>
              <w:pStyle w:val="TableParagraph"/>
              <w:spacing w:before="1"/>
              <w:ind w:left="69"/>
              <w:jc w:val="left"/>
              <w:rPr>
                <w:sz w:val="21"/>
              </w:rPr>
            </w:pPr>
            <w:r>
              <w:rPr>
                <w:sz w:val="21"/>
              </w:rPr>
              <w:t>(udløb)</w:t>
            </w:r>
          </w:p>
        </w:tc>
        <w:tc>
          <w:tcPr>
            <w:tcW w:w="2938" w:type="dxa"/>
            <w:tcBorders>
              <w:right w:val="single" w:sz="4" w:space="0" w:color="000000"/>
            </w:tcBorders>
            <w:shd w:val="clear" w:color="auto" w:fill="E7E6E6"/>
          </w:tcPr>
          <w:p>
            <w:pPr>
              <w:pStyle w:val="TableParagraph"/>
              <w:spacing w:before="117"/>
              <w:ind w:left="149"/>
              <w:jc w:val="left"/>
              <w:rPr>
                <w:sz w:val="21"/>
              </w:rPr>
            </w:pPr>
            <w:r>
              <w:rPr>
                <w:sz w:val="21"/>
              </w:rPr>
              <w:t>Storå 2000-2008</w:t>
            </w:r>
          </w:p>
        </w:tc>
        <w:tc>
          <w:tcPr>
            <w:tcW w:w="1812" w:type="dxa"/>
            <w:tcBorders>
              <w:left w:val="single" w:sz="4" w:space="0" w:color="000000"/>
              <w:right w:val="single" w:sz="4" w:space="0" w:color="000000"/>
            </w:tcBorders>
            <w:shd w:val="clear" w:color="auto" w:fill="E7E6E6"/>
          </w:tcPr>
          <w:p>
            <w:pPr>
              <w:pStyle w:val="TableParagraph"/>
              <w:spacing w:before="117"/>
              <w:ind w:right="750"/>
              <w:jc w:val="right"/>
              <w:rPr>
                <w:sz w:val="21"/>
              </w:rPr>
            </w:pPr>
            <w:r>
              <w:rPr>
                <w:sz w:val="21"/>
              </w:rPr>
              <w:t>1.4</w:t>
            </w:r>
          </w:p>
        </w:tc>
        <w:tc>
          <w:tcPr>
            <w:tcW w:w="1684" w:type="dxa"/>
            <w:tcBorders>
              <w:left w:val="single" w:sz="4" w:space="0" w:color="000000"/>
            </w:tcBorders>
            <w:shd w:val="clear" w:color="auto" w:fill="E7E6E6"/>
          </w:tcPr>
          <w:p>
            <w:pPr>
              <w:pStyle w:val="TableParagraph"/>
              <w:spacing w:before="117"/>
              <w:ind w:left="656"/>
              <w:jc w:val="left"/>
              <w:rPr>
                <w:sz w:val="21"/>
              </w:rPr>
            </w:pPr>
            <w:r>
              <w:rPr>
                <w:sz w:val="21"/>
              </w:rPr>
              <w:t>-9.0</w:t>
            </w:r>
          </w:p>
        </w:tc>
      </w:tr>
      <w:tr>
        <w:trPr>
          <w:trHeight w:val="482" w:hRule="atLeast"/>
        </w:trPr>
        <w:tc>
          <w:tcPr>
            <w:tcW w:w="921" w:type="dxa"/>
            <w:shd w:val="clear" w:color="auto" w:fill="E7E6E6"/>
          </w:tcPr>
          <w:p>
            <w:pPr>
              <w:pStyle w:val="TableParagraph"/>
              <w:jc w:val="left"/>
              <w:rPr>
                <w:rFonts w:ascii="Times New Roman"/>
                <w:sz w:val="20"/>
              </w:rPr>
            </w:pPr>
          </w:p>
        </w:tc>
        <w:tc>
          <w:tcPr>
            <w:tcW w:w="2938" w:type="dxa"/>
            <w:tcBorders>
              <w:right w:val="single" w:sz="4" w:space="0" w:color="000000"/>
            </w:tcBorders>
            <w:shd w:val="clear" w:color="auto" w:fill="E7E6E6"/>
          </w:tcPr>
          <w:p>
            <w:pPr>
              <w:pStyle w:val="TableParagraph"/>
              <w:spacing w:before="117"/>
              <w:ind w:left="149"/>
              <w:jc w:val="left"/>
              <w:rPr>
                <w:sz w:val="21"/>
              </w:rPr>
            </w:pPr>
            <w:r>
              <w:rPr>
                <w:sz w:val="21"/>
              </w:rPr>
              <w:t>Storå 2009-2015</w:t>
            </w:r>
          </w:p>
        </w:tc>
        <w:tc>
          <w:tcPr>
            <w:tcW w:w="1812" w:type="dxa"/>
            <w:tcBorders>
              <w:left w:val="single" w:sz="4" w:space="0" w:color="000000"/>
              <w:right w:val="single" w:sz="4" w:space="0" w:color="000000"/>
            </w:tcBorders>
            <w:shd w:val="clear" w:color="auto" w:fill="E7E6E6"/>
          </w:tcPr>
          <w:p>
            <w:pPr>
              <w:pStyle w:val="TableParagraph"/>
              <w:spacing w:before="117"/>
              <w:ind w:right="750"/>
              <w:jc w:val="right"/>
              <w:rPr>
                <w:sz w:val="21"/>
              </w:rPr>
            </w:pPr>
            <w:r>
              <w:rPr>
                <w:sz w:val="21"/>
              </w:rPr>
              <w:t>8.8</w:t>
            </w:r>
          </w:p>
        </w:tc>
        <w:tc>
          <w:tcPr>
            <w:tcW w:w="1684" w:type="dxa"/>
            <w:tcBorders>
              <w:left w:val="single" w:sz="4" w:space="0" w:color="000000"/>
            </w:tcBorders>
            <w:shd w:val="clear" w:color="auto" w:fill="E7E6E6"/>
          </w:tcPr>
          <w:p>
            <w:pPr>
              <w:pStyle w:val="TableParagraph"/>
              <w:spacing w:before="117"/>
              <w:ind w:left="656"/>
              <w:jc w:val="left"/>
              <w:rPr>
                <w:sz w:val="21"/>
              </w:rPr>
            </w:pPr>
            <w:r>
              <w:rPr>
                <w:sz w:val="21"/>
              </w:rPr>
              <w:t>-3.4</w:t>
            </w:r>
          </w:p>
        </w:tc>
      </w:tr>
      <w:tr>
        <w:trPr>
          <w:trHeight w:val="870" w:hRule="atLeast"/>
        </w:trPr>
        <w:tc>
          <w:tcPr>
            <w:tcW w:w="921" w:type="dxa"/>
            <w:shd w:val="clear" w:color="auto" w:fill="E7E6E6"/>
          </w:tcPr>
          <w:p>
            <w:pPr>
              <w:pStyle w:val="TableParagraph"/>
              <w:spacing w:before="117"/>
              <w:ind w:left="69" w:right="283"/>
              <w:jc w:val="left"/>
              <w:rPr>
                <w:i/>
                <w:sz w:val="21"/>
              </w:rPr>
            </w:pPr>
            <w:r>
              <w:rPr>
                <w:i/>
                <w:sz w:val="21"/>
              </w:rPr>
              <w:t>Trend </w:t>
            </w:r>
            <w:r>
              <w:rPr>
                <w:i/>
                <w:sz w:val="21"/>
              </w:rPr>
              <w:t>Fbal</w:t>
            </w:r>
          </w:p>
        </w:tc>
        <w:tc>
          <w:tcPr>
            <w:tcW w:w="2938" w:type="dxa"/>
            <w:tcBorders>
              <w:right w:val="single" w:sz="4" w:space="0" w:color="000000"/>
            </w:tcBorders>
            <w:shd w:val="clear" w:color="auto" w:fill="E7E6E6"/>
          </w:tcPr>
          <w:p>
            <w:pPr>
              <w:pStyle w:val="TableParagraph"/>
              <w:spacing w:before="117"/>
              <w:ind w:left="149" w:right="1509"/>
              <w:jc w:val="left"/>
              <w:rPr>
                <w:sz w:val="21"/>
              </w:rPr>
            </w:pPr>
            <w:r>
              <w:rPr>
                <w:sz w:val="21"/>
              </w:rPr>
              <w:t>Kalibrering -&gt; Validering</w:t>
            </w:r>
          </w:p>
        </w:tc>
        <w:tc>
          <w:tcPr>
            <w:tcW w:w="1812" w:type="dxa"/>
            <w:tcBorders>
              <w:left w:val="single" w:sz="4" w:space="0" w:color="000000"/>
              <w:right w:val="single" w:sz="4" w:space="0" w:color="000000"/>
            </w:tcBorders>
            <w:shd w:val="clear" w:color="auto" w:fill="E7E6E6"/>
          </w:tcPr>
          <w:p>
            <w:pPr>
              <w:pStyle w:val="TableParagraph"/>
              <w:spacing w:before="6"/>
              <w:jc w:val="left"/>
              <w:rPr>
                <w:rFonts w:ascii="Calibri"/>
                <w:i/>
                <w:sz w:val="29"/>
              </w:rPr>
            </w:pPr>
          </w:p>
          <w:p>
            <w:pPr>
              <w:pStyle w:val="TableParagraph"/>
              <w:ind w:right="750"/>
              <w:jc w:val="right"/>
              <w:rPr>
                <w:b/>
                <w:sz w:val="21"/>
              </w:rPr>
            </w:pPr>
            <w:r>
              <w:rPr>
                <w:b/>
                <w:sz w:val="21"/>
              </w:rPr>
              <w:t>7.4</w:t>
            </w:r>
          </w:p>
        </w:tc>
        <w:tc>
          <w:tcPr>
            <w:tcW w:w="1684" w:type="dxa"/>
            <w:tcBorders>
              <w:left w:val="single" w:sz="4" w:space="0" w:color="000000"/>
            </w:tcBorders>
            <w:shd w:val="clear" w:color="auto" w:fill="E7E6E6"/>
          </w:tcPr>
          <w:p>
            <w:pPr>
              <w:pStyle w:val="TableParagraph"/>
              <w:spacing w:before="6"/>
              <w:jc w:val="left"/>
              <w:rPr>
                <w:rFonts w:ascii="Calibri"/>
                <w:i/>
                <w:sz w:val="29"/>
              </w:rPr>
            </w:pPr>
          </w:p>
          <w:p>
            <w:pPr>
              <w:pStyle w:val="TableParagraph"/>
              <w:ind w:left="692"/>
              <w:jc w:val="left"/>
              <w:rPr>
                <w:b/>
                <w:sz w:val="21"/>
              </w:rPr>
            </w:pPr>
            <w:r>
              <w:rPr>
                <w:b/>
                <w:sz w:val="21"/>
              </w:rPr>
              <w:t>5.6</w:t>
            </w:r>
          </w:p>
        </w:tc>
      </w:tr>
      <w:tr>
        <w:trPr>
          <w:trHeight w:val="821" w:hRule="atLeast"/>
        </w:trPr>
        <w:tc>
          <w:tcPr>
            <w:tcW w:w="921" w:type="dxa"/>
            <w:shd w:val="clear" w:color="auto" w:fill="E7E6E6"/>
          </w:tcPr>
          <w:p>
            <w:pPr>
              <w:pStyle w:val="TableParagraph"/>
              <w:spacing w:before="6"/>
              <w:jc w:val="left"/>
              <w:rPr>
                <w:rFonts w:ascii="Calibri"/>
                <w:i/>
                <w:sz w:val="21"/>
              </w:rPr>
            </w:pPr>
          </w:p>
          <w:p>
            <w:pPr>
              <w:pStyle w:val="TableParagraph"/>
              <w:ind w:left="69"/>
              <w:jc w:val="left"/>
              <w:rPr>
                <w:sz w:val="21"/>
              </w:rPr>
            </w:pPr>
            <w:r>
              <w:rPr>
                <w:sz w:val="21"/>
              </w:rPr>
              <w:t>450001</w:t>
            </w:r>
          </w:p>
          <w:p>
            <w:pPr>
              <w:pStyle w:val="TableParagraph"/>
              <w:spacing w:before="49"/>
              <w:ind w:left="69"/>
              <w:jc w:val="left"/>
              <w:rPr>
                <w:sz w:val="21"/>
              </w:rPr>
            </w:pPr>
            <w:r>
              <w:rPr>
                <w:sz w:val="21"/>
              </w:rPr>
              <w:t>(udløb)</w:t>
            </w:r>
          </w:p>
        </w:tc>
        <w:tc>
          <w:tcPr>
            <w:tcW w:w="2938" w:type="dxa"/>
            <w:tcBorders>
              <w:right w:val="single" w:sz="4" w:space="0" w:color="000000"/>
            </w:tcBorders>
            <w:shd w:val="clear" w:color="auto" w:fill="E7E6E6"/>
          </w:tcPr>
          <w:p>
            <w:pPr>
              <w:pStyle w:val="TableParagraph"/>
              <w:spacing w:before="6"/>
              <w:jc w:val="left"/>
              <w:rPr>
                <w:rFonts w:ascii="Calibri"/>
                <w:i/>
                <w:sz w:val="21"/>
              </w:rPr>
            </w:pPr>
          </w:p>
          <w:p>
            <w:pPr>
              <w:pStyle w:val="TableParagraph"/>
              <w:ind w:left="149"/>
              <w:jc w:val="left"/>
              <w:rPr>
                <w:sz w:val="21"/>
              </w:rPr>
            </w:pPr>
            <w:r>
              <w:rPr>
                <w:sz w:val="21"/>
              </w:rPr>
              <w:t>Odense Å 2000-2008</w:t>
            </w:r>
          </w:p>
        </w:tc>
        <w:tc>
          <w:tcPr>
            <w:tcW w:w="1812" w:type="dxa"/>
            <w:tcBorders>
              <w:left w:val="single" w:sz="4" w:space="0" w:color="000000"/>
              <w:right w:val="single" w:sz="4" w:space="0" w:color="000000"/>
            </w:tcBorders>
            <w:shd w:val="clear" w:color="auto" w:fill="E7E6E6"/>
          </w:tcPr>
          <w:p>
            <w:pPr>
              <w:pStyle w:val="TableParagraph"/>
              <w:spacing w:before="6"/>
              <w:jc w:val="left"/>
              <w:rPr>
                <w:rFonts w:ascii="Calibri"/>
                <w:i/>
                <w:sz w:val="21"/>
              </w:rPr>
            </w:pPr>
          </w:p>
          <w:p>
            <w:pPr>
              <w:pStyle w:val="TableParagraph"/>
              <w:ind w:right="750"/>
              <w:jc w:val="right"/>
              <w:rPr>
                <w:sz w:val="21"/>
              </w:rPr>
            </w:pPr>
            <w:r>
              <w:rPr>
                <w:sz w:val="21"/>
              </w:rPr>
              <w:t>4.4</w:t>
            </w:r>
          </w:p>
        </w:tc>
        <w:tc>
          <w:tcPr>
            <w:tcW w:w="1684" w:type="dxa"/>
            <w:tcBorders>
              <w:left w:val="single" w:sz="4" w:space="0" w:color="000000"/>
            </w:tcBorders>
            <w:shd w:val="clear" w:color="auto" w:fill="E7E6E6"/>
          </w:tcPr>
          <w:p>
            <w:pPr>
              <w:pStyle w:val="TableParagraph"/>
              <w:spacing w:before="6"/>
              <w:jc w:val="left"/>
              <w:rPr>
                <w:rFonts w:ascii="Calibri"/>
                <w:i/>
                <w:sz w:val="21"/>
              </w:rPr>
            </w:pPr>
          </w:p>
          <w:p>
            <w:pPr>
              <w:pStyle w:val="TableParagraph"/>
              <w:ind w:left="656"/>
              <w:jc w:val="left"/>
              <w:rPr>
                <w:sz w:val="21"/>
              </w:rPr>
            </w:pPr>
            <w:r>
              <w:rPr>
                <w:sz w:val="21"/>
              </w:rPr>
              <w:t>-1.6</w:t>
            </w:r>
          </w:p>
        </w:tc>
      </w:tr>
      <w:tr>
        <w:trPr>
          <w:trHeight w:val="434" w:hRule="atLeast"/>
        </w:trPr>
        <w:tc>
          <w:tcPr>
            <w:tcW w:w="921" w:type="dxa"/>
            <w:shd w:val="clear" w:color="auto" w:fill="E7E6E6"/>
          </w:tcPr>
          <w:p>
            <w:pPr>
              <w:pStyle w:val="TableParagraph"/>
              <w:jc w:val="left"/>
              <w:rPr>
                <w:rFonts w:ascii="Times New Roman"/>
                <w:sz w:val="20"/>
              </w:rPr>
            </w:pPr>
          </w:p>
        </w:tc>
        <w:tc>
          <w:tcPr>
            <w:tcW w:w="2938" w:type="dxa"/>
            <w:tcBorders>
              <w:right w:val="single" w:sz="4" w:space="0" w:color="000000"/>
            </w:tcBorders>
            <w:shd w:val="clear" w:color="auto" w:fill="E7E6E6"/>
          </w:tcPr>
          <w:p>
            <w:pPr>
              <w:pStyle w:val="TableParagraph"/>
              <w:spacing w:before="21"/>
              <w:ind w:left="149"/>
              <w:jc w:val="left"/>
              <w:rPr>
                <w:sz w:val="21"/>
              </w:rPr>
            </w:pPr>
            <w:r>
              <w:rPr>
                <w:sz w:val="21"/>
              </w:rPr>
              <w:t>Odense Å 2009-2015</w:t>
            </w:r>
          </w:p>
        </w:tc>
        <w:tc>
          <w:tcPr>
            <w:tcW w:w="1812" w:type="dxa"/>
            <w:tcBorders>
              <w:left w:val="single" w:sz="4" w:space="0" w:color="000000"/>
              <w:right w:val="single" w:sz="4" w:space="0" w:color="000000"/>
            </w:tcBorders>
            <w:shd w:val="clear" w:color="auto" w:fill="E7E6E6"/>
          </w:tcPr>
          <w:p>
            <w:pPr>
              <w:pStyle w:val="TableParagraph"/>
              <w:spacing w:before="21"/>
              <w:ind w:right="690"/>
              <w:jc w:val="right"/>
              <w:rPr>
                <w:sz w:val="21"/>
              </w:rPr>
            </w:pPr>
            <w:r>
              <w:rPr>
                <w:sz w:val="21"/>
              </w:rPr>
              <w:t>21.2</w:t>
            </w:r>
          </w:p>
        </w:tc>
        <w:tc>
          <w:tcPr>
            <w:tcW w:w="1684" w:type="dxa"/>
            <w:tcBorders>
              <w:left w:val="single" w:sz="4" w:space="0" w:color="000000"/>
            </w:tcBorders>
            <w:shd w:val="clear" w:color="auto" w:fill="E7E6E6"/>
          </w:tcPr>
          <w:p>
            <w:pPr>
              <w:pStyle w:val="TableParagraph"/>
              <w:spacing w:before="21"/>
              <w:ind w:left="634"/>
              <w:jc w:val="left"/>
              <w:rPr>
                <w:sz w:val="21"/>
              </w:rPr>
            </w:pPr>
            <w:r>
              <w:rPr>
                <w:sz w:val="21"/>
              </w:rPr>
              <w:t>13.5</w:t>
            </w:r>
          </w:p>
        </w:tc>
      </w:tr>
      <w:tr>
        <w:trPr>
          <w:trHeight w:val="748" w:hRule="atLeast"/>
        </w:trPr>
        <w:tc>
          <w:tcPr>
            <w:tcW w:w="921" w:type="dxa"/>
            <w:shd w:val="clear" w:color="auto" w:fill="E7E6E6"/>
          </w:tcPr>
          <w:p>
            <w:pPr>
              <w:pStyle w:val="TableParagraph"/>
              <w:spacing w:line="290" w:lineRule="atLeast" w:before="117"/>
              <w:ind w:left="69" w:right="283"/>
              <w:jc w:val="left"/>
              <w:rPr>
                <w:i/>
                <w:sz w:val="21"/>
              </w:rPr>
            </w:pPr>
            <w:r>
              <w:rPr>
                <w:i/>
                <w:sz w:val="21"/>
              </w:rPr>
              <w:t>Trend </w:t>
            </w:r>
            <w:r>
              <w:rPr>
                <w:i/>
                <w:sz w:val="21"/>
              </w:rPr>
              <w:t>Fbal</w:t>
            </w:r>
          </w:p>
        </w:tc>
        <w:tc>
          <w:tcPr>
            <w:tcW w:w="2938" w:type="dxa"/>
            <w:tcBorders>
              <w:right w:val="single" w:sz="4" w:space="0" w:color="000000"/>
            </w:tcBorders>
            <w:shd w:val="clear" w:color="auto" w:fill="E7E6E6"/>
          </w:tcPr>
          <w:p>
            <w:pPr>
              <w:pStyle w:val="TableParagraph"/>
              <w:jc w:val="left"/>
              <w:rPr>
                <w:rFonts w:ascii="Calibri"/>
                <w:i/>
                <w:sz w:val="24"/>
              </w:rPr>
            </w:pPr>
          </w:p>
          <w:p>
            <w:pPr>
              <w:pStyle w:val="TableParagraph"/>
              <w:spacing w:before="163"/>
              <w:ind w:left="149"/>
              <w:jc w:val="left"/>
              <w:rPr>
                <w:sz w:val="21"/>
              </w:rPr>
            </w:pPr>
            <w:r>
              <w:rPr>
                <w:sz w:val="21"/>
              </w:rPr>
              <w:t>Kalibrering -&gt; Validering</w:t>
            </w:r>
          </w:p>
        </w:tc>
        <w:tc>
          <w:tcPr>
            <w:tcW w:w="1812" w:type="dxa"/>
            <w:tcBorders>
              <w:left w:val="single" w:sz="4" w:space="0" w:color="000000"/>
              <w:right w:val="single" w:sz="4" w:space="0" w:color="000000"/>
            </w:tcBorders>
            <w:shd w:val="clear" w:color="auto" w:fill="E7E6E6"/>
          </w:tcPr>
          <w:p>
            <w:pPr>
              <w:pStyle w:val="TableParagraph"/>
              <w:jc w:val="left"/>
              <w:rPr>
                <w:rFonts w:ascii="Calibri"/>
                <w:i/>
                <w:sz w:val="24"/>
              </w:rPr>
            </w:pPr>
          </w:p>
          <w:p>
            <w:pPr>
              <w:pStyle w:val="TableParagraph"/>
              <w:spacing w:before="163"/>
              <w:ind w:right="690"/>
              <w:jc w:val="right"/>
              <w:rPr>
                <w:b/>
                <w:sz w:val="21"/>
              </w:rPr>
            </w:pPr>
            <w:r>
              <w:rPr>
                <w:b/>
                <w:sz w:val="21"/>
              </w:rPr>
              <w:t>16.8</w:t>
            </w:r>
          </w:p>
        </w:tc>
        <w:tc>
          <w:tcPr>
            <w:tcW w:w="1684" w:type="dxa"/>
            <w:tcBorders>
              <w:left w:val="single" w:sz="4" w:space="0" w:color="000000"/>
            </w:tcBorders>
            <w:shd w:val="clear" w:color="auto" w:fill="E7E6E6"/>
          </w:tcPr>
          <w:p>
            <w:pPr>
              <w:pStyle w:val="TableParagraph"/>
              <w:jc w:val="left"/>
              <w:rPr>
                <w:rFonts w:ascii="Calibri"/>
                <w:i/>
                <w:sz w:val="24"/>
              </w:rPr>
            </w:pPr>
          </w:p>
          <w:p>
            <w:pPr>
              <w:pStyle w:val="TableParagraph"/>
              <w:spacing w:before="163"/>
              <w:ind w:left="634"/>
              <w:jc w:val="left"/>
              <w:rPr>
                <w:b/>
                <w:sz w:val="21"/>
              </w:rPr>
            </w:pPr>
            <w:r>
              <w:rPr>
                <w:b/>
                <w:sz w:val="21"/>
              </w:rPr>
              <w:t>15.1</w:t>
            </w:r>
          </w:p>
        </w:tc>
      </w:tr>
    </w:tbl>
    <w:p>
      <w:pPr>
        <w:spacing w:after="0"/>
        <w:jc w:val="left"/>
        <w:rPr>
          <w:sz w:val="21"/>
        </w:rPr>
        <w:sectPr>
          <w:pgSz w:w="11910" w:h="16850"/>
          <w:pgMar w:header="0" w:footer="857" w:top="1340" w:bottom="1120" w:left="1460" w:right="680"/>
        </w:sectPr>
      </w:pPr>
    </w:p>
    <w:p>
      <w:pPr>
        <w:pStyle w:val="BodyText"/>
        <w:spacing w:line="276" w:lineRule="auto" w:before="75"/>
        <w:ind w:left="525" w:right="731"/>
        <w:jc w:val="both"/>
      </w:pPr>
      <w:r>
        <w:rPr/>
        <w:t>Det er vanskeligt at sige præcist hvad denne fejl skyldes, det kan skyldes modelfejl, input eller</w:t>
      </w:r>
      <w:r>
        <w:rPr>
          <w:spacing w:val="-16"/>
        </w:rPr>
        <w:t> </w:t>
      </w:r>
      <w:r>
        <w:rPr/>
        <w:t>outputfejl.</w:t>
      </w:r>
      <w:r>
        <w:rPr>
          <w:spacing w:val="-17"/>
        </w:rPr>
        <w:t> </w:t>
      </w:r>
      <w:r>
        <w:rPr/>
        <w:t>Målestationsnettet</w:t>
      </w:r>
      <w:r>
        <w:rPr>
          <w:spacing w:val="-16"/>
        </w:rPr>
        <w:t> </w:t>
      </w:r>
      <w:r>
        <w:rPr/>
        <w:t>for</w:t>
      </w:r>
      <w:r>
        <w:rPr>
          <w:spacing w:val="-16"/>
        </w:rPr>
        <w:t> </w:t>
      </w:r>
      <w:r>
        <w:rPr/>
        <w:t>nedbørsstationer</w:t>
      </w:r>
      <w:r>
        <w:rPr>
          <w:spacing w:val="-16"/>
        </w:rPr>
        <w:t> </w:t>
      </w:r>
      <w:r>
        <w:rPr/>
        <w:t>er</w:t>
      </w:r>
      <w:r>
        <w:rPr>
          <w:spacing w:val="-16"/>
        </w:rPr>
        <w:t> </w:t>
      </w:r>
      <w:r>
        <w:rPr/>
        <w:t>som</w:t>
      </w:r>
      <w:r>
        <w:rPr>
          <w:spacing w:val="-14"/>
        </w:rPr>
        <w:t> </w:t>
      </w:r>
      <w:r>
        <w:rPr/>
        <w:t>nævnt</w:t>
      </w:r>
      <w:r>
        <w:rPr>
          <w:spacing w:val="-16"/>
        </w:rPr>
        <w:t> </w:t>
      </w:r>
      <w:r>
        <w:rPr/>
        <w:t>indskrænket</w:t>
      </w:r>
      <w:r>
        <w:rPr>
          <w:spacing w:val="-16"/>
        </w:rPr>
        <w:t> </w:t>
      </w:r>
      <w:r>
        <w:rPr/>
        <w:t>væsentligt i valideringsperioden, og det kan være en del af forklaringen (se Henriksen et al. 2017, figur 6). En anden forklaring kan være en modelstrukturfejl i begge modeller, f.eks. at der er en udvikling over tid i modelstruktur (udstrækning af urbane områder, veje, arealanvendelse, dræning, lokal afledning af regnvand osv. som på en eller anden måde giver større målt afstrømning end modelsimuleret i valideringsperioden i forhold til kalibreringsperioden. Peri- oden 2009-2015 var mere våd end 2000-2008, og det kan måske også være en del af for- klaringen. Endelig kan afvigelser i simulering af fordampning i forhold til reelle fordampning og</w:t>
      </w:r>
      <w:r>
        <w:rPr>
          <w:spacing w:val="-11"/>
        </w:rPr>
        <w:t> </w:t>
      </w:r>
      <w:r>
        <w:rPr/>
        <w:t>manglende</w:t>
      </w:r>
      <w:r>
        <w:rPr>
          <w:spacing w:val="-11"/>
        </w:rPr>
        <w:t> </w:t>
      </w:r>
      <w:r>
        <w:rPr/>
        <w:t>finkalibrering</w:t>
      </w:r>
      <w:r>
        <w:rPr>
          <w:spacing w:val="-11"/>
        </w:rPr>
        <w:t> </w:t>
      </w:r>
      <w:r>
        <w:rPr/>
        <w:t>af</w:t>
      </w:r>
      <w:r>
        <w:rPr>
          <w:spacing w:val="-11"/>
        </w:rPr>
        <w:t> </w:t>
      </w:r>
      <w:r>
        <w:rPr/>
        <w:t>magasintal</w:t>
      </w:r>
      <w:r>
        <w:rPr>
          <w:spacing w:val="-10"/>
        </w:rPr>
        <w:t> </w:t>
      </w:r>
      <w:r>
        <w:rPr/>
        <w:t>evt.</w:t>
      </w:r>
      <w:r>
        <w:rPr>
          <w:spacing w:val="-13"/>
        </w:rPr>
        <w:t> </w:t>
      </w:r>
      <w:r>
        <w:rPr/>
        <w:t>forklare</w:t>
      </w:r>
      <w:r>
        <w:rPr>
          <w:spacing w:val="-11"/>
        </w:rPr>
        <w:t> </w:t>
      </w:r>
      <w:r>
        <w:rPr/>
        <w:t>de</w:t>
      </w:r>
      <w:r>
        <w:rPr>
          <w:spacing w:val="-11"/>
        </w:rPr>
        <w:t> </w:t>
      </w:r>
      <w:r>
        <w:rPr/>
        <w:t>viste</w:t>
      </w:r>
      <w:r>
        <w:rPr>
          <w:spacing w:val="-11"/>
        </w:rPr>
        <w:t> </w:t>
      </w:r>
      <w:r>
        <w:rPr/>
        <w:t>forskelle</w:t>
      </w:r>
      <w:r>
        <w:rPr>
          <w:spacing w:val="-14"/>
        </w:rPr>
        <w:t> </w:t>
      </w:r>
      <w:r>
        <w:rPr/>
        <w:t>mellem</w:t>
      </w:r>
      <w:r>
        <w:rPr>
          <w:spacing w:val="-12"/>
        </w:rPr>
        <w:t> </w:t>
      </w:r>
      <w:r>
        <w:rPr/>
        <w:t>kalibrerings- og</w:t>
      </w:r>
      <w:r>
        <w:rPr>
          <w:spacing w:val="-1"/>
        </w:rPr>
        <w:t> </w:t>
      </w:r>
      <w:r>
        <w:rPr/>
        <w:t>valideringsperioden.</w:t>
      </w:r>
    </w:p>
    <w:p>
      <w:pPr>
        <w:pStyle w:val="BodyText"/>
        <w:spacing w:before="1"/>
        <w:rPr>
          <w:sz w:val="25"/>
        </w:rPr>
      </w:pPr>
    </w:p>
    <w:p>
      <w:pPr>
        <w:pStyle w:val="Heading5"/>
        <w:rPr>
          <w:i/>
        </w:rPr>
      </w:pPr>
      <w:r>
        <w:rPr>
          <w:i/>
        </w:rPr>
        <w:t>Analyse af middelfejl og middel absolut fejl som funktion af dybden</w:t>
      </w:r>
    </w:p>
    <w:p>
      <w:pPr>
        <w:pStyle w:val="BodyText"/>
        <w:spacing w:line="288" w:lineRule="auto" w:before="49"/>
        <w:ind w:left="525" w:right="731"/>
        <w:jc w:val="both"/>
      </w:pPr>
      <w:r>
        <w:rPr/>
        <w:t>Figur A2.1 viser et plot af middelfejl (ME, observeret – simuleret vandspejl) for terrænnært grundvand plottet som funktion af filterdybden. De fire øverste figurer viser fejl for 90% af observationer (altså uden de største outliers), mens de fire nederste figurer viser middelfejl for alle observationer (dvs. med de største outliers). I figuren er resultater for Storå vist i venstre kolonne sammenlignet med resultater for Odense Å vist i højre kolonne. Bemærk at figurer uden ’outliers’ benytter samme ’y-akse’ (fra -8m til +8m), mens figurer med alle ob- servationer</w:t>
      </w:r>
      <w:r>
        <w:rPr>
          <w:spacing w:val="-4"/>
        </w:rPr>
        <w:t> </w:t>
      </w:r>
      <w:r>
        <w:rPr/>
        <w:t>benytter</w:t>
      </w:r>
      <w:r>
        <w:rPr>
          <w:spacing w:val="-3"/>
        </w:rPr>
        <w:t> </w:t>
      </w:r>
      <w:r>
        <w:rPr/>
        <w:t>forskellig</w:t>
      </w:r>
      <w:r>
        <w:rPr>
          <w:spacing w:val="-3"/>
        </w:rPr>
        <w:t> </w:t>
      </w:r>
      <w:r>
        <w:rPr/>
        <w:t>y-akse</w:t>
      </w:r>
      <w:r>
        <w:rPr>
          <w:spacing w:val="-3"/>
        </w:rPr>
        <w:t> </w:t>
      </w:r>
      <w:r>
        <w:rPr/>
        <w:t>for</w:t>
      </w:r>
      <w:r>
        <w:rPr>
          <w:spacing w:val="-3"/>
        </w:rPr>
        <w:t> </w:t>
      </w:r>
      <w:r>
        <w:rPr/>
        <w:t>Storå</w:t>
      </w:r>
      <w:r>
        <w:rPr>
          <w:spacing w:val="-3"/>
        </w:rPr>
        <w:t> </w:t>
      </w:r>
      <w:r>
        <w:rPr/>
        <w:t>og</w:t>
      </w:r>
      <w:r>
        <w:rPr>
          <w:spacing w:val="-3"/>
        </w:rPr>
        <w:t> </w:t>
      </w:r>
      <w:r>
        <w:rPr/>
        <w:t>Odense</w:t>
      </w:r>
      <w:r>
        <w:rPr>
          <w:spacing w:val="-3"/>
        </w:rPr>
        <w:t> </w:t>
      </w:r>
      <w:r>
        <w:rPr/>
        <w:t>Å</w:t>
      </w:r>
      <w:r>
        <w:rPr>
          <w:spacing w:val="-2"/>
        </w:rPr>
        <w:t> </w:t>
      </w:r>
      <w:r>
        <w:rPr/>
        <w:t>(+-15</w:t>
      </w:r>
      <w:r>
        <w:rPr>
          <w:spacing w:val="-2"/>
        </w:rPr>
        <w:t> </w:t>
      </w:r>
      <w:r>
        <w:rPr/>
        <w:t>m</w:t>
      </w:r>
      <w:r>
        <w:rPr>
          <w:spacing w:val="-2"/>
        </w:rPr>
        <w:t> </w:t>
      </w:r>
      <w:r>
        <w:rPr/>
        <w:t>for</w:t>
      </w:r>
      <w:r>
        <w:rPr>
          <w:spacing w:val="-3"/>
        </w:rPr>
        <w:t> </w:t>
      </w:r>
      <w:r>
        <w:rPr/>
        <w:t>Storå</w:t>
      </w:r>
      <w:r>
        <w:rPr>
          <w:spacing w:val="-5"/>
        </w:rPr>
        <w:t> </w:t>
      </w:r>
      <w:r>
        <w:rPr/>
        <w:t>og</w:t>
      </w:r>
      <w:r>
        <w:rPr>
          <w:spacing w:val="-3"/>
        </w:rPr>
        <w:t> </w:t>
      </w:r>
      <w:r>
        <w:rPr/>
        <w:t>+-80</w:t>
      </w:r>
      <w:r>
        <w:rPr>
          <w:spacing w:val="-2"/>
        </w:rPr>
        <w:t> </w:t>
      </w:r>
      <w:r>
        <w:rPr/>
        <w:t>m</w:t>
      </w:r>
      <w:r>
        <w:rPr>
          <w:spacing w:val="-1"/>
        </w:rPr>
        <w:t> </w:t>
      </w:r>
      <w:r>
        <w:rPr/>
        <w:t>for Odense Å). Der ses en svag tendens til ME og MAE er voksende for større dybde af filter- bund, dvs. at de mest terrænnære data har lidt mindre usikkerhed end øvrige terrænnære observationer. Eksempelvis har Storå en MAE på 1.16 m for observationer (mod 1.13-1.96 m</w:t>
      </w:r>
      <w:r>
        <w:rPr>
          <w:spacing w:val="-7"/>
        </w:rPr>
        <w:t> </w:t>
      </w:r>
      <w:r>
        <w:rPr/>
        <w:t>for</w:t>
      </w:r>
      <w:r>
        <w:rPr>
          <w:spacing w:val="-9"/>
        </w:rPr>
        <w:t> </w:t>
      </w:r>
      <w:r>
        <w:rPr/>
        <w:t>dybere</w:t>
      </w:r>
      <w:r>
        <w:rPr>
          <w:spacing w:val="-6"/>
        </w:rPr>
        <w:t> </w:t>
      </w:r>
      <w:r>
        <w:rPr/>
        <w:t>intervaller)</w:t>
      </w:r>
      <w:r>
        <w:rPr>
          <w:spacing w:val="-7"/>
        </w:rPr>
        <w:t> </w:t>
      </w:r>
      <w:r>
        <w:rPr/>
        <w:t>med</w:t>
      </w:r>
      <w:r>
        <w:rPr>
          <w:spacing w:val="-6"/>
        </w:rPr>
        <w:t> </w:t>
      </w:r>
      <w:r>
        <w:rPr/>
        <w:t>filterbund</w:t>
      </w:r>
      <w:r>
        <w:rPr>
          <w:spacing w:val="-5"/>
        </w:rPr>
        <w:t> </w:t>
      </w:r>
      <w:r>
        <w:rPr/>
        <w:t>i</w:t>
      </w:r>
      <w:r>
        <w:rPr>
          <w:spacing w:val="-7"/>
        </w:rPr>
        <w:t> </w:t>
      </w:r>
      <w:r>
        <w:rPr/>
        <w:t>dybden</w:t>
      </w:r>
      <w:r>
        <w:rPr>
          <w:spacing w:val="-8"/>
        </w:rPr>
        <w:t> </w:t>
      </w:r>
      <w:r>
        <w:rPr/>
        <w:t>0-2</w:t>
      </w:r>
      <w:r>
        <w:rPr>
          <w:spacing w:val="-8"/>
        </w:rPr>
        <w:t> </w:t>
      </w:r>
      <w:r>
        <w:rPr/>
        <w:t>m,</w:t>
      </w:r>
      <w:r>
        <w:rPr>
          <w:spacing w:val="-9"/>
        </w:rPr>
        <w:t> </w:t>
      </w:r>
      <w:r>
        <w:rPr/>
        <w:t>mens</w:t>
      </w:r>
      <w:r>
        <w:rPr>
          <w:spacing w:val="-5"/>
        </w:rPr>
        <w:t> </w:t>
      </w:r>
      <w:r>
        <w:rPr/>
        <w:t>Odense</w:t>
      </w:r>
      <w:r>
        <w:rPr>
          <w:spacing w:val="-6"/>
        </w:rPr>
        <w:t> </w:t>
      </w:r>
      <w:r>
        <w:rPr/>
        <w:t>Å</w:t>
      </w:r>
      <w:r>
        <w:rPr>
          <w:spacing w:val="-8"/>
        </w:rPr>
        <w:t> </w:t>
      </w:r>
      <w:r>
        <w:rPr/>
        <w:t>har</w:t>
      </w:r>
      <w:r>
        <w:rPr>
          <w:spacing w:val="-6"/>
        </w:rPr>
        <w:t> </w:t>
      </w:r>
      <w:r>
        <w:rPr/>
        <w:t>en</w:t>
      </w:r>
      <w:r>
        <w:rPr>
          <w:spacing w:val="-8"/>
        </w:rPr>
        <w:t> </w:t>
      </w:r>
      <w:r>
        <w:rPr/>
        <w:t>MAE</w:t>
      </w:r>
      <w:r>
        <w:rPr>
          <w:spacing w:val="-7"/>
        </w:rPr>
        <w:t> </w:t>
      </w:r>
      <w:r>
        <w:rPr/>
        <w:t>på</w:t>
      </w:r>
      <w:r>
        <w:rPr>
          <w:spacing w:val="-8"/>
        </w:rPr>
        <w:t> </w:t>
      </w:r>
      <w:r>
        <w:rPr/>
        <w:t>1.38 m for de mest terrænnære observationer (mod 1.41 – 2.00 m for dybere intervaller). Der er dog relativt få observationer så tendensen er ikke entydig. Der ses samtidig en tendens til hængende</w:t>
      </w:r>
      <w:r>
        <w:rPr>
          <w:spacing w:val="-9"/>
        </w:rPr>
        <w:t> </w:t>
      </w:r>
      <w:r>
        <w:rPr/>
        <w:t>vandspejl</w:t>
      </w:r>
      <w:r>
        <w:rPr>
          <w:spacing w:val="-9"/>
        </w:rPr>
        <w:t> </w:t>
      </w:r>
      <w:r>
        <w:rPr/>
        <w:t>(relativt</w:t>
      </w:r>
      <w:r>
        <w:rPr>
          <w:spacing w:val="-10"/>
        </w:rPr>
        <w:t> </w:t>
      </w:r>
      <w:r>
        <w:rPr/>
        <w:t>flere</w:t>
      </w:r>
      <w:r>
        <w:rPr>
          <w:spacing w:val="-9"/>
        </w:rPr>
        <w:t> </w:t>
      </w:r>
      <w:r>
        <w:rPr/>
        <w:t>outliers</w:t>
      </w:r>
      <w:r>
        <w:rPr>
          <w:spacing w:val="-10"/>
        </w:rPr>
        <w:t> </w:t>
      </w:r>
      <w:r>
        <w:rPr/>
        <w:t>hvor</w:t>
      </w:r>
      <w:r>
        <w:rPr>
          <w:spacing w:val="-10"/>
        </w:rPr>
        <w:t> </w:t>
      </w:r>
      <w:r>
        <w:rPr/>
        <w:t>observeret</w:t>
      </w:r>
      <w:r>
        <w:rPr>
          <w:spacing w:val="-8"/>
        </w:rPr>
        <w:t> </w:t>
      </w:r>
      <w:r>
        <w:rPr/>
        <w:t>vandspejl</w:t>
      </w:r>
      <w:r>
        <w:rPr>
          <w:spacing w:val="-9"/>
        </w:rPr>
        <w:t> </w:t>
      </w:r>
      <w:r>
        <w:rPr/>
        <w:t>er</w:t>
      </w:r>
      <w:r>
        <w:rPr>
          <w:spacing w:val="-10"/>
        </w:rPr>
        <w:t> </w:t>
      </w:r>
      <w:r>
        <w:rPr/>
        <w:t>væsentlig</w:t>
      </w:r>
      <w:r>
        <w:rPr>
          <w:spacing w:val="-8"/>
        </w:rPr>
        <w:t> </w:t>
      </w:r>
      <w:r>
        <w:rPr/>
        <w:t>større</w:t>
      </w:r>
      <w:r>
        <w:rPr>
          <w:spacing w:val="-9"/>
        </w:rPr>
        <w:t> </w:t>
      </w:r>
      <w:r>
        <w:rPr/>
        <w:t>end simuleret). Boksplot (95%/75% konfidensinterval) illustrerer overhyppighed af hængende vandspejl.</w:t>
      </w:r>
    </w:p>
    <w:p>
      <w:pPr>
        <w:spacing w:after="0" w:line="288" w:lineRule="auto"/>
        <w:jc w:val="both"/>
        <w:sectPr>
          <w:pgSz w:w="11910" w:h="16850"/>
          <w:pgMar w:header="0" w:footer="857" w:top="1340" w:bottom="1120" w:left="1460" w:right="680"/>
        </w:sectPr>
      </w:pPr>
    </w:p>
    <w:p>
      <w:pPr>
        <w:tabs>
          <w:tab w:pos="4947" w:val="left" w:leader="none"/>
        </w:tabs>
        <w:spacing w:line="240" w:lineRule="auto"/>
        <w:ind w:left="716" w:right="0" w:firstLine="0"/>
        <w:rPr>
          <w:sz w:val="20"/>
        </w:rPr>
      </w:pPr>
      <w:r>
        <w:rPr>
          <w:sz w:val="20"/>
        </w:rPr>
        <w:drawing>
          <wp:inline distT="0" distB="0" distL="0" distR="0">
            <wp:extent cx="2325034" cy="1747647"/>
            <wp:effectExtent l="0" t="0" r="0" b="0"/>
            <wp:docPr id="235" name="image133.png" descr=""/>
            <wp:cNvGraphicFramePr>
              <a:graphicFrameLocks noChangeAspect="1"/>
            </wp:cNvGraphicFramePr>
            <a:graphic>
              <a:graphicData uri="http://schemas.openxmlformats.org/drawingml/2006/picture">
                <pic:pic>
                  <pic:nvPicPr>
                    <pic:cNvPr id="236" name="image133.png"/>
                    <pic:cNvPicPr/>
                  </pic:nvPicPr>
                  <pic:blipFill>
                    <a:blip r:embed="rId154" cstate="print"/>
                    <a:stretch>
                      <a:fillRect/>
                    </a:stretch>
                  </pic:blipFill>
                  <pic:spPr>
                    <a:xfrm>
                      <a:off x="0" y="0"/>
                      <a:ext cx="2325034" cy="1747647"/>
                    </a:xfrm>
                    <a:prstGeom prst="rect">
                      <a:avLst/>
                    </a:prstGeom>
                  </pic:spPr>
                </pic:pic>
              </a:graphicData>
            </a:graphic>
          </wp:inline>
        </w:drawing>
      </w:r>
      <w:r>
        <w:rPr>
          <w:sz w:val="20"/>
        </w:rPr>
      </w:r>
      <w:r>
        <w:rPr>
          <w:sz w:val="20"/>
        </w:rPr>
        <w:tab/>
      </w:r>
      <w:r>
        <w:rPr>
          <w:position w:val="2"/>
          <w:sz w:val="20"/>
        </w:rPr>
        <w:drawing>
          <wp:inline distT="0" distB="0" distL="0" distR="0">
            <wp:extent cx="2329018" cy="1747647"/>
            <wp:effectExtent l="0" t="0" r="0" b="0"/>
            <wp:docPr id="237" name="image134.png" descr=""/>
            <wp:cNvGraphicFramePr>
              <a:graphicFrameLocks noChangeAspect="1"/>
            </wp:cNvGraphicFramePr>
            <a:graphic>
              <a:graphicData uri="http://schemas.openxmlformats.org/drawingml/2006/picture">
                <pic:pic>
                  <pic:nvPicPr>
                    <pic:cNvPr id="238" name="image134.png"/>
                    <pic:cNvPicPr/>
                  </pic:nvPicPr>
                  <pic:blipFill>
                    <a:blip r:embed="rId155" cstate="print"/>
                    <a:stretch>
                      <a:fillRect/>
                    </a:stretch>
                  </pic:blipFill>
                  <pic:spPr>
                    <a:xfrm>
                      <a:off x="0" y="0"/>
                      <a:ext cx="2329018" cy="1747647"/>
                    </a:xfrm>
                    <a:prstGeom prst="rect">
                      <a:avLst/>
                    </a:prstGeom>
                  </pic:spPr>
                </pic:pic>
              </a:graphicData>
            </a:graphic>
          </wp:inline>
        </w:drawing>
      </w:r>
      <w:r>
        <w:rPr>
          <w:position w:val="2"/>
          <w:sz w:val="20"/>
        </w:rPr>
      </w:r>
    </w:p>
    <w:p>
      <w:pPr>
        <w:pStyle w:val="BodyText"/>
        <w:spacing w:before="10"/>
        <w:rPr>
          <w:sz w:val="23"/>
        </w:rPr>
      </w:pPr>
      <w:r>
        <w:rPr/>
        <w:drawing>
          <wp:anchor distT="0" distB="0" distL="0" distR="0" allowOverlap="1" layoutInCell="1" locked="0" behindDoc="0" simplePos="0" relativeHeight="85">
            <wp:simplePos x="0" y="0"/>
            <wp:positionH relativeFrom="page">
              <wp:posOffset>1382877</wp:posOffset>
            </wp:positionH>
            <wp:positionV relativeFrom="paragraph">
              <wp:posOffset>199607</wp:posOffset>
            </wp:positionV>
            <wp:extent cx="2327446" cy="1747647"/>
            <wp:effectExtent l="0" t="0" r="0" b="0"/>
            <wp:wrapTopAndBottom/>
            <wp:docPr id="239" name="image135.png" descr=""/>
            <wp:cNvGraphicFramePr>
              <a:graphicFrameLocks noChangeAspect="1"/>
            </wp:cNvGraphicFramePr>
            <a:graphic>
              <a:graphicData uri="http://schemas.openxmlformats.org/drawingml/2006/picture">
                <pic:pic>
                  <pic:nvPicPr>
                    <pic:cNvPr id="240" name="image135.png"/>
                    <pic:cNvPicPr/>
                  </pic:nvPicPr>
                  <pic:blipFill>
                    <a:blip r:embed="rId156" cstate="print"/>
                    <a:stretch>
                      <a:fillRect/>
                    </a:stretch>
                  </pic:blipFill>
                  <pic:spPr>
                    <a:xfrm>
                      <a:off x="0" y="0"/>
                      <a:ext cx="2327446" cy="1747647"/>
                    </a:xfrm>
                    <a:prstGeom prst="rect">
                      <a:avLst/>
                    </a:prstGeom>
                  </pic:spPr>
                </pic:pic>
              </a:graphicData>
            </a:graphic>
          </wp:anchor>
        </w:drawing>
      </w:r>
      <w:r>
        <w:rPr/>
        <w:drawing>
          <wp:anchor distT="0" distB="0" distL="0" distR="0" allowOverlap="1" layoutInCell="1" locked="0" behindDoc="0" simplePos="0" relativeHeight="86">
            <wp:simplePos x="0" y="0"/>
            <wp:positionH relativeFrom="page">
              <wp:posOffset>4085508</wp:posOffset>
            </wp:positionH>
            <wp:positionV relativeFrom="paragraph">
              <wp:posOffset>224381</wp:posOffset>
            </wp:positionV>
            <wp:extent cx="2270795" cy="1707927"/>
            <wp:effectExtent l="0" t="0" r="0" b="0"/>
            <wp:wrapTopAndBottom/>
            <wp:docPr id="241" name="image136.png" descr=""/>
            <wp:cNvGraphicFramePr>
              <a:graphicFrameLocks noChangeAspect="1"/>
            </wp:cNvGraphicFramePr>
            <a:graphic>
              <a:graphicData uri="http://schemas.openxmlformats.org/drawingml/2006/picture">
                <pic:pic>
                  <pic:nvPicPr>
                    <pic:cNvPr id="242" name="image136.png"/>
                    <pic:cNvPicPr/>
                  </pic:nvPicPr>
                  <pic:blipFill>
                    <a:blip r:embed="rId157" cstate="print"/>
                    <a:stretch>
                      <a:fillRect/>
                    </a:stretch>
                  </pic:blipFill>
                  <pic:spPr>
                    <a:xfrm>
                      <a:off x="0" y="0"/>
                      <a:ext cx="2270795" cy="1707927"/>
                    </a:xfrm>
                    <a:prstGeom prst="rect">
                      <a:avLst/>
                    </a:prstGeom>
                  </pic:spPr>
                </pic:pic>
              </a:graphicData>
            </a:graphic>
          </wp:anchor>
        </w:drawing>
      </w:r>
      <w:r>
        <w:rPr/>
        <w:drawing>
          <wp:anchor distT="0" distB="0" distL="0" distR="0" allowOverlap="1" layoutInCell="1" locked="0" behindDoc="0" simplePos="0" relativeHeight="87">
            <wp:simplePos x="0" y="0"/>
            <wp:positionH relativeFrom="page">
              <wp:posOffset>1344890</wp:posOffset>
            </wp:positionH>
            <wp:positionV relativeFrom="paragraph">
              <wp:posOffset>2149630</wp:posOffset>
            </wp:positionV>
            <wp:extent cx="2362945" cy="1730882"/>
            <wp:effectExtent l="0" t="0" r="0" b="0"/>
            <wp:wrapTopAndBottom/>
            <wp:docPr id="243" name="image137.png" descr=""/>
            <wp:cNvGraphicFramePr>
              <a:graphicFrameLocks noChangeAspect="1"/>
            </wp:cNvGraphicFramePr>
            <a:graphic>
              <a:graphicData uri="http://schemas.openxmlformats.org/drawingml/2006/picture">
                <pic:pic>
                  <pic:nvPicPr>
                    <pic:cNvPr id="244" name="image137.png"/>
                    <pic:cNvPicPr/>
                  </pic:nvPicPr>
                  <pic:blipFill>
                    <a:blip r:embed="rId158" cstate="print"/>
                    <a:stretch>
                      <a:fillRect/>
                    </a:stretch>
                  </pic:blipFill>
                  <pic:spPr>
                    <a:xfrm>
                      <a:off x="0" y="0"/>
                      <a:ext cx="2362945" cy="1730882"/>
                    </a:xfrm>
                    <a:prstGeom prst="rect">
                      <a:avLst/>
                    </a:prstGeom>
                  </pic:spPr>
                </pic:pic>
              </a:graphicData>
            </a:graphic>
          </wp:anchor>
        </w:drawing>
      </w:r>
      <w:r>
        <w:rPr/>
        <w:drawing>
          <wp:anchor distT="0" distB="0" distL="0" distR="0" allowOverlap="1" layoutInCell="1" locked="0" behindDoc="0" simplePos="0" relativeHeight="88">
            <wp:simplePos x="0" y="0"/>
            <wp:positionH relativeFrom="page">
              <wp:posOffset>4053002</wp:posOffset>
            </wp:positionH>
            <wp:positionV relativeFrom="paragraph">
              <wp:posOffset>2172053</wp:posOffset>
            </wp:positionV>
            <wp:extent cx="2358385" cy="1730882"/>
            <wp:effectExtent l="0" t="0" r="0" b="0"/>
            <wp:wrapTopAndBottom/>
            <wp:docPr id="245" name="image138.png" descr=""/>
            <wp:cNvGraphicFramePr>
              <a:graphicFrameLocks noChangeAspect="1"/>
            </wp:cNvGraphicFramePr>
            <a:graphic>
              <a:graphicData uri="http://schemas.openxmlformats.org/drawingml/2006/picture">
                <pic:pic>
                  <pic:nvPicPr>
                    <pic:cNvPr id="246" name="image138.png"/>
                    <pic:cNvPicPr/>
                  </pic:nvPicPr>
                  <pic:blipFill>
                    <a:blip r:embed="rId159" cstate="print"/>
                    <a:stretch>
                      <a:fillRect/>
                    </a:stretch>
                  </pic:blipFill>
                  <pic:spPr>
                    <a:xfrm>
                      <a:off x="0" y="0"/>
                      <a:ext cx="2358385" cy="1730882"/>
                    </a:xfrm>
                    <a:prstGeom prst="rect">
                      <a:avLst/>
                    </a:prstGeom>
                  </pic:spPr>
                </pic:pic>
              </a:graphicData>
            </a:graphic>
          </wp:anchor>
        </w:drawing>
      </w:r>
      <w:r>
        <w:rPr/>
        <w:drawing>
          <wp:anchor distT="0" distB="0" distL="0" distR="0" allowOverlap="1" layoutInCell="1" locked="0" behindDoc="0" simplePos="0" relativeHeight="89">
            <wp:simplePos x="0" y="0"/>
            <wp:positionH relativeFrom="page">
              <wp:posOffset>1348866</wp:posOffset>
            </wp:positionH>
            <wp:positionV relativeFrom="paragraph">
              <wp:posOffset>4098444</wp:posOffset>
            </wp:positionV>
            <wp:extent cx="5052870" cy="1735074"/>
            <wp:effectExtent l="0" t="0" r="0" b="0"/>
            <wp:wrapTopAndBottom/>
            <wp:docPr id="247" name="image139.png" descr=""/>
            <wp:cNvGraphicFramePr>
              <a:graphicFrameLocks noChangeAspect="1"/>
            </wp:cNvGraphicFramePr>
            <a:graphic>
              <a:graphicData uri="http://schemas.openxmlformats.org/drawingml/2006/picture">
                <pic:pic>
                  <pic:nvPicPr>
                    <pic:cNvPr id="248" name="image139.png"/>
                    <pic:cNvPicPr/>
                  </pic:nvPicPr>
                  <pic:blipFill>
                    <a:blip r:embed="rId160" cstate="print"/>
                    <a:stretch>
                      <a:fillRect/>
                    </a:stretch>
                  </pic:blipFill>
                  <pic:spPr>
                    <a:xfrm>
                      <a:off x="0" y="0"/>
                      <a:ext cx="5052870" cy="1735074"/>
                    </a:xfrm>
                    <a:prstGeom prst="rect">
                      <a:avLst/>
                    </a:prstGeom>
                  </pic:spPr>
                </pic:pic>
              </a:graphicData>
            </a:graphic>
          </wp:anchor>
        </w:drawing>
      </w:r>
    </w:p>
    <w:p>
      <w:pPr>
        <w:pStyle w:val="BodyText"/>
        <w:spacing w:before="9"/>
      </w:pPr>
    </w:p>
    <w:p>
      <w:pPr>
        <w:pStyle w:val="BodyText"/>
        <w:spacing w:before="9"/>
        <w:rPr>
          <w:sz w:val="20"/>
        </w:rPr>
      </w:pPr>
    </w:p>
    <w:p>
      <w:pPr>
        <w:pStyle w:val="BodyText"/>
        <w:spacing w:before="7"/>
        <w:rPr>
          <w:sz w:val="17"/>
        </w:rPr>
      </w:pPr>
    </w:p>
    <w:p>
      <w:pPr>
        <w:spacing w:before="64"/>
        <w:ind w:left="525" w:right="918" w:firstLine="0"/>
        <w:jc w:val="left"/>
        <w:rPr>
          <w:rFonts w:ascii="Calibri" w:hAnsi="Calibri"/>
          <w:i/>
          <w:sz w:val="18"/>
        </w:rPr>
      </w:pPr>
      <w:r>
        <w:rPr>
          <w:rFonts w:ascii="Calibri" w:hAnsi="Calibri"/>
          <w:i/>
          <w:color w:val="44536A"/>
          <w:sz w:val="18"/>
        </w:rPr>
        <w:t>Figur A2.1 Analyse af afvigelser på simulerede dybde til terrænnært grundvand for Storå (venstre kolonne) og </w:t>
      </w:r>
      <w:r>
        <w:rPr>
          <w:rFonts w:ascii="Calibri" w:hAnsi="Calibri"/>
          <w:i/>
          <w:color w:val="44536A"/>
          <w:sz w:val="18"/>
        </w:rPr>
        <w:t>Odense Å (højre kolonne). Øverste to figurer viser de 90 % udvalgte grids observationer, mens nederste to figurer viser alle pejleobservationer med middelfejl (ME) som funktion af dybde interval (hhv. 0-2, 2-4, 4-6, 6-8 og 8-10 m) bestemt ud fra filterdybden.</w:t>
      </w:r>
    </w:p>
    <w:p>
      <w:pPr>
        <w:spacing w:after="0"/>
        <w:jc w:val="left"/>
        <w:rPr>
          <w:rFonts w:ascii="Calibri" w:hAnsi="Calibri"/>
          <w:sz w:val="18"/>
        </w:rPr>
        <w:sectPr>
          <w:pgSz w:w="11910" w:h="16850"/>
          <w:pgMar w:header="0" w:footer="857" w:top="1460" w:bottom="1120" w:left="1460" w:right="680"/>
        </w:sectPr>
      </w:pPr>
    </w:p>
    <w:p>
      <w:pPr>
        <w:pStyle w:val="Heading4"/>
        <w:spacing w:before="75"/>
      </w:pPr>
      <w:r>
        <w:rPr/>
        <w:t>Analyse af performance (RMSE i forhold til MAE)</w:t>
      </w:r>
    </w:p>
    <w:p>
      <w:pPr>
        <w:pStyle w:val="BodyText"/>
        <w:spacing w:line="276" w:lineRule="auto" w:before="49"/>
        <w:ind w:left="594" w:right="286"/>
        <w:jc w:val="both"/>
      </w:pPr>
      <w:r>
        <w:rPr/>
        <w:t>Ved</w:t>
      </w:r>
      <w:r>
        <w:rPr>
          <w:spacing w:val="-5"/>
        </w:rPr>
        <w:t> </w:t>
      </w:r>
      <w:r>
        <w:rPr/>
        <w:t>vurdering</w:t>
      </w:r>
      <w:r>
        <w:rPr>
          <w:spacing w:val="-4"/>
        </w:rPr>
        <w:t> </w:t>
      </w:r>
      <w:r>
        <w:rPr/>
        <w:t>af</w:t>
      </w:r>
      <w:r>
        <w:rPr>
          <w:spacing w:val="-4"/>
        </w:rPr>
        <w:t> </w:t>
      </w:r>
      <w:r>
        <w:rPr/>
        <w:t>performance</w:t>
      </w:r>
      <w:r>
        <w:rPr>
          <w:spacing w:val="-5"/>
        </w:rPr>
        <w:t> </w:t>
      </w:r>
      <w:r>
        <w:rPr/>
        <w:t>af</w:t>
      </w:r>
      <w:r>
        <w:rPr>
          <w:spacing w:val="-4"/>
        </w:rPr>
        <w:t> </w:t>
      </w:r>
      <w:r>
        <w:rPr/>
        <w:t>grundvandsmodeller</w:t>
      </w:r>
      <w:r>
        <w:rPr>
          <w:spacing w:val="-5"/>
        </w:rPr>
        <w:t> </w:t>
      </w:r>
      <w:r>
        <w:rPr/>
        <w:t>benyttes</w:t>
      </w:r>
      <w:r>
        <w:rPr>
          <w:spacing w:val="-6"/>
        </w:rPr>
        <w:t> </w:t>
      </w:r>
      <w:r>
        <w:rPr/>
        <w:t>ofte</w:t>
      </w:r>
      <w:r>
        <w:rPr>
          <w:spacing w:val="-7"/>
        </w:rPr>
        <w:t> </w:t>
      </w:r>
      <w:r>
        <w:rPr/>
        <w:t>RMSE</w:t>
      </w:r>
      <w:r>
        <w:rPr>
          <w:spacing w:val="-4"/>
        </w:rPr>
        <w:t> </w:t>
      </w:r>
      <w:r>
        <w:rPr/>
        <w:t>som</w:t>
      </w:r>
      <w:r>
        <w:rPr>
          <w:spacing w:val="-3"/>
        </w:rPr>
        <w:t> </w:t>
      </w:r>
      <w:r>
        <w:rPr/>
        <w:t>nøjagtighedskri- terie</w:t>
      </w:r>
      <w:r>
        <w:rPr>
          <w:spacing w:val="-4"/>
        </w:rPr>
        <w:t> </w:t>
      </w:r>
      <w:r>
        <w:rPr/>
        <w:t>i</w:t>
      </w:r>
      <w:r>
        <w:rPr>
          <w:spacing w:val="-5"/>
        </w:rPr>
        <w:t> </w:t>
      </w:r>
      <w:r>
        <w:rPr/>
        <w:t>forhold</w:t>
      </w:r>
      <w:r>
        <w:rPr>
          <w:spacing w:val="-4"/>
        </w:rPr>
        <w:t> </w:t>
      </w:r>
      <w:r>
        <w:rPr/>
        <w:t>til</w:t>
      </w:r>
      <w:r>
        <w:rPr>
          <w:spacing w:val="-4"/>
        </w:rPr>
        <w:t> </w:t>
      </w:r>
      <w:r>
        <w:rPr/>
        <w:t>trykniveau</w:t>
      </w:r>
      <w:r>
        <w:rPr>
          <w:spacing w:val="-6"/>
        </w:rPr>
        <w:t> </w:t>
      </w:r>
      <w:r>
        <w:rPr/>
        <w:t>i</w:t>
      </w:r>
      <w:r>
        <w:rPr>
          <w:spacing w:val="-3"/>
        </w:rPr>
        <w:t> </w:t>
      </w:r>
      <w:r>
        <w:rPr/>
        <w:t>stedet</w:t>
      </w:r>
      <w:r>
        <w:rPr>
          <w:spacing w:val="-7"/>
        </w:rPr>
        <w:t> </w:t>
      </w:r>
      <w:r>
        <w:rPr/>
        <w:t>for</w:t>
      </w:r>
      <w:r>
        <w:rPr>
          <w:spacing w:val="-5"/>
        </w:rPr>
        <w:t> </w:t>
      </w:r>
      <w:r>
        <w:rPr/>
        <w:t>MAE</w:t>
      </w:r>
      <w:r>
        <w:rPr>
          <w:spacing w:val="-3"/>
        </w:rPr>
        <w:t> </w:t>
      </w:r>
      <w:r>
        <w:rPr/>
        <w:t>(Henriksen</w:t>
      </w:r>
      <w:r>
        <w:rPr>
          <w:spacing w:val="-3"/>
        </w:rPr>
        <w:t> </w:t>
      </w:r>
      <w:r>
        <w:rPr/>
        <w:t>et</w:t>
      </w:r>
      <w:r>
        <w:rPr>
          <w:spacing w:val="-5"/>
        </w:rPr>
        <w:t> </w:t>
      </w:r>
      <w:r>
        <w:rPr/>
        <w:t>al.</w:t>
      </w:r>
      <w:r>
        <w:rPr>
          <w:spacing w:val="-6"/>
        </w:rPr>
        <w:t> </w:t>
      </w:r>
      <w:r>
        <w:rPr/>
        <w:t>2017).</w:t>
      </w:r>
      <w:r>
        <w:rPr>
          <w:spacing w:val="-5"/>
        </w:rPr>
        <w:t> </w:t>
      </w:r>
      <w:r>
        <w:rPr/>
        <w:t>Argumentet</w:t>
      </w:r>
      <w:r>
        <w:rPr>
          <w:spacing w:val="-5"/>
        </w:rPr>
        <w:t> </w:t>
      </w:r>
      <w:r>
        <w:rPr/>
        <w:t>for</w:t>
      </w:r>
      <w:r>
        <w:rPr>
          <w:spacing w:val="-4"/>
        </w:rPr>
        <w:t> </w:t>
      </w:r>
      <w:r>
        <w:rPr/>
        <w:t>at</w:t>
      </w:r>
      <w:r>
        <w:rPr>
          <w:spacing w:val="-6"/>
        </w:rPr>
        <w:t> </w:t>
      </w:r>
      <w:r>
        <w:rPr/>
        <w:t>vise</w:t>
      </w:r>
      <w:r>
        <w:rPr>
          <w:spacing w:val="-4"/>
        </w:rPr>
        <w:t> </w:t>
      </w:r>
      <w:r>
        <w:rPr/>
        <w:t>resul- tater med MAE værdier i nærværende undersøgelse har været, at middel absolut fejl er mere relevant</w:t>
      </w:r>
      <w:r>
        <w:rPr>
          <w:spacing w:val="-15"/>
        </w:rPr>
        <w:t> </w:t>
      </w:r>
      <w:r>
        <w:rPr/>
        <w:t>når</w:t>
      </w:r>
      <w:r>
        <w:rPr>
          <w:spacing w:val="-13"/>
        </w:rPr>
        <w:t> </w:t>
      </w:r>
      <w:r>
        <w:rPr/>
        <w:t>gennemsnitlige</w:t>
      </w:r>
      <w:r>
        <w:rPr>
          <w:spacing w:val="-13"/>
        </w:rPr>
        <w:t> </w:t>
      </w:r>
      <w:r>
        <w:rPr/>
        <w:t>fejl</w:t>
      </w:r>
      <w:r>
        <w:rPr>
          <w:spacing w:val="-12"/>
        </w:rPr>
        <w:t> </w:t>
      </w:r>
      <w:r>
        <w:rPr/>
        <w:t>ønskes,</w:t>
      </w:r>
      <w:r>
        <w:rPr>
          <w:spacing w:val="-15"/>
        </w:rPr>
        <w:t> </w:t>
      </w:r>
      <w:r>
        <w:rPr/>
        <w:t>og</w:t>
      </w:r>
      <w:r>
        <w:rPr>
          <w:spacing w:val="-13"/>
        </w:rPr>
        <w:t> </w:t>
      </w:r>
      <w:r>
        <w:rPr/>
        <w:t>at</w:t>
      </w:r>
      <w:r>
        <w:rPr>
          <w:spacing w:val="-14"/>
        </w:rPr>
        <w:t> </w:t>
      </w:r>
      <w:r>
        <w:rPr/>
        <w:t>større</w:t>
      </w:r>
      <w:r>
        <w:rPr>
          <w:spacing w:val="-13"/>
        </w:rPr>
        <w:t> </w:t>
      </w:r>
      <w:r>
        <w:rPr/>
        <w:t>afvigelser</w:t>
      </w:r>
      <w:r>
        <w:rPr>
          <w:spacing w:val="-13"/>
        </w:rPr>
        <w:t> </w:t>
      </w:r>
      <w:r>
        <w:rPr/>
        <w:t>’outliers’</w:t>
      </w:r>
      <w:r>
        <w:rPr>
          <w:spacing w:val="-13"/>
        </w:rPr>
        <w:t> </w:t>
      </w:r>
      <w:r>
        <w:rPr/>
        <w:t>giver</w:t>
      </w:r>
      <w:r>
        <w:rPr>
          <w:spacing w:val="-13"/>
        </w:rPr>
        <w:t> </w:t>
      </w:r>
      <w:r>
        <w:rPr/>
        <w:t>relativt</w:t>
      </w:r>
      <w:r>
        <w:rPr>
          <w:spacing w:val="-14"/>
        </w:rPr>
        <w:t> </w:t>
      </w:r>
      <w:r>
        <w:rPr/>
        <w:t>store</w:t>
      </w:r>
      <w:r>
        <w:rPr>
          <w:spacing w:val="-13"/>
        </w:rPr>
        <w:t> </w:t>
      </w:r>
      <w:r>
        <w:rPr/>
        <w:t>RMSE værdier</w:t>
      </w:r>
      <w:r>
        <w:rPr>
          <w:spacing w:val="-12"/>
        </w:rPr>
        <w:t> </w:t>
      </w:r>
      <w:r>
        <w:rPr/>
        <w:t>i</w:t>
      </w:r>
      <w:r>
        <w:rPr>
          <w:spacing w:val="-10"/>
        </w:rPr>
        <w:t> </w:t>
      </w:r>
      <w:r>
        <w:rPr/>
        <w:t>forhold</w:t>
      </w:r>
      <w:r>
        <w:rPr>
          <w:spacing w:val="-11"/>
        </w:rPr>
        <w:t> </w:t>
      </w:r>
      <w:r>
        <w:rPr/>
        <w:t>til</w:t>
      </w:r>
      <w:r>
        <w:rPr>
          <w:spacing w:val="-10"/>
        </w:rPr>
        <w:t> </w:t>
      </w:r>
      <w:r>
        <w:rPr/>
        <w:t>MAE.</w:t>
      </w:r>
      <w:r>
        <w:rPr>
          <w:spacing w:val="-13"/>
        </w:rPr>
        <w:t> </w:t>
      </w:r>
      <w:r>
        <w:rPr/>
        <w:t>Ved</w:t>
      </w:r>
      <w:r>
        <w:rPr>
          <w:spacing w:val="-10"/>
        </w:rPr>
        <w:t> </w:t>
      </w:r>
      <w:r>
        <w:rPr/>
        <w:t>brug</w:t>
      </w:r>
      <w:r>
        <w:rPr>
          <w:spacing w:val="-13"/>
        </w:rPr>
        <w:t> </w:t>
      </w:r>
      <w:r>
        <w:rPr/>
        <w:t>af</w:t>
      </w:r>
      <w:r>
        <w:rPr>
          <w:spacing w:val="-12"/>
        </w:rPr>
        <w:t> </w:t>
      </w:r>
      <w:r>
        <w:rPr/>
        <w:t>CRPS</w:t>
      </w:r>
      <w:r>
        <w:rPr>
          <w:spacing w:val="-10"/>
        </w:rPr>
        <w:t> </w:t>
      </w:r>
      <w:r>
        <w:rPr/>
        <w:t>og</w:t>
      </w:r>
      <w:r>
        <w:rPr>
          <w:spacing w:val="-14"/>
        </w:rPr>
        <w:t> </w:t>
      </w:r>
      <w:r>
        <w:rPr/>
        <w:t>krav</w:t>
      </w:r>
      <w:r>
        <w:rPr>
          <w:spacing w:val="-13"/>
        </w:rPr>
        <w:t> </w:t>
      </w:r>
      <w:r>
        <w:rPr/>
        <w:t>til</w:t>
      </w:r>
      <w:r>
        <w:rPr>
          <w:spacing w:val="-10"/>
        </w:rPr>
        <w:t> </w:t>
      </w:r>
      <w:r>
        <w:rPr/>
        <w:t>nøjagtighed</w:t>
      </w:r>
      <w:r>
        <w:rPr>
          <w:spacing w:val="-10"/>
        </w:rPr>
        <w:t> </w:t>
      </w:r>
      <w:r>
        <w:rPr/>
        <w:t>i</w:t>
      </w:r>
      <w:r>
        <w:rPr>
          <w:spacing w:val="-12"/>
        </w:rPr>
        <w:t> </w:t>
      </w:r>
      <w:r>
        <w:rPr/>
        <w:t>forhold</w:t>
      </w:r>
      <w:r>
        <w:rPr>
          <w:spacing w:val="-12"/>
        </w:rPr>
        <w:t> </w:t>
      </w:r>
      <w:r>
        <w:rPr/>
        <w:t>til</w:t>
      </w:r>
      <w:r>
        <w:rPr>
          <w:spacing w:val="-12"/>
        </w:rPr>
        <w:t> </w:t>
      </w:r>
      <w:r>
        <w:rPr/>
        <w:t>90</w:t>
      </w:r>
      <w:r>
        <w:rPr>
          <w:spacing w:val="-11"/>
        </w:rPr>
        <w:t> </w:t>
      </w:r>
      <w:r>
        <w:rPr/>
        <w:t>%</w:t>
      </w:r>
      <w:r>
        <w:rPr>
          <w:spacing w:val="-11"/>
        </w:rPr>
        <w:t> </w:t>
      </w:r>
      <w:r>
        <w:rPr/>
        <w:t>af</w:t>
      </w:r>
      <w:r>
        <w:rPr>
          <w:spacing w:val="-10"/>
        </w:rPr>
        <w:t> </w:t>
      </w:r>
      <w:r>
        <w:rPr/>
        <w:t>pejlingerne er</w:t>
      </w:r>
      <w:r>
        <w:rPr>
          <w:spacing w:val="-15"/>
        </w:rPr>
        <w:t> </w:t>
      </w:r>
      <w:r>
        <w:rPr/>
        <w:t>forskellen</w:t>
      </w:r>
      <w:r>
        <w:rPr>
          <w:spacing w:val="-13"/>
        </w:rPr>
        <w:t> </w:t>
      </w:r>
      <w:r>
        <w:rPr/>
        <w:t>på</w:t>
      </w:r>
      <w:r>
        <w:rPr>
          <w:spacing w:val="-13"/>
        </w:rPr>
        <w:t> </w:t>
      </w:r>
      <w:r>
        <w:rPr/>
        <w:t>MAE</w:t>
      </w:r>
      <w:r>
        <w:rPr>
          <w:spacing w:val="-15"/>
        </w:rPr>
        <w:t> </w:t>
      </w:r>
      <w:r>
        <w:rPr/>
        <w:t>og</w:t>
      </w:r>
      <w:r>
        <w:rPr>
          <w:spacing w:val="-15"/>
        </w:rPr>
        <w:t> </w:t>
      </w:r>
      <w:r>
        <w:rPr/>
        <w:t>RMSE</w:t>
      </w:r>
      <w:r>
        <w:rPr>
          <w:spacing w:val="-15"/>
        </w:rPr>
        <w:t> </w:t>
      </w:r>
      <w:r>
        <w:rPr/>
        <w:t>dog</w:t>
      </w:r>
      <w:r>
        <w:rPr>
          <w:spacing w:val="-15"/>
        </w:rPr>
        <w:t> </w:t>
      </w:r>
      <w:r>
        <w:rPr/>
        <w:t>mindre.</w:t>
      </w:r>
      <w:r>
        <w:rPr>
          <w:spacing w:val="-14"/>
        </w:rPr>
        <w:t> </w:t>
      </w:r>
      <w:r>
        <w:rPr/>
        <w:t>I</w:t>
      </w:r>
      <w:r>
        <w:rPr>
          <w:spacing w:val="-14"/>
        </w:rPr>
        <w:t> </w:t>
      </w:r>
      <w:r>
        <w:rPr/>
        <w:t>Tabel</w:t>
      </w:r>
      <w:r>
        <w:rPr>
          <w:spacing w:val="-15"/>
        </w:rPr>
        <w:t> </w:t>
      </w:r>
      <w:r>
        <w:rPr/>
        <w:t>A2.3</w:t>
      </w:r>
      <w:r>
        <w:rPr>
          <w:spacing w:val="-13"/>
        </w:rPr>
        <w:t> </w:t>
      </w:r>
      <w:r>
        <w:rPr/>
        <w:t>og</w:t>
      </w:r>
      <w:r>
        <w:rPr>
          <w:spacing w:val="-13"/>
        </w:rPr>
        <w:t> </w:t>
      </w:r>
      <w:r>
        <w:rPr/>
        <w:t>A2.4</w:t>
      </w:r>
      <w:r>
        <w:rPr>
          <w:spacing w:val="-16"/>
        </w:rPr>
        <w:t> </w:t>
      </w:r>
      <w:r>
        <w:rPr/>
        <w:t>er</w:t>
      </w:r>
      <w:r>
        <w:rPr>
          <w:spacing w:val="-14"/>
        </w:rPr>
        <w:t> </w:t>
      </w:r>
      <w:r>
        <w:rPr/>
        <w:t>resultater</w:t>
      </w:r>
      <w:r>
        <w:rPr>
          <w:spacing w:val="-14"/>
        </w:rPr>
        <w:t> </w:t>
      </w:r>
      <w:r>
        <w:rPr/>
        <w:t>for</w:t>
      </w:r>
      <w:r>
        <w:rPr>
          <w:spacing w:val="-14"/>
        </w:rPr>
        <w:t> </w:t>
      </w:r>
      <w:r>
        <w:rPr/>
        <w:t>RMSE</w:t>
      </w:r>
      <w:r>
        <w:rPr>
          <w:spacing w:val="-15"/>
        </w:rPr>
        <w:t> </w:t>
      </w:r>
      <w:r>
        <w:rPr/>
        <w:t>imidlertid sammenlignet med MAE så sammenhængen mellem de to nøjagtighedskriterier</w:t>
      </w:r>
      <w:r>
        <w:rPr>
          <w:spacing w:val="-25"/>
        </w:rPr>
        <w:t> </w:t>
      </w:r>
      <w:r>
        <w:rPr/>
        <w:t>tydeliggøres.</w:t>
      </w:r>
    </w:p>
    <w:p>
      <w:pPr>
        <w:pStyle w:val="BodyText"/>
        <w:spacing w:before="4"/>
        <w:rPr>
          <w:sz w:val="19"/>
        </w:rPr>
      </w:pPr>
    </w:p>
    <w:p>
      <w:pPr>
        <w:spacing w:before="0"/>
        <w:ind w:left="664" w:right="0" w:firstLine="0"/>
        <w:jc w:val="both"/>
        <w:rPr>
          <w:rFonts w:ascii="Calibri" w:hAnsi="Calibri"/>
          <w:i/>
          <w:sz w:val="18"/>
        </w:rPr>
      </w:pPr>
      <w:r>
        <w:rPr>
          <w:rFonts w:ascii="Calibri" w:hAnsi="Calibri"/>
          <w:i/>
          <w:color w:val="44536A"/>
          <w:sz w:val="18"/>
        </w:rPr>
        <w:t>Tabel A2.3 Sammenligning af RSME og MAE for Storå</w:t>
      </w:r>
    </w:p>
    <w:p>
      <w:pPr>
        <w:pStyle w:val="BodyText"/>
        <w:rPr>
          <w:rFonts w:ascii="Calibri"/>
          <w:i/>
          <w:sz w:val="18"/>
        </w:rPr>
      </w:pPr>
    </w:p>
    <w:p>
      <w:pPr>
        <w:spacing w:before="0"/>
        <w:ind w:left="664" w:right="0" w:firstLine="0"/>
        <w:jc w:val="both"/>
        <w:rPr>
          <w:rFonts w:ascii="Calibri" w:hAnsi="Calibri"/>
          <w:i/>
          <w:sz w:val="18"/>
        </w:rPr>
      </w:pPr>
      <w:r>
        <w:rPr>
          <w:rFonts w:ascii="Calibri" w:hAnsi="Calibri"/>
          <w:i/>
          <w:color w:val="44536A"/>
          <w:sz w:val="18"/>
        </w:rPr>
        <w:t>Performance statistik for simuleret trykniveau (2000-2008) Storå [m]. Middelfejl er angivet som obs – sim.</w:t>
      </w:r>
    </w:p>
    <w:tbl>
      <w:tblPr>
        <w:tblW w:w="0" w:type="auto"/>
        <w:jc w:val="left"/>
        <w:tblInd w:w="6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27"/>
        <w:gridCol w:w="1013"/>
        <w:gridCol w:w="908"/>
        <w:gridCol w:w="905"/>
        <w:gridCol w:w="908"/>
        <w:gridCol w:w="904"/>
        <w:gridCol w:w="906"/>
        <w:gridCol w:w="905"/>
        <w:gridCol w:w="907"/>
      </w:tblGrid>
      <w:tr>
        <w:trPr>
          <w:trHeight w:val="321" w:hRule="atLeast"/>
        </w:trPr>
        <w:tc>
          <w:tcPr>
            <w:tcW w:w="1527" w:type="dxa"/>
          </w:tcPr>
          <w:p>
            <w:pPr>
              <w:pStyle w:val="TableParagraph"/>
              <w:spacing w:before="13"/>
              <w:ind w:left="69"/>
              <w:jc w:val="left"/>
              <w:rPr>
                <w:rFonts w:ascii="Calibri"/>
                <w:b/>
                <w:sz w:val="22"/>
              </w:rPr>
            </w:pPr>
            <w:r>
              <w:rPr>
                <w:rFonts w:ascii="Calibri"/>
                <w:b/>
                <w:sz w:val="22"/>
              </w:rPr>
              <w:t>Kalibrering</w:t>
            </w:r>
          </w:p>
        </w:tc>
        <w:tc>
          <w:tcPr>
            <w:tcW w:w="1921" w:type="dxa"/>
            <w:gridSpan w:val="2"/>
            <w:tcBorders>
              <w:right w:val="single" w:sz="4" w:space="0" w:color="000000"/>
            </w:tcBorders>
          </w:tcPr>
          <w:p>
            <w:pPr>
              <w:pStyle w:val="TableParagraph"/>
              <w:spacing w:before="13"/>
              <w:ind w:left="323"/>
              <w:jc w:val="left"/>
              <w:rPr>
                <w:rFonts w:ascii="Calibri"/>
                <w:b/>
                <w:sz w:val="22"/>
              </w:rPr>
            </w:pPr>
            <w:r>
              <w:rPr>
                <w:rFonts w:ascii="Calibri"/>
                <w:b/>
                <w:sz w:val="22"/>
              </w:rPr>
              <w:t>100m_Jup+Reg</w:t>
            </w:r>
          </w:p>
        </w:tc>
        <w:tc>
          <w:tcPr>
            <w:tcW w:w="1813" w:type="dxa"/>
            <w:gridSpan w:val="2"/>
            <w:tcBorders>
              <w:left w:val="single" w:sz="4" w:space="0" w:color="000000"/>
              <w:right w:val="single" w:sz="4" w:space="0" w:color="000000"/>
            </w:tcBorders>
          </w:tcPr>
          <w:p>
            <w:pPr>
              <w:pStyle w:val="TableParagraph"/>
              <w:spacing w:before="13"/>
              <w:ind w:left="435"/>
              <w:jc w:val="left"/>
              <w:rPr>
                <w:rFonts w:ascii="Calibri"/>
                <w:b/>
                <w:sz w:val="22"/>
              </w:rPr>
            </w:pPr>
            <w:r>
              <w:rPr>
                <w:rFonts w:ascii="Calibri"/>
                <w:b/>
                <w:sz w:val="22"/>
              </w:rPr>
              <w:t>100m_Jup</w:t>
            </w:r>
          </w:p>
        </w:tc>
        <w:tc>
          <w:tcPr>
            <w:tcW w:w="1810" w:type="dxa"/>
            <w:gridSpan w:val="2"/>
            <w:tcBorders>
              <w:left w:val="single" w:sz="4" w:space="0" w:color="000000"/>
              <w:right w:val="single" w:sz="4" w:space="0" w:color="000000"/>
            </w:tcBorders>
          </w:tcPr>
          <w:p>
            <w:pPr>
              <w:pStyle w:val="TableParagraph"/>
              <w:spacing w:before="13"/>
              <w:ind w:left="207"/>
              <w:jc w:val="left"/>
              <w:rPr>
                <w:rFonts w:ascii="Calibri"/>
                <w:b/>
                <w:sz w:val="22"/>
              </w:rPr>
            </w:pPr>
            <w:r>
              <w:rPr>
                <w:rFonts w:ascii="Calibri"/>
                <w:b/>
                <w:sz w:val="22"/>
              </w:rPr>
              <w:t>500m_Jup+Reg</w:t>
            </w:r>
          </w:p>
        </w:tc>
        <w:tc>
          <w:tcPr>
            <w:tcW w:w="1812" w:type="dxa"/>
            <w:gridSpan w:val="2"/>
            <w:tcBorders>
              <w:left w:val="single" w:sz="4" w:space="0" w:color="000000"/>
              <w:right w:val="single" w:sz="4" w:space="0" w:color="000000"/>
            </w:tcBorders>
          </w:tcPr>
          <w:p>
            <w:pPr>
              <w:pStyle w:val="TableParagraph"/>
              <w:spacing w:before="13"/>
              <w:ind w:left="447"/>
              <w:jc w:val="left"/>
              <w:rPr>
                <w:rFonts w:ascii="Calibri"/>
                <w:b/>
                <w:sz w:val="22"/>
              </w:rPr>
            </w:pPr>
            <w:r>
              <w:rPr>
                <w:rFonts w:ascii="Calibri"/>
                <w:b/>
                <w:sz w:val="22"/>
              </w:rPr>
              <w:t>DK-model</w:t>
            </w:r>
          </w:p>
        </w:tc>
      </w:tr>
      <w:tr>
        <w:trPr>
          <w:trHeight w:val="292" w:hRule="atLeast"/>
        </w:trPr>
        <w:tc>
          <w:tcPr>
            <w:tcW w:w="1527" w:type="dxa"/>
            <w:tcBorders>
              <w:bottom w:val="single" w:sz="8" w:space="0" w:color="000000"/>
            </w:tcBorders>
          </w:tcPr>
          <w:p>
            <w:pPr>
              <w:pStyle w:val="TableParagraph"/>
              <w:jc w:val="left"/>
              <w:rPr>
                <w:rFonts w:ascii="Times New Roman"/>
                <w:sz w:val="20"/>
              </w:rPr>
            </w:pPr>
          </w:p>
        </w:tc>
        <w:tc>
          <w:tcPr>
            <w:tcW w:w="1013" w:type="dxa"/>
            <w:tcBorders>
              <w:bottom w:val="single" w:sz="8" w:space="0" w:color="000000"/>
            </w:tcBorders>
          </w:tcPr>
          <w:p>
            <w:pPr>
              <w:pStyle w:val="TableParagraph"/>
              <w:spacing w:line="268" w:lineRule="exact"/>
              <w:ind w:left="233" w:right="127"/>
              <w:rPr>
                <w:rFonts w:ascii="Calibri"/>
                <w:sz w:val="22"/>
              </w:rPr>
            </w:pPr>
            <w:r>
              <w:rPr>
                <w:rFonts w:ascii="Calibri"/>
                <w:sz w:val="22"/>
              </w:rPr>
              <w:t>Jupiter</w:t>
            </w:r>
          </w:p>
        </w:tc>
        <w:tc>
          <w:tcPr>
            <w:tcW w:w="908" w:type="dxa"/>
            <w:tcBorders>
              <w:bottom w:val="single" w:sz="8" w:space="0" w:color="000000"/>
              <w:right w:val="single" w:sz="4" w:space="0" w:color="000000"/>
            </w:tcBorders>
          </w:tcPr>
          <w:p>
            <w:pPr>
              <w:pStyle w:val="TableParagraph"/>
              <w:spacing w:line="268" w:lineRule="exact"/>
              <w:ind w:left="126" w:right="120"/>
              <w:rPr>
                <w:rFonts w:ascii="Calibri"/>
                <w:sz w:val="22"/>
              </w:rPr>
            </w:pPr>
            <w:r>
              <w:rPr>
                <w:rFonts w:ascii="Calibri"/>
                <w:sz w:val="22"/>
              </w:rPr>
              <w:t>Region</w:t>
            </w:r>
          </w:p>
        </w:tc>
        <w:tc>
          <w:tcPr>
            <w:tcW w:w="905" w:type="dxa"/>
            <w:tcBorders>
              <w:left w:val="single" w:sz="4" w:space="0" w:color="000000"/>
              <w:bottom w:val="single" w:sz="8" w:space="0" w:color="000000"/>
            </w:tcBorders>
          </w:tcPr>
          <w:p>
            <w:pPr>
              <w:pStyle w:val="TableParagraph"/>
              <w:spacing w:line="268" w:lineRule="exact"/>
              <w:ind w:left="120" w:right="125"/>
              <w:rPr>
                <w:rFonts w:ascii="Calibri"/>
                <w:sz w:val="22"/>
              </w:rPr>
            </w:pPr>
            <w:r>
              <w:rPr>
                <w:rFonts w:ascii="Calibri"/>
                <w:sz w:val="22"/>
              </w:rPr>
              <w:t>Jupiter</w:t>
            </w:r>
          </w:p>
        </w:tc>
        <w:tc>
          <w:tcPr>
            <w:tcW w:w="908" w:type="dxa"/>
            <w:tcBorders>
              <w:bottom w:val="single" w:sz="8" w:space="0" w:color="000000"/>
              <w:right w:val="single" w:sz="4" w:space="0" w:color="000000"/>
            </w:tcBorders>
          </w:tcPr>
          <w:p>
            <w:pPr>
              <w:pStyle w:val="TableParagraph"/>
              <w:spacing w:line="268" w:lineRule="exact"/>
              <w:ind w:left="125" w:right="121"/>
              <w:rPr>
                <w:rFonts w:ascii="Calibri"/>
                <w:sz w:val="22"/>
              </w:rPr>
            </w:pPr>
            <w:r>
              <w:rPr>
                <w:rFonts w:ascii="Calibri"/>
                <w:sz w:val="22"/>
              </w:rPr>
              <w:t>Region</w:t>
            </w:r>
          </w:p>
        </w:tc>
        <w:tc>
          <w:tcPr>
            <w:tcW w:w="904" w:type="dxa"/>
            <w:tcBorders>
              <w:left w:val="single" w:sz="4" w:space="0" w:color="000000"/>
              <w:bottom w:val="single" w:sz="8" w:space="0" w:color="000000"/>
            </w:tcBorders>
          </w:tcPr>
          <w:p>
            <w:pPr>
              <w:pStyle w:val="TableParagraph"/>
              <w:spacing w:line="268" w:lineRule="exact"/>
              <w:ind w:left="118" w:right="128"/>
              <w:rPr>
                <w:rFonts w:ascii="Calibri"/>
                <w:sz w:val="22"/>
              </w:rPr>
            </w:pPr>
            <w:r>
              <w:rPr>
                <w:rFonts w:ascii="Calibri"/>
                <w:sz w:val="22"/>
              </w:rPr>
              <w:t>Jupiter</w:t>
            </w:r>
          </w:p>
        </w:tc>
        <w:tc>
          <w:tcPr>
            <w:tcW w:w="906" w:type="dxa"/>
            <w:tcBorders>
              <w:bottom w:val="single" w:sz="8" w:space="0" w:color="000000"/>
              <w:right w:val="single" w:sz="4" w:space="0" w:color="000000"/>
            </w:tcBorders>
          </w:tcPr>
          <w:p>
            <w:pPr>
              <w:pStyle w:val="TableParagraph"/>
              <w:spacing w:line="268" w:lineRule="exact"/>
              <w:ind w:left="126" w:right="119"/>
              <w:rPr>
                <w:rFonts w:ascii="Calibri"/>
                <w:sz w:val="22"/>
              </w:rPr>
            </w:pPr>
            <w:r>
              <w:rPr>
                <w:rFonts w:ascii="Calibri"/>
                <w:sz w:val="22"/>
              </w:rPr>
              <w:t>Region</w:t>
            </w:r>
          </w:p>
        </w:tc>
        <w:tc>
          <w:tcPr>
            <w:tcW w:w="905" w:type="dxa"/>
            <w:tcBorders>
              <w:left w:val="single" w:sz="4" w:space="0" w:color="000000"/>
              <w:bottom w:val="single" w:sz="8" w:space="0" w:color="000000"/>
            </w:tcBorders>
          </w:tcPr>
          <w:p>
            <w:pPr>
              <w:pStyle w:val="TableParagraph"/>
              <w:spacing w:line="268" w:lineRule="exact"/>
              <w:ind w:left="119" w:right="126"/>
              <w:rPr>
                <w:rFonts w:ascii="Calibri"/>
                <w:sz w:val="22"/>
              </w:rPr>
            </w:pPr>
            <w:r>
              <w:rPr>
                <w:rFonts w:ascii="Calibri"/>
                <w:sz w:val="22"/>
              </w:rPr>
              <w:t>Jupiter</w:t>
            </w:r>
          </w:p>
        </w:tc>
        <w:tc>
          <w:tcPr>
            <w:tcW w:w="907" w:type="dxa"/>
            <w:tcBorders>
              <w:bottom w:val="single" w:sz="8" w:space="0" w:color="000000"/>
              <w:right w:val="single" w:sz="4" w:space="0" w:color="000000"/>
            </w:tcBorders>
          </w:tcPr>
          <w:p>
            <w:pPr>
              <w:pStyle w:val="TableParagraph"/>
              <w:spacing w:line="268" w:lineRule="exact"/>
              <w:ind w:left="125" w:right="121"/>
              <w:rPr>
                <w:rFonts w:ascii="Calibri"/>
                <w:sz w:val="22"/>
              </w:rPr>
            </w:pPr>
            <w:r>
              <w:rPr>
                <w:rFonts w:ascii="Calibri"/>
                <w:sz w:val="22"/>
              </w:rPr>
              <w:t>Region</w:t>
            </w:r>
          </w:p>
        </w:tc>
      </w:tr>
      <w:tr>
        <w:trPr>
          <w:trHeight w:val="320" w:hRule="atLeast"/>
        </w:trPr>
        <w:tc>
          <w:tcPr>
            <w:tcW w:w="1527" w:type="dxa"/>
            <w:tcBorders>
              <w:top w:val="single" w:sz="8" w:space="0" w:color="000000"/>
            </w:tcBorders>
          </w:tcPr>
          <w:p>
            <w:pPr>
              <w:pStyle w:val="TableParagraph"/>
              <w:spacing w:before="16"/>
              <w:ind w:left="69"/>
              <w:jc w:val="left"/>
              <w:rPr>
                <w:rFonts w:ascii="Calibri"/>
                <w:sz w:val="22"/>
              </w:rPr>
            </w:pPr>
            <w:r>
              <w:rPr>
                <w:rFonts w:ascii="Calibri"/>
                <w:sz w:val="22"/>
              </w:rPr>
              <w:t>ME tn</w:t>
            </w:r>
          </w:p>
        </w:tc>
        <w:tc>
          <w:tcPr>
            <w:tcW w:w="1013" w:type="dxa"/>
            <w:tcBorders>
              <w:top w:val="single" w:sz="8" w:space="0" w:color="000000"/>
            </w:tcBorders>
          </w:tcPr>
          <w:p>
            <w:pPr>
              <w:pStyle w:val="TableParagraph"/>
              <w:spacing w:before="16"/>
              <w:ind w:left="233" w:right="123"/>
              <w:rPr>
                <w:rFonts w:ascii="Calibri"/>
                <w:sz w:val="22"/>
              </w:rPr>
            </w:pPr>
            <w:r>
              <w:rPr>
                <w:rFonts w:ascii="Calibri"/>
                <w:sz w:val="22"/>
              </w:rPr>
              <w:t>0.1</w:t>
            </w:r>
          </w:p>
        </w:tc>
        <w:tc>
          <w:tcPr>
            <w:tcW w:w="908" w:type="dxa"/>
            <w:tcBorders>
              <w:top w:val="single" w:sz="8" w:space="0" w:color="000000"/>
              <w:right w:val="single" w:sz="4" w:space="0" w:color="000000"/>
            </w:tcBorders>
          </w:tcPr>
          <w:p>
            <w:pPr>
              <w:pStyle w:val="TableParagraph"/>
              <w:spacing w:before="16"/>
              <w:ind w:left="126" w:right="121"/>
              <w:rPr>
                <w:rFonts w:ascii="Calibri"/>
                <w:sz w:val="22"/>
              </w:rPr>
            </w:pPr>
            <w:r>
              <w:rPr>
                <w:rFonts w:ascii="Calibri"/>
                <w:sz w:val="22"/>
              </w:rPr>
              <w:t>2.1</w:t>
            </w:r>
          </w:p>
        </w:tc>
        <w:tc>
          <w:tcPr>
            <w:tcW w:w="905" w:type="dxa"/>
            <w:tcBorders>
              <w:top w:val="single" w:sz="8" w:space="0" w:color="000000"/>
              <w:left w:val="single" w:sz="4" w:space="0" w:color="000000"/>
            </w:tcBorders>
          </w:tcPr>
          <w:p>
            <w:pPr>
              <w:pStyle w:val="TableParagraph"/>
              <w:spacing w:before="16"/>
              <w:ind w:left="120" w:right="121"/>
              <w:rPr>
                <w:rFonts w:ascii="Calibri"/>
                <w:sz w:val="22"/>
              </w:rPr>
            </w:pPr>
            <w:r>
              <w:rPr>
                <w:rFonts w:ascii="Calibri"/>
                <w:sz w:val="22"/>
              </w:rPr>
              <w:t>0.2</w:t>
            </w:r>
          </w:p>
        </w:tc>
        <w:tc>
          <w:tcPr>
            <w:tcW w:w="908" w:type="dxa"/>
            <w:tcBorders>
              <w:top w:val="single" w:sz="8" w:space="0" w:color="000000"/>
              <w:right w:val="single" w:sz="4" w:space="0" w:color="000000"/>
            </w:tcBorders>
          </w:tcPr>
          <w:p>
            <w:pPr>
              <w:pStyle w:val="TableParagraph"/>
              <w:spacing w:before="16"/>
              <w:ind w:left="125" w:right="121"/>
              <w:rPr>
                <w:rFonts w:ascii="Calibri"/>
                <w:sz w:val="22"/>
              </w:rPr>
            </w:pPr>
            <w:r>
              <w:rPr>
                <w:rFonts w:ascii="Calibri"/>
                <w:sz w:val="22"/>
              </w:rPr>
              <w:t>2.2</w:t>
            </w:r>
          </w:p>
        </w:tc>
        <w:tc>
          <w:tcPr>
            <w:tcW w:w="904" w:type="dxa"/>
            <w:tcBorders>
              <w:top w:val="single" w:sz="8" w:space="0" w:color="000000"/>
              <w:left w:val="single" w:sz="4" w:space="0" w:color="000000"/>
            </w:tcBorders>
          </w:tcPr>
          <w:p>
            <w:pPr>
              <w:pStyle w:val="TableParagraph"/>
              <w:spacing w:before="16"/>
              <w:ind w:left="118" w:right="124"/>
              <w:rPr>
                <w:rFonts w:ascii="Calibri"/>
                <w:sz w:val="22"/>
              </w:rPr>
            </w:pPr>
            <w:r>
              <w:rPr>
                <w:rFonts w:ascii="Calibri"/>
                <w:sz w:val="22"/>
              </w:rPr>
              <w:t>0.0</w:t>
            </w:r>
          </w:p>
        </w:tc>
        <w:tc>
          <w:tcPr>
            <w:tcW w:w="906" w:type="dxa"/>
            <w:tcBorders>
              <w:top w:val="single" w:sz="8" w:space="0" w:color="000000"/>
              <w:right w:val="single" w:sz="4" w:space="0" w:color="000000"/>
            </w:tcBorders>
          </w:tcPr>
          <w:p>
            <w:pPr>
              <w:pStyle w:val="TableParagraph"/>
              <w:spacing w:before="16"/>
              <w:ind w:left="125" w:right="119"/>
              <w:rPr>
                <w:rFonts w:ascii="Calibri"/>
                <w:sz w:val="22"/>
              </w:rPr>
            </w:pPr>
            <w:r>
              <w:rPr>
                <w:rFonts w:ascii="Calibri"/>
                <w:sz w:val="22"/>
              </w:rPr>
              <w:t>2.0</w:t>
            </w:r>
          </w:p>
        </w:tc>
        <w:tc>
          <w:tcPr>
            <w:tcW w:w="905" w:type="dxa"/>
            <w:tcBorders>
              <w:top w:val="single" w:sz="8" w:space="0" w:color="000000"/>
              <w:left w:val="single" w:sz="4" w:space="0" w:color="000000"/>
            </w:tcBorders>
          </w:tcPr>
          <w:p>
            <w:pPr>
              <w:pStyle w:val="TableParagraph"/>
              <w:spacing w:before="16"/>
              <w:ind w:left="120" w:right="121"/>
              <w:rPr>
                <w:rFonts w:ascii="Calibri"/>
                <w:sz w:val="22"/>
              </w:rPr>
            </w:pPr>
            <w:r>
              <w:rPr>
                <w:rFonts w:ascii="Calibri"/>
                <w:sz w:val="22"/>
              </w:rPr>
              <w:t>-1.1</w:t>
            </w:r>
          </w:p>
        </w:tc>
        <w:tc>
          <w:tcPr>
            <w:tcW w:w="907" w:type="dxa"/>
            <w:tcBorders>
              <w:top w:val="single" w:sz="8" w:space="0" w:color="000000"/>
              <w:right w:val="single" w:sz="4" w:space="0" w:color="000000"/>
            </w:tcBorders>
          </w:tcPr>
          <w:p>
            <w:pPr>
              <w:pStyle w:val="TableParagraph"/>
              <w:spacing w:before="16"/>
              <w:ind w:left="124" w:right="121"/>
              <w:rPr>
                <w:rFonts w:ascii="Calibri"/>
                <w:sz w:val="22"/>
              </w:rPr>
            </w:pPr>
            <w:r>
              <w:rPr>
                <w:rFonts w:ascii="Calibri"/>
                <w:sz w:val="22"/>
              </w:rPr>
              <w:t>0.7</w:t>
            </w:r>
          </w:p>
        </w:tc>
      </w:tr>
      <w:tr>
        <w:trPr>
          <w:trHeight w:val="279" w:hRule="atLeast"/>
        </w:trPr>
        <w:tc>
          <w:tcPr>
            <w:tcW w:w="1527" w:type="dxa"/>
          </w:tcPr>
          <w:p>
            <w:pPr>
              <w:pStyle w:val="TableParagraph"/>
              <w:spacing w:line="260" w:lineRule="exact"/>
              <w:ind w:left="69"/>
              <w:jc w:val="left"/>
              <w:rPr>
                <w:rFonts w:ascii="Calibri"/>
                <w:sz w:val="22"/>
              </w:rPr>
            </w:pPr>
            <w:r>
              <w:rPr>
                <w:rFonts w:ascii="Calibri"/>
                <w:sz w:val="22"/>
              </w:rPr>
              <w:t>MAE tn</w:t>
            </w:r>
          </w:p>
        </w:tc>
        <w:tc>
          <w:tcPr>
            <w:tcW w:w="1013" w:type="dxa"/>
          </w:tcPr>
          <w:p>
            <w:pPr>
              <w:pStyle w:val="TableParagraph"/>
              <w:spacing w:line="260" w:lineRule="exact"/>
              <w:ind w:left="233" w:right="123"/>
              <w:rPr>
                <w:rFonts w:ascii="Calibri"/>
                <w:sz w:val="22"/>
              </w:rPr>
            </w:pPr>
            <w:r>
              <w:rPr>
                <w:rFonts w:ascii="Calibri"/>
                <w:sz w:val="22"/>
              </w:rPr>
              <w:t>1.6</w:t>
            </w:r>
          </w:p>
        </w:tc>
        <w:tc>
          <w:tcPr>
            <w:tcW w:w="908" w:type="dxa"/>
            <w:tcBorders>
              <w:right w:val="single" w:sz="4" w:space="0" w:color="000000"/>
            </w:tcBorders>
          </w:tcPr>
          <w:p>
            <w:pPr>
              <w:pStyle w:val="TableParagraph"/>
              <w:spacing w:line="260" w:lineRule="exact"/>
              <w:ind w:left="126" w:right="121"/>
              <w:rPr>
                <w:rFonts w:ascii="Calibri"/>
                <w:sz w:val="22"/>
              </w:rPr>
            </w:pPr>
            <w:r>
              <w:rPr>
                <w:rFonts w:ascii="Calibri"/>
                <w:sz w:val="22"/>
              </w:rPr>
              <w:t>2.5</w:t>
            </w:r>
          </w:p>
        </w:tc>
        <w:tc>
          <w:tcPr>
            <w:tcW w:w="905" w:type="dxa"/>
            <w:tcBorders>
              <w:left w:val="single" w:sz="4" w:space="0" w:color="000000"/>
            </w:tcBorders>
          </w:tcPr>
          <w:p>
            <w:pPr>
              <w:pStyle w:val="TableParagraph"/>
              <w:spacing w:line="260" w:lineRule="exact"/>
              <w:ind w:left="120" w:right="121"/>
              <w:rPr>
                <w:rFonts w:ascii="Calibri"/>
                <w:sz w:val="22"/>
              </w:rPr>
            </w:pPr>
            <w:r>
              <w:rPr>
                <w:rFonts w:ascii="Calibri"/>
                <w:sz w:val="22"/>
              </w:rPr>
              <w:t>1.6</w:t>
            </w:r>
          </w:p>
        </w:tc>
        <w:tc>
          <w:tcPr>
            <w:tcW w:w="908" w:type="dxa"/>
            <w:tcBorders>
              <w:right w:val="single" w:sz="4" w:space="0" w:color="000000"/>
            </w:tcBorders>
          </w:tcPr>
          <w:p>
            <w:pPr>
              <w:pStyle w:val="TableParagraph"/>
              <w:spacing w:line="260" w:lineRule="exact"/>
              <w:ind w:left="125" w:right="121"/>
              <w:rPr>
                <w:rFonts w:ascii="Calibri"/>
                <w:sz w:val="22"/>
              </w:rPr>
            </w:pPr>
            <w:r>
              <w:rPr>
                <w:rFonts w:ascii="Calibri"/>
                <w:sz w:val="22"/>
              </w:rPr>
              <w:t>2.6</w:t>
            </w:r>
          </w:p>
        </w:tc>
        <w:tc>
          <w:tcPr>
            <w:tcW w:w="904" w:type="dxa"/>
            <w:tcBorders>
              <w:left w:val="single" w:sz="4" w:space="0" w:color="000000"/>
            </w:tcBorders>
          </w:tcPr>
          <w:p>
            <w:pPr>
              <w:pStyle w:val="TableParagraph"/>
              <w:spacing w:line="260" w:lineRule="exact"/>
              <w:ind w:left="118" w:right="124"/>
              <w:rPr>
                <w:rFonts w:ascii="Calibri"/>
                <w:sz w:val="22"/>
              </w:rPr>
            </w:pPr>
            <w:r>
              <w:rPr>
                <w:rFonts w:ascii="Calibri"/>
                <w:sz w:val="22"/>
              </w:rPr>
              <w:t>1.8</w:t>
            </w:r>
          </w:p>
        </w:tc>
        <w:tc>
          <w:tcPr>
            <w:tcW w:w="906" w:type="dxa"/>
            <w:tcBorders>
              <w:right w:val="single" w:sz="4" w:space="0" w:color="000000"/>
            </w:tcBorders>
          </w:tcPr>
          <w:p>
            <w:pPr>
              <w:pStyle w:val="TableParagraph"/>
              <w:spacing w:line="260" w:lineRule="exact"/>
              <w:ind w:left="125" w:right="119"/>
              <w:rPr>
                <w:rFonts w:ascii="Calibri"/>
                <w:sz w:val="22"/>
              </w:rPr>
            </w:pPr>
            <w:r>
              <w:rPr>
                <w:rFonts w:ascii="Calibri"/>
                <w:sz w:val="22"/>
              </w:rPr>
              <w:t>3.1</w:t>
            </w:r>
          </w:p>
        </w:tc>
        <w:tc>
          <w:tcPr>
            <w:tcW w:w="905" w:type="dxa"/>
            <w:tcBorders>
              <w:left w:val="single" w:sz="4" w:space="0" w:color="000000"/>
            </w:tcBorders>
          </w:tcPr>
          <w:p>
            <w:pPr>
              <w:pStyle w:val="TableParagraph"/>
              <w:spacing w:line="260" w:lineRule="exact"/>
              <w:ind w:left="120" w:right="121"/>
              <w:rPr>
                <w:rFonts w:ascii="Calibri"/>
                <w:sz w:val="22"/>
              </w:rPr>
            </w:pPr>
            <w:r>
              <w:rPr>
                <w:rFonts w:ascii="Calibri"/>
                <w:sz w:val="22"/>
              </w:rPr>
              <w:t>2.0</w:t>
            </w:r>
          </w:p>
        </w:tc>
        <w:tc>
          <w:tcPr>
            <w:tcW w:w="907" w:type="dxa"/>
            <w:tcBorders>
              <w:right w:val="single" w:sz="4" w:space="0" w:color="000000"/>
            </w:tcBorders>
          </w:tcPr>
          <w:p>
            <w:pPr>
              <w:pStyle w:val="TableParagraph"/>
              <w:spacing w:line="260" w:lineRule="exact"/>
              <w:ind w:left="124" w:right="121"/>
              <w:rPr>
                <w:rFonts w:ascii="Calibri"/>
                <w:sz w:val="22"/>
              </w:rPr>
            </w:pPr>
            <w:r>
              <w:rPr>
                <w:rFonts w:ascii="Calibri"/>
                <w:sz w:val="22"/>
              </w:rPr>
              <w:t>2.3</w:t>
            </w:r>
          </w:p>
        </w:tc>
      </w:tr>
      <w:tr>
        <w:trPr>
          <w:trHeight w:val="300" w:hRule="atLeast"/>
        </w:trPr>
        <w:tc>
          <w:tcPr>
            <w:tcW w:w="1527" w:type="dxa"/>
            <w:shd w:val="clear" w:color="auto" w:fill="E1EEDA"/>
          </w:tcPr>
          <w:p>
            <w:pPr>
              <w:pStyle w:val="TableParagraph"/>
              <w:spacing w:line="264" w:lineRule="exact" w:before="16"/>
              <w:ind w:left="69"/>
              <w:jc w:val="left"/>
              <w:rPr>
                <w:rFonts w:ascii="Calibri"/>
                <w:sz w:val="22"/>
              </w:rPr>
            </w:pPr>
            <w:r>
              <w:rPr>
                <w:rFonts w:ascii="Calibri"/>
                <w:sz w:val="22"/>
              </w:rPr>
              <w:t>RMSE tn</w:t>
            </w:r>
          </w:p>
        </w:tc>
        <w:tc>
          <w:tcPr>
            <w:tcW w:w="1013" w:type="dxa"/>
            <w:shd w:val="clear" w:color="auto" w:fill="E1EEDA"/>
          </w:tcPr>
          <w:p>
            <w:pPr>
              <w:pStyle w:val="TableParagraph"/>
              <w:spacing w:line="264" w:lineRule="exact" w:before="16"/>
              <w:ind w:left="233" w:right="123"/>
              <w:rPr>
                <w:rFonts w:ascii="Calibri"/>
                <w:sz w:val="22"/>
              </w:rPr>
            </w:pPr>
            <w:r>
              <w:rPr>
                <w:rFonts w:ascii="Calibri"/>
                <w:sz w:val="22"/>
              </w:rPr>
              <w:t>2.6</w:t>
            </w:r>
          </w:p>
        </w:tc>
        <w:tc>
          <w:tcPr>
            <w:tcW w:w="908" w:type="dxa"/>
            <w:tcBorders>
              <w:right w:val="single" w:sz="4" w:space="0" w:color="000000"/>
            </w:tcBorders>
            <w:shd w:val="clear" w:color="auto" w:fill="E1EEDA"/>
          </w:tcPr>
          <w:p>
            <w:pPr>
              <w:pStyle w:val="TableParagraph"/>
              <w:spacing w:line="264" w:lineRule="exact" w:before="16"/>
              <w:ind w:left="126" w:right="121"/>
              <w:rPr>
                <w:rFonts w:ascii="Calibri"/>
                <w:sz w:val="22"/>
              </w:rPr>
            </w:pPr>
            <w:r>
              <w:rPr>
                <w:rFonts w:ascii="Calibri"/>
                <w:sz w:val="22"/>
              </w:rPr>
              <w:t>4.4</w:t>
            </w:r>
          </w:p>
        </w:tc>
        <w:tc>
          <w:tcPr>
            <w:tcW w:w="905" w:type="dxa"/>
            <w:tcBorders>
              <w:left w:val="single" w:sz="4" w:space="0" w:color="000000"/>
            </w:tcBorders>
            <w:shd w:val="clear" w:color="auto" w:fill="E1EEDA"/>
          </w:tcPr>
          <w:p>
            <w:pPr>
              <w:pStyle w:val="TableParagraph"/>
              <w:spacing w:line="264" w:lineRule="exact" w:before="16"/>
              <w:ind w:left="120" w:right="121"/>
              <w:rPr>
                <w:rFonts w:ascii="Calibri"/>
                <w:sz w:val="22"/>
              </w:rPr>
            </w:pPr>
            <w:r>
              <w:rPr>
                <w:rFonts w:ascii="Calibri"/>
                <w:sz w:val="22"/>
              </w:rPr>
              <w:t>2.6</w:t>
            </w:r>
          </w:p>
        </w:tc>
        <w:tc>
          <w:tcPr>
            <w:tcW w:w="908" w:type="dxa"/>
            <w:tcBorders>
              <w:right w:val="single" w:sz="4" w:space="0" w:color="000000"/>
            </w:tcBorders>
            <w:shd w:val="clear" w:color="auto" w:fill="E1EEDA"/>
          </w:tcPr>
          <w:p>
            <w:pPr>
              <w:pStyle w:val="TableParagraph"/>
              <w:spacing w:line="264" w:lineRule="exact" w:before="16"/>
              <w:ind w:left="125" w:right="121"/>
              <w:rPr>
                <w:rFonts w:ascii="Calibri"/>
                <w:sz w:val="22"/>
              </w:rPr>
            </w:pPr>
            <w:r>
              <w:rPr>
                <w:rFonts w:ascii="Calibri"/>
                <w:sz w:val="22"/>
              </w:rPr>
              <w:t>4.4</w:t>
            </w:r>
          </w:p>
        </w:tc>
        <w:tc>
          <w:tcPr>
            <w:tcW w:w="904" w:type="dxa"/>
            <w:tcBorders>
              <w:left w:val="single" w:sz="4" w:space="0" w:color="000000"/>
            </w:tcBorders>
            <w:shd w:val="clear" w:color="auto" w:fill="E1EEDA"/>
          </w:tcPr>
          <w:p>
            <w:pPr>
              <w:pStyle w:val="TableParagraph"/>
              <w:spacing w:line="264" w:lineRule="exact" w:before="16"/>
              <w:ind w:left="118" w:right="124"/>
              <w:rPr>
                <w:rFonts w:ascii="Calibri"/>
                <w:sz w:val="22"/>
              </w:rPr>
            </w:pPr>
            <w:r>
              <w:rPr>
                <w:rFonts w:ascii="Calibri"/>
                <w:sz w:val="22"/>
              </w:rPr>
              <w:t>2.9</w:t>
            </w:r>
          </w:p>
        </w:tc>
        <w:tc>
          <w:tcPr>
            <w:tcW w:w="906" w:type="dxa"/>
            <w:tcBorders>
              <w:right w:val="single" w:sz="4" w:space="0" w:color="000000"/>
            </w:tcBorders>
            <w:shd w:val="clear" w:color="auto" w:fill="E1EEDA"/>
          </w:tcPr>
          <w:p>
            <w:pPr>
              <w:pStyle w:val="TableParagraph"/>
              <w:spacing w:line="264" w:lineRule="exact" w:before="16"/>
              <w:ind w:left="125" w:right="119"/>
              <w:rPr>
                <w:rFonts w:ascii="Calibri"/>
                <w:sz w:val="22"/>
              </w:rPr>
            </w:pPr>
            <w:r>
              <w:rPr>
                <w:rFonts w:ascii="Calibri"/>
                <w:sz w:val="22"/>
              </w:rPr>
              <w:t>4.9</w:t>
            </w:r>
          </w:p>
        </w:tc>
        <w:tc>
          <w:tcPr>
            <w:tcW w:w="905" w:type="dxa"/>
            <w:tcBorders>
              <w:left w:val="single" w:sz="4" w:space="0" w:color="000000"/>
            </w:tcBorders>
            <w:shd w:val="clear" w:color="auto" w:fill="E1EEDA"/>
          </w:tcPr>
          <w:p>
            <w:pPr>
              <w:pStyle w:val="TableParagraph"/>
              <w:spacing w:line="264" w:lineRule="exact" w:before="16"/>
              <w:ind w:left="120" w:right="121"/>
              <w:rPr>
                <w:rFonts w:ascii="Calibri"/>
                <w:sz w:val="22"/>
              </w:rPr>
            </w:pPr>
            <w:r>
              <w:rPr>
                <w:rFonts w:ascii="Calibri"/>
                <w:sz w:val="22"/>
              </w:rPr>
              <w:t>3.0</w:t>
            </w:r>
          </w:p>
        </w:tc>
        <w:tc>
          <w:tcPr>
            <w:tcW w:w="907" w:type="dxa"/>
            <w:tcBorders>
              <w:right w:val="single" w:sz="4" w:space="0" w:color="000000"/>
            </w:tcBorders>
            <w:shd w:val="clear" w:color="auto" w:fill="E1EEDA"/>
          </w:tcPr>
          <w:p>
            <w:pPr>
              <w:pStyle w:val="TableParagraph"/>
              <w:spacing w:line="264" w:lineRule="exact" w:before="16"/>
              <w:ind w:left="124" w:right="121"/>
              <w:rPr>
                <w:rFonts w:ascii="Calibri"/>
                <w:sz w:val="22"/>
              </w:rPr>
            </w:pPr>
            <w:r>
              <w:rPr>
                <w:rFonts w:ascii="Calibri"/>
                <w:sz w:val="22"/>
              </w:rPr>
              <w:t>3.9</w:t>
            </w:r>
          </w:p>
        </w:tc>
      </w:tr>
      <w:tr>
        <w:trPr>
          <w:trHeight w:val="320" w:hRule="atLeast"/>
        </w:trPr>
        <w:tc>
          <w:tcPr>
            <w:tcW w:w="1527" w:type="dxa"/>
          </w:tcPr>
          <w:p>
            <w:pPr>
              <w:pStyle w:val="TableParagraph"/>
              <w:spacing w:before="16"/>
              <w:ind w:left="69"/>
              <w:jc w:val="left"/>
              <w:rPr>
                <w:rFonts w:ascii="Calibri"/>
                <w:sz w:val="22"/>
              </w:rPr>
            </w:pPr>
            <w:r>
              <w:rPr>
                <w:rFonts w:ascii="Calibri"/>
                <w:sz w:val="22"/>
              </w:rPr>
              <w:t>ME dyb</w:t>
            </w:r>
          </w:p>
        </w:tc>
        <w:tc>
          <w:tcPr>
            <w:tcW w:w="1013" w:type="dxa"/>
          </w:tcPr>
          <w:p>
            <w:pPr>
              <w:pStyle w:val="TableParagraph"/>
              <w:spacing w:before="16"/>
              <w:ind w:left="233" w:right="122"/>
              <w:rPr>
                <w:rFonts w:ascii="Calibri"/>
                <w:sz w:val="22"/>
              </w:rPr>
            </w:pPr>
            <w:r>
              <w:rPr>
                <w:rFonts w:ascii="Calibri"/>
                <w:sz w:val="22"/>
              </w:rPr>
              <w:t>-2.0</w:t>
            </w:r>
          </w:p>
        </w:tc>
        <w:tc>
          <w:tcPr>
            <w:tcW w:w="908" w:type="dxa"/>
            <w:tcBorders>
              <w:right w:val="single" w:sz="4" w:space="0" w:color="000000"/>
            </w:tcBorders>
          </w:tcPr>
          <w:p>
            <w:pPr>
              <w:pStyle w:val="TableParagraph"/>
              <w:spacing w:before="16"/>
              <w:ind w:left="126" w:right="121"/>
              <w:rPr>
                <w:rFonts w:ascii="Calibri"/>
                <w:sz w:val="22"/>
              </w:rPr>
            </w:pPr>
            <w:r>
              <w:rPr>
                <w:rFonts w:ascii="Calibri"/>
                <w:sz w:val="22"/>
              </w:rPr>
              <w:t>0.1</w:t>
            </w:r>
          </w:p>
        </w:tc>
        <w:tc>
          <w:tcPr>
            <w:tcW w:w="905" w:type="dxa"/>
            <w:tcBorders>
              <w:left w:val="single" w:sz="4" w:space="0" w:color="000000"/>
            </w:tcBorders>
          </w:tcPr>
          <w:p>
            <w:pPr>
              <w:pStyle w:val="TableParagraph"/>
              <w:spacing w:before="16"/>
              <w:ind w:left="120" w:right="121"/>
              <w:rPr>
                <w:rFonts w:ascii="Calibri"/>
                <w:sz w:val="22"/>
              </w:rPr>
            </w:pPr>
            <w:r>
              <w:rPr>
                <w:rFonts w:ascii="Calibri"/>
                <w:sz w:val="22"/>
              </w:rPr>
              <w:t>-1.9</w:t>
            </w:r>
          </w:p>
        </w:tc>
        <w:tc>
          <w:tcPr>
            <w:tcW w:w="908" w:type="dxa"/>
            <w:tcBorders>
              <w:right w:val="single" w:sz="4" w:space="0" w:color="000000"/>
            </w:tcBorders>
          </w:tcPr>
          <w:p>
            <w:pPr>
              <w:pStyle w:val="TableParagraph"/>
              <w:spacing w:before="16"/>
              <w:ind w:left="125" w:right="121"/>
              <w:rPr>
                <w:rFonts w:ascii="Calibri"/>
                <w:sz w:val="22"/>
              </w:rPr>
            </w:pPr>
            <w:r>
              <w:rPr>
                <w:rFonts w:ascii="Calibri"/>
                <w:sz w:val="22"/>
              </w:rPr>
              <w:t>0.2</w:t>
            </w:r>
          </w:p>
        </w:tc>
        <w:tc>
          <w:tcPr>
            <w:tcW w:w="904" w:type="dxa"/>
            <w:tcBorders>
              <w:left w:val="single" w:sz="4" w:space="0" w:color="000000"/>
            </w:tcBorders>
          </w:tcPr>
          <w:p>
            <w:pPr>
              <w:pStyle w:val="TableParagraph"/>
              <w:spacing w:before="16"/>
              <w:ind w:left="118" w:right="124"/>
              <w:rPr>
                <w:rFonts w:ascii="Calibri"/>
                <w:sz w:val="22"/>
              </w:rPr>
            </w:pPr>
            <w:r>
              <w:rPr>
                <w:rFonts w:ascii="Calibri"/>
                <w:sz w:val="22"/>
              </w:rPr>
              <w:t>-0.6</w:t>
            </w:r>
          </w:p>
        </w:tc>
        <w:tc>
          <w:tcPr>
            <w:tcW w:w="906" w:type="dxa"/>
            <w:tcBorders>
              <w:right w:val="single" w:sz="4" w:space="0" w:color="000000"/>
            </w:tcBorders>
          </w:tcPr>
          <w:p>
            <w:pPr>
              <w:pStyle w:val="TableParagraph"/>
              <w:spacing w:before="16"/>
              <w:ind w:left="125" w:right="119"/>
              <w:rPr>
                <w:rFonts w:ascii="Calibri"/>
                <w:sz w:val="22"/>
              </w:rPr>
            </w:pPr>
            <w:r>
              <w:rPr>
                <w:rFonts w:ascii="Calibri"/>
                <w:sz w:val="22"/>
              </w:rPr>
              <w:t>1.1</w:t>
            </w:r>
          </w:p>
        </w:tc>
        <w:tc>
          <w:tcPr>
            <w:tcW w:w="905" w:type="dxa"/>
            <w:tcBorders>
              <w:left w:val="single" w:sz="4" w:space="0" w:color="000000"/>
            </w:tcBorders>
          </w:tcPr>
          <w:p>
            <w:pPr>
              <w:pStyle w:val="TableParagraph"/>
              <w:spacing w:before="16"/>
              <w:ind w:left="120" w:right="121"/>
              <w:rPr>
                <w:rFonts w:ascii="Calibri"/>
                <w:sz w:val="22"/>
              </w:rPr>
            </w:pPr>
            <w:r>
              <w:rPr>
                <w:rFonts w:ascii="Calibri"/>
                <w:sz w:val="22"/>
              </w:rPr>
              <w:t>-1.6</w:t>
            </w:r>
          </w:p>
        </w:tc>
        <w:tc>
          <w:tcPr>
            <w:tcW w:w="907" w:type="dxa"/>
            <w:tcBorders>
              <w:right w:val="single" w:sz="4" w:space="0" w:color="000000"/>
            </w:tcBorders>
          </w:tcPr>
          <w:p>
            <w:pPr>
              <w:pStyle w:val="TableParagraph"/>
              <w:spacing w:before="16"/>
              <w:ind w:left="124" w:right="121"/>
              <w:rPr>
                <w:rFonts w:ascii="Calibri"/>
                <w:sz w:val="22"/>
              </w:rPr>
            </w:pPr>
            <w:r>
              <w:rPr>
                <w:rFonts w:ascii="Calibri"/>
                <w:sz w:val="22"/>
              </w:rPr>
              <w:t>0.7</w:t>
            </w:r>
          </w:p>
        </w:tc>
      </w:tr>
      <w:tr>
        <w:trPr>
          <w:trHeight w:val="279" w:hRule="atLeast"/>
        </w:trPr>
        <w:tc>
          <w:tcPr>
            <w:tcW w:w="1527" w:type="dxa"/>
          </w:tcPr>
          <w:p>
            <w:pPr>
              <w:pStyle w:val="TableParagraph"/>
              <w:spacing w:line="260" w:lineRule="exact"/>
              <w:ind w:left="69"/>
              <w:jc w:val="left"/>
              <w:rPr>
                <w:rFonts w:ascii="Calibri"/>
                <w:sz w:val="22"/>
              </w:rPr>
            </w:pPr>
            <w:r>
              <w:rPr>
                <w:rFonts w:ascii="Calibri"/>
                <w:sz w:val="22"/>
              </w:rPr>
              <w:t>MAE dyb</w:t>
            </w:r>
          </w:p>
        </w:tc>
        <w:tc>
          <w:tcPr>
            <w:tcW w:w="1013" w:type="dxa"/>
          </w:tcPr>
          <w:p>
            <w:pPr>
              <w:pStyle w:val="TableParagraph"/>
              <w:spacing w:line="260" w:lineRule="exact"/>
              <w:ind w:left="233" w:right="123"/>
              <w:rPr>
                <w:rFonts w:ascii="Calibri"/>
                <w:sz w:val="22"/>
              </w:rPr>
            </w:pPr>
            <w:r>
              <w:rPr>
                <w:rFonts w:ascii="Calibri"/>
                <w:sz w:val="22"/>
              </w:rPr>
              <w:t>3.4</w:t>
            </w:r>
          </w:p>
        </w:tc>
        <w:tc>
          <w:tcPr>
            <w:tcW w:w="908" w:type="dxa"/>
            <w:tcBorders>
              <w:right w:val="single" w:sz="4" w:space="0" w:color="000000"/>
            </w:tcBorders>
          </w:tcPr>
          <w:p>
            <w:pPr>
              <w:pStyle w:val="TableParagraph"/>
              <w:spacing w:line="260" w:lineRule="exact"/>
              <w:ind w:left="126" w:right="121"/>
              <w:rPr>
                <w:rFonts w:ascii="Calibri"/>
                <w:sz w:val="22"/>
              </w:rPr>
            </w:pPr>
            <w:r>
              <w:rPr>
                <w:rFonts w:ascii="Calibri"/>
                <w:sz w:val="22"/>
              </w:rPr>
              <w:t>2.3</w:t>
            </w:r>
          </w:p>
        </w:tc>
        <w:tc>
          <w:tcPr>
            <w:tcW w:w="905" w:type="dxa"/>
            <w:tcBorders>
              <w:left w:val="single" w:sz="4" w:space="0" w:color="000000"/>
            </w:tcBorders>
          </w:tcPr>
          <w:p>
            <w:pPr>
              <w:pStyle w:val="TableParagraph"/>
              <w:spacing w:line="260" w:lineRule="exact"/>
              <w:ind w:left="120" w:right="121"/>
              <w:rPr>
                <w:rFonts w:ascii="Calibri"/>
                <w:sz w:val="22"/>
              </w:rPr>
            </w:pPr>
            <w:r>
              <w:rPr>
                <w:rFonts w:ascii="Calibri"/>
                <w:sz w:val="22"/>
              </w:rPr>
              <w:t>3.4</w:t>
            </w:r>
          </w:p>
        </w:tc>
        <w:tc>
          <w:tcPr>
            <w:tcW w:w="908" w:type="dxa"/>
            <w:tcBorders>
              <w:right w:val="single" w:sz="4" w:space="0" w:color="000000"/>
            </w:tcBorders>
          </w:tcPr>
          <w:p>
            <w:pPr>
              <w:pStyle w:val="TableParagraph"/>
              <w:spacing w:line="260" w:lineRule="exact"/>
              <w:ind w:left="125" w:right="121"/>
              <w:rPr>
                <w:rFonts w:ascii="Calibri"/>
                <w:sz w:val="22"/>
              </w:rPr>
            </w:pPr>
            <w:r>
              <w:rPr>
                <w:rFonts w:ascii="Calibri"/>
                <w:sz w:val="22"/>
              </w:rPr>
              <w:t>2.2</w:t>
            </w:r>
          </w:p>
        </w:tc>
        <w:tc>
          <w:tcPr>
            <w:tcW w:w="904" w:type="dxa"/>
            <w:tcBorders>
              <w:left w:val="single" w:sz="4" w:space="0" w:color="000000"/>
            </w:tcBorders>
          </w:tcPr>
          <w:p>
            <w:pPr>
              <w:pStyle w:val="TableParagraph"/>
              <w:spacing w:line="260" w:lineRule="exact"/>
              <w:ind w:left="118" w:right="124"/>
              <w:rPr>
                <w:rFonts w:ascii="Calibri"/>
                <w:sz w:val="22"/>
              </w:rPr>
            </w:pPr>
            <w:r>
              <w:rPr>
                <w:rFonts w:ascii="Calibri"/>
                <w:sz w:val="22"/>
              </w:rPr>
              <w:t>3.0</w:t>
            </w:r>
          </w:p>
        </w:tc>
        <w:tc>
          <w:tcPr>
            <w:tcW w:w="906" w:type="dxa"/>
            <w:tcBorders>
              <w:right w:val="single" w:sz="4" w:space="0" w:color="000000"/>
            </w:tcBorders>
          </w:tcPr>
          <w:p>
            <w:pPr>
              <w:pStyle w:val="TableParagraph"/>
              <w:spacing w:line="260" w:lineRule="exact"/>
              <w:ind w:left="125" w:right="119"/>
              <w:rPr>
                <w:rFonts w:ascii="Calibri"/>
                <w:sz w:val="22"/>
              </w:rPr>
            </w:pPr>
            <w:r>
              <w:rPr>
                <w:rFonts w:ascii="Calibri"/>
                <w:sz w:val="22"/>
              </w:rPr>
              <w:t>2.8</w:t>
            </w:r>
          </w:p>
        </w:tc>
        <w:tc>
          <w:tcPr>
            <w:tcW w:w="905" w:type="dxa"/>
            <w:tcBorders>
              <w:left w:val="single" w:sz="4" w:space="0" w:color="000000"/>
            </w:tcBorders>
          </w:tcPr>
          <w:p>
            <w:pPr>
              <w:pStyle w:val="TableParagraph"/>
              <w:spacing w:line="260" w:lineRule="exact"/>
              <w:ind w:left="120" w:right="121"/>
              <w:rPr>
                <w:rFonts w:ascii="Calibri"/>
                <w:sz w:val="22"/>
              </w:rPr>
            </w:pPr>
            <w:r>
              <w:rPr>
                <w:rFonts w:ascii="Calibri"/>
                <w:sz w:val="22"/>
              </w:rPr>
              <w:t>3.6</w:t>
            </w:r>
          </w:p>
        </w:tc>
        <w:tc>
          <w:tcPr>
            <w:tcW w:w="907" w:type="dxa"/>
            <w:tcBorders>
              <w:right w:val="single" w:sz="4" w:space="0" w:color="000000"/>
            </w:tcBorders>
          </w:tcPr>
          <w:p>
            <w:pPr>
              <w:pStyle w:val="TableParagraph"/>
              <w:spacing w:line="260" w:lineRule="exact"/>
              <w:ind w:left="124" w:right="121"/>
              <w:rPr>
                <w:rFonts w:ascii="Calibri"/>
                <w:sz w:val="22"/>
              </w:rPr>
            </w:pPr>
            <w:r>
              <w:rPr>
                <w:rFonts w:ascii="Calibri"/>
                <w:sz w:val="22"/>
              </w:rPr>
              <w:t>3.0</w:t>
            </w:r>
          </w:p>
        </w:tc>
      </w:tr>
      <w:tr>
        <w:trPr>
          <w:trHeight w:val="300" w:hRule="atLeast"/>
        </w:trPr>
        <w:tc>
          <w:tcPr>
            <w:tcW w:w="1527" w:type="dxa"/>
            <w:shd w:val="clear" w:color="auto" w:fill="E1EEDA"/>
          </w:tcPr>
          <w:p>
            <w:pPr>
              <w:pStyle w:val="TableParagraph"/>
              <w:spacing w:line="264" w:lineRule="exact" w:before="16"/>
              <w:ind w:left="69"/>
              <w:jc w:val="left"/>
              <w:rPr>
                <w:rFonts w:ascii="Calibri"/>
                <w:sz w:val="22"/>
              </w:rPr>
            </w:pPr>
            <w:r>
              <w:rPr>
                <w:rFonts w:ascii="Calibri"/>
                <w:sz w:val="22"/>
              </w:rPr>
              <w:t>RMSE dyb</w:t>
            </w:r>
          </w:p>
        </w:tc>
        <w:tc>
          <w:tcPr>
            <w:tcW w:w="1013" w:type="dxa"/>
            <w:shd w:val="clear" w:color="auto" w:fill="E1EEDA"/>
          </w:tcPr>
          <w:p>
            <w:pPr>
              <w:pStyle w:val="TableParagraph"/>
              <w:spacing w:line="264" w:lineRule="exact" w:before="16"/>
              <w:ind w:left="233" w:right="123"/>
              <w:rPr>
                <w:rFonts w:ascii="Calibri"/>
                <w:sz w:val="22"/>
              </w:rPr>
            </w:pPr>
            <w:r>
              <w:rPr>
                <w:rFonts w:ascii="Calibri"/>
                <w:sz w:val="22"/>
              </w:rPr>
              <w:t>5.2</w:t>
            </w:r>
          </w:p>
        </w:tc>
        <w:tc>
          <w:tcPr>
            <w:tcW w:w="908" w:type="dxa"/>
            <w:tcBorders>
              <w:right w:val="single" w:sz="4" w:space="0" w:color="000000"/>
            </w:tcBorders>
            <w:shd w:val="clear" w:color="auto" w:fill="E1EEDA"/>
          </w:tcPr>
          <w:p>
            <w:pPr>
              <w:pStyle w:val="TableParagraph"/>
              <w:spacing w:line="264" w:lineRule="exact" w:before="16"/>
              <w:ind w:left="126" w:right="121"/>
              <w:rPr>
                <w:rFonts w:ascii="Calibri"/>
                <w:sz w:val="22"/>
              </w:rPr>
            </w:pPr>
            <w:r>
              <w:rPr>
                <w:rFonts w:ascii="Calibri"/>
                <w:sz w:val="22"/>
              </w:rPr>
              <w:t>3.1</w:t>
            </w:r>
          </w:p>
        </w:tc>
        <w:tc>
          <w:tcPr>
            <w:tcW w:w="905" w:type="dxa"/>
            <w:tcBorders>
              <w:left w:val="single" w:sz="4" w:space="0" w:color="000000"/>
            </w:tcBorders>
            <w:shd w:val="clear" w:color="auto" w:fill="E1EEDA"/>
          </w:tcPr>
          <w:p>
            <w:pPr>
              <w:pStyle w:val="TableParagraph"/>
              <w:spacing w:line="264" w:lineRule="exact" w:before="16"/>
              <w:ind w:left="120" w:right="121"/>
              <w:rPr>
                <w:rFonts w:ascii="Calibri"/>
                <w:sz w:val="22"/>
              </w:rPr>
            </w:pPr>
            <w:r>
              <w:rPr>
                <w:rFonts w:ascii="Calibri"/>
                <w:sz w:val="22"/>
              </w:rPr>
              <w:t>5.2</w:t>
            </w:r>
          </w:p>
        </w:tc>
        <w:tc>
          <w:tcPr>
            <w:tcW w:w="908" w:type="dxa"/>
            <w:tcBorders>
              <w:right w:val="single" w:sz="4" w:space="0" w:color="000000"/>
            </w:tcBorders>
            <w:shd w:val="clear" w:color="auto" w:fill="E1EEDA"/>
          </w:tcPr>
          <w:p>
            <w:pPr>
              <w:pStyle w:val="TableParagraph"/>
              <w:spacing w:line="264" w:lineRule="exact" w:before="16"/>
              <w:ind w:left="125" w:right="121"/>
              <w:rPr>
                <w:rFonts w:ascii="Calibri"/>
                <w:sz w:val="22"/>
              </w:rPr>
            </w:pPr>
            <w:r>
              <w:rPr>
                <w:rFonts w:ascii="Calibri"/>
                <w:sz w:val="22"/>
              </w:rPr>
              <w:t>2.9</w:t>
            </w:r>
          </w:p>
        </w:tc>
        <w:tc>
          <w:tcPr>
            <w:tcW w:w="904" w:type="dxa"/>
            <w:tcBorders>
              <w:left w:val="single" w:sz="4" w:space="0" w:color="000000"/>
            </w:tcBorders>
            <w:shd w:val="clear" w:color="auto" w:fill="E1EEDA"/>
          </w:tcPr>
          <w:p>
            <w:pPr>
              <w:pStyle w:val="TableParagraph"/>
              <w:spacing w:line="264" w:lineRule="exact" w:before="16"/>
              <w:ind w:left="118" w:right="124"/>
              <w:rPr>
                <w:rFonts w:ascii="Calibri"/>
                <w:sz w:val="22"/>
              </w:rPr>
            </w:pPr>
            <w:r>
              <w:rPr>
                <w:rFonts w:ascii="Calibri"/>
                <w:sz w:val="22"/>
              </w:rPr>
              <w:t>4.6</w:t>
            </w:r>
          </w:p>
        </w:tc>
        <w:tc>
          <w:tcPr>
            <w:tcW w:w="906" w:type="dxa"/>
            <w:tcBorders>
              <w:right w:val="single" w:sz="4" w:space="0" w:color="000000"/>
            </w:tcBorders>
            <w:shd w:val="clear" w:color="auto" w:fill="E1EEDA"/>
          </w:tcPr>
          <w:p>
            <w:pPr>
              <w:pStyle w:val="TableParagraph"/>
              <w:spacing w:line="264" w:lineRule="exact" w:before="16"/>
              <w:ind w:left="125" w:right="119"/>
              <w:rPr>
                <w:rFonts w:ascii="Calibri"/>
                <w:sz w:val="22"/>
              </w:rPr>
            </w:pPr>
            <w:r>
              <w:rPr>
                <w:rFonts w:ascii="Calibri"/>
                <w:sz w:val="22"/>
              </w:rPr>
              <w:t>4.1</w:t>
            </w:r>
          </w:p>
        </w:tc>
        <w:tc>
          <w:tcPr>
            <w:tcW w:w="905" w:type="dxa"/>
            <w:tcBorders>
              <w:left w:val="single" w:sz="4" w:space="0" w:color="000000"/>
            </w:tcBorders>
            <w:shd w:val="clear" w:color="auto" w:fill="E1EEDA"/>
          </w:tcPr>
          <w:p>
            <w:pPr>
              <w:pStyle w:val="TableParagraph"/>
              <w:spacing w:line="264" w:lineRule="exact" w:before="16"/>
              <w:ind w:left="120" w:right="121"/>
              <w:rPr>
                <w:rFonts w:ascii="Calibri"/>
                <w:sz w:val="22"/>
              </w:rPr>
            </w:pPr>
            <w:r>
              <w:rPr>
                <w:rFonts w:ascii="Calibri"/>
                <w:sz w:val="22"/>
              </w:rPr>
              <w:t>5.0</w:t>
            </w:r>
          </w:p>
        </w:tc>
        <w:tc>
          <w:tcPr>
            <w:tcW w:w="907" w:type="dxa"/>
            <w:tcBorders>
              <w:right w:val="single" w:sz="4" w:space="0" w:color="000000"/>
            </w:tcBorders>
            <w:shd w:val="clear" w:color="auto" w:fill="E1EEDA"/>
          </w:tcPr>
          <w:p>
            <w:pPr>
              <w:pStyle w:val="TableParagraph"/>
              <w:spacing w:line="264" w:lineRule="exact" w:before="16"/>
              <w:ind w:left="124" w:right="121"/>
              <w:rPr>
                <w:rFonts w:ascii="Calibri"/>
                <w:sz w:val="22"/>
              </w:rPr>
            </w:pPr>
            <w:r>
              <w:rPr>
                <w:rFonts w:ascii="Calibri"/>
                <w:sz w:val="22"/>
              </w:rPr>
              <w:t>4.2</w:t>
            </w:r>
          </w:p>
        </w:tc>
      </w:tr>
      <w:tr>
        <w:trPr>
          <w:trHeight w:val="379" w:hRule="atLeast"/>
        </w:trPr>
        <w:tc>
          <w:tcPr>
            <w:tcW w:w="1527" w:type="dxa"/>
            <w:shd w:val="clear" w:color="auto" w:fill="D9D9D9"/>
          </w:tcPr>
          <w:p>
            <w:pPr>
              <w:pStyle w:val="TableParagraph"/>
              <w:spacing w:before="44"/>
              <w:ind w:left="69"/>
              <w:jc w:val="left"/>
              <w:rPr>
                <w:rFonts w:ascii="Calibri"/>
                <w:sz w:val="22"/>
              </w:rPr>
            </w:pPr>
            <w:r>
              <w:rPr>
                <w:rFonts w:ascii="Calibri"/>
                <w:position w:val="2"/>
                <w:sz w:val="22"/>
              </w:rPr>
              <w:t>ME</w:t>
            </w:r>
            <w:r>
              <w:rPr>
                <w:rFonts w:ascii="Calibri"/>
                <w:sz w:val="14"/>
              </w:rPr>
              <w:t>90Q </w:t>
            </w:r>
            <w:r>
              <w:rPr>
                <w:rFonts w:ascii="Calibri"/>
                <w:position w:val="2"/>
                <w:sz w:val="22"/>
              </w:rPr>
              <w:t>tn</w:t>
            </w:r>
          </w:p>
        </w:tc>
        <w:tc>
          <w:tcPr>
            <w:tcW w:w="1013" w:type="dxa"/>
            <w:shd w:val="clear" w:color="auto" w:fill="D9D9D9"/>
          </w:tcPr>
          <w:p>
            <w:pPr>
              <w:pStyle w:val="TableParagraph"/>
              <w:spacing w:before="45"/>
              <w:ind w:left="233" w:right="122"/>
              <w:rPr>
                <w:rFonts w:ascii="Calibri"/>
                <w:sz w:val="22"/>
              </w:rPr>
            </w:pPr>
            <w:r>
              <w:rPr>
                <w:rFonts w:ascii="Calibri"/>
                <w:sz w:val="22"/>
              </w:rPr>
              <w:t>-0.3</w:t>
            </w:r>
          </w:p>
        </w:tc>
        <w:tc>
          <w:tcPr>
            <w:tcW w:w="908" w:type="dxa"/>
            <w:tcBorders>
              <w:right w:val="single" w:sz="4" w:space="0" w:color="000000"/>
            </w:tcBorders>
            <w:shd w:val="clear" w:color="auto" w:fill="D9D9D9"/>
          </w:tcPr>
          <w:p>
            <w:pPr>
              <w:pStyle w:val="TableParagraph"/>
              <w:spacing w:before="45"/>
              <w:ind w:left="126" w:right="121"/>
              <w:rPr>
                <w:rFonts w:ascii="Calibri"/>
                <w:sz w:val="22"/>
              </w:rPr>
            </w:pPr>
            <w:r>
              <w:rPr>
                <w:rFonts w:ascii="Calibri"/>
                <w:sz w:val="22"/>
              </w:rPr>
              <w:t>1.0</w:t>
            </w:r>
          </w:p>
        </w:tc>
        <w:tc>
          <w:tcPr>
            <w:tcW w:w="905" w:type="dxa"/>
            <w:tcBorders>
              <w:left w:val="single" w:sz="4" w:space="0" w:color="000000"/>
            </w:tcBorders>
            <w:shd w:val="clear" w:color="auto" w:fill="D9D9D9"/>
          </w:tcPr>
          <w:p>
            <w:pPr>
              <w:pStyle w:val="TableParagraph"/>
              <w:spacing w:before="45"/>
              <w:ind w:left="120" w:right="121"/>
              <w:rPr>
                <w:rFonts w:ascii="Calibri"/>
                <w:sz w:val="22"/>
              </w:rPr>
            </w:pPr>
            <w:r>
              <w:rPr>
                <w:rFonts w:ascii="Calibri"/>
                <w:sz w:val="22"/>
              </w:rPr>
              <w:t>-0.2</w:t>
            </w:r>
          </w:p>
        </w:tc>
        <w:tc>
          <w:tcPr>
            <w:tcW w:w="908" w:type="dxa"/>
            <w:tcBorders>
              <w:right w:val="single" w:sz="4" w:space="0" w:color="000000"/>
            </w:tcBorders>
            <w:shd w:val="clear" w:color="auto" w:fill="D9D9D9"/>
          </w:tcPr>
          <w:p>
            <w:pPr>
              <w:pStyle w:val="TableParagraph"/>
              <w:spacing w:before="45"/>
              <w:ind w:left="125" w:right="121"/>
              <w:rPr>
                <w:rFonts w:ascii="Calibri"/>
                <w:sz w:val="22"/>
              </w:rPr>
            </w:pPr>
            <w:r>
              <w:rPr>
                <w:rFonts w:ascii="Calibri"/>
                <w:sz w:val="22"/>
              </w:rPr>
              <w:t>1.0</w:t>
            </w:r>
          </w:p>
        </w:tc>
        <w:tc>
          <w:tcPr>
            <w:tcW w:w="904" w:type="dxa"/>
            <w:tcBorders>
              <w:left w:val="single" w:sz="4" w:space="0" w:color="000000"/>
            </w:tcBorders>
            <w:shd w:val="clear" w:color="auto" w:fill="D9D9D9"/>
          </w:tcPr>
          <w:p>
            <w:pPr>
              <w:pStyle w:val="TableParagraph"/>
              <w:spacing w:before="45"/>
              <w:ind w:left="118" w:right="124"/>
              <w:rPr>
                <w:rFonts w:ascii="Calibri"/>
                <w:sz w:val="22"/>
              </w:rPr>
            </w:pPr>
            <w:r>
              <w:rPr>
                <w:rFonts w:ascii="Calibri"/>
                <w:sz w:val="22"/>
              </w:rPr>
              <w:t>-0.2</w:t>
            </w:r>
          </w:p>
        </w:tc>
        <w:tc>
          <w:tcPr>
            <w:tcW w:w="906" w:type="dxa"/>
            <w:tcBorders>
              <w:right w:val="single" w:sz="4" w:space="0" w:color="000000"/>
            </w:tcBorders>
            <w:shd w:val="clear" w:color="auto" w:fill="D9D9D9"/>
          </w:tcPr>
          <w:p>
            <w:pPr>
              <w:pStyle w:val="TableParagraph"/>
              <w:spacing w:before="45"/>
              <w:ind w:left="125" w:right="119"/>
              <w:rPr>
                <w:rFonts w:ascii="Calibri"/>
                <w:sz w:val="22"/>
              </w:rPr>
            </w:pPr>
            <w:r>
              <w:rPr>
                <w:rFonts w:ascii="Calibri"/>
                <w:sz w:val="22"/>
              </w:rPr>
              <w:t>0.7</w:t>
            </w:r>
          </w:p>
        </w:tc>
        <w:tc>
          <w:tcPr>
            <w:tcW w:w="905" w:type="dxa"/>
            <w:tcBorders>
              <w:left w:val="single" w:sz="4" w:space="0" w:color="000000"/>
            </w:tcBorders>
            <w:shd w:val="clear" w:color="auto" w:fill="D9D9D9"/>
          </w:tcPr>
          <w:p>
            <w:pPr>
              <w:pStyle w:val="TableParagraph"/>
              <w:spacing w:before="45"/>
              <w:ind w:left="120" w:right="121"/>
              <w:rPr>
                <w:rFonts w:ascii="Calibri"/>
                <w:sz w:val="22"/>
              </w:rPr>
            </w:pPr>
            <w:r>
              <w:rPr>
                <w:rFonts w:ascii="Calibri"/>
                <w:sz w:val="22"/>
              </w:rPr>
              <w:t>-1.0</w:t>
            </w:r>
          </w:p>
        </w:tc>
        <w:tc>
          <w:tcPr>
            <w:tcW w:w="907" w:type="dxa"/>
            <w:tcBorders>
              <w:right w:val="single" w:sz="4" w:space="0" w:color="000000"/>
            </w:tcBorders>
            <w:shd w:val="clear" w:color="auto" w:fill="D9D9D9"/>
          </w:tcPr>
          <w:p>
            <w:pPr>
              <w:pStyle w:val="TableParagraph"/>
              <w:spacing w:before="45"/>
              <w:ind w:left="124" w:right="121"/>
              <w:rPr>
                <w:rFonts w:ascii="Calibri"/>
                <w:sz w:val="22"/>
              </w:rPr>
            </w:pPr>
            <w:r>
              <w:rPr>
                <w:rFonts w:ascii="Calibri"/>
                <w:sz w:val="22"/>
              </w:rPr>
              <w:t>-0.4</w:t>
            </w:r>
          </w:p>
        </w:tc>
      </w:tr>
      <w:tr>
        <w:trPr>
          <w:trHeight w:val="340" w:hRule="atLeast"/>
        </w:trPr>
        <w:tc>
          <w:tcPr>
            <w:tcW w:w="1527" w:type="dxa"/>
            <w:shd w:val="clear" w:color="auto" w:fill="D9D9D9"/>
          </w:tcPr>
          <w:p>
            <w:pPr>
              <w:pStyle w:val="TableParagraph"/>
              <w:spacing w:before="25"/>
              <w:ind w:left="69"/>
              <w:jc w:val="left"/>
              <w:rPr>
                <w:rFonts w:ascii="Calibri"/>
                <w:sz w:val="22"/>
              </w:rPr>
            </w:pPr>
            <w:r>
              <w:rPr>
                <w:rFonts w:ascii="Calibri"/>
                <w:position w:val="2"/>
                <w:sz w:val="22"/>
              </w:rPr>
              <w:t>MAE</w:t>
            </w:r>
            <w:r>
              <w:rPr>
                <w:rFonts w:ascii="Calibri"/>
                <w:sz w:val="14"/>
              </w:rPr>
              <w:t>90Q </w:t>
            </w:r>
            <w:r>
              <w:rPr>
                <w:rFonts w:ascii="Calibri"/>
                <w:position w:val="2"/>
                <w:sz w:val="22"/>
              </w:rPr>
              <w:t>tn</w:t>
            </w:r>
          </w:p>
        </w:tc>
        <w:tc>
          <w:tcPr>
            <w:tcW w:w="1013" w:type="dxa"/>
            <w:shd w:val="clear" w:color="auto" w:fill="D9D9D9"/>
          </w:tcPr>
          <w:p>
            <w:pPr>
              <w:pStyle w:val="TableParagraph"/>
              <w:spacing w:before="25"/>
              <w:ind w:left="233" w:right="123"/>
              <w:rPr>
                <w:rFonts w:ascii="Calibri"/>
                <w:sz w:val="22"/>
              </w:rPr>
            </w:pPr>
            <w:r>
              <w:rPr>
                <w:rFonts w:ascii="Calibri"/>
                <w:sz w:val="22"/>
              </w:rPr>
              <w:t>1.1</w:t>
            </w:r>
          </w:p>
        </w:tc>
        <w:tc>
          <w:tcPr>
            <w:tcW w:w="908" w:type="dxa"/>
            <w:tcBorders>
              <w:right w:val="single" w:sz="4" w:space="0" w:color="000000"/>
            </w:tcBorders>
            <w:shd w:val="clear" w:color="auto" w:fill="D9D9D9"/>
          </w:tcPr>
          <w:p>
            <w:pPr>
              <w:pStyle w:val="TableParagraph"/>
              <w:spacing w:before="25"/>
              <w:ind w:left="126" w:right="121"/>
              <w:rPr>
                <w:rFonts w:ascii="Calibri"/>
                <w:sz w:val="22"/>
              </w:rPr>
            </w:pPr>
            <w:r>
              <w:rPr>
                <w:rFonts w:ascii="Calibri"/>
                <w:sz w:val="22"/>
              </w:rPr>
              <w:t>1.4</w:t>
            </w:r>
          </w:p>
        </w:tc>
        <w:tc>
          <w:tcPr>
            <w:tcW w:w="905" w:type="dxa"/>
            <w:tcBorders>
              <w:left w:val="single" w:sz="4" w:space="0" w:color="000000"/>
            </w:tcBorders>
            <w:shd w:val="clear" w:color="auto" w:fill="D9D9D9"/>
          </w:tcPr>
          <w:p>
            <w:pPr>
              <w:pStyle w:val="TableParagraph"/>
              <w:spacing w:before="25"/>
              <w:ind w:left="120" w:right="121"/>
              <w:rPr>
                <w:rFonts w:ascii="Calibri"/>
                <w:sz w:val="22"/>
              </w:rPr>
            </w:pPr>
            <w:r>
              <w:rPr>
                <w:rFonts w:ascii="Calibri"/>
                <w:sz w:val="22"/>
              </w:rPr>
              <w:t>1.0</w:t>
            </w:r>
          </w:p>
        </w:tc>
        <w:tc>
          <w:tcPr>
            <w:tcW w:w="908" w:type="dxa"/>
            <w:tcBorders>
              <w:right w:val="single" w:sz="4" w:space="0" w:color="000000"/>
            </w:tcBorders>
            <w:shd w:val="clear" w:color="auto" w:fill="D9D9D9"/>
          </w:tcPr>
          <w:p>
            <w:pPr>
              <w:pStyle w:val="TableParagraph"/>
              <w:spacing w:before="25"/>
              <w:ind w:left="125" w:right="121"/>
              <w:rPr>
                <w:rFonts w:ascii="Calibri"/>
                <w:sz w:val="22"/>
              </w:rPr>
            </w:pPr>
            <w:r>
              <w:rPr>
                <w:rFonts w:ascii="Calibri"/>
                <w:sz w:val="22"/>
              </w:rPr>
              <w:t>1.5</w:t>
            </w:r>
          </w:p>
        </w:tc>
        <w:tc>
          <w:tcPr>
            <w:tcW w:w="904" w:type="dxa"/>
            <w:tcBorders>
              <w:left w:val="single" w:sz="4" w:space="0" w:color="000000"/>
            </w:tcBorders>
            <w:shd w:val="clear" w:color="auto" w:fill="D9D9D9"/>
          </w:tcPr>
          <w:p>
            <w:pPr>
              <w:pStyle w:val="TableParagraph"/>
              <w:spacing w:before="25"/>
              <w:ind w:left="118" w:right="124"/>
              <w:rPr>
                <w:rFonts w:ascii="Calibri"/>
                <w:sz w:val="22"/>
              </w:rPr>
            </w:pPr>
            <w:r>
              <w:rPr>
                <w:rFonts w:ascii="Calibri"/>
                <w:sz w:val="22"/>
              </w:rPr>
              <w:t>1.2</w:t>
            </w:r>
          </w:p>
        </w:tc>
        <w:tc>
          <w:tcPr>
            <w:tcW w:w="906" w:type="dxa"/>
            <w:tcBorders>
              <w:right w:val="single" w:sz="4" w:space="0" w:color="000000"/>
            </w:tcBorders>
            <w:shd w:val="clear" w:color="auto" w:fill="D9D9D9"/>
          </w:tcPr>
          <w:p>
            <w:pPr>
              <w:pStyle w:val="TableParagraph"/>
              <w:spacing w:before="25"/>
              <w:ind w:left="125" w:right="119"/>
              <w:rPr>
                <w:rFonts w:ascii="Calibri"/>
                <w:sz w:val="22"/>
              </w:rPr>
            </w:pPr>
            <w:r>
              <w:rPr>
                <w:rFonts w:ascii="Calibri"/>
                <w:sz w:val="22"/>
              </w:rPr>
              <w:t>1.9</w:t>
            </w:r>
          </w:p>
        </w:tc>
        <w:tc>
          <w:tcPr>
            <w:tcW w:w="905" w:type="dxa"/>
            <w:tcBorders>
              <w:left w:val="single" w:sz="4" w:space="0" w:color="000000"/>
            </w:tcBorders>
            <w:shd w:val="clear" w:color="auto" w:fill="D9D9D9"/>
          </w:tcPr>
          <w:p>
            <w:pPr>
              <w:pStyle w:val="TableParagraph"/>
              <w:spacing w:before="25"/>
              <w:ind w:left="120" w:right="121"/>
              <w:rPr>
                <w:rFonts w:ascii="Calibri"/>
                <w:sz w:val="22"/>
              </w:rPr>
            </w:pPr>
            <w:r>
              <w:rPr>
                <w:rFonts w:ascii="Calibri"/>
                <w:sz w:val="22"/>
              </w:rPr>
              <w:t>1.4</w:t>
            </w:r>
          </w:p>
        </w:tc>
        <w:tc>
          <w:tcPr>
            <w:tcW w:w="907" w:type="dxa"/>
            <w:tcBorders>
              <w:right w:val="single" w:sz="4" w:space="0" w:color="000000"/>
            </w:tcBorders>
            <w:shd w:val="clear" w:color="auto" w:fill="D9D9D9"/>
          </w:tcPr>
          <w:p>
            <w:pPr>
              <w:pStyle w:val="TableParagraph"/>
              <w:spacing w:before="25"/>
              <w:ind w:left="124" w:right="121"/>
              <w:rPr>
                <w:rFonts w:ascii="Calibri"/>
                <w:sz w:val="22"/>
              </w:rPr>
            </w:pPr>
            <w:r>
              <w:rPr>
                <w:rFonts w:ascii="Calibri"/>
                <w:sz w:val="22"/>
              </w:rPr>
              <w:t>1.4</w:t>
            </w:r>
          </w:p>
        </w:tc>
      </w:tr>
      <w:tr>
        <w:trPr>
          <w:trHeight w:val="360" w:hRule="atLeast"/>
        </w:trPr>
        <w:tc>
          <w:tcPr>
            <w:tcW w:w="1527" w:type="dxa"/>
            <w:shd w:val="clear" w:color="auto" w:fill="E1EEDA"/>
          </w:tcPr>
          <w:p>
            <w:pPr>
              <w:pStyle w:val="TableParagraph"/>
              <w:spacing w:before="44"/>
              <w:ind w:left="69"/>
              <w:jc w:val="left"/>
              <w:rPr>
                <w:rFonts w:ascii="Calibri"/>
                <w:sz w:val="22"/>
              </w:rPr>
            </w:pPr>
            <w:r>
              <w:rPr>
                <w:rFonts w:ascii="Calibri"/>
                <w:position w:val="2"/>
                <w:sz w:val="22"/>
              </w:rPr>
              <w:t>RMSE</w:t>
            </w:r>
            <w:r>
              <w:rPr>
                <w:rFonts w:ascii="Calibri"/>
                <w:sz w:val="14"/>
              </w:rPr>
              <w:t>90Q </w:t>
            </w:r>
            <w:r>
              <w:rPr>
                <w:rFonts w:ascii="Calibri"/>
                <w:position w:val="2"/>
                <w:sz w:val="22"/>
              </w:rPr>
              <w:t>tn</w:t>
            </w:r>
          </w:p>
        </w:tc>
        <w:tc>
          <w:tcPr>
            <w:tcW w:w="1013" w:type="dxa"/>
            <w:shd w:val="clear" w:color="auto" w:fill="E1EEDA"/>
          </w:tcPr>
          <w:p>
            <w:pPr>
              <w:pStyle w:val="TableParagraph"/>
              <w:spacing w:before="45"/>
              <w:ind w:left="233" w:right="123"/>
              <w:rPr>
                <w:rFonts w:ascii="Calibri"/>
                <w:sz w:val="22"/>
              </w:rPr>
            </w:pPr>
            <w:r>
              <w:rPr>
                <w:rFonts w:ascii="Calibri"/>
                <w:sz w:val="22"/>
              </w:rPr>
              <w:t>1.4</w:t>
            </w:r>
          </w:p>
        </w:tc>
        <w:tc>
          <w:tcPr>
            <w:tcW w:w="908" w:type="dxa"/>
            <w:tcBorders>
              <w:right w:val="single" w:sz="4" w:space="0" w:color="000000"/>
            </w:tcBorders>
            <w:shd w:val="clear" w:color="auto" w:fill="E1EEDA"/>
          </w:tcPr>
          <w:p>
            <w:pPr>
              <w:pStyle w:val="TableParagraph"/>
              <w:spacing w:before="45"/>
              <w:ind w:left="126" w:right="121"/>
              <w:rPr>
                <w:rFonts w:ascii="Calibri"/>
                <w:sz w:val="22"/>
              </w:rPr>
            </w:pPr>
            <w:r>
              <w:rPr>
                <w:rFonts w:ascii="Calibri"/>
                <w:sz w:val="22"/>
              </w:rPr>
              <w:t>2.1</w:t>
            </w:r>
          </w:p>
        </w:tc>
        <w:tc>
          <w:tcPr>
            <w:tcW w:w="905" w:type="dxa"/>
            <w:tcBorders>
              <w:left w:val="single" w:sz="4" w:space="0" w:color="000000"/>
            </w:tcBorders>
            <w:shd w:val="clear" w:color="auto" w:fill="E1EEDA"/>
          </w:tcPr>
          <w:p>
            <w:pPr>
              <w:pStyle w:val="TableParagraph"/>
              <w:spacing w:before="45"/>
              <w:ind w:left="120" w:right="121"/>
              <w:rPr>
                <w:rFonts w:ascii="Calibri"/>
                <w:sz w:val="22"/>
              </w:rPr>
            </w:pPr>
            <w:r>
              <w:rPr>
                <w:rFonts w:ascii="Calibri"/>
                <w:sz w:val="22"/>
              </w:rPr>
              <w:t>1.4</w:t>
            </w:r>
          </w:p>
        </w:tc>
        <w:tc>
          <w:tcPr>
            <w:tcW w:w="908" w:type="dxa"/>
            <w:tcBorders>
              <w:right w:val="single" w:sz="4" w:space="0" w:color="000000"/>
            </w:tcBorders>
            <w:shd w:val="clear" w:color="auto" w:fill="E1EEDA"/>
          </w:tcPr>
          <w:p>
            <w:pPr>
              <w:pStyle w:val="TableParagraph"/>
              <w:spacing w:before="45"/>
              <w:ind w:left="125" w:right="121"/>
              <w:rPr>
                <w:rFonts w:ascii="Calibri"/>
                <w:sz w:val="22"/>
              </w:rPr>
            </w:pPr>
            <w:r>
              <w:rPr>
                <w:rFonts w:ascii="Calibri"/>
                <w:sz w:val="22"/>
              </w:rPr>
              <w:t>2.1</w:t>
            </w:r>
          </w:p>
        </w:tc>
        <w:tc>
          <w:tcPr>
            <w:tcW w:w="904" w:type="dxa"/>
            <w:tcBorders>
              <w:left w:val="single" w:sz="4" w:space="0" w:color="000000"/>
            </w:tcBorders>
            <w:shd w:val="clear" w:color="auto" w:fill="E1EEDA"/>
          </w:tcPr>
          <w:p>
            <w:pPr>
              <w:pStyle w:val="TableParagraph"/>
              <w:spacing w:before="45"/>
              <w:ind w:left="118" w:right="124"/>
              <w:rPr>
                <w:rFonts w:ascii="Calibri"/>
                <w:sz w:val="22"/>
              </w:rPr>
            </w:pPr>
            <w:r>
              <w:rPr>
                <w:rFonts w:ascii="Calibri"/>
                <w:sz w:val="22"/>
              </w:rPr>
              <w:t>1.6</w:t>
            </w:r>
          </w:p>
        </w:tc>
        <w:tc>
          <w:tcPr>
            <w:tcW w:w="906" w:type="dxa"/>
            <w:tcBorders>
              <w:right w:val="single" w:sz="4" w:space="0" w:color="000000"/>
            </w:tcBorders>
            <w:shd w:val="clear" w:color="auto" w:fill="E1EEDA"/>
          </w:tcPr>
          <w:p>
            <w:pPr>
              <w:pStyle w:val="TableParagraph"/>
              <w:spacing w:before="45"/>
              <w:ind w:left="125" w:right="119"/>
              <w:rPr>
                <w:rFonts w:ascii="Calibri"/>
                <w:sz w:val="22"/>
              </w:rPr>
            </w:pPr>
            <w:r>
              <w:rPr>
                <w:rFonts w:ascii="Calibri"/>
                <w:sz w:val="22"/>
              </w:rPr>
              <w:t>2.5</w:t>
            </w:r>
          </w:p>
        </w:tc>
        <w:tc>
          <w:tcPr>
            <w:tcW w:w="905" w:type="dxa"/>
            <w:tcBorders>
              <w:left w:val="single" w:sz="4" w:space="0" w:color="000000"/>
            </w:tcBorders>
            <w:shd w:val="clear" w:color="auto" w:fill="E1EEDA"/>
          </w:tcPr>
          <w:p>
            <w:pPr>
              <w:pStyle w:val="TableParagraph"/>
              <w:spacing w:before="45"/>
              <w:ind w:left="120" w:right="121"/>
              <w:rPr>
                <w:rFonts w:ascii="Calibri"/>
                <w:sz w:val="22"/>
              </w:rPr>
            </w:pPr>
            <w:r>
              <w:rPr>
                <w:rFonts w:ascii="Calibri"/>
                <w:sz w:val="22"/>
              </w:rPr>
              <w:t>1.8</w:t>
            </w:r>
          </w:p>
        </w:tc>
        <w:tc>
          <w:tcPr>
            <w:tcW w:w="907" w:type="dxa"/>
            <w:tcBorders>
              <w:right w:val="single" w:sz="4" w:space="0" w:color="000000"/>
            </w:tcBorders>
            <w:shd w:val="clear" w:color="auto" w:fill="E1EEDA"/>
          </w:tcPr>
          <w:p>
            <w:pPr>
              <w:pStyle w:val="TableParagraph"/>
              <w:spacing w:before="45"/>
              <w:ind w:left="124" w:right="121"/>
              <w:rPr>
                <w:rFonts w:ascii="Calibri"/>
                <w:sz w:val="22"/>
              </w:rPr>
            </w:pPr>
            <w:r>
              <w:rPr>
                <w:rFonts w:ascii="Calibri"/>
                <w:sz w:val="22"/>
              </w:rPr>
              <w:t>1.9</w:t>
            </w:r>
          </w:p>
        </w:tc>
      </w:tr>
      <w:tr>
        <w:trPr>
          <w:trHeight w:val="379" w:hRule="atLeast"/>
        </w:trPr>
        <w:tc>
          <w:tcPr>
            <w:tcW w:w="1527" w:type="dxa"/>
            <w:shd w:val="clear" w:color="auto" w:fill="D9D9D9"/>
          </w:tcPr>
          <w:p>
            <w:pPr>
              <w:pStyle w:val="TableParagraph"/>
              <w:spacing w:before="44"/>
              <w:ind w:left="69"/>
              <w:jc w:val="left"/>
              <w:rPr>
                <w:rFonts w:ascii="Calibri"/>
                <w:sz w:val="22"/>
              </w:rPr>
            </w:pPr>
            <w:r>
              <w:rPr>
                <w:rFonts w:ascii="Calibri"/>
                <w:position w:val="2"/>
                <w:sz w:val="22"/>
              </w:rPr>
              <w:t>ME</w:t>
            </w:r>
            <w:r>
              <w:rPr>
                <w:rFonts w:ascii="Calibri"/>
                <w:sz w:val="14"/>
              </w:rPr>
              <w:t>90Q </w:t>
            </w:r>
            <w:r>
              <w:rPr>
                <w:rFonts w:ascii="Calibri"/>
                <w:position w:val="2"/>
                <w:sz w:val="22"/>
              </w:rPr>
              <w:t>dyb</w:t>
            </w:r>
          </w:p>
        </w:tc>
        <w:tc>
          <w:tcPr>
            <w:tcW w:w="1013" w:type="dxa"/>
            <w:shd w:val="clear" w:color="auto" w:fill="D9D9D9"/>
          </w:tcPr>
          <w:p>
            <w:pPr>
              <w:pStyle w:val="TableParagraph"/>
              <w:spacing w:before="45"/>
              <w:ind w:left="233" w:right="122"/>
              <w:rPr>
                <w:rFonts w:ascii="Calibri"/>
                <w:sz w:val="22"/>
              </w:rPr>
            </w:pPr>
            <w:r>
              <w:rPr>
                <w:rFonts w:ascii="Calibri"/>
                <w:sz w:val="22"/>
              </w:rPr>
              <w:t>-1.4</w:t>
            </w:r>
          </w:p>
        </w:tc>
        <w:tc>
          <w:tcPr>
            <w:tcW w:w="908" w:type="dxa"/>
            <w:tcBorders>
              <w:right w:val="single" w:sz="4" w:space="0" w:color="000000"/>
            </w:tcBorders>
            <w:shd w:val="clear" w:color="auto" w:fill="D9D9D9"/>
          </w:tcPr>
          <w:p>
            <w:pPr>
              <w:pStyle w:val="TableParagraph"/>
              <w:spacing w:before="45"/>
              <w:ind w:left="126" w:right="121"/>
              <w:rPr>
                <w:rFonts w:ascii="Calibri"/>
                <w:sz w:val="22"/>
              </w:rPr>
            </w:pPr>
            <w:r>
              <w:rPr>
                <w:rFonts w:ascii="Calibri"/>
                <w:sz w:val="22"/>
              </w:rPr>
              <w:t>0.1</w:t>
            </w:r>
          </w:p>
        </w:tc>
        <w:tc>
          <w:tcPr>
            <w:tcW w:w="905" w:type="dxa"/>
            <w:tcBorders>
              <w:left w:val="single" w:sz="4" w:space="0" w:color="000000"/>
            </w:tcBorders>
            <w:shd w:val="clear" w:color="auto" w:fill="D9D9D9"/>
          </w:tcPr>
          <w:p>
            <w:pPr>
              <w:pStyle w:val="TableParagraph"/>
              <w:spacing w:before="45"/>
              <w:ind w:left="120" w:right="121"/>
              <w:rPr>
                <w:rFonts w:ascii="Calibri"/>
                <w:sz w:val="22"/>
              </w:rPr>
            </w:pPr>
            <w:r>
              <w:rPr>
                <w:rFonts w:ascii="Calibri"/>
                <w:sz w:val="22"/>
              </w:rPr>
              <w:t>-1.3</w:t>
            </w:r>
          </w:p>
        </w:tc>
        <w:tc>
          <w:tcPr>
            <w:tcW w:w="908" w:type="dxa"/>
            <w:tcBorders>
              <w:right w:val="single" w:sz="4" w:space="0" w:color="000000"/>
            </w:tcBorders>
            <w:shd w:val="clear" w:color="auto" w:fill="D9D9D9"/>
          </w:tcPr>
          <w:p>
            <w:pPr>
              <w:pStyle w:val="TableParagraph"/>
              <w:spacing w:before="45"/>
              <w:ind w:left="125" w:right="121"/>
              <w:rPr>
                <w:rFonts w:ascii="Calibri"/>
                <w:sz w:val="22"/>
              </w:rPr>
            </w:pPr>
            <w:r>
              <w:rPr>
                <w:rFonts w:ascii="Calibri"/>
                <w:sz w:val="22"/>
              </w:rPr>
              <w:t>0.1</w:t>
            </w:r>
          </w:p>
        </w:tc>
        <w:tc>
          <w:tcPr>
            <w:tcW w:w="904" w:type="dxa"/>
            <w:tcBorders>
              <w:left w:val="single" w:sz="4" w:space="0" w:color="000000"/>
            </w:tcBorders>
            <w:shd w:val="clear" w:color="auto" w:fill="D9D9D9"/>
          </w:tcPr>
          <w:p>
            <w:pPr>
              <w:pStyle w:val="TableParagraph"/>
              <w:spacing w:before="45"/>
              <w:ind w:left="118" w:right="124"/>
              <w:rPr>
                <w:rFonts w:ascii="Calibri"/>
                <w:sz w:val="22"/>
              </w:rPr>
            </w:pPr>
            <w:r>
              <w:rPr>
                <w:rFonts w:ascii="Calibri"/>
                <w:sz w:val="22"/>
              </w:rPr>
              <w:t>-0.7</w:t>
            </w:r>
          </w:p>
        </w:tc>
        <w:tc>
          <w:tcPr>
            <w:tcW w:w="906" w:type="dxa"/>
            <w:tcBorders>
              <w:right w:val="single" w:sz="4" w:space="0" w:color="000000"/>
            </w:tcBorders>
            <w:shd w:val="clear" w:color="auto" w:fill="D9D9D9"/>
          </w:tcPr>
          <w:p>
            <w:pPr>
              <w:pStyle w:val="TableParagraph"/>
              <w:spacing w:before="45"/>
              <w:ind w:left="125" w:right="119"/>
              <w:rPr>
                <w:rFonts w:ascii="Calibri"/>
                <w:sz w:val="22"/>
              </w:rPr>
            </w:pPr>
            <w:r>
              <w:rPr>
                <w:rFonts w:ascii="Calibri"/>
                <w:sz w:val="22"/>
              </w:rPr>
              <w:t>-0.2</w:t>
            </w:r>
          </w:p>
        </w:tc>
        <w:tc>
          <w:tcPr>
            <w:tcW w:w="905" w:type="dxa"/>
            <w:tcBorders>
              <w:left w:val="single" w:sz="4" w:space="0" w:color="000000"/>
            </w:tcBorders>
            <w:shd w:val="clear" w:color="auto" w:fill="D9D9D9"/>
          </w:tcPr>
          <w:p>
            <w:pPr>
              <w:pStyle w:val="TableParagraph"/>
              <w:spacing w:before="45"/>
              <w:ind w:left="120" w:right="121"/>
              <w:rPr>
                <w:rFonts w:ascii="Calibri"/>
                <w:sz w:val="22"/>
              </w:rPr>
            </w:pPr>
            <w:r>
              <w:rPr>
                <w:rFonts w:ascii="Calibri"/>
                <w:sz w:val="22"/>
              </w:rPr>
              <w:t>-1.3</w:t>
            </w:r>
          </w:p>
        </w:tc>
        <w:tc>
          <w:tcPr>
            <w:tcW w:w="907" w:type="dxa"/>
            <w:tcBorders>
              <w:right w:val="single" w:sz="4" w:space="0" w:color="000000"/>
            </w:tcBorders>
            <w:shd w:val="clear" w:color="auto" w:fill="D9D9D9"/>
          </w:tcPr>
          <w:p>
            <w:pPr>
              <w:pStyle w:val="TableParagraph"/>
              <w:spacing w:before="45"/>
              <w:ind w:left="124" w:right="121"/>
              <w:rPr>
                <w:rFonts w:ascii="Calibri"/>
                <w:sz w:val="22"/>
              </w:rPr>
            </w:pPr>
            <w:r>
              <w:rPr>
                <w:rFonts w:ascii="Calibri"/>
                <w:sz w:val="22"/>
              </w:rPr>
              <w:t>-0.3</w:t>
            </w:r>
          </w:p>
        </w:tc>
      </w:tr>
      <w:tr>
        <w:trPr>
          <w:trHeight w:val="340" w:hRule="atLeast"/>
        </w:trPr>
        <w:tc>
          <w:tcPr>
            <w:tcW w:w="1527" w:type="dxa"/>
            <w:shd w:val="clear" w:color="auto" w:fill="D9D9D9"/>
          </w:tcPr>
          <w:p>
            <w:pPr>
              <w:pStyle w:val="TableParagraph"/>
              <w:spacing w:before="25"/>
              <w:ind w:left="69"/>
              <w:jc w:val="left"/>
              <w:rPr>
                <w:rFonts w:ascii="Calibri"/>
                <w:sz w:val="22"/>
              </w:rPr>
            </w:pPr>
            <w:r>
              <w:rPr>
                <w:rFonts w:ascii="Calibri"/>
                <w:position w:val="2"/>
                <w:sz w:val="22"/>
              </w:rPr>
              <w:t>MAE</w:t>
            </w:r>
            <w:r>
              <w:rPr>
                <w:rFonts w:ascii="Calibri"/>
                <w:sz w:val="14"/>
              </w:rPr>
              <w:t>90Q </w:t>
            </w:r>
            <w:r>
              <w:rPr>
                <w:rFonts w:ascii="Calibri"/>
                <w:position w:val="2"/>
                <w:sz w:val="22"/>
              </w:rPr>
              <w:t>dyb</w:t>
            </w:r>
          </w:p>
        </w:tc>
        <w:tc>
          <w:tcPr>
            <w:tcW w:w="1013" w:type="dxa"/>
            <w:shd w:val="clear" w:color="auto" w:fill="D9D9D9"/>
          </w:tcPr>
          <w:p>
            <w:pPr>
              <w:pStyle w:val="TableParagraph"/>
              <w:spacing w:before="25"/>
              <w:ind w:left="233" w:right="123"/>
              <w:rPr>
                <w:rFonts w:ascii="Calibri"/>
                <w:sz w:val="22"/>
              </w:rPr>
            </w:pPr>
            <w:r>
              <w:rPr>
                <w:rFonts w:ascii="Calibri"/>
                <w:sz w:val="22"/>
              </w:rPr>
              <w:t>2.4</w:t>
            </w:r>
          </w:p>
        </w:tc>
        <w:tc>
          <w:tcPr>
            <w:tcW w:w="908" w:type="dxa"/>
            <w:tcBorders>
              <w:right w:val="single" w:sz="4" w:space="0" w:color="000000"/>
            </w:tcBorders>
            <w:shd w:val="clear" w:color="auto" w:fill="D9D9D9"/>
          </w:tcPr>
          <w:p>
            <w:pPr>
              <w:pStyle w:val="TableParagraph"/>
              <w:spacing w:before="25"/>
              <w:ind w:left="126" w:right="121"/>
              <w:rPr>
                <w:rFonts w:ascii="Calibri"/>
                <w:sz w:val="22"/>
              </w:rPr>
            </w:pPr>
            <w:r>
              <w:rPr>
                <w:rFonts w:ascii="Calibri"/>
                <w:sz w:val="22"/>
              </w:rPr>
              <w:t>1.7</w:t>
            </w:r>
          </w:p>
        </w:tc>
        <w:tc>
          <w:tcPr>
            <w:tcW w:w="905" w:type="dxa"/>
            <w:tcBorders>
              <w:left w:val="single" w:sz="4" w:space="0" w:color="000000"/>
            </w:tcBorders>
            <w:shd w:val="clear" w:color="auto" w:fill="D9D9D9"/>
          </w:tcPr>
          <w:p>
            <w:pPr>
              <w:pStyle w:val="TableParagraph"/>
              <w:spacing w:before="25"/>
              <w:ind w:left="120" w:right="121"/>
              <w:rPr>
                <w:rFonts w:ascii="Calibri"/>
                <w:sz w:val="22"/>
              </w:rPr>
            </w:pPr>
            <w:r>
              <w:rPr>
                <w:rFonts w:ascii="Calibri"/>
                <w:sz w:val="22"/>
              </w:rPr>
              <w:t>2.4</w:t>
            </w:r>
          </w:p>
        </w:tc>
        <w:tc>
          <w:tcPr>
            <w:tcW w:w="908" w:type="dxa"/>
            <w:tcBorders>
              <w:right w:val="single" w:sz="4" w:space="0" w:color="000000"/>
            </w:tcBorders>
            <w:shd w:val="clear" w:color="auto" w:fill="D9D9D9"/>
          </w:tcPr>
          <w:p>
            <w:pPr>
              <w:pStyle w:val="TableParagraph"/>
              <w:spacing w:before="25"/>
              <w:ind w:left="125" w:right="121"/>
              <w:rPr>
                <w:rFonts w:ascii="Calibri"/>
                <w:sz w:val="22"/>
              </w:rPr>
            </w:pPr>
            <w:r>
              <w:rPr>
                <w:rFonts w:ascii="Calibri"/>
                <w:sz w:val="22"/>
              </w:rPr>
              <w:t>1.5</w:t>
            </w:r>
          </w:p>
        </w:tc>
        <w:tc>
          <w:tcPr>
            <w:tcW w:w="904" w:type="dxa"/>
            <w:tcBorders>
              <w:left w:val="single" w:sz="4" w:space="0" w:color="000000"/>
            </w:tcBorders>
            <w:shd w:val="clear" w:color="auto" w:fill="D9D9D9"/>
          </w:tcPr>
          <w:p>
            <w:pPr>
              <w:pStyle w:val="TableParagraph"/>
              <w:spacing w:before="25"/>
              <w:ind w:left="118" w:right="124"/>
              <w:rPr>
                <w:rFonts w:ascii="Calibri"/>
                <w:sz w:val="22"/>
              </w:rPr>
            </w:pPr>
            <w:r>
              <w:rPr>
                <w:rFonts w:ascii="Calibri"/>
                <w:sz w:val="22"/>
              </w:rPr>
              <w:t>2.1</w:t>
            </w:r>
          </w:p>
        </w:tc>
        <w:tc>
          <w:tcPr>
            <w:tcW w:w="906" w:type="dxa"/>
            <w:tcBorders>
              <w:right w:val="single" w:sz="4" w:space="0" w:color="000000"/>
            </w:tcBorders>
            <w:shd w:val="clear" w:color="auto" w:fill="D9D9D9"/>
          </w:tcPr>
          <w:p>
            <w:pPr>
              <w:pStyle w:val="TableParagraph"/>
              <w:spacing w:before="25"/>
              <w:ind w:left="125" w:right="119"/>
              <w:rPr>
                <w:rFonts w:ascii="Calibri"/>
                <w:sz w:val="22"/>
              </w:rPr>
            </w:pPr>
            <w:r>
              <w:rPr>
                <w:rFonts w:ascii="Calibri"/>
                <w:sz w:val="22"/>
              </w:rPr>
              <w:t>1.8</w:t>
            </w:r>
          </w:p>
        </w:tc>
        <w:tc>
          <w:tcPr>
            <w:tcW w:w="905" w:type="dxa"/>
            <w:tcBorders>
              <w:left w:val="single" w:sz="4" w:space="0" w:color="000000"/>
            </w:tcBorders>
            <w:shd w:val="clear" w:color="auto" w:fill="D9D9D9"/>
          </w:tcPr>
          <w:p>
            <w:pPr>
              <w:pStyle w:val="TableParagraph"/>
              <w:spacing w:before="25"/>
              <w:ind w:left="120" w:right="121"/>
              <w:rPr>
                <w:rFonts w:ascii="Calibri"/>
                <w:sz w:val="22"/>
              </w:rPr>
            </w:pPr>
            <w:r>
              <w:rPr>
                <w:rFonts w:ascii="Calibri"/>
                <w:sz w:val="22"/>
              </w:rPr>
              <w:t>2.6</w:t>
            </w:r>
          </w:p>
        </w:tc>
        <w:tc>
          <w:tcPr>
            <w:tcW w:w="907" w:type="dxa"/>
            <w:tcBorders>
              <w:right w:val="single" w:sz="4" w:space="0" w:color="000000"/>
            </w:tcBorders>
            <w:shd w:val="clear" w:color="auto" w:fill="D9D9D9"/>
          </w:tcPr>
          <w:p>
            <w:pPr>
              <w:pStyle w:val="TableParagraph"/>
              <w:spacing w:before="25"/>
              <w:ind w:left="124" w:right="121"/>
              <w:rPr>
                <w:rFonts w:ascii="Calibri"/>
                <w:sz w:val="22"/>
              </w:rPr>
            </w:pPr>
            <w:r>
              <w:rPr>
                <w:rFonts w:ascii="Calibri"/>
                <w:sz w:val="22"/>
              </w:rPr>
              <w:t>2.2</w:t>
            </w:r>
          </w:p>
        </w:tc>
      </w:tr>
      <w:tr>
        <w:trPr>
          <w:trHeight w:val="360" w:hRule="atLeast"/>
        </w:trPr>
        <w:tc>
          <w:tcPr>
            <w:tcW w:w="1527" w:type="dxa"/>
            <w:shd w:val="clear" w:color="auto" w:fill="E1EEDA"/>
          </w:tcPr>
          <w:p>
            <w:pPr>
              <w:pStyle w:val="TableParagraph"/>
              <w:spacing w:before="44"/>
              <w:ind w:left="69"/>
              <w:jc w:val="left"/>
              <w:rPr>
                <w:rFonts w:ascii="Calibri"/>
                <w:sz w:val="22"/>
              </w:rPr>
            </w:pPr>
            <w:r>
              <w:rPr>
                <w:rFonts w:ascii="Calibri"/>
                <w:position w:val="2"/>
                <w:sz w:val="22"/>
              </w:rPr>
              <w:t>RMSE</w:t>
            </w:r>
            <w:r>
              <w:rPr>
                <w:rFonts w:ascii="Calibri"/>
                <w:sz w:val="14"/>
              </w:rPr>
              <w:t>90Q </w:t>
            </w:r>
            <w:r>
              <w:rPr>
                <w:rFonts w:ascii="Calibri"/>
                <w:position w:val="2"/>
                <w:sz w:val="22"/>
              </w:rPr>
              <w:t>dyb</w:t>
            </w:r>
          </w:p>
        </w:tc>
        <w:tc>
          <w:tcPr>
            <w:tcW w:w="1013" w:type="dxa"/>
            <w:shd w:val="clear" w:color="auto" w:fill="E1EEDA"/>
          </w:tcPr>
          <w:p>
            <w:pPr>
              <w:pStyle w:val="TableParagraph"/>
              <w:spacing w:before="45"/>
              <w:ind w:left="233" w:right="123"/>
              <w:rPr>
                <w:rFonts w:ascii="Calibri"/>
                <w:sz w:val="22"/>
              </w:rPr>
            </w:pPr>
            <w:r>
              <w:rPr>
                <w:rFonts w:ascii="Calibri"/>
                <w:sz w:val="22"/>
              </w:rPr>
              <w:t>3.2</w:t>
            </w:r>
          </w:p>
        </w:tc>
        <w:tc>
          <w:tcPr>
            <w:tcW w:w="908" w:type="dxa"/>
            <w:tcBorders>
              <w:right w:val="single" w:sz="4" w:space="0" w:color="000000"/>
            </w:tcBorders>
            <w:shd w:val="clear" w:color="auto" w:fill="E1EEDA"/>
          </w:tcPr>
          <w:p>
            <w:pPr>
              <w:pStyle w:val="TableParagraph"/>
              <w:spacing w:before="45"/>
              <w:ind w:left="126" w:right="121"/>
              <w:rPr>
                <w:rFonts w:ascii="Calibri"/>
                <w:sz w:val="22"/>
              </w:rPr>
            </w:pPr>
            <w:r>
              <w:rPr>
                <w:rFonts w:ascii="Calibri"/>
                <w:sz w:val="22"/>
              </w:rPr>
              <w:t>2.0</w:t>
            </w:r>
          </w:p>
        </w:tc>
        <w:tc>
          <w:tcPr>
            <w:tcW w:w="905" w:type="dxa"/>
            <w:tcBorders>
              <w:left w:val="single" w:sz="4" w:space="0" w:color="000000"/>
            </w:tcBorders>
            <w:shd w:val="clear" w:color="auto" w:fill="E1EEDA"/>
          </w:tcPr>
          <w:p>
            <w:pPr>
              <w:pStyle w:val="TableParagraph"/>
              <w:spacing w:before="45"/>
              <w:ind w:left="120" w:right="121"/>
              <w:rPr>
                <w:rFonts w:ascii="Calibri"/>
                <w:sz w:val="22"/>
              </w:rPr>
            </w:pPr>
            <w:r>
              <w:rPr>
                <w:rFonts w:ascii="Calibri"/>
                <w:sz w:val="22"/>
              </w:rPr>
              <w:t>3.2</w:t>
            </w:r>
          </w:p>
        </w:tc>
        <w:tc>
          <w:tcPr>
            <w:tcW w:w="908" w:type="dxa"/>
            <w:tcBorders>
              <w:right w:val="single" w:sz="4" w:space="0" w:color="000000"/>
            </w:tcBorders>
            <w:shd w:val="clear" w:color="auto" w:fill="E1EEDA"/>
          </w:tcPr>
          <w:p>
            <w:pPr>
              <w:pStyle w:val="TableParagraph"/>
              <w:spacing w:before="45"/>
              <w:ind w:left="125" w:right="121"/>
              <w:rPr>
                <w:rFonts w:ascii="Calibri"/>
                <w:sz w:val="22"/>
              </w:rPr>
            </w:pPr>
            <w:r>
              <w:rPr>
                <w:rFonts w:ascii="Calibri"/>
                <w:sz w:val="22"/>
              </w:rPr>
              <w:t>1.8</w:t>
            </w:r>
          </w:p>
        </w:tc>
        <w:tc>
          <w:tcPr>
            <w:tcW w:w="904" w:type="dxa"/>
            <w:tcBorders>
              <w:left w:val="single" w:sz="4" w:space="0" w:color="000000"/>
            </w:tcBorders>
            <w:shd w:val="clear" w:color="auto" w:fill="E1EEDA"/>
          </w:tcPr>
          <w:p>
            <w:pPr>
              <w:pStyle w:val="TableParagraph"/>
              <w:spacing w:before="45"/>
              <w:ind w:left="118" w:right="124"/>
              <w:rPr>
                <w:rFonts w:ascii="Calibri"/>
                <w:sz w:val="22"/>
              </w:rPr>
            </w:pPr>
            <w:r>
              <w:rPr>
                <w:rFonts w:ascii="Calibri"/>
                <w:sz w:val="22"/>
              </w:rPr>
              <w:t>2.8</w:t>
            </w:r>
          </w:p>
        </w:tc>
        <w:tc>
          <w:tcPr>
            <w:tcW w:w="906" w:type="dxa"/>
            <w:tcBorders>
              <w:right w:val="single" w:sz="4" w:space="0" w:color="000000"/>
            </w:tcBorders>
            <w:shd w:val="clear" w:color="auto" w:fill="E1EEDA"/>
          </w:tcPr>
          <w:p>
            <w:pPr>
              <w:pStyle w:val="TableParagraph"/>
              <w:spacing w:before="45"/>
              <w:ind w:left="125" w:right="119"/>
              <w:rPr>
                <w:rFonts w:ascii="Calibri"/>
                <w:sz w:val="22"/>
              </w:rPr>
            </w:pPr>
            <w:r>
              <w:rPr>
                <w:rFonts w:ascii="Calibri"/>
                <w:sz w:val="22"/>
              </w:rPr>
              <w:t>2.1</w:t>
            </w:r>
          </w:p>
        </w:tc>
        <w:tc>
          <w:tcPr>
            <w:tcW w:w="905" w:type="dxa"/>
            <w:tcBorders>
              <w:left w:val="single" w:sz="4" w:space="0" w:color="000000"/>
            </w:tcBorders>
            <w:shd w:val="clear" w:color="auto" w:fill="E1EEDA"/>
          </w:tcPr>
          <w:p>
            <w:pPr>
              <w:pStyle w:val="TableParagraph"/>
              <w:spacing w:before="45"/>
              <w:ind w:left="120" w:right="121"/>
              <w:rPr>
                <w:rFonts w:ascii="Calibri"/>
                <w:sz w:val="22"/>
              </w:rPr>
            </w:pPr>
            <w:r>
              <w:rPr>
                <w:rFonts w:ascii="Calibri"/>
                <w:sz w:val="22"/>
              </w:rPr>
              <w:t>3.4</w:t>
            </w:r>
          </w:p>
        </w:tc>
        <w:tc>
          <w:tcPr>
            <w:tcW w:w="907" w:type="dxa"/>
            <w:tcBorders>
              <w:right w:val="single" w:sz="4" w:space="0" w:color="000000"/>
            </w:tcBorders>
            <w:shd w:val="clear" w:color="auto" w:fill="E1EEDA"/>
          </w:tcPr>
          <w:p>
            <w:pPr>
              <w:pStyle w:val="TableParagraph"/>
              <w:spacing w:before="45"/>
              <w:ind w:left="124" w:right="121"/>
              <w:rPr>
                <w:rFonts w:ascii="Calibri"/>
                <w:sz w:val="22"/>
              </w:rPr>
            </w:pPr>
            <w:r>
              <w:rPr>
                <w:rFonts w:ascii="Calibri"/>
                <w:sz w:val="22"/>
              </w:rPr>
              <w:t>2.5</w:t>
            </w:r>
          </w:p>
        </w:tc>
      </w:tr>
    </w:tbl>
    <w:p>
      <w:pPr>
        <w:pStyle w:val="BodyText"/>
        <w:rPr>
          <w:rFonts w:ascii="Calibri"/>
          <w:i/>
          <w:sz w:val="18"/>
        </w:rPr>
      </w:pPr>
    </w:p>
    <w:p>
      <w:pPr>
        <w:pStyle w:val="BodyText"/>
        <w:rPr>
          <w:rFonts w:ascii="Calibri"/>
          <w:i/>
          <w:sz w:val="18"/>
        </w:rPr>
      </w:pPr>
    </w:p>
    <w:p>
      <w:pPr>
        <w:spacing w:before="1"/>
        <w:ind w:left="594" w:right="0" w:firstLine="0"/>
        <w:jc w:val="both"/>
        <w:rPr>
          <w:rFonts w:ascii="Calibri" w:hAnsi="Calibri"/>
          <w:i/>
          <w:sz w:val="18"/>
        </w:rPr>
      </w:pPr>
      <w:r>
        <w:rPr/>
        <w:pict>
          <v:shape style="position:absolute;margin-left:99.264008pt;margin-top:72.819328pt;width:450.8pt;height:15pt;mso-position-horizontal-relative:page;mso-position-vertical-relative:paragraph;z-index:-289840" coordorigin="1985,1456" coordsize="9016,300" path="m4549,1456l3627,1456,3627,1456,1985,1456,1985,1756,3627,1756,3627,1756,4549,1756,4549,1456m5468,1456l4549,1456,4549,1756,5468,1756,5468,1456m6395,1456l5473,1456,5473,1756,6395,1756,6395,1456m7314,1456l6395,1456,6395,1756,7314,1756,7314,1456m8238,1456l7319,1456,7319,1756,8238,1756,8238,1456m9157,1456l8238,1456,8238,1756,9157,1756,9157,1456m10082,1456l9162,1456,9162,1756,10082,1756,10082,1456m11001,1456l10082,1456,10082,1756,11001,1756,11001,1456e" filled="true" fillcolor="#e1eeda" stroked="false">
            <v:path arrowok="t"/>
            <v:fill type="solid"/>
            <w10:wrap type="none"/>
          </v:shape>
        </w:pict>
      </w:r>
      <w:r>
        <w:rPr>
          <w:rFonts w:ascii="Calibri" w:hAnsi="Calibri"/>
          <w:i/>
          <w:color w:val="44536A"/>
          <w:sz w:val="18"/>
        </w:rPr>
        <w:t>Performance statistik for simuleret trykniveau (2009-2015) Storå [m]. Middelfejl er angivet som obs – sim.</w:t>
      </w:r>
    </w:p>
    <w:tbl>
      <w:tblPr>
        <w:tblW w:w="0" w:type="auto"/>
        <w:jc w:val="left"/>
        <w:tblInd w:w="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89"/>
        <w:gridCol w:w="1073"/>
        <w:gridCol w:w="924"/>
        <w:gridCol w:w="922"/>
        <w:gridCol w:w="923"/>
        <w:gridCol w:w="937"/>
        <w:gridCol w:w="906"/>
        <w:gridCol w:w="922"/>
        <w:gridCol w:w="922"/>
      </w:tblGrid>
      <w:tr>
        <w:trPr>
          <w:trHeight w:val="613" w:hRule="atLeast"/>
        </w:trPr>
        <w:tc>
          <w:tcPr>
            <w:tcW w:w="1489" w:type="dxa"/>
            <w:tcBorders>
              <w:bottom w:val="single" w:sz="8" w:space="0" w:color="000000"/>
            </w:tcBorders>
          </w:tcPr>
          <w:p>
            <w:pPr>
              <w:pStyle w:val="TableParagraph"/>
              <w:spacing w:before="13"/>
              <w:ind w:left="69"/>
              <w:jc w:val="left"/>
              <w:rPr>
                <w:rFonts w:ascii="Calibri"/>
                <w:b/>
                <w:sz w:val="22"/>
              </w:rPr>
            </w:pPr>
            <w:r>
              <w:rPr>
                <w:rFonts w:ascii="Calibri"/>
                <w:b/>
                <w:sz w:val="22"/>
              </w:rPr>
              <w:t>Validering</w:t>
            </w:r>
          </w:p>
        </w:tc>
        <w:tc>
          <w:tcPr>
            <w:tcW w:w="1997" w:type="dxa"/>
            <w:gridSpan w:val="2"/>
            <w:tcBorders>
              <w:bottom w:val="single" w:sz="8" w:space="0" w:color="000000"/>
              <w:right w:val="single" w:sz="4" w:space="0" w:color="000000"/>
            </w:tcBorders>
          </w:tcPr>
          <w:p>
            <w:pPr>
              <w:pStyle w:val="TableParagraph"/>
              <w:spacing w:before="13"/>
              <w:ind w:left="385"/>
              <w:jc w:val="left"/>
              <w:rPr>
                <w:rFonts w:ascii="Calibri"/>
                <w:b/>
                <w:sz w:val="22"/>
              </w:rPr>
            </w:pPr>
            <w:r>
              <w:rPr>
                <w:rFonts w:ascii="Calibri"/>
                <w:b/>
                <w:sz w:val="22"/>
              </w:rPr>
              <w:t>100m_Jup+Reg</w:t>
            </w:r>
          </w:p>
          <w:p>
            <w:pPr>
              <w:pStyle w:val="TableParagraph"/>
              <w:tabs>
                <w:tab w:pos="1228" w:val="left" w:leader="none"/>
              </w:tabs>
              <w:spacing w:before="41"/>
              <w:ind w:left="306"/>
              <w:jc w:val="left"/>
              <w:rPr>
                <w:rFonts w:ascii="Calibri"/>
                <w:sz w:val="22"/>
              </w:rPr>
            </w:pPr>
            <w:r>
              <w:rPr>
                <w:rFonts w:ascii="Calibri"/>
                <w:sz w:val="22"/>
              </w:rPr>
              <w:t>Jupiter</w:t>
              <w:tab/>
              <w:t>Region</w:t>
            </w:r>
          </w:p>
        </w:tc>
        <w:tc>
          <w:tcPr>
            <w:tcW w:w="1845" w:type="dxa"/>
            <w:gridSpan w:val="2"/>
            <w:tcBorders>
              <w:left w:val="single" w:sz="4" w:space="0" w:color="000000"/>
              <w:bottom w:val="single" w:sz="8" w:space="0" w:color="000000"/>
              <w:right w:val="single" w:sz="4" w:space="0" w:color="000000"/>
            </w:tcBorders>
          </w:tcPr>
          <w:p>
            <w:pPr>
              <w:pStyle w:val="TableParagraph"/>
              <w:spacing w:before="13"/>
              <w:ind w:left="9"/>
              <w:rPr>
                <w:rFonts w:ascii="Calibri"/>
                <w:b/>
                <w:sz w:val="22"/>
              </w:rPr>
            </w:pPr>
            <w:r>
              <w:rPr>
                <w:rFonts w:ascii="Calibri"/>
                <w:b/>
                <w:sz w:val="22"/>
              </w:rPr>
              <w:t>100m_Jup</w:t>
            </w:r>
          </w:p>
          <w:p>
            <w:pPr>
              <w:pStyle w:val="TableParagraph"/>
              <w:tabs>
                <w:tab w:pos="925" w:val="left" w:leader="none"/>
              </w:tabs>
              <w:spacing w:before="41"/>
              <w:ind w:left="6"/>
              <w:rPr>
                <w:rFonts w:ascii="Calibri"/>
                <w:sz w:val="22"/>
              </w:rPr>
            </w:pPr>
            <w:r>
              <w:rPr>
                <w:rFonts w:ascii="Calibri"/>
                <w:sz w:val="22"/>
              </w:rPr>
              <w:t>Jupiter</w:t>
              <w:tab/>
              <w:t>Region</w:t>
            </w:r>
          </w:p>
        </w:tc>
        <w:tc>
          <w:tcPr>
            <w:tcW w:w="1843" w:type="dxa"/>
            <w:gridSpan w:val="2"/>
            <w:tcBorders>
              <w:left w:val="single" w:sz="4" w:space="0" w:color="000000"/>
              <w:bottom w:val="single" w:sz="8" w:space="0" w:color="000000"/>
              <w:right w:val="single" w:sz="4" w:space="0" w:color="000000"/>
            </w:tcBorders>
          </w:tcPr>
          <w:p>
            <w:pPr>
              <w:pStyle w:val="TableParagraph"/>
              <w:spacing w:before="13"/>
              <w:ind w:left="228"/>
              <w:jc w:val="left"/>
              <w:rPr>
                <w:rFonts w:ascii="Calibri"/>
                <w:b/>
                <w:sz w:val="22"/>
              </w:rPr>
            </w:pPr>
            <w:r>
              <w:rPr>
                <w:rFonts w:ascii="Calibri"/>
                <w:b/>
                <w:sz w:val="22"/>
              </w:rPr>
              <w:t>500m_Jup+Reg</w:t>
            </w:r>
          </w:p>
          <w:p>
            <w:pPr>
              <w:pStyle w:val="TableParagraph"/>
              <w:tabs>
                <w:tab w:pos="1070" w:val="left" w:leader="none"/>
              </w:tabs>
              <w:spacing w:before="41"/>
              <w:ind w:left="151"/>
              <w:jc w:val="left"/>
              <w:rPr>
                <w:rFonts w:ascii="Calibri"/>
                <w:sz w:val="22"/>
              </w:rPr>
            </w:pPr>
            <w:r>
              <w:rPr>
                <w:rFonts w:ascii="Calibri"/>
                <w:sz w:val="22"/>
              </w:rPr>
              <w:t>Jupiter</w:t>
              <w:tab/>
              <w:t>Region</w:t>
            </w:r>
          </w:p>
        </w:tc>
        <w:tc>
          <w:tcPr>
            <w:tcW w:w="1844" w:type="dxa"/>
            <w:gridSpan w:val="2"/>
            <w:tcBorders>
              <w:left w:val="single" w:sz="4" w:space="0" w:color="000000"/>
              <w:bottom w:val="single" w:sz="8" w:space="0" w:color="000000"/>
              <w:right w:val="single" w:sz="4" w:space="0" w:color="000000"/>
            </w:tcBorders>
          </w:tcPr>
          <w:p>
            <w:pPr>
              <w:pStyle w:val="TableParagraph"/>
              <w:spacing w:before="13"/>
              <w:ind w:left="5"/>
              <w:rPr>
                <w:rFonts w:ascii="Calibri"/>
                <w:b/>
                <w:sz w:val="22"/>
              </w:rPr>
            </w:pPr>
            <w:r>
              <w:rPr>
                <w:rFonts w:ascii="Calibri"/>
                <w:b/>
                <w:sz w:val="22"/>
              </w:rPr>
              <w:t>DK-model</w:t>
            </w:r>
          </w:p>
          <w:p>
            <w:pPr>
              <w:pStyle w:val="TableParagraph"/>
              <w:tabs>
                <w:tab w:pos="930" w:val="left" w:leader="none"/>
              </w:tabs>
              <w:spacing w:before="41"/>
              <w:ind w:left="8"/>
              <w:rPr>
                <w:rFonts w:ascii="Calibri"/>
                <w:sz w:val="22"/>
              </w:rPr>
            </w:pPr>
            <w:r>
              <w:rPr>
                <w:rFonts w:ascii="Calibri"/>
                <w:sz w:val="22"/>
              </w:rPr>
              <w:t>Jupiter</w:t>
              <w:tab/>
              <w:t>Region</w:t>
            </w:r>
          </w:p>
        </w:tc>
      </w:tr>
      <w:tr>
        <w:trPr>
          <w:trHeight w:val="320" w:hRule="atLeast"/>
        </w:trPr>
        <w:tc>
          <w:tcPr>
            <w:tcW w:w="1489" w:type="dxa"/>
            <w:tcBorders>
              <w:top w:val="single" w:sz="8" w:space="0" w:color="000000"/>
            </w:tcBorders>
          </w:tcPr>
          <w:p>
            <w:pPr>
              <w:pStyle w:val="TableParagraph"/>
              <w:spacing w:before="15"/>
              <w:ind w:left="69"/>
              <w:jc w:val="left"/>
              <w:rPr>
                <w:rFonts w:ascii="Calibri"/>
                <w:sz w:val="22"/>
              </w:rPr>
            </w:pPr>
            <w:r>
              <w:rPr>
                <w:rFonts w:ascii="Calibri"/>
                <w:sz w:val="22"/>
              </w:rPr>
              <w:t>ME tn</w:t>
            </w:r>
          </w:p>
        </w:tc>
        <w:tc>
          <w:tcPr>
            <w:tcW w:w="1073" w:type="dxa"/>
            <w:tcBorders>
              <w:top w:val="single" w:sz="8" w:space="0" w:color="000000"/>
            </w:tcBorders>
          </w:tcPr>
          <w:p>
            <w:pPr>
              <w:pStyle w:val="TableParagraph"/>
              <w:spacing w:before="15"/>
              <w:ind w:right="319"/>
              <w:jc w:val="right"/>
              <w:rPr>
                <w:rFonts w:ascii="Calibri"/>
                <w:sz w:val="22"/>
              </w:rPr>
            </w:pPr>
            <w:r>
              <w:rPr>
                <w:rFonts w:ascii="Calibri"/>
                <w:sz w:val="22"/>
              </w:rPr>
              <w:t>0.7</w:t>
            </w:r>
          </w:p>
        </w:tc>
        <w:tc>
          <w:tcPr>
            <w:tcW w:w="924" w:type="dxa"/>
            <w:tcBorders>
              <w:top w:val="single" w:sz="8" w:space="0" w:color="000000"/>
              <w:right w:val="single" w:sz="4" w:space="0" w:color="000000"/>
            </w:tcBorders>
          </w:tcPr>
          <w:p>
            <w:pPr>
              <w:pStyle w:val="TableParagraph"/>
              <w:spacing w:before="15"/>
              <w:ind w:left="323"/>
              <w:jc w:val="left"/>
              <w:rPr>
                <w:rFonts w:ascii="Calibri"/>
                <w:sz w:val="22"/>
              </w:rPr>
            </w:pPr>
            <w:r>
              <w:rPr>
                <w:rFonts w:ascii="Calibri"/>
                <w:sz w:val="22"/>
              </w:rPr>
              <w:t>4.1</w:t>
            </w:r>
          </w:p>
        </w:tc>
        <w:tc>
          <w:tcPr>
            <w:tcW w:w="922" w:type="dxa"/>
            <w:tcBorders>
              <w:top w:val="single" w:sz="8" w:space="0" w:color="000000"/>
              <w:left w:val="single" w:sz="4" w:space="0" w:color="000000"/>
            </w:tcBorders>
          </w:tcPr>
          <w:p>
            <w:pPr>
              <w:pStyle w:val="TableParagraph"/>
              <w:spacing w:before="15"/>
              <w:ind w:left="127" w:right="127"/>
              <w:rPr>
                <w:rFonts w:ascii="Calibri"/>
                <w:sz w:val="22"/>
              </w:rPr>
            </w:pPr>
            <w:r>
              <w:rPr>
                <w:rFonts w:ascii="Calibri"/>
                <w:sz w:val="22"/>
              </w:rPr>
              <w:t>0.8</w:t>
            </w:r>
          </w:p>
        </w:tc>
        <w:tc>
          <w:tcPr>
            <w:tcW w:w="923" w:type="dxa"/>
            <w:tcBorders>
              <w:top w:val="single" w:sz="8" w:space="0" w:color="000000"/>
              <w:right w:val="single" w:sz="4" w:space="0" w:color="000000"/>
            </w:tcBorders>
          </w:tcPr>
          <w:p>
            <w:pPr>
              <w:pStyle w:val="TableParagraph"/>
              <w:spacing w:before="15"/>
              <w:ind w:left="135" w:right="127"/>
              <w:rPr>
                <w:rFonts w:ascii="Calibri"/>
                <w:sz w:val="22"/>
              </w:rPr>
            </w:pPr>
            <w:r>
              <w:rPr>
                <w:rFonts w:ascii="Calibri"/>
                <w:sz w:val="22"/>
              </w:rPr>
              <w:t>4.3</w:t>
            </w:r>
          </w:p>
        </w:tc>
        <w:tc>
          <w:tcPr>
            <w:tcW w:w="937" w:type="dxa"/>
            <w:tcBorders>
              <w:top w:val="single" w:sz="8" w:space="0" w:color="000000"/>
              <w:left w:val="single" w:sz="4" w:space="0" w:color="000000"/>
            </w:tcBorders>
          </w:tcPr>
          <w:p>
            <w:pPr>
              <w:pStyle w:val="TableParagraph"/>
              <w:spacing w:before="15"/>
              <w:ind w:left="265" w:right="281"/>
              <w:rPr>
                <w:rFonts w:ascii="Calibri"/>
                <w:sz w:val="22"/>
              </w:rPr>
            </w:pPr>
            <w:r>
              <w:rPr>
                <w:rFonts w:ascii="Calibri"/>
                <w:sz w:val="22"/>
              </w:rPr>
              <w:t>0.1</w:t>
            </w:r>
          </w:p>
        </w:tc>
        <w:tc>
          <w:tcPr>
            <w:tcW w:w="906" w:type="dxa"/>
            <w:tcBorders>
              <w:top w:val="single" w:sz="8" w:space="0" w:color="000000"/>
              <w:right w:val="single" w:sz="4" w:space="0" w:color="000000"/>
            </w:tcBorders>
          </w:tcPr>
          <w:p>
            <w:pPr>
              <w:pStyle w:val="TableParagraph"/>
              <w:spacing w:before="15"/>
              <w:ind w:left="306"/>
              <w:jc w:val="left"/>
              <w:rPr>
                <w:rFonts w:ascii="Calibri"/>
                <w:sz w:val="22"/>
              </w:rPr>
            </w:pPr>
            <w:r>
              <w:rPr>
                <w:rFonts w:ascii="Calibri"/>
                <w:sz w:val="22"/>
              </w:rPr>
              <w:t>2.8</w:t>
            </w:r>
          </w:p>
        </w:tc>
        <w:tc>
          <w:tcPr>
            <w:tcW w:w="922" w:type="dxa"/>
            <w:tcBorders>
              <w:top w:val="single" w:sz="8" w:space="0" w:color="000000"/>
              <w:left w:val="single" w:sz="4" w:space="0" w:color="000000"/>
            </w:tcBorders>
          </w:tcPr>
          <w:p>
            <w:pPr>
              <w:pStyle w:val="TableParagraph"/>
              <w:spacing w:before="15"/>
              <w:ind w:left="284"/>
              <w:jc w:val="left"/>
              <w:rPr>
                <w:rFonts w:ascii="Calibri"/>
                <w:sz w:val="22"/>
              </w:rPr>
            </w:pPr>
            <w:r>
              <w:rPr>
                <w:rFonts w:ascii="Calibri"/>
                <w:sz w:val="22"/>
              </w:rPr>
              <w:t>-0.6</w:t>
            </w:r>
          </w:p>
        </w:tc>
        <w:tc>
          <w:tcPr>
            <w:tcW w:w="922" w:type="dxa"/>
            <w:tcBorders>
              <w:top w:val="single" w:sz="8" w:space="0" w:color="000000"/>
              <w:right w:val="single" w:sz="4" w:space="0" w:color="000000"/>
            </w:tcBorders>
          </w:tcPr>
          <w:p>
            <w:pPr>
              <w:pStyle w:val="TableParagraph"/>
              <w:spacing w:before="15"/>
              <w:ind w:left="134" w:right="122"/>
              <w:rPr>
                <w:rFonts w:ascii="Calibri"/>
                <w:sz w:val="22"/>
              </w:rPr>
            </w:pPr>
            <w:r>
              <w:rPr>
                <w:rFonts w:ascii="Calibri"/>
                <w:sz w:val="22"/>
              </w:rPr>
              <w:t>1.6</w:t>
            </w:r>
          </w:p>
        </w:tc>
      </w:tr>
      <w:tr>
        <w:trPr>
          <w:trHeight w:val="300" w:hRule="atLeast"/>
        </w:trPr>
        <w:tc>
          <w:tcPr>
            <w:tcW w:w="1489" w:type="dxa"/>
          </w:tcPr>
          <w:p>
            <w:pPr>
              <w:pStyle w:val="TableParagraph"/>
              <w:spacing w:line="264" w:lineRule="exact"/>
              <w:ind w:left="69"/>
              <w:jc w:val="left"/>
              <w:rPr>
                <w:rFonts w:ascii="Calibri"/>
                <w:sz w:val="22"/>
              </w:rPr>
            </w:pPr>
            <w:r>
              <w:rPr>
                <w:rFonts w:ascii="Calibri"/>
                <w:sz w:val="22"/>
              </w:rPr>
              <w:t>MAE tn</w:t>
            </w:r>
          </w:p>
        </w:tc>
        <w:tc>
          <w:tcPr>
            <w:tcW w:w="1073" w:type="dxa"/>
          </w:tcPr>
          <w:p>
            <w:pPr>
              <w:pStyle w:val="TableParagraph"/>
              <w:spacing w:line="264" w:lineRule="exact"/>
              <w:ind w:right="319"/>
              <w:jc w:val="right"/>
              <w:rPr>
                <w:rFonts w:ascii="Calibri"/>
                <w:sz w:val="22"/>
              </w:rPr>
            </w:pPr>
            <w:r>
              <w:rPr>
                <w:rFonts w:ascii="Calibri"/>
                <w:sz w:val="22"/>
              </w:rPr>
              <w:t>2.0</w:t>
            </w:r>
          </w:p>
        </w:tc>
        <w:tc>
          <w:tcPr>
            <w:tcW w:w="924" w:type="dxa"/>
            <w:tcBorders>
              <w:right w:val="single" w:sz="4" w:space="0" w:color="000000"/>
            </w:tcBorders>
          </w:tcPr>
          <w:p>
            <w:pPr>
              <w:pStyle w:val="TableParagraph"/>
              <w:spacing w:line="264" w:lineRule="exact"/>
              <w:ind w:left="323"/>
              <w:jc w:val="left"/>
              <w:rPr>
                <w:rFonts w:ascii="Calibri"/>
                <w:sz w:val="22"/>
              </w:rPr>
            </w:pPr>
            <w:r>
              <w:rPr>
                <w:rFonts w:ascii="Calibri"/>
                <w:sz w:val="22"/>
              </w:rPr>
              <w:t>4.7</w:t>
            </w:r>
          </w:p>
        </w:tc>
        <w:tc>
          <w:tcPr>
            <w:tcW w:w="922" w:type="dxa"/>
            <w:tcBorders>
              <w:left w:val="single" w:sz="4" w:space="0" w:color="000000"/>
            </w:tcBorders>
          </w:tcPr>
          <w:p>
            <w:pPr>
              <w:pStyle w:val="TableParagraph"/>
              <w:spacing w:line="264" w:lineRule="exact"/>
              <w:ind w:left="127" w:right="127"/>
              <w:rPr>
                <w:rFonts w:ascii="Calibri"/>
                <w:sz w:val="22"/>
              </w:rPr>
            </w:pPr>
            <w:r>
              <w:rPr>
                <w:rFonts w:ascii="Calibri"/>
                <w:sz w:val="22"/>
              </w:rPr>
              <w:t>2.0</w:t>
            </w:r>
          </w:p>
        </w:tc>
        <w:tc>
          <w:tcPr>
            <w:tcW w:w="923" w:type="dxa"/>
            <w:tcBorders>
              <w:right w:val="single" w:sz="4" w:space="0" w:color="000000"/>
            </w:tcBorders>
          </w:tcPr>
          <w:p>
            <w:pPr>
              <w:pStyle w:val="TableParagraph"/>
              <w:spacing w:line="264" w:lineRule="exact"/>
              <w:ind w:left="135" w:right="127"/>
              <w:rPr>
                <w:rFonts w:ascii="Calibri"/>
                <w:sz w:val="22"/>
              </w:rPr>
            </w:pPr>
            <w:r>
              <w:rPr>
                <w:rFonts w:ascii="Calibri"/>
                <w:sz w:val="22"/>
              </w:rPr>
              <w:t>4.8</w:t>
            </w:r>
          </w:p>
        </w:tc>
        <w:tc>
          <w:tcPr>
            <w:tcW w:w="937" w:type="dxa"/>
            <w:tcBorders>
              <w:left w:val="single" w:sz="4" w:space="0" w:color="000000"/>
            </w:tcBorders>
          </w:tcPr>
          <w:p>
            <w:pPr>
              <w:pStyle w:val="TableParagraph"/>
              <w:spacing w:line="264" w:lineRule="exact"/>
              <w:ind w:left="265" w:right="281"/>
              <w:rPr>
                <w:rFonts w:ascii="Calibri"/>
                <w:sz w:val="22"/>
              </w:rPr>
            </w:pPr>
            <w:r>
              <w:rPr>
                <w:rFonts w:ascii="Calibri"/>
                <w:sz w:val="22"/>
              </w:rPr>
              <w:t>2.2</w:t>
            </w:r>
          </w:p>
        </w:tc>
        <w:tc>
          <w:tcPr>
            <w:tcW w:w="906" w:type="dxa"/>
            <w:tcBorders>
              <w:right w:val="single" w:sz="4" w:space="0" w:color="000000"/>
            </w:tcBorders>
          </w:tcPr>
          <w:p>
            <w:pPr>
              <w:pStyle w:val="TableParagraph"/>
              <w:spacing w:line="264" w:lineRule="exact"/>
              <w:ind w:left="306"/>
              <w:jc w:val="left"/>
              <w:rPr>
                <w:rFonts w:ascii="Calibri"/>
                <w:sz w:val="22"/>
              </w:rPr>
            </w:pPr>
            <w:r>
              <w:rPr>
                <w:rFonts w:ascii="Calibri"/>
                <w:sz w:val="22"/>
              </w:rPr>
              <w:t>3.6</w:t>
            </w:r>
          </w:p>
        </w:tc>
        <w:tc>
          <w:tcPr>
            <w:tcW w:w="922" w:type="dxa"/>
            <w:tcBorders>
              <w:left w:val="single" w:sz="4" w:space="0" w:color="000000"/>
            </w:tcBorders>
          </w:tcPr>
          <w:p>
            <w:pPr>
              <w:pStyle w:val="TableParagraph"/>
              <w:spacing w:line="264" w:lineRule="exact"/>
              <w:ind w:left="317"/>
              <w:jc w:val="left"/>
              <w:rPr>
                <w:rFonts w:ascii="Calibri"/>
                <w:sz w:val="22"/>
              </w:rPr>
            </w:pPr>
            <w:r>
              <w:rPr>
                <w:rFonts w:ascii="Calibri"/>
                <w:sz w:val="22"/>
              </w:rPr>
              <w:t>2.4</w:t>
            </w:r>
          </w:p>
        </w:tc>
        <w:tc>
          <w:tcPr>
            <w:tcW w:w="922" w:type="dxa"/>
            <w:tcBorders>
              <w:right w:val="single" w:sz="4" w:space="0" w:color="000000"/>
            </w:tcBorders>
          </w:tcPr>
          <w:p>
            <w:pPr>
              <w:pStyle w:val="TableParagraph"/>
              <w:spacing w:line="264" w:lineRule="exact"/>
              <w:ind w:left="134" w:right="122"/>
              <w:rPr>
                <w:rFonts w:ascii="Calibri"/>
                <w:sz w:val="22"/>
              </w:rPr>
            </w:pPr>
            <w:r>
              <w:rPr>
                <w:rFonts w:ascii="Calibri"/>
                <w:sz w:val="22"/>
              </w:rPr>
              <w:t>3.4</w:t>
            </w:r>
          </w:p>
        </w:tc>
      </w:tr>
      <w:tr>
        <w:trPr>
          <w:trHeight w:val="300" w:hRule="atLeast"/>
        </w:trPr>
        <w:tc>
          <w:tcPr>
            <w:tcW w:w="1489" w:type="dxa"/>
          </w:tcPr>
          <w:p>
            <w:pPr>
              <w:pStyle w:val="TableParagraph"/>
              <w:spacing w:line="264" w:lineRule="exact"/>
              <w:ind w:left="69"/>
              <w:jc w:val="left"/>
              <w:rPr>
                <w:rFonts w:ascii="Calibri"/>
                <w:sz w:val="22"/>
              </w:rPr>
            </w:pPr>
            <w:r>
              <w:rPr>
                <w:rFonts w:ascii="Calibri"/>
                <w:sz w:val="22"/>
              </w:rPr>
              <w:t>RMSE tn</w:t>
            </w:r>
          </w:p>
        </w:tc>
        <w:tc>
          <w:tcPr>
            <w:tcW w:w="1073" w:type="dxa"/>
          </w:tcPr>
          <w:p>
            <w:pPr>
              <w:pStyle w:val="TableParagraph"/>
              <w:spacing w:line="264" w:lineRule="exact"/>
              <w:ind w:right="319"/>
              <w:jc w:val="right"/>
              <w:rPr>
                <w:rFonts w:ascii="Calibri"/>
                <w:sz w:val="22"/>
              </w:rPr>
            </w:pPr>
            <w:r>
              <w:rPr>
                <w:rFonts w:ascii="Calibri"/>
                <w:sz w:val="22"/>
              </w:rPr>
              <w:t>2.6</w:t>
            </w:r>
          </w:p>
        </w:tc>
        <w:tc>
          <w:tcPr>
            <w:tcW w:w="924" w:type="dxa"/>
            <w:tcBorders>
              <w:right w:val="single" w:sz="4" w:space="0" w:color="000000"/>
            </w:tcBorders>
          </w:tcPr>
          <w:p>
            <w:pPr>
              <w:pStyle w:val="TableParagraph"/>
              <w:spacing w:line="264" w:lineRule="exact"/>
              <w:ind w:left="323"/>
              <w:jc w:val="left"/>
              <w:rPr>
                <w:rFonts w:ascii="Calibri"/>
                <w:sz w:val="22"/>
              </w:rPr>
            </w:pPr>
            <w:r>
              <w:rPr>
                <w:rFonts w:ascii="Calibri"/>
                <w:sz w:val="22"/>
              </w:rPr>
              <w:t>7.9</w:t>
            </w:r>
          </w:p>
        </w:tc>
        <w:tc>
          <w:tcPr>
            <w:tcW w:w="922" w:type="dxa"/>
            <w:tcBorders>
              <w:left w:val="single" w:sz="4" w:space="0" w:color="000000"/>
            </w:tcBorders>
          </w:tcPr>
          <w:p>
            <w:pPr>
              <w:pStyle w:val="TableParagraph"/>
              <w:spacing w:line="264" w:lineRule="exact"/>
              <w:ind w:left="127" w:right="127"/>
              <w:rPr>
                <w:rFonts w:ascii="Calibri"/>
                <w:sz w:val="22"/>
              </w:rPr>
            </w:pPr>
            <w:r>
              <w:rPr>
                <w:rFonts w:ascii="Calibri"/>
                <w:sz w:val="22"/>
              </w:rPr>
              <w:t>2.7</w:t>
            </w:r>
          </w:p>
        </w:tc>
        <w:tc>
          <w:tcPr>
            <w:tcW w:w="923" w:type="dxa"/>
            <w:tcBorders>
              <w:right w:val="single" w:sz="4" w:space="0" w:color="000000"/>
            </w:tcBorders>
          </w:tcPr>
          <w:p>
            <w:pPr>
              <w:pStyle w:val="TableParagraph"/>
              <w:spacing w:line="264" w:lineRule="exact"/>
              <w:ind w:left="135" w:right="127"/>
              <w:rPr>
                <w:rFonts w:ascii="Calibri"/>
                <w:sz w:val="22"/>
              </w:rPr>
            </w:pPr>
            <w:r>
              <w:rPr>
                <w:rFonts w:ascii="Calibri"/>
                <w:sz w:val="22"/>
              </w:rPr>
              <w:t>8.0</w:t>
            </w:r>
          </w:p>
        </w:tc>
        <w:tc>
          <w:tcPr>
            <w:tcW w:w="937" w:type="dxa"/>
            <w:tcBorders>
              <w:left w:val="single" w:sz="4" w:space="0" w:color="000000"/>
            </w:tcBorders>
          </w:tcPr>
          <w:p>
            <w:pPr>
              <w:pStyle w:val="TableParagraph"/>
              <w:spacing w:line="264" w:lineRule="exact"/>
              <w:ind w:left="265" w:right="281"/>
              <w:rPr>
                <w:rFonts w:ascii="Calibri"/>
                <w:sz w:val="22"/>
              </w:rPr>
            </w:pPr>
            <w:r>
              <w:rPr>
                <w:rFonts w:ascii="Calibri"/>
                <w:sz w:val="22"/>
              </w:rPr>
              <w:t>3.0</w:t>
            </w:r>
          </w:p>
        </w:tc>
        <w:tc>
          <w:tcPr>
            <w:tcW w:w="906" w:type="dxa"/>
            <w:tcBorders>
              <w:right w:val="single" w:sz="4" w:space="0" w:color="000000"/>
            </w:tcBorders>
          </w:tcPr>
          <w:p>
            <w:pPr>
              <w:pStyle w:val="TableParagraph"/>
              <w:spacing w:line="264" w:lineRule="exact"/>
              <w:ind w:left="306"/>
              <w:jc w:val="left"/>
              <w:rPr>
                <w:rFonts w:ascii="Calibri"/>
                <w:sz w:val="22"/>
              </w:rPr>
            </w:pPr>
            <w:r>
              <w:rPr>
                <w:rFonts w:ascii="Calibri"/>
                <w:sz w:val="22"/>
              </w:rPr>
              <w:t>7.2</w:t>
            </w:r>
          </w:p>
        </w:tc>
        <w:tc>
          <w:tcPr>
            <w:tcW w:w="922" w:type="dxa"/>
            <w:tcBorders>
              <w:left w:val="single" w:sz="4" w:space="0" w:color="000000"/>
            </w:tcBorders>
          </w:tcPr>
          <w:p>
            <w:pPr>
              <w:pStyle w:val="TableParagraph"/>
              <w:spacing w:line="264" w:lineRule="exact"/>
              <w:ind w:left="317"/>
              <w:jc w:val="left"/>
              <w:rPr>
                <w:rFonts w:ascii="Calibri"/>
                <w:sz w:val="22"/>
              </w:rPr>
            </w:pPr>
            <w:r>
              <w:rPr>
                <w:rFonts w:ascii="Calibri"/>
                <w:sz w:val="22"/>
              </w:rPr>
              <w:t>2.8</w:t>
            </w:r>
          </w:p>
        </w:tc>
        <w:tc>
          <w:tcPr>
            <w:tcW w:w="922" w:type="dxa"/>
            <w:tcBorders>
              <w:right w:val="single" w:sz="4" w:space="0" w:color="000000"/>
            </w:tcBorders>
          </w:tcPr>
          <w:p>
            <w:pPr>
              <w:pStyle w:val="TableParagraph"/>
              <w:spacing w:line="264" w:lineRule="exact"/>
              <w:ind w:left="134" w:right="122"/>
              <w:rPr>
                <w:rFonts w:ascii="Calibri"/>
                <w:sz w:val="22"/>
              </w:rPr>
            </w:pPr>
            <w:r>
              <w:rPr>
                <w:rFonts w:ascii="Calibri"/>
                <w:sz w:val="22"/>
              </w:rPr>
              <w:t>5.5</w:t>
            </w:r>
          </w:p>
        </w:tc>
      </w:tr>
      <w:tr>
        <w:trPr>
          <w:trHeight w:val="300" w:hRule="atLeast"/>
        </w:trPr>
        <w:tc>
          <w:tcPr>
            <w:tcW w:w="1489" w:type="dxa"/>
          </w:tcPr>
          <w:p>
            <w:pPr>
              <w:pStyle w:val="TableParagraph"/>
              <w:spacing w:line="264" w:lineRule="exact"/>
              <w:ind w:left="69"/>
              <w:jc w:val="left"/>
              <w:rPr>
                <w:rFonts w:ascii="Calibri"/>
                <w:sz w:val="22"/>
              </w:rPr>
            </w:pPr>
            <w:r>
              <w:rPr>
                <w:rFonts w:ascii="Calibri"/>
                <w:sz w:val="22"/>
              </w:rPr>
              <w:t>ME dyb</w:t>
            </w:r>
          </w:p>
        </w:tc>
        <w:tc>
          <w:tcPr>
            <w:tcW w:w="1073" w:type="dxa"/>
          </w:tcPr>
          <w:p>
            <w:pPr>
              <w:pStyle w:val="TableParagraph"/>
              <w:spacing w:line="264" w:lineRule="exact"/>
              <w:ind w:right="285"/>
              <w:jc w:val="right"/>
              <w:rPr>
                <w:rFonts w:ascii="Calibri"/>
                <w:sz w:val="22"/>
              </w:rPr>
            </w:pPr>
            <w:r>
              <w:rPr>
                <w:rFonts w:ascii="Calibri"/>
                <w:sz w:val="22"/>
              </w:rPr>
              <w:t>-2.1</w:t>
            </w:r>
          </w:p>
        </w:tc>
        <w:tc>
          <w:tcPr>
            <w:tcW w:w="924" w:type="dxa"/>
            <w:tcBorders>
              <w:right w:val="single" w:sz="4" w:space="0" w:color="000000"/>
            </w:tcBorders>
          </w:tcPr>
          <w:p>
            <w:pPr>
              <w:pStyle w:val="TableParagraph"/>
              <w:spacing w:line="264" w:lineRule="exact"/>
              <w:ind w:left="289"/>
              <w:jc w:val="left"/>
              <w:rPr>
                <w:rFonts w:ascii="Calibri"/>
                <w:sz w:val="22"/>
              </w:rPr>
            </w:pPr>
            <w:r>
              <w:rPr>
                <w:rFonts w:ascii="Calibri"/>
                <w:sz w:val="22"/>
              </w:rPr>
              <w:t>-0.3</w:t>
            </w:r>
          </w:p>
        </w:tc>
        <w:tc>
          <w:tcPr>
            <w:tcW w:w="922" w:type="dxa"/>
            <w:tcBorders>
              <w:left w:val="single" w:sz="4" w:space="0" w:color="000000"/>
            </w:tcBorders>
          </w:tcPr>
          <w:p>
            <w:pPr>
              <w:pStyle w:val="TableParagraph"/>
              <w:spacing w:line="264" w:lineRule="exact"/>
              <w:ind w:left="127" w:right="127"/>
              <w:rPr>
                <w:rFonts w:ascii="Calibri"/>
                <w:sz w:val="22"/>
              </w:rPr>
            </w:pPr>
            <w:r>
              <w:rPr>
                <w:rFonts w:ascii="Calibri"/>
                <w:sz w:val="22"/>
              </w:rPr>
              <w:t>-2.0</w:t>
            </w:r>
          </w:p>
        </w:tc>
        <w:tc>
          <w:tcPr>
            <w:tcW w:w="923" w:type="dxa"/>
            <w:tcBorders>
              <w:right w:val="single" w:sz="4" w:space="0" w:color="000000"/>
            </w:tcBorders>
          </w:tcPr>
          <w:p>
            <w:pPr>
              <w:pStyle w:val="TableParagraph"/>
              <w:spacing w:line="264" w:lineRule="exact"/>
              <w:ind w:left="135" w:right="127"/>
              <w:rPr>
                <w:rFonts w:ascii="Calibri"/>
                <w:sz w:val="22"/>
              </w:rPr>
            </w:pPr>
            <w:r>
              <w:rPr>
                <w:rFonts w:ascii="Calibri"/>
                <w:sz w:val="22"/>
              </w:rPr>
              <w:t>-0.1</w:t>
            </w:r>
          </w:p>
        </w:tc>
        <w:tc>
          <w:tcPr>
            <w:tcW w:w="937" w:type="dxa"/>
            <w:tcBorders>
              <w:left w:val="single" w:sz="4" w:space="0" w:color="000000"/>
            </w:tcBorders>
          </w:tcPr>
          <w:p>
            <w:pPr>
              <w:pStyle w:val="TableParagraph"/>
              <w:spacing w:line="264" w:lineRule="exact"/>
              <w:ind w:left="265" w:right="281"/>
              <w:rPr>
                <w:rFonts w:ascii="Calibri"/>
                <w:sz w:val="22"/>
              </w:rPr>
            </w:pPr>
            <w:r>
              <w:rPr>
                <w:rFonts w:ascii="Calibri"/>
                <w:sz w:val="22"/>
              </w:rPr>
              <w:t>-0.9</w:t>
            </w:r>
          </w:p>
        </w:tc>
        <w:tc>
          <w:tcPr>
            <w:tcW w:w="906" w:type="dxa"/>
            <w:tcBorders>
              <w:right w:val="single" w:sz="4" w:space="0" w:color="000000"/>
            </w:tcBorders>
          </w:tcPr>
          <w:p>
            <w:pPr>
              <w:pStyle w:val="TableParagraph"/>
              <w:spacing w:line="264" w:lineRule="exact"/>
              <w:ind w:left="306"/>
              <w:jc w:val="left"/>
              <w:rPr>
                <w:rFonts w:ascii="Calibri"/>
                <w:sz w:val="22"/>
              </w:rPr>
            </w:pPr>
            <w:r>
              <w:rPr>
                <w:rFonts w:ascii="Calibri"/>
                <w:sz w:val="22"/>
              </w:rPr>
              <w:t>0.4</w:t>
            </w:r>
          </w:p>
        </w:tc>
        <w:tc>
          <w:tcPr>
            <w:tcW w:w="922" w:type="dxa"/>
            <w:tcBorders>
              <w:left w:val="single" w:sz="4" w:space="0" w:color="000000"/>
            </w:tcBorders>
          </w:tcPr>
          <w:p>
            <w:pPr>
              <w:pStyle w:val="TableParagraph"/>
              <w:spacing w:line="264" w:lineRule="exact"/>
              <w:ind w:left="284"/>
              <w:jc w:val="left"/>
              <w:rPr>
                <w:rFonts w:ascii="Calibri"/>
                <w:sz w:val="22"/>
              </w:rPr>
            </w:pPr>
            <w:r>
              <w:rPr>
                <w:rFonts w:ascii="Calibri"/>
                <w:sz w:val="22"/>
              </w:rPr>
              <w:t>-2.2</w:t>
            </w:r>
          </w:p>
        </w:tc>
        <w:tc>
          <w:tcPr>
            <w:tcW w:w="922" w:type="dxa"/>
            <w:tcBorders>
              <w:right w:val="single" w:sz="4" w:space="0" w:color="000000"/>
            </w:tcBorders>
          </w:tcPr>
          <w:p>
            <w:pPr>
              <w:pStyle w:val="TableParagraph"/>
              <w:spacing w:line="264" w:lineRule="exact"/>
              <w:ind w:left="134" w:right="122"/>
              <w:rPr>
                <w:rFonts w:ascii="Calibri"/>
                <w:sz w:val="22"/>
              </w:rPr>
            </w:pPr>
            <w:r>
              <w:rPr>
                <w:rFonts w:ascii="Calibri"/>
                <w:sz w:val="22"/>
              </w:rPr>
              <w:t>-0.9</w:t>
            </w:r>
          </w:p>
        </w:tc>
      </w:tr>
      <w:tr>
        <w:trPr>
          <w:trHeight w:val="281" w:hRule="atLeast"/>
        </w:trPr>
        <w:tc>
          <w:tcPr>
            <w:tcW w:w="1489" w:type="dxa"/>
          </w:tcPr>
          <w:p>
            <w:pPr>
              <w:pStyle w:val="TableParagraph"/>
              <w:spacing w:line="262" w:lineRule="exact"/>
              <w:ind w:left="69"/>
              <w:jc w:val="left"/>
              <w:rPr>
                <w:rFonts w:ascii="Calibri"/>
                <w:sz w:val="22"/>
              </w:rPr>
            </w:pPr>
            <w:r>
              <w:rPr>
                <w:rFonts w:ascii="Calibri"/>
                <w:sz w:val="22"/>
              </w:rPr>
              <w:t>MAE dyb</w:t>
            </w:r>
          </w:p>
        </w:tc>
        <w:tc>
          <w:tcPr>
            <w:tcW w:w="1073" w:type="dxa"/>
          </w:tcPr>
          <w:p>
            <w:pPr>
              <w:pStyle w:val="TableParagraph"/>
              <w:spacing w:line="262" w:lineRule="exact"/>
              <w:ind w:right="319"/>
              <w:jc w:val="right"/>
              <w:rPr>
                <w:rFonts w:ascii="Calibri"/>
                <w:sz w:val="22"/>
              </w:rPr>
            </w:pPr>
            <w:r>
              <w:rPr>
                <w:rFonts w:ascii="Calibri"/>
                <w:sz w:val="22"/>
              </w:rPr>
              <w:t>3.6</w:t>
            </w:r>
          </w:p>
        </w:tc>
        <w:tc>
          <w:tcPr>
            <w:tcW w:w="924" w:type="dxa"/>
            <w:tcBorders>
              <w:right w:val="single" w:sz="4" w:space="0" w:color="000000"/>
            </w:tcBorders>
          </w:tcPr>
          <w:p>
            <w:pPr>
              <w:pStyle w:val="TableParagraph"/>
              <w:spacing w:line="262" w:lineRule="exact"/>
              <w:ind w:left="323"/>
              <w:jc w:val="left"/>
              <w:rPr>
                <w:rFonts w:ascii="Calibri"/>
                <w:sz w:val="22"/>
              </w:rPr>
            </w:pPr>
            <w:r>
              <w:rPr>
                <w:rFonts w:ascii="Calibri"/>
                <w:sz w:val="22"/>
              </w:rPr>
              <w:t>1.9</w:t>
            </w:r>
          </w:p>
        </w:tc>
        <w:tc>
          <w:tcPr>
            <w:tcW w:w="922" w:type="dxa"/>
            <w:tcBorders>
              <w:left w:val="single" w:sz="4" w:space="0" w:color="000000"/>
            </w:tcBorders>
          </w:tcPr>
          <w:p>
            <w:pPr>
              <w:pStyle w:val="TableParagraph"/>
              <w:spacing w:line="262" w:lineRule="exact"/>
              <w:ind w:left="127" w:right="127"/>
              <w:rPr>
                <w:rFonts w:ascii="Calibri"/>
                <w:sz w:val="22"/>
              </w:rPr>
            </w:pPr>
            <w:r>
              <w:rPr>
                <w:rFonts w:ascii="Calibri"/>
                <w:sz w:val="22"/>
              </w:rPr>
              <w:t>3.7</w:t>
            </w:r>
          </w:p>
        </w:tc>
        <w:tc>
          <w:tcPr>
            <w:tcW w:w="923" w:type="dxa"/>
            <w:tcBorders>
              <w:right w:val="single" w:sz="4" w:space="0" w:color="000000"/>
            </w:tcBorders>
          </w:tcPr>
          <w:p>
            <w:pPr>
              <w:pStyle w:val="TableParagraph"/>
              <w:spacing w:line="262" w:lineRule="exact"/>
              <w:ind w:left="135" w:right="127"/>
              <w:rPr>
                <w:rFonts w:ascii="Calibri"/>
                <w:sz w:val="22"/>
              </w:rPr>
            </w:pPr>
            <w:r>
              <w:rPr>
                <w:rFonts w:ascii="Calibri"/>
                <w:sz w:val="22"/>
              </w:rPr>
              <w:t>1.7</w:t>
            </w:r>
          </w:p>
        </w:tc>
        <w:tc>
          <w:tcPr>
            <w:tcW w:w="937" w:type="dxa"/>
            <w:tcBorders>
              <w:left w:val="single" w:sz="4" w:space="0" w:color="000000"/>
            </w:tcBorders>
          </w:tcPr>
          <w:p>
            <w:pPr>
              <w:pStyle w:val="TableParagraph"/>
              <w:spacing w:line="262" w:lineRule="exact"/>
              <w:ind w:left="265" w:right="281"/>
              <w:rPr>
                <w:rFonts w:ascii="Calibri"/>
                <w:sz w:val="22"/>
              </w:rPr>
            </w:pPr>
            <w:r>
              <w:rPr>
                <w:rFonts w:ascii="Calibri"/>
                <w:sz w:val="22"/>
              </w:rPr>
              <w:t>2.7</w:t>
            </w:r>
          </w:p>
        </w:tc>
        <w:tc>
          <w:tcPr>
            <w:tcW w:w="906" w:type="dxa"/>
            <w:tcBorders>
              <w:right w:val="single" w:sz="4" w:space="0" w:color="000000"/>
            </w:tcBorders>
          </w:tcPr>
          <w:p>
            <w:pPr>
              <w:pStyle w:val="TableParagraph"/>
              <w:spacing w:line="262" w:lineRule="exact"/>
              <w:ind w:left="306"/>
              <w:jc w:val="left"/>
              <w:rPr>
                <w:rFonts w:ascii="Calibri"/>
                <w:sz w:val="22"/>
              </w:rPr>
            </w:pPr>
            <w:r>
              <w:rPr>
                <w:rFonts w:ascii="Calibri"/>
                <w:sz w:val="22"/>
              </w:rPr>
              <w:t>1.7</w:t>
            </w:r>
          </w:p>
        </w:tc>
        <w:tc>
          <w:tcPr>
            <w:tcW w:w="922" w:type="dxa"/>
            <w:tcBorders>
              <w:left w:val="single" w:sz="4" w:space="0" w:color="000000"/>
            </w:tcBorders>
          </w:tcPr>
          <w:p>
            <w:pPr>
              <w:pStyle w:val="TableParagraph"/>
              <w:spacing w:line="262" w:lineRule="exact"/>
              <w:ind w:left="317"/>
              <w:jc w:val="left"/>
              <w:rPr>
                <w:rFonts w:ascii="Calibri"/>
                <w:sz w:val="22"/>
              </w:rPr>
            </w:pPr>
            <w:r>
              <w:rPr>
                <w:rFonts w:ascii="Calibri"/>
                <w:sz w:val="22"/>
              </w:rPr>
              <w:t>3.9</w:t>
            </w:r>
          </w:p>
        </w:tc>
        <w:tc>
          <w:tcPr>
            <w:tcW w:w="922" w:type="dxa"/>
            <w:tcBorders>
              <w:right w:val="single" w:sz="4" w:space="0" w:color="000000"/>
            </w:tcBorders>
          </w:tcPr>
          <w:p>
            <w:pPr>
              <w:pStyle w:val="TableParagraph"/>
              <w:spacing w:line="262" w:lineRule="exact"/>
              <w:ind w:left="134" w:right="122"/>
              <w:rPr>
                <w:rFonts w:ascii="Calibri"/>
                <w:sz w:val="22"/>
              </w:rPr>
            </w:pPr>
            <w:r>
              <w:rPr>
                <w:rFonts w:ascii="Calibri"/>
                <w:sz w:val="22"/>
              </w:rPr>
              <w:t>2.0</w:t>
            </w:r>
          </w:p>
        </w:tc>
      </w:tr>
      <w:tr>
        <w:trPr>
          <w:trHeight w:val="300" w:hRule="atLeast"/>
        </w:trPr>
        <w:tc>
          <w:tcPr>
            <w:tcW w:w="1489" w:type="dxa"/>
            <w:shd w:val="clear" w:color="auto" w:fill="E1EEDA"/>
          </w:tcPr>
          <w:p>
            <w:pPr>
              <w:pStyle w:val="TableParagraph"/>
              <w:spacing w:line="266" w:lineRule="exact" w:before="13"/>
              <w:ind w:left="69"/>
              <w:jc w:val="left"/>
              <w:rPr>
                <w:rFonts w:ascii="Calibri"/>
                <w:sz w:val="22"/>
              </w:rPr>
            </w:pPr>
            <w:r>
              <w:rPr>
                <w:rFonts w:ascii="Calibri"/>
                <w:sz w:val="22"/>
              </w:rPr>
              <w:t>RMSE dyb</w:t>
            </w:r>
          </w:p>
        </w:tc>
        <w:tc>
          <w:tcPr>
            <w:tcW w:w="1073" w:type="dxa"/>
            <w:shd w:val="clear" w:color="auto" w:fill="E1EEDA"/>
          </w:tcPr>
          <w:p>
            <w:pPr>
              <w:pStyle w:val="TableParagraph"/>
              <w:spacing w:line="266" w:lineRule="exact" w:before="13"/>
              <w:ind w:right="319"/>
              <w:jc w:val="right"/>
              <w:rPr>
                <w:rFonts w:ascii="Calibri"/>
                <w:sz w:val="22"/>
              </w:rPr>
            </w:pPr>
            <w:r>
              <w:rPr>
                <w:rFonts w:ascii="Calibri"/>
                <w:sz w:val="22"/>
              </w:rPr>
              <w:t>5.4</w:t>
            </w:r>
          </w:p>
        </w:tc>
        <w:tc>
          <w:tcPr>
            <w:tcW w:w="924" w:type="dxa"/>
            <w:tcBorders>
              <w:right w:val="single" w:sz="4" w:space="0" w:color="000000"/>
            </w:tcBorders>
            <w:shd w:val="clear" w:color="auto" w:fill="E1EEDA"/>
          </w:tcPr>
          <w:p>
            <w:pPr>
              <w:pStyle w:val="TableParagraph"/>
              <w:spacing w:line="266" w:lineRule="exact" w:before="13"/>
              <w:ind w:left="323"/>
              <w:jc w:val="left"/>
              <w:rPr>
                <w:rFonts w:ascii="Calibri"/>
                <w:sz w:val="22"/>
              </w:rPr>
            </w:pPr>
            <w:r>
              <w:rPr>
                <w:rFonts w:ascii="Calibri"/>
                <w:sz w:val="22"/>
              </w:rPr>
              <w:t>2.0</w:t>
            </w:r>
          </w:p>
        </w:tc>
        <w:tc>
          <w:tcPr>
            <w:tcW w:w="922" w:type="dxa"/>
            <w:tcBorders>
              <w:left w:val="single" w:sz="4" w:space="0" w:color="000000"/>
            </w:tcBorders>
            <w:shd w:val="clear" w:color="auto" w:fill="E1EEDA"/>
          </w:tcPr>
          <w:p>
            <w:pPr>
              <w:pStyle w:val="TableParagraph"/>
              <w:spacing w:line="266" w:lineRule="exact" w:before="13"/>
              <w:ind w:left="127" w:right="127"/>
              <w:rPr>
                <w:rFonts w:ascii="Calibri"/>
                <w:sz w:val="22"/>
              </w:rPr>
            </w:pPr>
            <w:r>
              <w:rPr>
                <w:rFonts w:ascii="Calibri"/>
                <w:sz w:val="22"/>
              </w:rPr>
              <w:t>5.5</w:t>
            </w:r>
          </w:p>
        </w:tc>
        <w:tc>
          <w:tcPr>
            <w:tcW w:w="923" w:type="dxa"/>
            <w:tcBorders>
              <w:right w:val="single" w:sz="4" w:space="0" w:color="000000"/>
            </w:tcBorders>
            <w:shd w:val="clear" w:color="auto" w:fill="E1EEDA"/>
          </w:tcPr>
          <w:p>
            <w:pPr>
              <w:pStyle w:val="TableParagraph"/>
              <w:spacing w:line="266" w:lineRule="exact" w:before="13"/>
              <w:ind w:left="135" w:right="127"/>
              <w:rPr>
                <w:rFonts w:ascii="Calibri"/>
                <w:sz w:val="22"/>
              </w:rPr>
            </w:pPr>
            <w:r>
              <w:rPr>
                <w:rFonts w:ascii="Calibri"/>
                <w:sz w:val="22"/>
              </w:rPr>
              <w:t>1.9</w:t>
            </w:r>
          </w:p>
        </w:tc>
        <w:tc>
          <w:tcPr>
            <w:tcW w:w="937" w:type="dxa"/>
            <w:tcBorders>
              <w:left w:val="single" w:sz="4" w:space="0" w:color="000000"/>
            </w:tcBorders>
            <w:shd w:val="clear" w:color="auto" w:fill="E1EEDA"/>
          </w:tcPr>
          <w:p>
            <w:pPr>
              <w:pStyle w:val="TableParagraph"/>
              <w:spacing w:line="266" w:lineRule="exact" w:before="13"/>
              <w:ind w:left="265" w:right="281"/>
              <w:rPr>
                <w:rFonts w:ascii="Calibri"/>
                <w:sz w:val="22"/>
              </w:rPr>
            </w:pPr>
            <w:r>
              <w:rPr>
                <w:rFonts w:ascii="Calibri"/>
                <w:sz w:val="22"/>
              </w:rPr>
              <w:t>4.0</w:t>
            </w:r>
          </w:p>
        </w:tc>
        <w:tc>
          <w:tcPr>
            <w:tcW w:w="906" w:type="dxa"/>
            <w:tcBorders>
              <w:right w:val="single" w:sz="4" w:space="0" w:color="000000"/>
            </w:tcBorders>
            <w:shd w:val="clear" w:color="auto" w:fill="E1EEDA"/>
          </w:tcPr>
          <w:p>
            <w:pPr>
              <w:pStyle w:val="TableParagraph"/>
              <w:spacing w:line="266" w:lineRule="exact" w:before="13"/>
              <w:ind w:left="306"/>
              <w:jc w:val="left"/>
              <w:rPr>
                <w:rFonts w:ascii="Calibri"/>
                <w:sz w:val="22"/>
              </w:rPr>
            </w:pPr>
            <w:r>
              <w:rPr>
                <w:rFonts w:ascii="Calibri"/>
                <w:sz w:val="22"/>
              </w:rPr>
              <w:t>2.1</w:t>
            </w:r>
          </w:p>
        </w:tc>
        <w:tc>
          <w:tcPr>
            <w:tcW w:w="922" w:type="dxa"/>
            <w:tcBorders>
              <w:left w:val="single" w:sz="4" w:space="0" w:color="000000"/>
            </w:tcBorders>
            <w:shd w:val="clear" w:color="auto" w:fill="E1EEDA"/>
          </w:tcPr>
          <w:p>
            <w:pPr>
              <w:pStyle w:val="TableParagraph"/>
              <w:spacing w:line="266" w:lineRule="exact" w:before="13"/>
              <w:ind w:left="317"/>
              <w:jc w:val="left"/>
              <w:rPr>
                <w:rFonts w:ascii="Calibri"/>
                <w:sz w:val="22"/>
              </w:rPr>
            </w:pPr>
            <w:r>
              <w:rPr>
                <w:rFonts w:ascii="Calibri"/>
                <w:sz w:val="22"/>
              </w:rPr>
              <w:t>5.4</w:t>
            </w:r>
          </w:p>
        </w:tc>
        <w:tc>
          <w:tcPr>
            <w:tcW w:w="922" w:type="dxa"/>
            <w:tcBorders>
              <w:right w:val="single" w:sz="4" w:space="0" w:color="000000"/>
            </w:tcBorders>
            <w:shd w:val="clear" w:color="auto" w:fill="E1EEDA"/>
          </w:tcPr>
          <w:p>
            <w:pPr>
              <w:pStyle w:val="TableParagraph"/>
              <w:spacing w:line="266" w:lineRule="exact" w:before="13"/>
              <w:ind w:left="134" w:right="122"/>
              <w:rPr>
                <w:rFonts w:ascii="Calibri"/>
                <w:sz w:val="22"/>
              </w:rPr>
            </w:pPr>
            <w:r>
              <w:rPr>
                <w:rFonts w:ascii="Calibri"/>
                <w:sz w:val="22"/>
              </w:rPr>
              <w:t>2.4</w:t>
            </w:r>
          </w:p>
        </w:tc>
      </w:tr>
      <w:tr>
        <w:trPr>
          <w:trHeight w:val="379" w:hRule="atLeast"/>
        </w:trPr>
        <w:tc>
          <w:tcPr>
            <w:tcW w:w="1489" w:type="dxa"/>
            <w:shd w:val="clear" w:color="auto" w:fill="D9D9D9"/>
          </w:tcPr>
          <w:p>
            <w:pPr>
              <w:pStyle w:val="TableParagraph"/>
              <w:spacing w:before="44"/>
              <w:ind w:left="69"/>
              <w:jc w:val="left"/>
              <w:rPr>
                <w:rFonts w:ascii="Calibri"/>
                <w:sz w:val="22"/>
              </w:rPr>
            </w:pPr>
            <w:r>
              <w:rPr>
                <w:rFonts w:ascii="Calibri"/>
                <w:position w:val="2"/>
                <w:sz w:val="22"/>
              </w:rPr>
              <w:t>ME</w:t>
            </w:r>
            <w:r>
              <w:rPr>
                <w:rFonts w:ascii="Calibri"/>
                <w:sz w:val="14"/>
              </w:rPr>
              <w:t>90Q </w:t>
            </w:r>
            <w:r>
              <w:rPr>
                <w:rFonts w:ascii="Calibri"/>
                <w:position w:val="2"/>
                <w:sz w:val="22"/>
              </w:rPr>
              <w:t>tn</w:t>
            </w:r>
          </w:p>
        </w:tc>
        <w:tc>
          <w:tcPr>
            <w:tcW w:w="1073" w:type="dxa"/>
            <w:shd w:val="clear" w:color="auto" w:fill="D9D9D9"/>
          </w:tcPr>
          <w:p>
            <w:pPr>
              <w:pStyle w:val="TableParagraph"/>
              <w:spacing w:before="45"/>
              <w:ind w:right="319"/>
              <w:jc w:val="right"/>
              <w:rPr>
                <w:rFonts w:ascii="Calibri"/>
                <w:sz w:val="22"/>
              </w:rPr>
            </w:pPr>
            <w:r>
              <w:rPr>
                <w:rFonts w:ascii="Calibri"/>
                <w:sz w:val="22"/>
              </w:rPr>
              <w:t>0.4</w:t>
            </w:r>
          </w:p>
        </w:tc>
        <w:tc>
          <w:tcPr>
            <w:tcW w:w="924" w:type="dxa"/>
            <w:tcBorders>
              <w:right w:val="single" w:sz="4" w:space="0" w:color="000000"/>
            </w:tcBorders>
            <w:shd w:val="clear" w:color="auto" w:fill="D9D9D9"/>
          </w:tcPr>
          <w:p>
            <w:pPr>
              <w:pStyle w:val="TableParagraph"/>
              <w:spacing w:before="45"/>
              <w:ind w:left="323"/>
              <w:jc w:val="left"/>
              <w:rPr>
                <w:rFonts w:ascii="Calibri"/>
                <w:sz w:val="22"/>
              </w:rPr>
            </w:pPr>
            <w:r>
              <w:rPr>
                <w:rFonts w:ascii="Calibri"/>
                <w:sz w:val="22"/>
              </w:rPr>
              <w:t>2.5</w:t>
            </w:r>
          </w:p>
        </w:tc>
        <w:tc>
          <w:tcPr>
            <w:tcW w:w="922" w:type="dxa"/>
            <w:tcBorders>
              <w:left w:val="single" w:sz="4" w:space="0" w:color="000000"/>
            </w:tcBorders>
            <w:shd w:val="clear" w:color="auto" w:fill="D9D9D9"/>
          </w:tcPr>
          <w:p>
            <w:pPr>
              <w:pStyle w:val="TableParagraph"/>
              <w:spacing w:before="45"/>
              <w:ind w:left="127" w:right="127"/>
              <w:rPr>
                <w:rFonts w:ascii="Calibri"/>
                <w:sz w:val="22"/>
              </w:rPr>
            </w:pPr>
            <w:r>
              <w:rPr>
                <w:rFonts w:ascii="Calibri"/>
                <w:sz w:val="22"/>
              </w:rPr>
              <w:t>0.5</w:t>
            </w:r>
          </w:p>
        </w:tc>
        <w:tc>
          <w:tcPr>
            <w:tcW w:w="923" w:type="dxa"/>
            <w:tcBorders>
              <w:right w:val="single" w:sz="4" w:space="0" w:color="000000"/>
            </w:tcBorders>
            <w:shd w:val="clear" w:color="auto" w:fill="D9D9D9"/>
          </w:tcPr>
          <w:p>
            <w:pPr>
              <w:pStyle w:val="TableParagraph"/>
              <w:spacing w:before="45"/>
              <w:ind w:left="135" w:right="127"/>
              <w:rPr>
                <w:rFonts w:ascii="Calibri"/>
                <w:sz w:val="22"/>
              </w:rPr>
            </w:pPr>
            <w:r>
              <w:rPr>
                <w:rFonts w:ascii="Calibri"/>
                <w:sz w:val="22"/>
              </w:rPr>
              <w:t>2.6</w:t>
            </w:r>
          </w:p>
        </w:tc>
        <w:tc>
          <w:tcPr>
            <w:tcW w:w="937" w:type="dxa"/>
            <w:tcBorders>
              <w:left w:val="single" w:sz="4" w:space="0" w:color="000000"/>
            </w:tcBorders>
            <w:shd w:val="clear" w:color="auto" w:fill="D9D9D9"/>
          </w:tcPr>
          <w:p>
            <w:pPr>
              <w:pStyle w:val="TableParagraph"/>
              <w:spacing w:before="45"/>
              <w:ind w:left="265" w:right="281"/>
              <w:rPr>
                <w:rFonts w:ascii="Calibri"/>
                <w:sz w:val="22"/>
              </w:rPr>
            </w:pPr>
            <w:r>
              <w:rPr>
                <w:rFonts w:ascii="Calibri"/>
                <w:sz w:val="22"/>
              </w:rPr>
              <w:t>-0.2</w:t>
            </w:r>
          </w:p>
        </w:tc>
        <w:tc>
          <w:tcPr>
            <w:tcW w:w="906" w:type="dxa"/>
            <w:tcBorders>
              <w:right w:val="single" w:sz="4" w:space="0" w:color="000000"/>
            </w:tcBorders>
            <w:shd w:val="clear" w:color="auto" w:fill="D9D9D9"/>
          </w:tcPr>
          <w:p>
            <w:pPr>
              <w:pStyle w:val="TableParagraph"/>
              <w:spacing w:before="45"/>
              <w:ind w:left="306"/>
              <w:jc w:val="left"/>
              <w:rPr>
                <w:rFonts w:ascii="Calibri"/>
                <w:sz w:val="22"/>
              </w:rPr>
            </w:pPr>
            <w:r>
              <w:rPr>
                <w:rFonts w:ascii="Calibri"/>
                <w:sz w:val="22"/>
              </w:rPr>
              <w:t>0.8</w:t>
            </w:r>
          </w:p>
        </w:tc>
        <w:tc>
          <w:tcPr>
            <w:tcW w:w="922" w:type="dxa"/>
            <w:tcBorders>
              <w:left w:val="single" w:sz="4" w:space="0" w:color="000000"/>
            </w:tcBorders>
            <w:shd w:val="clear" w:color="auto" w:fill="D9D9D9"/>
          </w:tcPr>
          <w:p>
            <w:pPr>
              <w:pStyle w:val="TableParagraph"/>
              <w:spacing w:before="45"/>
              <w:ind w:left="284"/>
              <w:jc w:val="left"/>
              <w:rPr>
                <w:rFonts w:ascii="Calibri"/>
                <w:sz w:val="22"/>
              </w:rPr>
            </w:pPr>
            <w:r>
              <w:rPr>
                <w:rFonts w:ascii="Calibri"/>
                <w:sz w:val="22"/>
              </w:rPr>
              <w:t>-0.9</w:t>
            </w:r>
          </w:p>
        </w:tc>
        <w:tc>
          <w:tcPr>
            <w:tcW w:w="922" w:type="dxa"/>
            <w:tcBorders>
              <w:right w:val="single" w:sz="4" w:space="0" w:color="000000"/>
            </w:tcBorders>
            <w:shd w:val="clear" w:color="auto" w:fill="D9D9D9"/>
          </w:tcPr>
          <w:p>
            <w:pPr>
              <w:pStyle w:val="TableParagraph"/>
              <w:spacing w:before="45"/>
              <w:ind w:left="134" w:right="122"/>
              <w:rPr>
                <w:rFonts w:ascii="Calibri"/>
                <w:sz w:val="22"/>
              </w:rPr>
            </w:pPr>
            <w:r>
              <w:rPr>
                <w:rFonts w:ascii="Calibri"/>
                <w:sz w:val="22"/>
              </w:rPr>
              <w:t>0.1</w:t>
            </w:r>
          </w:p>
        </w:tc>
      </w:tr>
      <w:tr>
        <w:trPr>
          <w:trHeight w:val="340" w:hRule="atLeast"/>
        </w:trPr>
        <w:tc>
          <w:tcPr>
            <w:tcW w:w="1489" w:type="dxa"/>
            <w:shd w:val="clear" w:color="auto" w:fill="D9D9D9"/>
          </w:tcPr>
          <w:p>
            <w:pPr>
              <w:pStyle w:val="TableParagraph"/>
              <w:spacing w:before="25"/>
              <w:ind w:left="69"/>
              <w:jc w:val="left"/>
              <w:rPr>
                <w:rFonts w:ascii="Calibri"/>
                <w:sz w:val="22"/>
              </w:rPr>
            </w:pPr>
            <w:r>
              <w:rPr>
                <w:rFonts w:ascii="Calibri"/>
                <w:position w:val="2"/>
                <w:sz w:val="22"/>
              </w:rPr>
              <w:t>MAE</w:t>
            </w:r>
            <w:r>
              <w:rPr>
                <w:rFonts w:ascii="Calibri"/>
                <w:sz w:val="14"/>
              </w:rPr>
              <w:t>90Q </w:t>
            </w:r>
            <w:r>
              <w:rPr>
                <w:rFonts w:ascii="Calibri"/>
                <w:position w:val="2"/>
                <w:sz w:val="22"/>
              </w:rPr>
              <w:t>tn</w:t>
            </w:r>
          </w:p>
        </w:tc>
        <w:tc>
          <w:tcPr>
            <w:tcW w:w="1073" w:type="dxa"/>
            <w:shd w:val="clear" w:color="auto" w:fill="D9D9D9"/>
          </w:tcPr>
          <w:p>
            <w:pPr>
              <w:pStyle w:val="TableParagraph"/>
              <w:spacing w:before="25"/>
              <w:ind w:right="319"/>
              <w:jc w:val="right"/>
              <w:rPr>
                <w:rFonts w:ascii="Calibri"/>
                <w:sz w:val="22"/>
              </w:rPr>
            </w:pPr>
            <w:r>
              <w:rPr>
                <w:rFonts w:ascii="Calibri"/>
                <w:sz w:val="22"/>
              </w:rPr>
              <w:t>1.6</w:t>
            </w:r>
          </w:p>
        </w:tc>
        <w:tc>
          <w:tcPr>
            <w:tcW w:w="924" w:type="dxa"/>
            <w:tcBorders>
              <w:right w:val="single" w:sz="4" w:space="0" w:color="000000"/>
            </w:tcBorders>
            <w:shd w:val="clear" w:color="auto" w:fill="D9D9D9"/>
          </w:tcPr>
          <w:p>
            <w:pPr>
              <w:pStyle w:val="TableParagraph"/>
              <w:spacing w:before="25"/>
              <w:ind w:left="323"/>
              <w:jc w:val="left"/>
              <w:rPr>
                <w:rFonts w:ascii="Calibri"/>
                <w:sz w:val="22"/>
              </w:rPr>
            </w:pPr>
            <w:r>
              <w:rPr>
                <w:rFonts w:ascii="Calibri"/>
                <w:sz w:val="22"/>
              </w:rPr>
              <w:t>3.1</w:t>
            </w:r>
          </w:p>
        </w:tc>
        <w:tc>
          <w:tcPr>
            <w:tcW w:w="922" w:type="dxa"/>
            <w:tcBorders>
              <w:left w:val="single" w:sz="4" w:space="0" w:color="000000"/>
            </w:tcBorders>
            <w:shd w:val="clear" w:color="auto" w:fill="D9D9D9"/>
          </w:tcPr>
          <w:p>
            <w:pPr>
              <w:pStyle w:val="TableParagraph"/>
              <w:spacing w:before="25"/>
              <w:ind w:left="127" w:right="127"/>
              <w:rPr>
                <w:rFonts w:ascii="Calibri"/>
                <w:sz w:val="22"/>
              </w:rPr>
            </w:pPr>
            <w:r>
              <w:rPr>
                <w:rFonts w:ascii="Calibri"/>
                <w:sz w:val="22"/>
              </w:rPr>
              <w:t>1.6</w:t>
            </w:r>
          </w:p>
        </w:tc>
        <w:tc>
          <w:tcPr>
            <w:tcW w:w="923" w:type="dxa"/>
            <w:tcBorders>
              <w:right w:val="single" w:sz="4" w:space="0" w:color="000000"/>
            </w:tcBorders>
            <w:shd w:val="clear" w:color="auto" w:fill="D9D9D9"/>
          </w:tcPr>
          <w:p>
            <w:pPr>
              <w:pStyle w:val="TableParagraph"/>
              <w:spacing w:before="25"/>
              <w:ind w:left="135" w:right="127"/>
              <w:rPr>
                <w:rFonts w:ascii="Calibri"/>
                <w:sz w:val="22"/>
              </w:rPr>
            </w:pPr>
            <w:r>
              <w:rPr>
                <w:rFonts w:ascii="Calibri"/>
                <w:sz w:val="22"/>
              </w:rPr>
              <w:t>3.3</w:t>
            </w:r>
          </w:p>
        </w:tc>
        <w:tc>
          <w:tcPr>
            <w:tcW w:w="937" w:type="dxa"/>
            <w:tcBorders>
              <w:left w:val="single" w:sz="4" w:space="0" w:color="000000"/>
            </w:tcBorders>
            <w:shd w:val="clear" w:color="auto" w:fill="D9D9D9"/>
          </w:tcPr>
          <w:p>
            <w:pPr>
              <w:pStyle w:val="TableParagraph"/>
              <w:spacing w:before="25"/>
              <w:ind w:left="265" w:right="281"/>
              <w:rPr>
                <w:rFonts w:ascii="Calibri"/>
                <w:sz w:val="22"/>
              </w:rPr>
            </w:pPr>
            <w:r>
              <w:rPr>
                <w:rFonts w:ascii="Calibri"/>
                <w:sz w:val="22"/>
              </w:rPr>
              <w:t>1.7</w:t>
            </w:r>
          </w:p>
        </w:tc>
        <w:tc>
          <w:tcPr>
            <w:tcW w:w="906" w:type="dxa"/>
            <w:tcBorders>
              <w:right w:val="single" w:sz="4" w:space="0" w:color="000000"/>
            </w:tcBorders>
            <w:shd w:val="clear" w:color="auto" w:fill="D9D9D9"/>
          </w:tcPr>
          <w:p>
            <w:pPr>
              <w:pStyle w:val="TableParagraph"/>
              <w:spacing w:before="25"/>
              <w:ind w:left="306"/>
              <w:jc w:val="left"/>
              <w:rPr>
                <w:rFonts w:ascii="Calibri"/>
                <w:sz w:val="22"/>
              </w:rPr>
            </w:pPr>
            <w:r>
              <w:rPr>
                <w:rFonts w:ascii="Calibri"/>
                <w:sz w:val="22"/>
              </w:rPr>
              <w:t>1.8</w:t>
            </w:r>
          </w:p>
        </w:tc>
        <w:tc>
          <w:tcPr>
            <w:tcW w:w="922" w:type="dxa"/>
            <w:tcBorders>
              <w:left w:val="single" w:sz="4" w:space="0" w:color="000000"/>
            </w:tcBorders>
            <w:shd w:val="clear" w:color="auto" w:fill="D9D9D9"/>
          </w:tcPr>
          <w:p>
            <w:pPr>
              <w:pStyle w:val="TableParagraph"/>
              <w:spacing w:before="25"/>
              <w:ind w:left="317"/>
              <w:jc w:val="left"/>
              <w:rPr>
                <w:rFonts w:ascii="Calibri"/>
                <w:sz w:val="22"/>
              </w:rPr>
            </w:pPr>
            <w:r>
              <w:rPr>
                <w:rFonts w:ascii="Calibri"/>
                <w:sz w:val="22"/>
              </w:rPr>
              <w:t>2.1</w:t>
            </w:r>
          </w:p>
        </w:tc>
        <w:tc>
          <w:tcPr>
            <w:tcW w:w="922" w:type="dxa"/>
            <w:tcBorders>
              <w:right w:val="single" w:sz="4" w:space="0" w:color="000000"/>
            </w:tcBorders>
            <w:shd w:val="clear" w:color="auto" w:fill="D9D9D9"/>
          </w:tcPr>
          <w:p>
            <w:pPr>
              <w:pStyle w:val="TableParagraph"/>
              <w:spacing w:before="25"/>
              <w:ind w:left="134" w:right="122"/>
              <w:rPr>
                <w:rFonts w:ascii="Calibri"/>
                <w:sz w:val="22"/>
              </w:rPr>
            </w:pPr>
            <w:r>
              <w:rPr>
                <w:rFonts w:ascii="Calibri"/>
                <w:sz w:val="22"/>
              </w:rPr>
              <w:t>2.1</w:t>
            </w:r>
          </w:p>
        </w:tc>
      </w:tr>
      <w:tr>
        <w:trPr>
          <w:trHeight w:val="360" w:hRule="atLeast"/>
        </w:trPr>
        <w:tc>
          <w:tcPr>
            <w:tcW w:w="1489" w:type="dxa"/>
            <w:shd w:val="clear" w:color="auto" w:fill="E1EEDA"/>
          </w:tcPr>
          <w:p>
            <w:pPr>
              <w:pStyle w:val="TableParagraph"/>
              <w:spacing w:before="44"/>
              <w:ind w:left="69"/>
              <w:jc w:val="left"/>
              <w:rPr>
                <w:rFonts w:ascii="Calibri"/>
                <w:sz w:val="22"/>
              </w:rPr>
            </w:pPr>
            <w:r>
              <w:rPr>
                <w:rFonts w:ascii="Calibri"/>
                <w:position w:val="2"/>
                <w:sz w:val="22"/>
              </w:rPr>
              <w:t>RMSE</w:t>
            </w:r>
            <w:r>
              <w:rPr>
                <w:rFonts w:ascii="Calibri"/>
                <w:sz w:val="14"/>
              </w:rPr>
              <w:t>90Q </w:t>
            </w:r>
            <w:r>
              <w:rPr>
                <w:rFonts w:ascii="Calibri"/>
                <w:position w:val="2"/>
                <w:sz w:val="22"/>
              </w:rPr>
              <w:t>tn</w:t>
            </w:r>
          </w:p>
        </w:tc>
        <w:tc>
          <w:tcPr>
            <w:tcW w:w="1073" w:type="dxa"/>
            <w:shd w:val="clear" w:color="auto" w:fill="E1EEDA"/>
          </w:tcPr>
          <w:p>
            <w:pPr>
              <w:pStyle w:val="TableParagraph"/>
              <w:spacing w:before="45"/>
              <w:ind w:right="319"/>
              <w:jc w:val="right"/>
              <w:rPr>
                <w:rFonts w:ascii="Calibri"/>
                <w:sz w:val="22"/>
              </w:rPr>
            </w:pPr>
            <w:r>
              <w:rPr>
                <w:rFonts w:ascii="Calibri"/>
                <w:sz w:val="22"/>
              </w:rPr>
              <w:t>2.0</w:t>
            </w:r>
          </w:p>
        </w:tc>
        <w:tc>
          <w:tcPr>
            <w:tcW w:w="924" w:type="dxa"/>
            <w:tcBorders>
              <w:right w:val="single" w:sz="4" w:space="0" w:color="000000"/>
            </w:tcBorders>
            <w:shd w:val="clear" w:color="auto" w:fill="E1EEDA"/>
          </w:tcPr>
          <w:p>
            <w:pPr>
              <w:pStyle w:val="TableParagraph"/>
              <w:spacing w:before="45"/>
              <w:ind w:left="323"/>
              <w:jc w:val="left"/>
              <w:rPr>
                <w:rFonts w:ascii="Calibri"/>
                <w:sz w:val="22"/>
              </w:rPr>
            </w:pPr>
            <w:r>
              <w:rPr>
                <w:rFonts w:ascii="Calibri"/>
                <w:sz w:val="22"/>
              </w:rPr>
              <w:t>5.6</w:t>
            </w:r>
          </w:p>
        </w:tc>
        <w:tc>
          <w:tcPr>
            <w:tcW w:w="922" w:type="dxa"/>
            <w:tcBorders>
              <w:left w:val="single" w:sz="4" w:space="0" w:color="000000"/>
            </w:tcBorders>
            <w:shd w:val="clear" w:color="auto" w:fill="E1EEDA"/>
          </w:tcPr>
          <w:p>
            <w:pPr>
              <w:pStyle w:val="TableParagraph"/>
              <w:spacing w:before="45"/>
              <w:ind w:left="127" w:right="127"/>
              <w:rPr>
                <w:rFonts w:ascii="Calibri"/>
                <w:sz w:val="22"/>
              </w:rPr>
            </w:pPr>
            <w:r>
              <w:rPr>
                <w:rFonts w:ascii="Calibri"/>
                <w:sz w:val="22"/>
              </w:rPr>
              <w:t>2.1</w:t>
            </w:r>
          </w:p>
        </w:tc>
        <w:tc>
          <w:tcPr>
            <w:tcW w:w="923" w:type="dxa"/>
            <w:tcBorders>
              <w:right w:val="single" w:sz="4" w:space="0" w:color="000000"/>
            </w:tcBorders>
            <w:shd w:val="clear" w:color="auto" w:fill="E1EEDA"/>
          </w:tcPr>
          <w:p>
            <w:pPr>
              <w:pStyle w:val="TableParagraph"/>
              <w:spacing w:before="45"/>
              <w:ind w:left="135" w:right="127"/>
              <w:rPr>
                <w:rFonts w:ascii="Calibri"/>
                <w:sz w:val="22"/>
              </w:rPr>
            </w:pPr>
            <w:r>
              <w:rPr>
                <w:rFonts w:ascii="Calibri"/>
                <w:sz w:val="22"/>
              </w:rPr>
              <w:t>5.8</w:t>
            </w:r>
          </w:p>
        </w:tc>
        <w:tc>
          <w:tcPr>
            <w:tcW w:w="937" w:type="dxa"/>
            <w:tcBorders>
              <w:left w:val="single" w:sz="4" w:space="0" w:color="000000"/>
            </w:tcBorders>
            <w:shd w:val="clear" w:color="auto" w:fill="E1EEDA"/>
          </w:tcPr>
          <w:p>
            <w:pPr>
              <w:pStyle w:val="TableParagraph"/>
              <w:spacing w:before="45"/>
              <w:ind w:left="265" w:right="281"/>
              <w:rPr>
                <w:rFonts w:ascii="Calibri"/>
                <w:sz w:val="22"/>
              </w:rPr>
            </w:pPr>
            <w:r>
              <w:rPr>
                <w:rFonts w:ascii="Calibri"/>
                <w:sz w:val="22"/>
              </w:rPr>
              <w:t>2.1</w:t>
            </w:r>
          </w:p>
        </w:tc>
        <w:tc>
          <w:tcPr>
            <w:tcW w:w="906" w:type="dxa"/>
            <w:tcBorders>
              <w:right w:val="single" w:sz="4" w:space="0" w:color="000000"/>
            </w:tcBorders>
            <w:shd w:val="clear" w:color="auto" w:fill="E1EEDA"/>
          </w:tcPr>
          <w:p>
            <w:pPr>
              <w:pStyle w:val="TableParagraph"/>
              <w:spacing w:before="45"/>
              <w:ind w:left="306"/>
              <w:jc w:val="left"/>
              <w:rPr>
                <w:rFonts w:ascii="Calibri"/>
                <w:sz w:val="22"/>
              </w:rPr>
            </w:pPr>
            <w:r>
              <w:rPr>
                <w:rFonts w:ascii="Calibri"/>
                <w:sz w:val="22"/>
              </w:rPr>
              <w:t>2.8</w:t>
            </w:r>
          </w:p>
        </w:tc>
        <w:tc>
          <w:tcPr>
            <w:tcW w:w="922" w:type="dxa"/>
            <w:tcBorders>
              <w:left w:val="single" w:sz="4" w:space="0" w:color="000000"/>
            </w:tcBorders>
            <w:shd w:val="clear" w:color="auto" w:fill="E1EEDA"/>
          </w:tcPr>
          <w:p>
            <w:pPr>
              <w:pStyle w:val="TableParagraph"/>
              <w:spacing w:before="45"/>
              <w:ind w:left="317"/>
              <w:jc w:val="left"/>
              <w:rPr>
                <w:rFonts w:ascii="Calibri"/>
                <w:sz w:val="22"/>
              </w:rPr>
            </w:pPr>
            <w:r>
              <w:rPr>
                <w:rFonts w:ascii="Calibri"/>
                <w:sz w:val="22"/>
              </w:rPr>
              <w:t>2.4</w:t>
            </w:r>
          </w:p>
        </w:tc>
        <w:tc>
          <w:tcPr>
            <w:tcW w:w="922" w:type="dxa"/>
            <w:tcBorders>
              <w:right w:val="single" w:sz="4" w:space="0" w:color="000000"/>
            </w:tcBorders>
            <w:shd w:val="clear" w:color="auto" w:fill="E1EEDA"/>
          </w:tcPr>
          <w:p>
            <w:pPr>
              <w:pStyle w:val="TableParagraph"/>
              <w:spacing w:before="45"/>
              <w:ind w:left="134" w:right="122"/>
              <w:rPr>
                <w:rFonts w:ascii="Calibri"/>
                <w:sz w:val="22"/>
              </w:rPr>
            </w:pPr>
            <w:r>
              <w:rPr>
                <w:rFonts w:ascii="Calibri"/>
                <w:sz w:val="22"/>
              </w:rPr>
              <w:t>2.6</w:t>
            </w:r>
          </w:p>
        </w:tc>
      </w:tr>
      <w:tr>
        <w:trPr>
          <w:trHeight w:val="379" w:hRule="atLeast"/>
        </w:trPr>
        <w:tc>
          <w:tcPr>
            <w:tcW w:w="1489" w:type="dxa"/>
            <w:shd w:val="clear" w:color="auto" w:fill="D9D9D9"/>
          </w:tcPr>
          <w:p>
            <w:pPr>
              <w:pStyle w:val="TableParagraph"/>
              <w:spacing w:before="44"/>
              <w:ind w:left="69"/>
              <w:jc w:val="left"/>
              <w:rPr>
                <w:rFonts w:ascii="Calibri"/>
                <w:sz w:val="22"/>
              </w:rPr>
            </w:pPr>
            <w:r>
              <w:rPr>
                <w:rFonts w:ascii="Calibri"/>
                <w:position w:val="2"/>
                <w:sz w:val="22"/>
              </w:rPr>
              <w:t>ME</w:t>
            </w:r>
            <w:r>
              <w:rPr>
                <w:rFonts w:ascii="Calibri"/>
                <w:sz w:val="14"/>
              </w:rPr>
              <w:t>90Q </w:t>
            </w:r>
            <w:r>
              <w:rPr>
                <w:rFonts w:ascii="Calibri"/>
                <w:position w:val="2"/>
                <w:sz w:val="22"/>
              </w:rPr>
              <w:t>dyb</w:t>
            </w:r>
          </w:p>
        </w:tc>
        <w:tc>
          <w:tcPr>
            <w:tcW w:w="1073" w:type="dxa"/>
            <w:shd w:val="clear" w:color="auto" w:fill="D9D9D9"/>
          </w:tcPr>
          <w:p>
            <w:pPr>
              <w:pStyle w:val="TableParagraph"/>
              <w:spacing w:before="45"/>
              <w:ind w:right="285"/>
              <w:jc w:val="right"/>
              <w:rPr>
                <w:rFonts w:ascii="Calibri"/>
                <w:sz w:val="22"/>
              </w:rPr>
            </w:pPr>
            <w:r>
              <w:rPr>
                <w:rFonts w:ascii="Calibri"/>
                <w:sz w:val="22"/>
              </w:rPr>
              <w:t>-1.8</w:t>
            </w:r>
          </w:p>
        </w:tc>
        <w:tc>
          <w:tcPr>
            <w:tcW w:w="924" w:type="dxa"/>
            <w:tcBorders>
              <w:right w:val="single" w:sz="4" w:space="0" w:color="000000"/>
            </w:tcBorders>
            <w:shd w:val="clear" w:color="auto" w:fill="D9D9D9"/>
          </w:tcPr>
          <w:p>
            <w:pPr>
              <w:pStyle w:val="TableParagraph"/>
              <w:spacing w:before="45"/>
              <w:ind w:left="289"/>
              <w:jc w:val="left"/>
              <w:rPr>
                <w:rFonts w:ascii="Calibri"/>
                <w:sz w:val="22"/>
              </w:rPr>
            </w:pPr>
            <w:r>
              <w:rPr>
                <w:rFonts w:ascii="Calibri"/>
                <w:sz w:val="22"/>
              </w:rPr>
              <w:t>-0.3</w:t>
            </w:r>
          </w:p>
        </w:tc>
        <w:tc>
          <w:tcPr>
            <w:tcW w:w="922" w:type="dxa"/>
            <w:tcBorders>
              <w:left w:val="single" w:sz="4" w:space="0" w:color="000000"/>
            </w:tcBorders>
            <w:shd w:val="clear" w:color="auto" w:fill="D9D9D9"/>
          </w:tcPr>
          <w:p>
            <w:pPr>
              <w:pStyle w:val="TableParagraph"/>
              <w:spacing w:before="45"/>
              <w:ind w:left="127" w:right="127"/>
              <w:rPr>
                <w:rFonts w:ascii="Calibri"/>
                <w:sz w:val="22"/>
              </w:rPr>
            </w:pPr>
            <w:r>
              <w:rPr>
                <w:rFonts w:ascii="Calibri"/>
                <w:sz w:val="22"/>
              </w:rPr>
              <w:t>-1.7</w:t>
            </w:r>
          </w:p>
        </w:tc>
        <w:tc>
          <w:tcPr>
            <w:tcW w:w="923" w:type="dxa"/>
            <w:tcBorders>
              <w:right w:val="single" w:sz="4" w:space="0" w:color="000000"/>
            </w:tcBorders>
            <w:shd w:val="clear" w:color="auto" w:fill="D9D9D9"/>
          </w:tcPr>
          <w:p>
            <w:pPr>
              <w:pStyle w:val="TableParagraph"/>
              <w:spacing w:before="45"/>
              <w:ind w:left="135" w:right="127"/>
              <w:rPr>
                <w:rFonts w:ascii="Calibri"/>
                <w:sz w:val="22"/>
              </w:rPr>
            </w:pPr>
            <w:r>
              <w:rPr>
                <w:rFonts w:ascii="Calibri"/>
                <w:sz w:val="22"/>
              </w:rPr>
              <w:t>-0.6</w:t>
            </w:r>
          </w:p>
        </w:tc>
        <w:tc>
          <w:tcPr>
            <w:tcW w:w="937" w:type="dxa"/>
            <w:tcBorders>
              <w:left w:val="single" w:sz="4" w:space="0" w:color="000000"/>
            </w:tcBorders>
            <w:shd w:val="clear" w:color="auto" w:fill="D9D9D9"/>
          </w:tcPr>
          <w:p>
            <w:pPr>
              <w:pStyle w:val="TableParagraph"/>
              <w:spacing w:before="45"/>
              <w:ind w:left="265" w:right="281"/>
              <w:rPr>
                <w:rFonts w:ascii="Calibri"/>
                <w:sz w:val="22"/>
              </w:rPr>
            </w:pPr>
            <w:r>
              <w:rPr>
                <w:rFonts w:ascii="Calibri"/>
                <w:sz w:val="22"/>
              </w:rPr>
              <w:t>-1.1</w:t>
            </w:r>
          </w:p>
        </w:tc>
        <w:tc>
          <w:tcPr>
            <w:tcW w:w="906" w:type="dxa"/>
            <w:tcBorders>
              <w:right w:val="single" w:sz="4" w:space="0" w:color="000000"/>
            </w:tcBorders>
            <w:shd w:val="clear" w:color="auto" w:fill="D9D9D9"/>
          </w:tcPr>
          <w:p>
            <w:pPr>
              <w:pStyle w:val="TableParagraph"/>
              <w:spacing w:before="45"/>
              <w:ind w:left="306"/>
              <w:jc w:val="left"/>
              <w:rPr>
                <w:rFonts w:ascii="Calibri"/>
                <w:sz w:val="22"/>
              </w:rPr>
            </w:pPr>
            <w:r>
              <w:rPr>
                <w:rFonts w:ascii="Calibri"/>
                <w:sz w:val="22"/>
              </w:rPr>
              <w:t>0.1</w:t>
            </w:r>
          </w:p>
        </w:tc>
        <w:tc>
          <w:tcPr>
            <w:tcW w:w="922" w:type="dxa"/>
            <w:tcBorders>
              <w:left w:val="single" w:sz="4" w:space="0" w:color="000000"/>
            </w:tcBorders>
            <w:shd w:val="clear" w:color="auto" w:fill="D9D9D9"/>
          </w:tcPr>
          <w:p>
            <w:pPr>
              <w:pStyle w:val="TableParagraph"/>
              <w:spacing w:before="45"/>
              <w:ind w:left="284"/>
              <w:jc w:val="left"/>
              <w:rPr>
                <w:rFonts w:ascii="Calibri"/>
                <w:sz w:val="22"/>
              </w:rPr>
            </w:pPr>
            <w:r>
              <w:rPr>
                <w:rFonts w:ascii="Calibri"/>
                <w:sz w:val="22"/>
              </w:rPr>
              <w:t>-1.8</w:t>
            </w:r>
          </w:p>
        </w:tc>
        <w:tc>
          <w:tcPr>
            <w:tcW w:w="922" w:type="dxa"/>
            <w:tcBorders>
              <w:right w:val="single" w:sz="4" w:space="0" w:color="000000"/>
            </w:tcBorders>
            <w:shd w:val="clear" w:color="auto" w:fill="D9D9D9"/>
          </w:tcPr>
          <w:p>
            <w:pPr>
              <w:pStyle w:val="TableParagraph"/>
              <w:spacing w:before="45"/>
              <w:ind w:left="134" w:right="122"/>
              <w:rPr>
                <w:rFonts w:ascii="Calibri"/>
                <w:sz w:val="22"/>
              </w:rPr>
            </w:pPr>
            <w:r>
              <w:rPr>
                <w:rFonts w:ascii="Calibri"/>
                <w:sz w:val="22"/>
              </w:rPr>
              <w:t>-0.4</w:t>
            </w:r>
          </w:p>
        </w:tc>
      </w:tr>
      <w:tr>
        <w:trPr>
          <w:trHeight w:val="340" w:hRule="atLeast"/>
        </w:trPr>
        <w:tc>
          <w:tcPr>
            <w:tcW w:w="1489" w:type="dxa"/>
            <w:shd w:val="clear" w:color="auto" w:fill="D9D9D9"/>
          </w:tcPr>
          <w:p>
            <w:pPr>
              <w:pStyle w:val="TableParagraph"/>
              <w:spacing w:before="25"/>
              <w:ind w:left="69"/>
              <w:jc w:val="left"/>
              <w:rPr>
                <w:rFonts w:ascii="Calibri"/>
                <w:sz w:val="22"/>
              </w:rPr>
            </w:pPr>
            <w:r>
              <w:rPr>
                <w:rFonts w:ascii="Calibri"/>
                <w:position w:val="2"/>
                <w:sz w:val="22"/>
              </w:rPr>
              <w:t>MAE</w:t>
            </w:r>
            <w:r>
              <w:rPr>
                <w:rFonts w:ascii="Calibri"/>
                <w:sz w:val="14"/>
              </w:rPr>
              <w:t>90Q </w:t>
            </w:r>
            <w:r>
              <w:rPr>
                <w:rFonts w:ascii="Calibri"/>
                <w:position w:val="2"/>
                <w:sz w:val="22"/>
              </w:rPr>
              <w:t>dyb</w:t>
            </w:r>
          </w:p>
        </w:tc>
        <w:tc>
          <w:tcPr>
            <w:tcW w:w="1073" w:type="dxa"/>
            <w:shd w:val="clear" w:color="auto" w:fill="D9D9D9"/>
          </w:tcPr>
          <w:p>
            <w:pPr>
              <w:pStyle w:val="TableParagraph"/>
              <w:spacing w:before="25"/>
              <w:ind w:right="319"/>
              <w:jc w:val="right"/>
              <w:rPr>
                <w:rFonts w:ascii="Calibri"/>
                <w:sz w:val="22"/>
              </w:rPr>
            </w:pPr>
            <w:r>
              <w:rPr>
                <w:rFonts w:ascii="Calibri"/>
                <w:sz w:val="22"/>
              </w:rPr>
              <w:t>2.6</w:t>
            </w:r>
          </w:p>
        </w:tc>
        <w:tc>
          <w:tcPr>
            <w:tcW w:w="924" w:type="dxa"/>
            <w:tcBorders>
              <w:right w:val="single" w:sz="4" w:space="0" w:color="000000"/>
            </w:tcBorders>
            <w:shd w:val="clear" w:color="auto" w:fill="D9D9D9"/>
          </w:tcPr>
          <w:p>
            <w:pPr>
              <w:pStyle w:val="TableParagraph"/>
              <w:spacing w:before="25"/>
              <w:ind w:left="323"/>
              <w:jc w:val="left"/>
              <w:rPr>
                <w:rFonts w:ascii="Calibri"/>
                <w:sz w:val="22"/>
              </w:rPr>
            </w:pPr>
            <w:r>
              <w:rPr>
                <w:rFonts w:ascii="Calibri"/>
                <w:sz w:val="22"/>
              </w:rPr>
              <w:t>1.7</w:t>
            </w:r>
          </w:p>
        </w:tc>
        <w:tc>
          <w:tcPr>
            <w:tcW w:w="922" w:type="dxa"/>
            <w:tcBorders>
              <w:left w:val="single" w:sz="4" w:space="0" w:color="000000"/>
            </w:tcBorders>
            <w:shd w:val="clear" w:color="auto" w:fill="D9D9D9"/>
          </w:tcPr>
          <w:p>
            <w:pPr>
              <w:pStyle w:val="TableParagraph"/>
              <w:spacing w:before="25"/>
              <w:ind w:left="127" w:right="127"/>
              <w:rPr>
                <w:rFonts w:ascii="Calibri"/>
                <w:sz w:val="22"/>
              </w:rPr>
            </w:pPr>
            <w:r>
              <w:rPr>
                <w:rFonts w:ascii="Calibri"/>
                <w:sz w:val="22"/>
              </w:rPr>
              <w:t>2.6</w:t>
            </w:r>
          </w:p>
        </w:tc>
        <w:tc>
          <w:tcPr>
            <w:tcW w:w="923" w:type="dxa"/>
            <w:tcBorders>
              <w:right w:val="single" w:sz="4" w:space="0" w:color="000000"/>
            </w:tcBorders>
            <w:shd w:val="clear" w:color="auto" w:fill="D9D9D9"/>
          </w:tcPr>
          <w:p>
            <w:pPr>
              <w:pStyle w:val="TableParagraph"/>
              <w:spacing w:before="25"/>
              <w:ind w:left="135" w:right="127"/>
              <w:rPr>
                <w:rFonts w:ascii="Calibri"/>
                <w:sz w:val="22"/>
              </w:rPr>
            </w:pPr>
            <w:r>
              <w:rPr>
                <w:rFonts w:ascii="Calibri"/>
                <w:sz w:val="22"/>
              </w:rPr>
              <w:t>1.5</w:t>
            </w:r>
          </w:p>
        </w:tc>
        <w:tc>
          <w:tcPr>
            <w:tcW w:w="937" w:type="dxa"/>
            <w:tcBorders>
              <w:left w:val="single" w:sz="4" w:space="0" w:color="000000"/>
            </w:tcBorders>
            <w:shd w:val="clear" w:color="auto" w:fill="D9D9D9"/>
          </w:tcPr>
          <w:p>
            <w:pPr>
              <w:pStyle w:val="TableParagraph"/>
              <w:spacing w:before="25"/>
              <w:ind w:left="265" w:right="281"/>
              <w:rPr>
                <w:rFonts w:ascii="Calibri"/>
                <w:sz w:val="22"/>
              </w:rPr>
            </w:pPr>
            <w:r>
              <w:rPr>
                <w:rFonts w:ascii="Calibri"/>
                <w:sz w:val="22"/>
              </w:rPr>
              <w:t>1.9</w:t>
            </w:r>
          </w:p>
        </w:tc>
        <w:tc>
          <w:tcPr>
            <w:tcW w:w="906" w:type="dxa"/>
            <w:tcBorders>
              <w:right w:val="single" w:sz="4" w:space="0" w:color="000000"/>
            </w:tcBorders>
            <w:shd w:val="clear" w:color="auto" w:fill="D9D9D9"/>
          </w:tcPr>
          <w:p>
            <w:pPr>
              <w:pStyle w:val="TableParagraph"/>
              <w:spacing w:before="25"/>
              <w:ind w:left="306"/>
              <w:jc w:val="left"/>
              <w:rPr>
                <w:rFonts w:ascii="Calibri"/>
                <w:sz w:val="22"/>
              </w:rPr>
            </w:pPr>
            <w:r>
              <w:rPr>
                <w:rFonts w:ascii="Calibri"/>
                <w:sz w:val="22"/>
              </w:rPr>
              <w:t>1.5</w:t>
            </w:r>
          </w:p>
        </w:tc>
        <w:tc>
          <w:tcPr>
            <w:tcW w:w="922" w:type="dxa"/>
            <w:tcBorders>
              <w:left w:val="single" w:sz="4" w:space="0" w:color="000000"/>
            </w:tcBorders>
            <w:shd w:val="clear" w:color="auto" w:fill="D9D9D9"/>
          </w:tcPr>
          <w:p>
            <w:pPr>
              <w:pStyle w:val="TableParagraph"/>
              <w:spacing w:before="25"/>
              <w:ind w:left="317"/>
              <w:jc w:val="left"/>
              <w:rPr>
                <w:rFonts w:ascii="Calibri"/>
                <w:sz w:val="22"/>
              </w:rPr>
            </w:pPr>
            <w:r>
              <w:rPr>
                <w:rFonts w:ascii="Calibri"/>
                <w:sz w:val="22"/>
              </w:rPr>
              <w:t>2.9</w:t>
            </w:r>
          </w:p>
        </w:tc>
        <w:tc>
          <w:tcPr>
            <w:tcW w:w="922" w:type="dxa"/>
            <w:tcBorders>
              <w:right w:val="single" w:sz="4" w:space="0" w:color="000000"/>
            </w:tcBorders>
            <w:shd w:val="clear" w:color="auto" w:fill="D9D9D9"/>
          </w:tcPr>
          <w:p>
            <w:pPr>
              <w:pStyle w:val="TableParagraph"/>
              <w:spacing w:before="25"/>
              <w:ind w:left="134" w:right="122"/>
              <w:rPr>
                <w:rFonts w:ascii="Calibri"/>
                <w:sz w:val="22"/>
              </w:rPr>
            </w:pPr>
            <w:r>
              <w:rPr>
                <w:rFonts w:ascii="Calibri"/>
                <w:sz w:val="22"/>
              </w:rPr>
              <w:t>1.7</w:t>
            </w:r>
          </w:p>
        </w:tc>
      </w:tr>
      <w:tr>
        <w:trPr>
          <w:trHeight w:val="360" w:hRule="atLeast"/>
        </w:trPr>
        <w:tc>
          <w:tcPr>
            <w:tcW w:w="1489" w:type="dxa"/>
            <w:shd w:val="clear" w:color="auto" w:fill="E1EEDA"/>
          </w:tcPr>
          <w:p>
            <w:pPr>
              <w:pStyle w:val="TableParagraph"/>
              <w:spacing w:before="44"/>
              <w:ind w:left="69"/>
              <w:jc w:val="left"/>
              <w:rPr>
                <w:rFonts w:ascii="Calibri"/>
                <w:sz w:val="22"/>
              </w:rPr>
            </w:pPr>
            <w:r>
              <w:rPr>
                <w:rFonts w:ascii="Calibri"/>
                <w:position w:val="2"/>
                <w:sz w:val="22"/>
              </w:rPr>
              <w:t>RMSE</w:t>
            </w:r>
            <w:r>
              <w:rPr>
                <w:rFonts w:ascii="Calibri"/>
                <w:sz w:val="14"/>
              </w:rPr>
              <w:t>90Q </w:t>
            </w:r>
            <w:r>
              <w:rPr>
                <w:rFonts w:ascii="Calibri"/>
                <w:position w:val="2"/>
                <w:sz w:val="22"/>
              </w:rPr>
              <w:t>dyb</w:t>
            </w:r>
          </w:p>
        </w:tc>
        <w:tc>
          <w:tcPr>
            <w:tcW w:w="1073" w:type="dxa"/>
            <w:shd w:val="clear" w:color="auto" w:fill="E1EEDA"/>
          </w:tcPr>
          <w:p>
            <w:pPr>
              <w:pStyle w:val="TableParagraph"/>
              <w:spacing w:before="45"/>
              <w:ind w:right="319"/>
              <w:jc w:val="right"/>
              <w:rPr>
                <w:rFonts w:ascii="Calibri"/>
                <w:sz w:val="22"/>
              </w:rPr>
            </w:pPr>
            <w:r>
              <w:rPr>
                <w:rFonts w:ascii="Calibri"/>
                <w:sz w:val="22"/>
              </w:rPr>
              <w:t>3.5</w:t>
            </w:r>
          </w:p>
        </w:tc>
        <w:tc>
          <w:tcPr>
            <w:tcW w:w="924" w:type="dxa"/>
            <w:tcBorders>
              <w:right w:val="single" w:sz="4" w:space="0" w:color="000000"/>
            </w:tcBorders>
            <w:shd w:val="clear" w:color="auto" w:fill="E1EEDA"/>
          </w:tcPr>
          <w:p>
            <w:pPr>
              <w:pStyle w:val="TableParagraph"/>
              <w:spacing w:before="45"/>
              <w:ind w:left="323"/>
              <w:jc w:val="left"/>
              <w:rPr>
                <w:rFonts w:ascii="Calibri"/>
                <w:sz w:val="22"/>
              </w:rPr>
            </w:pPr>
            <w:r>
              <w:rPr>
                <w:rFonts w:ascii="Calibri"/>
                <w:sz w:val="22"/>
              </w:rPr>
              <w:t>1.8</w:t>
            </w:r>
          </w:p>
        </w:tc>
        <w:tc>
          <w:tcPr>
            <w:tcW w:w="922" w:type="dxa"/>
            <w:tcBorders>
              <w:left w:val="single" w:sz="4" w:space="0" w:color="000000"/>
            </w:tcBorders>
            <w:shd w:val="clear" w:color="auto" w:fill="E1EEDA"/>
          </w:tcPr>
          <w:p>
            <w:pPr>
              <w:pStyle w:val="TableParagraph"/>
              <w:spacing w:before="45"/>
              <w:ind w:left="127" w:right="127"/>
              <w:rPr>
                <w:rFonts w:ascii="Calibri"/>
                <w:sz w:val="22"/>
              </w:rPr>
            </w:pPr>
            <w:r>
              <w:rPr>
                <w:rFonts w:ascii="Calibri"/>
                <w:sz w:val="22"/>
              </w:rPr>
              <w:t>3.6</w:t>
            </w:r>
          </w:p>
        </w:tc>
        <w:tc>
          <w:tcPr>
            <w:tcW w:w="923" w:type="dxa"/>
            <w:tcBorders>
              <w:right w:val="single" w:sz="4" w:space="0" w:color="000000"/>
            </w:tcBorders>
            <w:shd w:val="clear" w:color="auto" w:fill="E1EEDA"/>
          </w:tcPr>
          <w:p>
            <w:pPr>
              <w:pStyle w:val="TableParagraph"/>
              <w:spacing w:before="45"/>
              <w:ind w:left="135" w:right="127"/>
              <w:rPr>
                <w:rFonts w:ascii="Calibri"/>
                <w:sz w:val="22"/>
              </w:rPr>
            </w:pPr>
            <w:r>
              <w:rPr>
                <w:rFonts w:ascii="Calibri"/>
                <w:sz w:val="22"/>
              </w:rPr>
              <w:t>1.7</w:t>
            </w:r>
          </w:p>
        </w:tc>
        <w:tc>
          <w:tcPr>
            <w:tcW w:w="937" w:type="dxa"/>
            <w:tcBorders>
              <w:left w:val="single" w:sz="4" w:space="0" w:color="000000"/>
            </w:tcBorders>
            <w:shd w:val="clear" w:color="auto" w:fill="E1EEDA"/>
          </w:tcPr>
          <w:p>
            <w:pPr>
              <w:pStyle w:val="TableParagraph"/>
              <w:spacing w:before="45"/>
              <w:ind w:left="265" w:right="281"/>
              <w:rPr>
                <w:rFonts w:ascii="Calibri"/>
                <w:sz w:val="22"/>
              </w:rPr>
            </w:pPr>
            <w:r>
              <w:rPr>
                <w:rFonts w:ascii="Calibri"/>
                <w:sz w:val="22"/>
              </w:rPr>
              <w:t>2.6</w:t>
            </w:r>
          </w:p>
        </w:tc>
        <w:tc>
          <w:tcPr>
            <w:tcW w:w="906" w:type="dxa"/>
            <w:tcBorders>
              <w:right w:val="single" w:sz="4" w:space="0" w:color="000000"/>
            </w:tcBorders>
            <w:shd w:val="clear" w:color="auto" w:fill="E1EEDA"/>
          </w:tcPr>
          <w:p>
            <w:pPr>
              <w:pStyle w:val="TableParagraph"/>
              <w:spacing w:before="45"/>
              <w:ind w:left="306"/>
              <w:jc w:val="left"/>
              <w:rPr>
                <w:rFonts w:ascii="Calibri"/>
                <w:sz w:val="22"/>
              </w:rPr>
            </w:pPr>
            <w:r>
              <w:rPr>
                <w:rFonts w:ascii="Calibri"/>
                <w:sz w:val="22"/>
              </w:rPr>
              <w:t>1.9</w:t>
            </w:r>
          </w:p>
        </w:tc>
        <w:tc>
          <w:tcPr>
            <w:tcW w:w="922" w:type="dxa"/>
            <w:tcBorders>
              <w:left w:val="single" w:sz="4" w:space="0" w:color="000000"/>
            </w:tcBorders>
            <w:shd w:val="clear" w:color="auto" w:fill="E1EEDA"/>
          </w:tcPr>
          <w:p>
            <w:pPr>
              <w:pStyle w:val="TableParagraph"/>
              <w:spacing w:before="45"/>
              <w:ind w:left="317"/>
              <w:jc w:val="left"/>
              <w:rPr>
                <w:rFonts w:ascii="Calibri"/>
                <w:sz w:val="22"/>
              </w:rPr>
            </w:pPr>
            <w:r>
              <w:rPr>
                <w:rFonts w:ascii="Calibri"/>
                <w:sz w:val="22"/>
              </w:rPr>
              <w:t>3.6</w:t>
            </w:r>
          </w:p>
        </w:tc>
        <w:tc>
          <w:tcPr>
            <w:tcW w:w="922" w:type="dxa"/>
            <w:tcBorders>
              <w:right w:val="single" w:sz="4" w:space="0" w:color="000000"/>
            </w:tcBorders>
            <w:shd w:val="clear" w:color="auto" w:fill="E1EEDA"/>
          </w:tcPr>
          <w:p>
            <w:pPr>
              <w:pStyle w:val="TableParagraph"/>
              <w:spacing w:before="45"/>
              <w:ind w:left="134" w:right="122"/>
              <w:rPr>
                <w:rFonts w:ascii="Calibri"/>
                <w:sz w:val="22"/>
              </w:rPr>
            </w:pPr>
            <w:r>
              <w:rPr>
                <w:rFonts w:ascii="Calibri"/>
                <w:sz w:val="22"/>
              </w:rPr>
              <w:t>2.0</w:t>
            </w:r>
          </w:p>
        </w:tc>
      </w:tr>
    </w:tbl>
    <w:p>
      <w:pPr>
        <w:spacing w:after="0"/>
        <w:rPr>
          <w:rFonts w:ascii="Calibri"/>
          <w:sz w:val="22"/>
        </w:rPr>
        <w:sectPr>
          <w:pgSz w:w="11910" w:h="16850"/>
          <w:pgMar w:header="0" w:footer="857" w:top="1340" w:bottom="1120" w:left="1460" w:right="680"/>
        </w:sectPr>
      </w:pPr>
    </w:p>
    <w:p>
      <w:pPr>
        <w:spacing w:before="36"/>
        <w:ind w:left="525" w:right="0" w:firstLine="0"/>
        <w:jc w:val="left"/>
        <w:rPr>
          <w:rFonts w:ascii="Calibri" w:hAnsi="Calibri"/>
          <w:i/>
          <w:sz w:val="18"/>
        </w:rPr>
      </w:pPr>
      <w:r>
        <w:rPr>
          <w:rFonts w:ascii="Calibri" w:hAnsi="Calibri"/>
          <w:i/>
          <w:color w:val="44536A"/>
          <w:sz w:val="18"/>
        </w:rPr>
        <w:t>Tabel A2.4 Sammenligning af RSME og MAE for Odense Å</w:t>
      </w:r>
    </w:p>
    <w:p>
      <w:pPr>
        <w:pStyle w:val="BodyText"/>
        <w:rPr>
          <w:rFonts w:ascii="Calibri"/>
          <w:i/>
          <w:sz w:val="22"/>
        </w:rPr>
      </w:pPr>
    </w:p>
    <w:p>
      <w:pPr>
        <w:pStyle w:val="Heading3"/>
      </w:pPr>
      <w:r>
        <w:rPr/>
        <w:t>Performance statistik for simuleret trykniveau (2000-2008) Odense Å [m]. Middelfejl er angivet som obs –</w:t>
      </w:r>
      <w:r>
        <w:rPr>
          <w:spacing w:val="-3"/>
        </w:rPr>
        <w:t> </w:t>
      </w:r>
      <w:r>
        <w:rPr/>
        <w:t>sim.</w:t>
      </w:r>
    </w:p>
    <w:tbl>
      <w:tblPr>
        <w:tblW w:w="0" w:type="auto"/>
        <w:jc w:val="left"/>
        <w:tblInd w:w="6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20"/>
        <w:gridCol w:w="960"/>
        <w:gridCol w:w="922"/>
        <w:gridCol w:w="919"/>
        <w:gridCol w:w="922"/>
        <w:gridCol w:w="918"/>
        <w:gridCol w:w="923"/>
        <w:gridCol w:w="918"/>
        <w:gridCol w:w="922"/>
      </w:tblGrid>
      <w:tr>
        <w:trPr>
          <w:trHeight w:val="323" w:hRule="atLeast"/>
        </w:trPr>
        <w:tc>
          <w:tcPr>
            <w:tcW w:w="1620" w:type="dxa"/>
          </w:tcPr>
          <w:p>
            <w:pPr>
              <w:pStyle w:val="TableParagraph"/>
              <w:spacing w:before="16"/>
              <w:ind w:left="345"/>
              <w:jc w:val="left"/>
              <w:rPr>
                <w:rFonts w:ascii="Calibri"/>
                <w:sz w:val="22"/>
              </w:rPr>
            </w:pPr>
            <w:r>
              <w:rPr>
                <w:rFonts w:ascii="Calibri"/>
                <w:sz w:val="22"/>
              </w:rPr>
              <w:t>Kalibrering</w:t>
            </w:r>
          </w:p>
        </w:tc>
        <w:tc>
          <w:tcPr>
            <w:tcW w:w="1882" w:type="dxa"/>
            <w:gridSpan w:val="2"/>
            <w:tcBorders>
              <w:right w:val="single" w:sz="4" w:space="0" w:color="000000"/>
            </w:tcBorders>
          </w:tcPr>
          <w:p>
            <w:pPr>
              <w:pStyle w:val="TableParagraph"/>
              <w:spacing w:before="16"/>
              <w:ind w:left="280"/>
              <w:jc w:val="left"/>
              <w:rPr>
                <w:rFonts w:ascii="Calibri"/>
                <w:sz w:val="22"/>
              </w:rPr>
            </w:pPr>
            <w:r>
              <w:rPr>
                <w:rFonts w:ascii="Calibri"/>
                <w:sz w:val="22"/>
              </w:rPr>
              <w:t>100m_Jup+Reg</w:t>
            </w:r>
          </w:p>
        </w:tc>
        <w:tc>
          <w:tcPr>
            <w:tcW w:w="1841" w:type="dxa"/>
            <w:gridSpan w:val="2"/>
            <w:tcBorders>
              <w:left w:val="single" w:sz="4" w:space="0" w:color="000000"/>
              <w:right w:val="single" w:sz="4" w:space="0" w:color="000000"/>
            </w:tcBorders>
          </w:tcPr>
          <w:p>
            <w:pPr>
              <w:pStyle w:val="TableParagraph"/>
              <w:spacing w:before="16"/>
              <w:ind w:left="455"/>
              <w:jc w:val="left"/>
              <w:rPr>
                <w:rFonts w:ascii="Calibri"/>
                <w:sz w:val="22"/>
              </w:rPr>
            </w:pPr>
            <w:r>
              <w:rPr>
                <w:rFonts w:ascii="Calibri"/>
                <w:sz w:val="22"/>
              </w:rPr>
              <w:t>100m_Jup</w:t>
            </w:r>
          </w:p>
        </w:tc>
        <w:tc>
          <w:tcPr>
            <w:tcW w:w="1841" w:type="dxa"/>
            <w:gridSpan w:val="2"/>
            <w:tcBorders>
              <w:left w:val="single" w:sz="4" w:space="0" w:color="000000"/>
              <w:right w:val="single" w:sz="4" w:space="0" w:color="000000"/>
            </w:tcBorders>
          </w:tcPr>
          <w:p>
            <w:pPr>
              <w:pStyle w:val="TableParagraph"/>
              <w:spacing w:before="16"/>
              <w:ind w:left="232"/>
              <w:jc w:val="left"/>
              <w:rPr>
                <w:rFonts w:ascii="Calibri"/>
                <w:sz w:val="22"/>
              </w:rPr>
            </w:pPr>
            <w:r>
              <w:rPr>
                <w:rFonts w:ascii="Calibri"/>
                <w:sz w:val="22"/>
              </w:rPr>
              <w:t>500m_Jup+Reg</w:t>
            </w:r>
          </w:p>
        </w:tc>
        <w:tc>
          <w:tcPr>
            <w:tcW w:w="1840" w:type="dxa"/>
            <w:gridSpan w:val="2"/>
            <w:tcBorders>
              <w:left w:val="single" w:sz="4" w:space="0" w:color="000000"/>
              <w:right w:val="single" w:sz="4" w:space="0" w:color="000000"/>
            </w:tcBorders>
          </w:tcPr>
          <w:p>
            <w:pPr>
              <w:pStyle w:val="TableParagraph"/>
              <w:spacing w:before="16"/>
              <w:ind w:left="473"/>
              <w:jc w:val="left"/>
              <w:rPr>
                <w:rFonts w:ascii="Calibri"/>
                <w:sz w:val="22"/>
              </w:rPr>
            </w:pPr>
            <w:r>
              <w:rPr>
                <w:rFonts w:ascii="Calibri"/>
                <w:sz w:val="22"/>
              </w:rPr>
              <w:t>DK-model</w:t>
            </w:r>
          </w:p>
        </w:tc>
      </w:tr>
      <w:tr>
        <w:trPr>
          <w:trHeight w:val="290" w:hRule="atLeast"/>
        </w:trPr>
        <w:tc>
          <w:tcPr>
            <w:tcW w:w="1620" w:type="dxa"/>
            <w:tcBorders>
              <w:bottom w:val="single" w:sz="8" w:space="0" w:color="000000"/>
            </w:tcBorders>
          </w:tcPr>
          <w:p>
            <w:pPr>
              <w:pStyle w:val="TableParagraph"/>
              <w:jc w:val="left"/>
              <w:rPr>
                <w:rFonts w:ascii="Times New Roman"/>
                <w:sz w:val="20"/>
              </w:rPr>
            </w:pPr>
          </w:p>
        </w:tc>
        <w:tc>
          <w:tcPr>
            <w:tcW w:w="960" w:type="dxa"/>
            <w:tcBorders>
              <w:bottom w:val="single" w:sz="8" w:space="0" w:color="000000"/>
            </w:tcBorders>
          </w:tcPr>
          <w:p>
            <w:pPr>
              <w:pStyle w:val="TableParagraph"/>
              <w:spacing w:line="268" w:lineRule="exact"/>
              <w:ind w:left="174" w:right="134"/>
              <w:rPr>
                <w:rFonts w:ascii="Calibri"/>
                <w:sz w:val="22"/>
              </w:rPr>
            </w:pPr>
            <w:r>
              <w:rPr>
                <w:rFonts w:ascii="Calibri"/>
                <w:sz w:val="22"/>
              </w:rPr>
              <w:t>Jupiter</w:t>
            </w:r>
          </w:p>
        </w:tc>
        <w:tc>
          <w:tcPr>
            <w:tcW w:w="922" w:type="dxa"/>
            <w:tcBorders>
              <w:bottom w:val="single" w:sz="8" w:space="0" w:color="000000"/>
              <w:right w:val="single" w:sz="4" w:space="0" w:color="000000"/>
            </w:tcBorders>
          </w:tcPr>
          <w:p>
            <w:pPr>
              <w:pStyle w:val="TableParagraph"/>
              <w:spacing w:line="268" w:lineRule="exact"/>
              <w:ind w:left="134" w:right="126"/>
              <w:rPr>
                <w:rFonts w:ascii="Calibri"/>
                <w:sz w:val="22"/>
              </w:rPr>
            </w:pPr>
            <w:r>
              <w:rPr>
                <w:rFonts w:ascii="Calibri"/>
                <w:sz w:val="22"/>
              </w:rPr>
              <w:t>Region</w:t>
            </w:r>
          </w:p>
        </w:tc>
        <w:tc>
          <w:tcPr>
            <w:tcW w:w="919" w:type="dxa"/>
            <w:tcBorders>
              <w:left w:val="single" w:sz="4" w:space="0" w:color="000000"/>
              <w:bottom w:val="single" w:sz="8" w:space="0" w:color="000000"/>
            </w:tcBorders>
          </w:tcPr>
          <w:p>
            <w:pPr>
              <w:pStyle w:val="TableParagraph"/>
              <w:spacing w:line="268" w:lineRule="exact"/>
              <w:ind w:left="130" w:right="132"/>
              <w:rPr>
                <w:rFonts w:ascii="Calibri"/>
                <w:sz w:val="22"/>
              </w:rPr>
            </w:pPr>
            <w:r>
              <w:rPr>
                <w:rFonts w:ascii="Calibri"/>
                <w:sz w:val="22"/>
              </w:rPr>
              <w:t>Jupiter</w:t>
            </w:r>
          </w:p>
        </w:tc>
        <w:tc>
          <w:tcPr>
            <w:tcW w:w="922" w:type="dxa"/>
            <w:tcBorders>
              <w:bottom w:val="single" w:sz="8" w:space="0" w:color="000000"/>
              <w:right w:val="single" w:sz="4" w:space="0" w:color="000000"/>
            </w:tcBorders>
          </w:tcPr>
          <w:p>
            <w:pPr>
              <w:pStyle w:val="TableParagraph"/>
              <w:spacing w:line="268" w:lineRule="exact"/>
              <w:ind w:left="134" w:right="127"/>
              <w:rPr>
                <w:rFonts w:ascii="Calibri"/>
                <w:sz w:val="22"/>
              </w:rPr>
            </w:pPr>
            <w:r>
              <w:rPr>
                <w:rFonts w:ascii="Calibri"/>
                <w:sz w:val="22"/>
              </w:rPr>
              <w:t>Region</w:t>
            </w:r>
          </w:p>
        </w:tc>
        <w:tc>
          <w:tcPr>
            <w:tcW w:w="918" w:type="dxa"/>
            <w:tcBorders>
              <w:left w:val="single" w:sz="4" w:space="0" w:color="000000"/>
              <w:bottom w:val="single" w:sz="8" w:space="0" w:color="000000"/>
            </w:tcBorders>
          </w:tcPr>
          <w:p>
            <w:pPr>
              <w:pStyle w:val="TableParagraph"/>
              <w:spacing w:line="268" w:lineRule="exact"/>
              <w:ind w:left="128" w:right="133"/>
              <w:rPr>
                <w:rFonts w:ascii="Calibri"/>
                <w:sz w:val="22"/>
              </w:rPr>
            </w:pPr>
            <w:r>
              <w:rPr>
                <w:rFonts w:ascii="Calibri"/>
                <w:sz w:val="22"/>
              </w:rPr>
              <w:t>Jupiter</w:t>
            </w:r>
          </w:p>
        </w:tc>
        <w:tc>
          <w:tcPr>
            <w:tcW w:w="923" w:type="dxa"/>
            <w:tcBorders>
              <w:bottom w:val="single" w:sz="8" w:space="0" w:color="000000"/>
              <w:right w:val="single" w:sz="4" w:space="0" w:color="000000"/>
            </w:tcBorders>
          </w:tcPr>
          <w:p>
            <w:pPr>
              <w:pStyle w:val="TableParagraph"/>
              <w:spacing w:line="268" w:lineRule="exact"/>
              <w:ind w:left="136" w:right="127"/>
              <w:rPr>
                <w:rFonts w:ascii="Calibri"/>
                <w:sz w:val="22"/>
              </w:rPr>
            </w:pPr>
            <w:r>
              <w:rPr>
                <w:rFonts w:ascii="Calibri"/>
                <w:sz w:val="22"/>
              </w:rPr>
              <w:t>Region</w:t>
            </w:r>
          </w:p>
        </w:tc>
        <w:tc>
          <w:tcPr>
            <w:tcW w:w="918" w:type="dxa"/>
            <w:tcBorders>
              <w:left w:val="single" w:sz="4" w:space="0" w:color="000000"/>
              <w:bottom w:val="single" w:sz="8" w:space="0" w:color="000000"/>
            </w:tcBorders>
          </w:tcPr>
          <w:p>
            <w:pPr>
              <w:pStyle w:val="TableParagraph"/>
              <w:spacing w:line="268" w:lineRule="exact"/>
              <w:ind w:left="128" w:right="133"/>
              <w:rPr>
                <w:rFonts w:ascii="Calibri"/>
                <w:sz w:val="22"/>
              </w:rPr>
            </w:pPr>
            <w:r>
              <w:rPr>
                <w:rFonts w:ascii="Calibri"/>
                <w:sz w:val="22"/>
              </w:rPr>
              <w:t>Jupiter</w:t>
            </w:r>
          </w:p>
        </w:tc>
        <w:tc>
          <w:tcPr>
            <w:tcW w:w="922" w:type="dxa"/>
            <w:tcBorders>
              <w:bottom w:val="single" w:sz="8" w:space="0" w:color="000000"/>
              <w:right w:val="single" w:sz="4" w:space="0" w:color="000000"/>
            </w:tcBorders>
          </w:tcPr>
          <w:p>
            <w:pPr>
              <w:pStyle w:val="TableParagraph"/>
              <w:spacing w:line="268" w:lineRule="exact"/>
              <w:ind w:left="133" w:right="127"/>
              <w:rPr>
                <w:rFonts w:ascii="Calibri"/>
                <w:sz w:val="22"/>
              </w:rPr>
            </w:pPr>
            <w:r>
              <w:rPr>
                <w:rFonts w:ascii="Calibri"/>
                <w:sz w:val="22"/>
              </w:rPr>
              <w:t>Region</w:t>
            </w:r>
          </w:p>
        </w:tc>
      </w:tr>
      <w:tr>
        <w:trPr>
          <w:trHeight w:val="319" w:hRule="atLeast"/>
        </w:trPr>
        <w:tc>
          <w:tcPr>
            <w:tcW w:w="1620" w:type="dxa"/>
            <w:tcBorders>
              <w:top w:val="single" w:sz="8" w:space="0" w:color="000000"/>
            </w:tcBorders>
          </w:tcPr>
          <w:p>
            <w:pPr>
              <w:pStyle w:val="TableParagraph"/>
              <w:spacing w:before="15"/>
              <w:ind w:left="69"/>
              <w:jc w:val="left"/>
              <w:rPr>
                <w:rFonts w:ascii="Calibri"/>
                <w:sz w:val="22"/>
              </w:rPr>
            </w:pPr>
            <w:r>
              <w:rPr>
                <w:rFonts w:ascii="Calibri"/>
                <w:sz w:val="22"/>
              </w:rPr>
              <w:t>ME tn</w:t>
            </w:r>
          </w:p>
        </w:tc>
        <w:tc>
          <w:tcPr>
            <w:tcW w:w="960" w:type="dxa"/>
            <w:tcBorders>
              <w:top w:val="single" w:sz="8" w:space="0" w:color="000000"/>
            </w:tcBorders>
          </w:tcPr>
          <w:p>
            <w:pPr>
              <w:pStyle w:val="TableParagraph"/>
              <w:spacing w:before="15"/>
              <w:ind w:left="174" w:right="128"/>
              <w:rPr>
                <w:rFonts w:ascii="Calibri"/>
                <w:sz w:val="22"/>
              </w:rPr>
            </w:pPr>
            <w:r>
              <w:rPr>
                <w:rFonts w:ascii="Calibri"/>
                <w:sz w:val="22"/>
              </w:rPr>
              <w:t>2.3</w:t>
            </w:r>
          </w:p>
        </w:tc>
        <w:tc>
          <w:tcPr>
            <w:tcW w:w="922" w:type="dxa"/>
            <w:tcBorders>
              <w:top w:val="single" w:sz="8" w:space="0" w:color="000000"/>
              <w:right w:val="single" w:sz="4" w:space="0" w:color="000000"/>
            </w:tcBorders>
          </w:tcPr>
          <w:p>
            <w:pPr>
              <w:pStyle w:val="TableParagraph"/>
              <w:spacing w:before="15"/>
              <w:ind w:left="134" w:right="127"/>
              <w:rPr>
                <w:rFonts w:ascii="Calibri"/>
                <w:sz w:val="22"/>
              </w:rPr>
            </w:pPr>
            <w:r>
              <w:rPr>
                <w:rFonts w:ascii="Calibri"/>
                <w:sz w:val="22"/>
              </w:rPr>
              <w:t>0.8</w:t>
            </w:r>
          </w:p>
        </w:tc>
        <w:tc>
          <w:tcPr>
            <w:tcW w:w="919" w:type="dxa"/>
            <w:tcBorders>
              <w:top w:val="single" w:sz="8" w:space="0" w:color="000000"/>
              <w:left w:val="single" w:sz="4" w:space="0" w:color="000000"/>
            </w:tcBorders>
          </w:tcPr>
          <w:p>
            <w:pPr>
              <w:pStyle w:val="TableParagraph"/>
              <w:spacing w:before="15"/>
              <w:ind w:left="130" w:right="130"/>
              <w:rPr>
                <w:rFonts w:ascii="Calibri"/>
                <w:sz w:val="22"/>
              </w:rPr>
            </w:pPr>
            <w:r>
              <w:rPr>
                <w:rFonts w:ascii="Calibri"/>
                <w:sz w:val="22"/>
              </w:rPr>
              <w:t>1.9</w:t>
            </w:r>
          </w:p>
        </w:tc>
        <w:tc>
          <w:tcPr>
            <w:tcW w:w="922" w:type="dxa"/>
            <w:tcBorders>
              <w:top w:val="single" w:sz="8" w:space="0" w:color="000000"/>
              <w:right w:val="single" w:sz="4" w:space="0" w:color="000000"/>
            </w:tcBorders>
          </w:tcPr>
          <w:p>
            <w:pPr>
              <w:pStyle w:val="TableParagraph"/>
              <w:spacing w:before="15"/>
              <w:ind w:left="134" w:right="127"/>
              <w:rPr>
                <w:rFonts w:ascii="Calibri"/>
                <w:sz w:val="22"/>
              </w:rPr>
            </w:pPr>
            <w:r>
              <w:rPr>
                <w:rFonts w:ascii="Calibri"/>
                <w:sz w:val="22"/>
              </w:rPr>
              <w:t>0.4</w:t>
            </w:r>
          </w:p>
        </w:tc>
        <w:tc>
          <w:tcPr>
            <w:tcW w:w="918" w:type="dxa"/>
            <w:tcBorders>
              <w:top w:val="single" w:sz="8" w:space="0" w:color="000000"/>
              <w:left w:val="single" w:sz="4" w:space="0" w:color="000000"/>
            </w:tcBorders>
          </w:tcPr>
          <w:p>
            <w:pPr>
              <w:pStyle w:val="TableParagraph"/>
              <w:spacing w:before="15"/>
              <w:ind w:left="128" w:right="129"/>
              <w:rPr>
                <w:rFonts w:ascii="Calibri"/>
                <w:sz w:val="22"/>
              </w:rPr>
            </w:pPr>
            <w:r>
              <w:rPr>
                <w:rFonts w:ascii="Calibri"/>
                <w:sz w:val="22"/>
              </w:rPr>
              <w:t>1.3</w:t>
            </w:r>
          </w:p>
        </w:tc>
        <w:tc>
          <w:tcPr>
            <w:tcW w:w="923" w:type="dxa"/>
            <w:tcBorders>
              <w:top w:val="single" w:sz="8" w:space="0" w:color="000000"/>
              <w:right w:val="single" w:sz="4" w:space="0" w:color="000000"/>
            </w:tcBorders>
          </w:tcPr>
          <w:p>
            <w:pPr>
              <w:pStyle w:val="TableParagraph"/>
              <w:spacing w:before="15"/>
              <w:ind w:left="135" w:right="127"/>
              <w:rPr>
                <w:rFonts w:ascii="Calibri"/>
                <w:sz w:val="22"/>
              </w:rPr>
            </w:pPr>
            <w:r>
              <w:rPr>
                <w:rFonts w:ascii="Calibri"/>
                <w:sz w:val="22"/>
              </w:rPr>
              <w:t>0.4</w:t>
            </w:r>
          </w:p>
        </w:tc>
        <w:tc>
          <w:tcPr>
            <w:tcW w:w="918" w:type="dxa"/>
            <w:tcBorders>
              <w:top w:val="single" w:sz="8" w:space="0" w:color="000000"/>
              <w:left w:val="single" w:sz="4" w:space="0" w:color="000000"/>
            </w:tcBorders>
          </w:tcPr>
          <w:p>
            <w:pPr>
              <w:pStyle w:val="TableParagraph"/>
              <w:spacing w:before="15"/>
              <w:ind w:left="128" w:right="128"/>
              <w:rPr>
                <w:rFonts w:ascii="Calibri"/>
                <w:sz w:val="22"/>
              </w:rPr>
            </w:pPr>
            <w:r>
              <w:rPr>
                <w:rFonts w:ascii="Calibri"/>
                <w:sz w:val="22"/>
              </w:rPr>
              <w:t>-0.6</w:t>
            </w:r>
          </w:p>
        </w:tc>
        <w:tc>
          <w:tcPr>
            <w:tcW w:w="922" w:type="dxa"/>
            <w:tcBorders>
              <w:top w:val="single" w:sz="8" w:space="0" w:color="000000"/>
              <w:right w:val="single" w:sz="4" w:space="0" w:color="000000"/>
            </w:tcBorders>
          </w:tcPr>
          <w:p>
            <w:pPr>
              <w:pStyle w:val="TableParagraph"/>
              <w:spacing w:before="15"/>
              <w:ind w:left="132" w:right="127"/>
              <w:rPr>
                <w:rFonts w:ascii="Calibri"/>
                <w:sz w:val="22"/>
              </w:rPr>
            </w:pPr>
            <w:r>
              <w:rPr>
                <w:rFonts w:ascii="Calibri"/>
                <w:sz w:val="22"/>
              </w:rPr>
              <w:t>-1.3</w:t>
            </w:r>
          </w:p>
        </w:tc>
      </w:tr>
      <w:tr>
        <w:trPr>
          <w:trHeight w:val="282" w:hRule="atLeast"/>
        </w:trPr>
        <w:tc>
          <w:tcPr>
            <w:tcW w:w="1620" w:type="dxa"/>
          </w:tcPr>
          <w:p>
            <w:pPr>
              <w:pStyle w:val="TableParagraph"/>
              <w:spacing w:line="262" w:lineRule="exact"/>
              <w:ind w:left="69"/>
              <w:jc w:val="left"/>
              <w:rPr>
                <w:rFonts w:ascii="Calibri"/>
                <w:sz w:val="22"/>
              </w:rPr>
            </w:pPr>
            <w:r>
              <w:rPr>
                <w:rFonts w:ascii="Calibri"/>
                <w:sz w:val="22"/>
              </w:rPr>
              <w:t>MAE tn</w:t>
            </w:r>
          </w:p>
        </w:tc>
        <w:tc>
          <w:tcPr>
            <w:tcW w:w="960" w:type="dxa"/>
          </w:tcPr>
          <w:p>
            <w:pPr>
              <w:pStyle w:val="TableParagraph"/>
              <w:spacing w:line="262" w:lineRule="exact"/>
              <w:ind w:left="174" w:right="128"/>
              <w:rPr>
                <w:rFonts w:ascii="Calibri"/>
                <w:sz w:val="22"/>
              </w:rPr>
            </w:pPr>
            <w:r>
              <w:rPr>
                <w:rFonts w:ascii="Calibri"/>
                <w:sz w:val="22"/>
              </w:rPr>
              <w:t>3.7</w:t>
            </w:r>
          </w:p>
        </w:tc>
        <w:tc>
          <w:tcPr>
            <w:tcW w:w="922" w:type="dxa"/>
            <w:tcBorders>
              <w:right w:val="single" w:sz="4" w:space="0" w:color="000000"/>
            </w:tcBorders>
          </w:tcPr>
          <w:p>
            <w:pPr>
              <w:pStyle w:val="TableParagraph"/>
              <w:spacing w:line="262" w:lineRule="exact"/>
              <w:ind w:left="134" w:right="127"/>
              <w:rPr>
                <w:rFonts w:ascii="Calibri"/>
                <w:sz w:val="22"/>
              </w:rPr>
            </w:pPr>
            <w:r>
              <w:rPr>
                <w:rFonts w:ascii="Calibri"/>
                <w:sz w:val="22"/>
              </w:rPr>
              <w:t>3.1</w:t>
            </w:r>
          </w:p>
        </w:tc>
        <w:tc>
          <w:tcPr>
            <w:tcW w:w="919" w:type="dxa"/>
            <w:tcBorders>
              <w:left w:val="single" w:sz="4" w:space="0" w:color="000000"/>
            </w:tcBorders>
          </w:tcPr>
          <w:p>
            <w:pPr>
              <w:pStyle w:val="TableParagraph"/>
              <w:spacing w:line="262" w:lineRule="exact"/>
              <w:ind w:left="130" w:right="130"/>
              <w:rPr>
                <w:rFonts w:ascii="Calibri"/>
                <w:sz w:val="22"/>
              </w:rPr>
            </w:pPr>
            <w:r>
              <w:rPr>
                <w:rFonts w:ascii="Calibri"/>
                <w:sz w:val="22"/>
              </w:rPr>
              <w:t>3.3</w:t>
            </w:r>
          </w:p>
        </w:tc>
        <w:tc>
          <w:tcPr>
            <w:tcW w:w="922" w:type="dxa"/>
            <w:tcBorders>
              <w:right w:val="single" w:sz="4" w:space="0" w:color="000000"/>
            </w:tcBorders>
          </w:tcPr>
          <w:p>
            <w:pPr>
              <w:pStyle w:val="TableParagraph"/>
              <w:spacing w:line="262" w:lineRule="exact"/>
              <w:ind w:left="134" w:right="127"/>
              <w:rPr>
                <w:rFonts w:ascii="Calibri"/>
                <w:sz w:val="22"/>
              </w:rPr>
            </w:pPr>
            <w:r>
              <w:rPr>
                <w:rFonts w:ascii="Calibri"/>
                <w:sz w:val="22"/>
              </w:rPr>
              <w:t>3.0</w:t>
            </w:r>
          </w:p>
        </w:tc>
        <w:tc>
          <w:tcPr>
            <w:tcW w:w="918" w:type="dxa"/>
            <w:tcBorders>
              <w:left w:val="single" w:sz="4" w:space="0" w:color="000000"/>
            </w:tcBorders>
          </w:tcPr>
          <w:p>
            <w:pPr>
              <w:pStyle w:val="TableParagraph"/>
              <w:spacing w:line="262" w:lineRule="exact"/>
              <w:ind w:left="128" w:right="129"/>
              <w:rPr>
                <w:rFonts w:ascii="Calibri"/>
                <w:sz w:val="22"/>
              </w:rPr>
            </w:pPr>
            <w:r>
              <w:rPr>
                <w:rFonts w:ascii="Calibri"/>
                <w:sz w:val="22"/>
              </w:rPr>
              <w:t>2.9</w:t>
            </w:r>
          </w:p>
        </w:tc>
        <w:tc>
          <w:tcPr>
            <w:tcW w:w="923" w:type="dxa"/>
            <w:tcBorders>
              <w:right w:val="single" w:sz="4" w:space="0" w:color="000000"/>
            </w:tcBorders>
          </w:tcPr>
          <w:p>
            <w:pPr>
              <w:pStyle w:val="TableParagraph"/>
              <w:spacing w:line="262" w:lineRule="exact"/>
              <w:ind w:left="135" w:right="127"/>
              <w:rPr>
                <w:rFonts w:ascii="Calibri"/>
                <w:sz w:val="22"/>
              </w:rPr>
            </w:pPr>
            <w:r>
              <w:rPr>
                <w:rFonts w:ascii="Calibri"/>
                <w:sz w:val="22"/>
              </w:rPr>
              <w:t>3.9</w:t>
            </w:r>
          </w:p>
        </w:tc>
        <w:tc>
          <w:tcPr>
            <w:tcW w:w="918" w:type="dxa"/>
            <w:tcBorders>
              <w:left w:val="single" w:sz="4" w:space="0" w:color="000000"/>
            </w:tcBorders>
          </w:tcPr>
          <w:p>
            <w:pPr>
              <w:pStyle w:val="TableParagraph"/>
              <w:spacing w:line="262" w:lineRule="exact"/>
              <w:ind w:left="128" w:right="128"/>
              <w:rPr>
                <w:rFonts w:ascii="Calibri"/>
                <w:sz w:val="22"/>
              </w:rPr>
            </w:pPr>
            <w:r>
              <w:rPr>
                <w:rFonts w:ascii="Calibri"/>
                <w:sz w:val="22"/>
              </w:rPr>
              <w:t>3.0</w:t>
            </w:r>
          </w:p>
        </w:tc>
        <w:tc>
          <w:tcPr>
            <w:tcW w:w="922" w:type="dxa"/>
            <w:tcBorders>
              <w:right w:val="single" w:sz="4" w:space="0" w:color="000000"/>
            </w:tcBorders>
          </w:tcPr>
          <w:p>
            <w:pPr>
              <w:pStyle w:val="TableParagraph"/>
              <w:spacing w:line="262" w:lineRule="exact"/>
              <w:ind w:left="132" w:right="127"/>
              <w:rPr>
                <w:rFonts w:ascii="Calibri"/>
                <w:sz w:val="22"/>
              </w:rPr>
            </w:pPr>
            <w:r>
              <w:rPr>
                <w:rFonts w:ascii="Calibri"/>
                <w:sz w:val="22"/>
              </w:rPr>
              <w:t>3.6</w:t>
            </w:r>
          </w:p>
        </w:tc>
      </w:tr>
      <w:tr>
        <w:trPr>
          <w:trHeight w:val="300" w:hRule="atLeast"/>
        </w:trPr>
        <w:tc>
          <w:tcPr>
            <w:tcW w:w="1620" w:type="dxa"/>
            <w:shd w:val="clear" w:color="auto" w:fill="E1EEDA"/>
          </w:tcPr>
          <w:p>
            <w:pPr>
              <w:pStyle w:val="TableParagraph"/>
              <w:spacing w:line="266" w:lineRule="exact" w:before="13"/>
              <w:ind w:left="69"/>
              <w:jc w:val="left"/>
              <w:rPr>
                <w:rFonts w:ascii="Calibri"/>
                <w:sz w:val="22"/>
              </w:rPr>
            </w:pPr>
            <w:r>
              <w:rPr>
                <w:rFonts w:ascii="Calibri"/>
                <w:sz w:val="22"/>
              </w:rPr>
              <w:t>RMSE tn</w:t>
            </w:r>
          </w:p>
        </w:tc>
        <w:tc>
          <w:tcPr>
            <w:tcW w:w="960" w:type="dxa"/>
            <w:shd w:val="clear" w:color="auto" w:fill="E1EEDA"/>
          </w:tcPr>
          <w:p>
            <w:pPr>
              <w:pStyle w:val="TableParagraph"/>
              <w:spacing w:line="266" w:lineRule="exact" w:before="13"/>
              <w:ind w:left="174" w:right="128"/>
              <w:rPr>
                <w:rFonts w:ascii="Calibri"/>
                <w:sz w:val="22"/>
              </w:rPr>
            </w:pPr>
            <w:r>
              <w:rPr>
                <w:rFonts w:ascii="Calibri"/>
                <w:sz w:val="22"/>
              </w:rPr>
              <w:t>6.8</w:t>
            </w:r>
          </w:p>
        </w:tc>
        <w:tc>
          <w:tcPr>
            <w:tcW w:w="922" w:type="dxa"/>
            <w:tcBorders>
              <w:right w:val="single" w:sz="4" w:space="0" w:color="000000"/>
            </w:tcBorders>
            <w:shd w:val="clear" w:color="auto" w:fill="E1EEDA"/>
          </w:tcPr>
          <w:p>
            <w:pPr>
              <w:pStyle w:val="TableParagraph"/>
              <w:spacing w:line="266" w:lineRule="exact" w:before="13"/>
              <w:ind w:left="134" w:right="127"/>
              <w:rPr>
                <w:rFonts w:ascii="Calibri"/>
                <w:sz w:val="22"/>
              </w:rPr>
            </w:pPr>
            <w:r>
              <w:rPr>
                <w:rFonts w:ascii="Calibri"/>
                <w:sz w:val="22"/>
              </w:rPr>
              <w:t>7.9</w:t>
            </w:r>
          </w:p>
        </w:tc>
        <w:tc>
          <w:tcPr>
            <w:tcW w:w="919" w:type="dxa"/>
            <w:tcBorders>
              <w:left w:val="single" w:sz="4" w:space="0" w:color="000000"/>
            </w:tcBorders>
            <w:shd w:val="clear" w:color="auto" w:fill="E1EEDA"/>
          </w:tcPr>
          <w:p>
            <w:pPr>
              <w:pStyle w:val="TableParagraph"/>
              <w:spacing w:line="266" w:lineRule="exact" w:before="13"/>
              <w:ind w:left="130" w:right="130"/>
              <w:rPr>
                <w:rFonts w:ascii="Calibri"/>
                <w:sz w:val="22"/>
              </w:rPr>
            </w:pPr>
            <w:r>
              <w:rPr>
                <w:rFonts w:ascii="Calibri"/>
                <w:sz w:val="22"/>
              </w:rPr>
              <w:t>6.1</w:t>
            </w:r>
          </w:p>
        </w:tc>
        <w:tc>
          <w:tcPr>
            <w:tcW w:w="922" w:type="dxa"/>
            <w:tcBorders>
              <w:right w:val="single" w:sz="4" w:space="0" w:color="000000"/>
            </w:tcBorders>
            <w:shd w:val="clear" w:color="auto" w:fill="E1EEDA"/>
          </w:tcPr>
          <w:p>
            <w:pPr>
              <w:pStyle w:val="TableParagraph"/>
              <w:spacing w:line="266" w:lineRule="exact" w:before="13"/>
              <w:ind w:left="134" w:right="127"/>
              <w:rPr>
                <w:rFonts w:ascii="Calibri"/>
                <w:sz w:val="22"/>
              </w:rPr>
            </w:pPr>
            <w:r>
              <w:rPr>
                <w:rFonts w:ascii="Calibri"/>
                <w:sz w:val="22"/>
              </w:rPr>
              <w:t>8.0</w:t>
            </w:r>
          </w:p>
        </w:tc>
        <w:tc>
          <w:tcPr>
            <w:tcW w:w="918" w:type="dxa"/>
            <w:tcBorders>
              <w:left w:val="single" w:sz="4" w:space="0" w:color="000000"/>
            </w:tcBorders>
            <w:shd w:val="clear" w:color="auto" w:fill="E1EEDA"/>
          </w:tcPr>
          <w:p>
            <w:pPr>
              <w:pStyle w:val="TableParagraph"/>
              <w:spacing w:line="266" w:lineRule="exact" w:before="13"/>
              <w:ind w:left="128" w:right="129"/>
              <w:rPr>
                <w:rFonts w:ascii="Calibri"/>
                <w:sz w:val="22"/>
              </w:rPr>
            </w:pPr>
            <w:r>
              <w:rPr>
                <w:rFonts w:ascii="Calibri"/>
                <w:sz w:val="22"/>
              </w:rPr>
              <w:t>4.8</w:t>
            </w:r>
          </w:p>
        </w:tc>
        <w:tc>
          <w:tcPr>
            <w:tcW w:w="923" w:type="dxa"/>
            <w:tcBorders>
              <w:right w:val="single" w:sz="4" w:space="0" w:color="000000"/>
            </w:tcBorders>
            <w:shd w:val="clear" w:color="auto" w:fill="E1EEDA"/>
          </w:tcPr>
          <w:p>
            <w:pPr>
              <w:pStyle w:val="TableParagraph"/>
              <w:spacing w:line="266" w:lineRule="exact" w:before="13"/>
              <w:ind w:left="135" w:right="127"/>
              <w:rPr>
                <w:rFonts w:ascii="Calibri"/>
                <w:sz w:val="22"/>
              </w:rPr>
            </w:pPr>
            <w:r>
              <w:rPr>
                <w:rFonts w:ascii="Calibri"/>
                <w:sz w:val="22"/>
              </w:rPr>
              <w:t>9.5</w:t>
            </w:r>
          </w:p>
        </w:tc>
        <w:tc>
          <w:tcPr>
            <w:tcW w:w="918" w:type="dxa"/>
            <w:tcBorders>
              <w:left w:val="single" w:sz="4" w:space="0" w:color="000000"/>
            </w:tcBorders>
            <w:shd w:val="clear" w:color="auto" w:fill="E1EEDA"/>
          </w:tcPr>
          <w:p>
            <w:pPr>
              <w:pStyle w:val="TableParagraph"/>
              <w:spacing w:line="266" w:lineRule="exact" w:before="13"/>
              <w:ind w:left="128" w:right="128"/>
              <w:rPr>
                <w:rFonts w:ascii="Calibri"/>
                <w:sz w:val="22"/>
              </w:rPr>
            </w:pPr>
            <w:r>
              <w:rPr>
                <w:rFonts w:ascii="Calibri"/>
                <w:sz w:val="22"/>
              </w:rPr>
              <w:t>4.3</w:t>
            </w:r>
          </w:p>
        </w:tc>
        <w:tc>
          <w:tcPr>
            <w:tcW w:w="922" w:type="dxa"/>
            <w:tcBorders>
              <w:right w:val="single" w:sz="4" w:space="0" w:color="000000"/>
            </w:tcBorders>
            <w:shd w:val="clear" w:color="auto" w:fill="E1EEDA"/>
          </w:tcPr>
          <w:p>
            <w:pPr>
              <w:pStyle w:val="TableParagraph"/>
              <w:spacing w:line="266" w:lineRule="exact" w:before="13"/>
              <w:ind w:left="132" w:right="127"/>
              <w:rPr>
                <w:rFonts w:ascii="Calibri"/>
                <w:sz w:val="22"/>
              </w:rPr>
            </w:pPr>
            <w:r>
              <w:rPr>
                <w:rFonts w:ascii="Calibri"/>
                <w:sz w:val="22"/>
              </w:rPr>
              <w:t>9.2</w:t>
            </w:r>
          </w:p>
        </w:tc>
      </w:tr>
      <w:tr>
        <w:trPr>
          <w:trHeight w:val="317" w:hRule="atLeast"/>
        </w:trPr>
        <w:tc>
          <w:tcPr>
            <w:tcW w:w="1620" w:type="dxa"/>
          </w:tcPr>
          <w:p>
            <w:pPr>
              <w:pStyle w:val="TableParagraph"/>
              <w:spacing w:before="13"/>
              <w:ind w:left="69"/>
              <w:jc w:val="left"/>
              <w:rPr>
                <w:rFonts w:ascii="Calibri"/>
                <w:sz w:val="22"/>
              </w:rPr>
            </w:pPr>
            <w:r>
              <w:rPr>
                <w:rFonts w:ascii="Calibri"/>
                <w:sz w:val="22"/>
              </w:rPr>
              <w:t>ME dyb</w:t>
            </w:r>
          </w:p>
        </w:tc>
        <w:tc>
          <w:tcPr>
            <w:tcW w:w="960" w:type="dxa"/>
          </w:tcPr>
          <w:p>
            <w:pPr>
              <w:pStyle w:val="TableParagraph"/>
              <w:spacing w:before="13"/>
              <w:ind w:left="174" w:right="128"/>
              <w:rPr>
                <w:rFonts w:ascii="Calibri"/>
                <w:sz w:val="22"/>
              </w:rPr>
            </w:pPr>
            <w:r>
              <w:rPr>
                <w:rFonts w:ascii="Calibri"/>
                <w:sz w:val="22"/>
              </w:rPr>
              <w:t>1.0</w:t>
            </w:r>
          </w:p>
        </w:tc>
        <w:tc>
          <w:tcPr>
            <w:tcW w:w="922" w:type="dxa"/>
            <w:tcBorders>
              <w:right w:val="single" w:sz="4" w:space="0" w:color="000000"/>
            </w:tcBorders>
          </w:tcPr>
          <w:p>
            <w:pPr>
              <w:pStyle w:val="TableParagraph"/>
              <w:spacing w:before="13"/>
              <w:ind w:left="134" w:right="127"/>
              <w:rPr>
                <w:rFonts w:ascii="Calibri"/>
                <w:sz w:val="22"/>
              </w:rPr>
            </w:pPr>
            <w:r>
              <w:rPr>
                <w:rFonts w:ascii="Calibri"/>
                <w:sz w:val="22"/>
              </w:rPr>
              <w:t>0.1</w:t>
            </w:r>
          </w:p>
        </w:tc>
        <w:tc>
          <w:tcPr>
            <w:tcW w:w="919" w:type="dxa"/>
            <w:tcBorders>
              <w:left w:val="single" w:sz="4" w:space="0" w:color="000000"/>
            </w:tcBorders>
          </w:tcPr>
          <w:p>
            <w:pPr>
              <w:pStyle w:val="TableParagraph"/>
              <w:spacing w:before="13"/>
              <w:ind w:left="130" w:right="130"/>
              <w:rPr>
                <w:rFonts w:ascii="Calibri"/>
                <w:sz w:val="22"/>
              </w:rPr>
            </w:pPr>
            <w:r>
              <w:rPr>
                <w:rFonts w:ascii="Calibri"/>
                <w:sz w:val="22"/>
              </w:rPr>
              <w:t>0.8</w:t>
            </w:r>
          </w:p>
        </w:tc>
        <w:tc>
          <w:tcPr>
            <w:tcW w:w="922" w:type="dxa"/>
            <w:tcBorders>
              <w:right w:val="single" w:sz="4" w:space="0" w:color="000000"/>
            </w:tcBorders>
          </w:tcPr>
          <w:p>
            <w:pPr>
              <w:pStyle w:val="TableParagraph"/>
              <w:spacing w:before="13"/>
              <w:ind w:left="134" w:right="127"/>
              <w:rPr>
                <w:rFonts w:ascii="Calibri"/>
                <w:sz w:val="22"/>
              </w:rPr>
            </w:pPr>
            <w:r>
              <w:rPr>
                <w:rFonts w:ascii="Calibri"/>
                <w:sz w:val="22"/>
              </w:rPr>
              <w:t>-0.3</w:t>
            </w:r>
          </w:p>
        </w:tc>
        <w:tc>
          <w:tcPr>
            <w:tcW w:w="918" w:type="dxa"/>
            <w:tcBorders>
              <w:left w:val="single" w:sz="4" w:space="0" w:color="000000"/>
            </w:tcBorders>
          </w:tcPr>
          <w:p>
            <w:pPr>
              <w:pStyle w:val="TableParagraph"/>
              <w:spacing w:before="13"/>
              <w:ind w:left="128" w:right="129"/>
              <w:rPr>
                <w:rFonts w:ascii="Calibri"/>
                <w:sz w:val="22"/>
              </w:rPr>
            </w:pPr>
            <w:r>
              <w:rPr>
                <w:rFonts w:ascii="Calibri"/>
                <w:sz w:val="22"/>
              </w:rPr>
              <w:t>-0.1</w:t>
            </w:r>
          </w:p>
        </w:tc>
        <w:tc>
          <w:tcPr>
            <w:tcW w:w="923" w:type="dxa"/>
            <w:tcBorders>
              <w:right w:val="single" w:sz="4" w:space="0" w:color="000000"/>
            </w:tcBorders>
          </w:tcPr>
          <w:p>
            <w:pPr>
              <w:pStyle w:val="TableParagraph"/>
              <w:spacing w:before="13"/>
              <w:ind w:left="135" w:right="127"/>
              <w:rPr>
                <w:rFonts w:ascii="Calibri"/>
                <w:sz w:val="22"/>
              </w:rPr>
            </w:pPr>
            <w:r>
              <w:rPr>
                <w:rFonts w:ascii="Calibri"/>
                <w:sz w:val="22"/>
              </w:rPr>
              <w:t>-1.6</w:t>
            </w:r>
          </w:p>
        </w:tc>
        <w:tc>
          <w:tcPr>
            <w:tcW w:w="918" w:type="dxa"/>
            <w:tcBorders>
              <w:left w:val="single" w:sz="4" w:space="0" w:color="000000"/>
            </w:tcBorders>
          </w:tcPr>
          <w:p>
            <w:pPr>
              <w:pStyle w:val="TableParagraph"/>
              <w:spacing w:before="13"/>
              <w:ind w:left="128" w:right="128"/>
              <w:rPr>
                <w:rFonts w:ascii="Calibri"/>
                <w:sz w:val="22"/>
              </w:rPr>
            </w:pPr>
            <w:r>
              <w:rPr>
                <w:rFonts w:ascii="Calibri"/>
                <w:sz w:val="22"/>
              </w:rPr>
              <w:t>-0.8</w:t>
            </w:r>
          </w:p>
        </w:tc>
        <w:tc>
          <w:tcPr>
            <w:tcW w:w="922" w:type="dxa"/>
            <w:tcBorders>
              <w:right w:val="single" w:sz="4" w:space="0" w:color="000000"/>
            </w:tcBorders>
          </w:tcPr>
          <w:p>
            <w:pPr>
              <w:pStyle w:val="TableParagraph"/>
              <w:spacing w:before="13"/>
              <w:ind w:left="132" w:right="127"/>
              <w:rPr>
                <w:rFonts w:ascii="Calibri"/>
                <w:sz w:val="22"/>
              </w:rPr>
            </w:pPr>
            <w:r>
              <w:rPr>
                <w:rFonts w:ascii="Calibri"/>
                <w:sz w:val="22"/>
              </w:rPr>
              <w:t>-4.0</w:t>
            </w:r>
          </w:p>
        </w:tc>
      </w:tr>
      <w:tr>
        <w:trPr>
          <w:trHeight w:val="282" w:hRule="atLeast"/>
        </w:trPr>
        <w:tc>
          <w:tcPr>
            <w:tcW w:w="1620" w:type="dxa"/>
          </w:tcPr>
          <w:p>
            <w:pPr>
              <w:pStyle w:val="TableParagraph"/>
              <w:spacing w:line="262" w:lineRule="exact"/>
              <w:ind w:left="69"/>
              <w:jc w:val="left"/>
              <w:rPr>
                <w:rFonts w:ascii="Calibri"/>
                <w:sz w:val="22"/>
              </w:rPr>
            </w:pPr>
            <w:r>
              <w:rPr>
                <w:rFonts w:ascii="Calibri"/>
                <w:sz w:val="22"/>
              </w:rPr>
              <w:t>MAE dyb</w:t>
            </w:r>
          </w:p>
        </w:tc>
        <w:tc>
          <w:tcPr>
            <w:tcW w:w="960" w:type="dxa"/>
          </w:tcPr>
          <w:p>
            <w:pPr>
              <w:pStyle w:val="TableParagraph"/>
              <w:spacing w:line="262" w:lineRule="exact"/>
              <w:ind w:left="174" w:right="128"/>
              <w:rPr>
                <w:rFonts w:ascii="Calibri"/>
                <w:sz w:val="22"/>
              </w:rPr>
            </w:pPr>
            <w:r>
              <w:rPr>
                <w:rFonts w:ascii="Calibri"/>
                <w:sz w:val="22"/>
              </w:rPr>
              <w:t>2.9</w:t>
            </w:r>
          </w:p>
        </w:tc>
        <w:tc>
          <w:tcPr>
            <w:tcW w:w="922" w:type="dxa"/>
            <w:tcBorders>
              <w:right w:val="single" w:sz="4" w:space="0" w:color="000000"/>
            </w:tcBorders>
          </w:tcPr>
          <w:p>
            <w:pPr>
              <w:pStyle w:val="TableParagraph"/>
              <w:spacing w:line="262" w:lineRule="exact"/>
              <w:ind w:left="134" w:right="127"/>
              <w:rPr>
                <w:rFonts w:ascii="Calibri"/>
                <w:sz w:val="22"/>
              </w:rPr>
            </w:pPr>
            <w:r>
              <w:rPr>
                <w:rFonts w:ascii="Calibri"/>
                <w:sz w:val="22"/>
              </w:rPr>
              <w:t>2.0</w:t>
            </w:r>
          </w:p>
        </w:tc>
        <w:tc>
          <w:tcPr>
            <w:tcW w:w="919" w:type="dxa"/>
            <w:tcBorders>
              <w:left w:val="single" w:sz="4" w:space="0" w:color="000000"/>
            </w:tcBorders>
          </w:tcPr>
          <w:p>
            <w:pPr>
              <w:pStyle w:val="TableParagraph"/>
              <w:spacing w:line="262" w:lineRule="exact"/>
              <w:ind w:left="130" w:right="130"/>
              <w:rPr>
                <w:rFonts w:ascii="Calibri"/>
                <w:sz w:val="22"/>
              </w:rPr>
            </w:pPr>
            <w:r>
              <w:rPr>
                <w:rFonts w:ascii="Calibri"/>
                <w:sz w:val="22"/>
              </w:rPr>
              <w:t>2.8</w:t>
            </w:r>
          </w:p>
        </w:tc>
        <w:tc>
          <w:tcPr>
            <w:tcW w:w="922" w:type="dxa"/>
            <w:tcBorders>
              <w:right w:val="single" w:sz="4" w:space="0" w:color="000000"/>
            </w:tcBorders>
          </w:tcPr>
          <w:p>
            <w:pPr>
              <w:pStyle w:val="TableParagraph"/>
              <w:spacing w:line="262" w:lineRule="exact"/>
              <w:ind w:left="134" w:right="127"/>
              <w:rPr>
                <w:rFonts w:ascii="Calibri"/>
                <w:sz w:val="22"/>
              </w:rPr>
            </w:pPr>
            <w:r>
              <w:rPr>
                <w:rFonts w:ascii="Calibri"/>
                <w:sz w:val="22"/>
              </w:rPr>
              <w:t>2.2</w:t>
            </w:r>
          </w:p>
        </w:tc>
        <w:tc>
          <w:tcPr>
            <w:tcW w:w="918" w:type="dxa"/>
            <w:tcBorders>
              <w:left w:val="single" w:sz="4" w:space="0" w:color="000000"/>
            </w:tcBorders>
          </w:tcPr>
          <w:p>
            <w:pPr>
              <w:pStyle w:val="TableParagraph"/>
              <w:spacing w:line="262" w:lineRule="exact"/>
              <w:ind w:left="128" w:right="129"/>
              <w:rPr>
                <w:rFonts w:ascii="Calibri"/>
                <w:sz w:val="22"/>
              </w:rPr>
            </w:pPr>
            <w:r>
              <w:rPr>
                <w:rFonts w:ascii="Calibri"/>
                <w:sz w:val="22"/>
              </w:rPr>
              <w:t>2.5</w:t>
            </w:r>
          </w:p>
        </w:tc>
        <w:tc>
          <w:tcPr>
            <w:tcW w:w="923" w:type="dxa"/>
            <w:tcBorders>
              <w:right w:val="single" w:sz="4" w:space="0" w:color="000000"/>
            </w:tcBorders>
          </w:tcPr>
          <w:p>
            <w:pPr>
              <w:pStyle w:val="TableParagraph"/>
              <w:spacing w:line="262" w:lineRule="exact"/>
              <w:ind w:left="135" w:right="127"/>
              <w:rPr>
                <w:rFonts w:ascii="Calibri"/>
                <w:sz w:val="22"/>
              </w:rPr>
            </w:pPr>
            <w:r>
              <w:rPr>
                <w:rFonts w:ascii="Calibri"/>
                <w:sz w:val="22"/>
              </w:rPr>
              <w:t>3.2</w:t>
            </w:r>
          </w:p>
        </w:tc>
        <w:tc>
          <w:tcPr>
            <w:tcW w:w="918" w:type="dxa"/>
            <w:tcBorders>
              <w:left w:val="single" w:sz="4" w:space="0" w:color="000000"/>
            </w:tcBorders>
          </w:tcPr>
          <w:p>
            <w:pPr>
              <w:pStyle w:val="TableParagraph"/>
              <w:spacing w:line="262" w:lineRule="exact"/>
              <w:ind w:left="128" w:right="128"/>
              <w:rPr>
                <w:rFonts w:ascii="Calibri"/>
                <w:sz w:val="22"/>
              </w:rPr>
            </w:pPr>
            <w:r>
              <w:rPr>
                <w:rFonts w:ascii="Calibri"/>
                <w:sz w:val="22"/>
              </w:rPr>
              <w:t>3.5</w:t>
            </w:r>
          </w:p>
        </w:tc>
        <w:tc>
          <w:tcPr>
            <w:tcW w:w="922" w:type="dxa"/>
            <w:tcBorders>
              <w:right w:val="single" w:sz="4" w:space="0" w:color="000000"/>
            </w:tcBorders>
          </w:tcPr>
          <w:p>
            <w:pPr>
              <w:pStyle w:val="TableParagraph"/>
              <w:spacing w:line="262" w:lineRule="exact"/>
              <w:ind w:left="132" w:right="127"/>
              <w:rPr>
                <w:rFonts w:ascii="Calibri"/>
                <w:sz w:val="22"/>
              </w:rPr>
            </w:pPr>
            <w:r>
              <w:rPr>
                <w:rFonts w:ascii="Calibri"/>
                <w:sz w:val="22"/>
              </w:rPr>
              <w:t>4.2</w:t>
            </w:r>
          </w:p>
        </w:tc>
      </w:tr>
      <w:tr>
        <w:trPr>
          <w:trHeight w:val="300" w:hRule="atLeast"/>
        </w:trPr>
        <w:tc>
          <w:tcPr>
            <w:tcW w:w="1620" w:type="dxa"/>
            <w:shd w:val="clear" w:color="auto" w:fill="E1EEDA"/>
          </w:tcPr>
          <w:p>
            <w:pPr>
              <w:pStyle w:val="TableParagraph"/>
              <w:spacing w:line="266" w:lineRule="exact" w:before="13"/>
              <w:ind w:left="69"/>
              <w:jc w:val="left"/>
              <w:rPr>
                <w:rFonts w:ascii="Calibri"/>
                <w:sz w:val="22"/>
              </w:rPr>
            </w:pPr>
            <w:r>
              <w:rPr>
                <w:rFonts w:ascii="Calibri"/>
                <w:sz w:val="22"/>
              </w:rPr>
              <w:t>RMSE dyb</w:t>
            </w:r>
          </w:p>
        </w:tc>
        <w:tc>
          <w:tcPr>
            <w:tcW w:w="960" w:type="dxa"/>
            <w:shd w:val="clear" w:color="auto" w:fill="E1EEDA"/>
          </w:tcPr>
          <w:p>
            <w:pPr>
              <w:pStyle w:val="TableParagraph"/>
              <w:spacing w:line="266" w:lineRule="exact" w:before="13"/>
              <w:ind w:left="174" w:right="128"/>
              <w:rPr>
                <w:rFonts w:ascii="Calibri"/>
                <w:sz w:val="22"/>
              </w:rPr>
            </w:pPr>
            <w:r>
              <w:rPr>
                <w:rFonts w:ascii="Calibri"/>
                <w:sz w:val="22"/>
              </w:rPr>
              <w:t>4.6</w:t>
            </w:r>
          </w:p>
        </w:tc>
        <w:tc>
          <w:tcPr>
            <w:tcW w:w="922" w:type="dxa"/>
            <w:tcBorders>
              <w:right w:val="single" w:sz="4" w:space="0" w:color="000000"/>
            </w:tcBorders>
            <w:shd w:val="clear" w:color="auto" w:fill="E1EEDA"/>
          </w:tcPr>
          <w:p>
            <w:pPr>
              <w:pStyle w:val="TableParagraph"/>
              <w:spacing w:line="266" w:lineRule="exact" w:before="13"/>
              <w:ind w:left="134" w:right="127"/>
              <w:rPr>
                <w:rFonts w:ascii="Calibri"/>
                <w:sz w:val="22"/>
              </w:rPr>
            </w:pPr>
            <w:r>
              <w:rPr>
                <w:rFonts w:ascii="Calibri"/>
                <w:sz w:val="22"/>
              </w:rPr>
              <w:t>2.9</w:t>
            </w:r>
          </w:p>
        </w:tc>
        <w:tc>
          <w:tcPr>
            <w:tcW w:w="919" w:type="dxa"/>
            <w:tcBorders>
              <w:left w:val="single" w:sz="4" w:space="0" w:color="000000"/>
            </w:tcBorders>
            <w:shd w:val="clear" w:color="auto" w:fill="E1EEDA"/>
          </w:tcPr>
          <w:p>
            <w:pPr>
              <w:pStyle w:val="TableParagraph"/>
              <w:spacing w:line="266" w:lineRule="exact" w:before="13"/>
              <w:ind w:left="130" w:right="130"/>
              <w:rPr>
                <w:rFonts w:ascii="Calibri"/>
                <w:sz w:val="22"/>
              </w:rPr>
            </w:pPr>
            <w:r>
              <w:rPr>
                <w:rFonts w:ascii="Calibri"/>
                <w:sz w:val="22"/>
              </w:rPr>
              <w:t>4.5</w:t>
            </w:r>
          </w:p>
        </w:tc>
        <w:tc>
          <w:tcPr>
            <w:tcW w:w="922" w:type="dxa"/>
            <w:tcBorders>
              <w:right w:val="single" w:sz="4" w:space="0" w:color="000000"/>
            </w:tcBorders>
            <w:shd w:val="clear" w:color="auto" w:fill="E1EEDA"/>
          </w:tcPr>
          <w:p>
            <w:pPr>
              <w:pStyle w:val="TableParagraph"/>
              <w:spacing w:line="266" w:lineRule="exact" w:before="13"/>
              <w:ind w:left="134" w:right="127"/>
              <w:rPr>
                <w:rFonts w:ascii="Calibri"/>
                <w:sz w:val="22"/>
              </w:rPr>
            </w:pPr>
            <w:r>
              <w:rPr>
                <w:rFonts w:ascii="Calibri"/>
                <w:sz w:val="22"/>
              </w:rPr>
              <w:t>2.9</w:t>
            </w:r>
          </w:p>
        </w:tc>
        <w:tc>
          <w:tcPr>
            <w:tcW w:w="918" w:type="dxa"/>
            <w:tcBorders>
              <w:left w:val="single" w:sz="4" w:space="0" w:color="000000"/>
            </w:tcBorders>
            <w:shd w:val="clear" w:color="auto" w:fill="E1EEDA"/>
          </w:tcPr>
          <w:p>
            <w:pPr>
              <w:pStyle w:val="TableParagraph"/>
              <w:spacing w:line="266" w:lineRule="exact" w:before="13"/>
              <w:ind w:left="128" w:right="129"/>
              <w:rPr>
                <w:rFonts w:ascii="Calibri"/>
                <w:sz w:val="22"/>
              </w:rPr>
            </w:pPr>
            <w:r>
              <w:rPr>
                <w:rFonts w:ascii="Calibri"/>
                <w:sz w:val="22"/>
              </w:rPr>
              <w:t>3.8</w:t>
            </w:r>
          </w:p>
        </w:tc>
        <w:tc>
          <w:tcPr>
            <w:tcW w:w="923" w:type="dxa"/>
            <w:tcBorders>
              <w:right w:val="single" w:sz="4" w:space="0" w:color="000000"/>
            </w:tcBorders>
            <w:shd w:val="clear" w:color="auto" w:fill="E1EEDA"/>
          </w:tcPr>
          <w:p>
            <w:pPr>
              <w:pStyle w:val="TableParagraph"/>
              <w:spacing w:line="266" w:lineRule="exact" w:before="13"/>
              <w:ind w:left="135" w:right="127"/>
              <w:rPr>
                <w:rFonts w:ascii="Calibri"/>
                <w:sz w:val="22"/>
              </w:rPr>
            </w:pPr>
            <w:r>
              <w:rPr>
                <w:rFonts w:ascii="Calibri"/>
                <w:sz w:val="22"/>
              </w:rPr>
              <w:t>3.8</w:t>
            </w:r>
          </w:p>
        </w:tc>
        <w:tc>
          <w:tcPr>
            <w:tcW w:w="918" w:type="dxa"/>
            <w:tcBorders>
              <w:left w:val="single" w:sz="4" w:space="0" w:color="000000"/>
            </w:tcBorders>
            <w:shd w:val="clear" w:color="auto" w:fill="E1EEDA"/>
          </w:tcPr>
          <w:p>
            <w:pPr>
              <w:pStyle w:val="TableParagraph"/>
              <w:spacing w:line="266" w:lineRule="exact" w:before="13"/>
              <w:ind w:left="128" w:right="128"/>
              <w:rPr>
                <w:rFonts w:ascii="Calibri"/>
                <w:sz w:val="22"/>
              </w:rPr>
            </w:pPr>
            <w:r>
              <w:rPr>
                <w:rFonts w:ascii="Calibri"/>
                <w:sz w:val="22"/>
              </w:rPr>
              <w:t>5.1</w:t>
            </w:r>
          </w:p>
        </w:tc>
        <w:tc>
          <w:tcPr>
            <w:tcW w:w="922" w:type="dxa"/>
            <w:tcBorders>
              <w:right w:val="single" w:sz="4" w:space="0" w:color="000000"/>
            </w:tcBorders>
            <w:shd w:val="clear" w:color="auto" w:fill="E1EEDA"/>
          </w:tcPr>
          <w:p>
            <w:pPr>
              <w:pStyle w:val="TableParagraph"/>
              <w:spacing w:line="266" w:lineRule="exact" w:before="13"/>
              <w:ind w:left="132" w:right="127"/>
              <w:rPr>
                <w:rFonts w:ascii="Calibri"/>
                <w:sz w:val="22"/>
              </w:rPr>
            </w:pPr>
            <w:r>
              <w:rPr>
                <w:rFonts w:ascii="Calibri"/>
                <w:sz w:val="22"/>
              </w:rPr>
              <w:t>5.7</w:t>
            </w:r>
          </w:p>
        </w:tc>
      </w:tr>
      <w:tr>
        <w:trPr>
          <w:trHeight w:val="379" w:hRule="atLeast"/>
        </w:trPr>
        <w:tc>
          <w:tcPr>
            <w:tcW w:w="1620" w:type="dxa"/>
            <w:shd w:val="clear" w:color="auto" w:fill="D9D9D9"/>
          </w:tcPr>
          <w:p>
            <w:pPr>
              <w:pStyle w:val="TableParagraph"/>
              <w:spacing w:before="45"/>
              <w:ind w:left="69"/>
              <w:jc w:val="left"/>
              <w:rPr>
                <w:rFonts w:ascii="Calibri"/>
                <w:sz w:val="22"/>
              </w:rPr>
            </w:pPr>
            <w:r>
              <w:rPr>
                <w:rFonts w:ascii="Calibri"/>
                <w:sz w:val="22"/>
              </w:rPr>
              <w:t>ME90Q tn</w:t>
            </w:r>
          </w:p>
        </w:tc>
        <w:tc>
          <w:tcPr>
            <w:tcW w:w="960" w:type="dxa"/>
            <w:shd w:val="clear" w:color="auto" w:fill="D9D9D9"/>
          </w:tcPr>
          <w:p>
            <w:pPr>
              <w:pStyle w:val="TableParagraph"/>
              <w:spacing w:before="45"/>
              <w:ind w:left="174" w:right="128"/>
              <w:rPr>
                <w:rFonts w:ascii="Calibri"/>
                <w:sz w:val="22"/>
              </w:rPr>
            </w:pPr>
            <w:r>
              <w:rPr>
                <w:rFonts w:ascii="Calibri"/>
                <w:sz w:val="22"/>
              </w:rPr>
              <w:t>0.5</w:t>
            </w:r>
          </w:p>
        </w:tc>
        <w:tc>
          <w:tcPr>
            <w:tcW w:w="922" w:type="dxa"/>
            <w:tcBorders>
              <w:right w:val="single" w:sz="4" w:space="0" w:color="000000"/>
            </w:tcBorders>
            <w:shd w:val="clear" w:color="auto" w:fill="D9D9D9"/>
          </w:tcPr>
          <w:p>
            <w:pPr>
              <w:pStyle w:val="TableParagraph"/>
              <w:spacing w:before="45"/>
              <w:ind w:left="134" w:right="127"/>
              <w:rPr>
                <w:rFonts w:ascii="Calibri"/>
                <w:sz w:val="22"/>
              </w:rPr>
            </w:pPr>
            <w:r>
              <w:rPr>
                <w:rFonts w:ascii="Calibri"/>
                <w:sz w:val="22"/>
              </w:rPr>
              <w:t>0.0</w:t>
            </w:r>
          </w:p>
        </w:tc>
        <w:tc>
          <w:tcPr>
            <w:tcW w:w="919" w:type="dxa"/>
            <w:tcBorders>
              <w:left w:val="single" w:sz="4" w:space="0" w:color="000000"/>
            </w:tcBorders>
            <w:shd w:val="clear" w:color="auto" w:fill="D9D9D9"/>
          </w:tcPr>
          <w:p>
            <w:pPr>
              <w:pStyle w:val="TableParagraph"/>
              <w:spacing w:before="45"/>
              <w:ind w:left="130" w:right="130"/>
              <w:rPr>
                <w:rFonts w:ascii="Calibri"/>
                <w:sz w:val="22"/>
              </w:rPr>
            </w:pPr>
            <w:r>
              <w:rPr>
                <w:rFonts w:ascii="Calibri"/>
                <w:sz w:val="22"/>
              </w:rPr>
              <w:t>0.3</w:t>
            </w:r>
          </w:p>
        </w:tc>
        <w:tc>
          <w:tcPr>
            <w:tcW w:w="922" w:type="dxa"/>
            <w:tcBorders>
              <w:right w:val="single" w:sz="4" w:space="0" w:color="000000"/>
            </w:tcBorders>
            <w:shd w:val="clear" w:color="auto" w:fill="D9D9D9"/>
          </w:tcPr>
          <w:p>
            <w:pPr>
              <w:pStyle w:val="TableParagraph"/>
              <w:spacing w:before="45"/>
              <w:ind w:left="134" w:right="127"/>
              <w:rPr>
                <w:rFonts w:ascii="Calibri"/>
                <w:sz w:val="22"/>
              </w:rPr>
            </w:pPr>
            <w:r>
              <w:rPr>
                <w:rFonts w:ascii="Calibri"/>
                <w:sz w:val="22"/>
              </w:rPr>
              <w:t>-0.2</w:t>
            </w:r>
          </w:p>
        </w:tc>
        <w:tc>
          <w:tcPr>
            <w:tcW w:w="918" w:type="dxa"/>
            <w:tcBorders>
              <w:left w:val="single" w:sz="4" w:space="0" w:color="000000"/>
            </w:tcBorders>
            <w:shd w:val="clear" w:color="auto" w:fill="D9D9D9"/>
          </w:tcPr>
          <w:p>
            <w:pPr>
              <w:pStyle w:val="TableParagraph"/>
              <w:spacing w:before="45"/>
              <w:ind w:left="128" w:right="129"/>
              <w:rPr>
                <w:rFonts w:ascii="Calibri"/>
                <w:sz w:val="22"/>
              </w:rPr>
            </w:pPr>
            <w:r>
              <w:rPr>
                <w:rFonts w:ascii="Calibri"/>
                <w:sz w:val="22"/>
              </w:rPr>
              <w:t>0.1</w:t>
            </w:r>
          </w:p>
        </w:tc>
        <w:tc>
          <w:tcPr>
            <w:tcW w:w="923" w:type="dxa"/>
            <w:tcBorders>
              <w:right w:val="single" w:sz="4" w:space="0" w:color="000000"/>
            </w:tcBorders>
            <w:shd w:val="clear" w:color="auto" w:fill="D9D9D9"/>
          </w:tcPr>
          <w:p>
            <w:pPr>
              <w:pStyle w:val="TableParagraph"/>
              <w:spacing w:before="45"/>
              <w:ind w:left="135" w:right="127"/>
              <w:rPr>
                <w:rFonts w:ascii="Calibri"/>
                <w:sz w:val="22"/>
              </w:rPr>
            </w:pPr>
            <w:r>
              <w:rPr>
                <w:rFonts w:ascii="Calibri"/>
                <w:sz w:val="22"/>
              </w:rPr>
              <w:t>0.1</w:t>
            </w:r>
          </w:p>
        </w:tc>
        <w:tc>
          <w:tcPr>
            <w:tcW w:w="918" w:type="dxa"/>
            <w:tcBorders>
              <w:left w:val="single" w:sz="4" w:space="0" w:color="000000"/>
            </w:tcBorders>
            <w:shd w:val="clear" w:color="auto" w:fill="D9D9D9"/>
          </w:tcPr>
          <w:p>
            <w:pPr>
              <w:pStyle w:val="TableParagraph"/>
              <w:spacing w:before="45"/>
              <w:ind w:left="128" w:right="128"/>
              <w:rPr>
                <w:rFonts w:ascii="Calibri"/>
                <w:sz w:val="22"/>
              </w:rPr>
            </w:pPr>
            <w:r>
              <w:rPr>
                <w:rFonts w:ascii="Calibri"/>
                <w:sz w:val="22"/>
              </w:rPr>
              <w:t>-1.2</w:t>
            </w:r>
          </w:p>
        </w:tc>
        <w:tc>
          <w:tcPr>
            <w:tcW w:w="922" w:type="dxa"/>
            <w:tcBorders>
              <w:right w:val="single" w:sz="4" w:space="0" w:color="000000"/>
            </w:tcBorders>
            <w:shd w:val="clear" w:color="auto" w:fill="D9D9D9"/>
          </w:tcPr>
          <w:p>
            <w:pPr>
              <w:pStyle w:val="TableParagraph"/>
              <w:spacing w:before="45"/>
              <w:ind w:left="132" w:right="127"/>
              <w:rPr>
                <w:rFonts w:ascii="Calibri"/>
                <w:sz w:val="22"/>
              </w:rPr>
            </w:pPr>
            <w:r>
              <w:rPr>
                <w:rFonts w:ascii="Calibri"/>
                <w:sz w:val="22"/>
              </w:rPr>
              <w:t>-1.1</w:t>
            </w:r>
          </w:p>
        </w:tc>
      </w:tr>
      <w:tr>
        <w:trPr>
          <w:trHeight w:val="341" w:hRule="atLeast"/>
        </w:trPr>
        <w:tc>
          <w:tcPr>
            <w:tcW w:w="1620" w:type="dxa"/>
            <w:shd w:val="clear" w:color="auto" w:fill="D9D9D9"/>
          </w:tcPr>
          <w:p>
            <w:pPr>
              <w:pStyle w:val="TableParagraph"/>
              <w:spacing w:before="26"/>
              <w:ind w:left="69"/>
              <w:jc w:val="left"/>
              <w:rPr>
                <w:rFonts w:ascii="Calibri"/>
                <w:sz w:val="22"/>
              </w:rPr>
            </w:pPr>
            <w:r>
              <w:rPr>
                <w:rFonts w:ascii="Calibri"/>
                <w:sz w:val="22"/>
              </w:rPr>
              <w:t>MAE90Q tn</w:t>
            </w:r>
          </w:p>
        </w:tc>
        <w:tc>
          <w:tcPr>
            <w:tcW w:w="960" w:type="dxa"/>
            <w:shd w:val="clear" w:color="auto" w:fill="D9D9D9"/>
          </w:tcPr>
          <w:p>
            <w:pPr>
              <w:pStyle w:val="TableParagraph"/>
              <w:spacing w:before="26"/>
              <w:ind w:left="174" w:right="128"/>
              <w:rPr>
                <w:rFonts w:ascii="Calibri"/>
                <w:sz w:val="22"/>
              </w:rPr>
            </w:pPr>
            <w:r>
              <w:rPr>
                <w:rFonts w:ascii="Calibri"/>
                <w:sz w:val="22"/>
              </w:rPr>
              <w:t>2.0</w:t>
            </w:r>
          </w:p>
        </w:tc>
        <w:tc>
          <w:tcPr>
            <w:tcW w:w="922" w:type="dxa"/>
            <w:tcBorders>
              <w:right w:val="single" w:sz="4" w:space="0" w:color="000000"/>
            </w:tcBorders>
            <w:shd w:val="clear" w:color="auto" w:fill="D9D9D9"/>
          </w:tcPr>
          <w:p>
            <w:pPr>
              <w:pStyle w:val="TableParagraph"/>
              <w:spacing w:before="26"/>
              <w:ind w:left="134" w:right="127"/>
              <w:rPr>
                <w:rFonts w:ascii="Calibri"/>
                <w:sz w:val="22"/>
              </w:rPr>
            </w:pPr>
            <w:r>
              <w:rPr>
                <w:rFonts w:ascii="Calibri"/>
                <w:sz w:val="22"/>
              </w:rPr>
              <w:t>1.4</w:t>
            </w:r>
          </w:p>
        </w:tc>
        <w:tc>
          <w:tcPr>
            <w:tcW w:w="919" w:type="dxa"/>
            <w:tcBorders>
              <w:left w:val="single" w:sz="4" w:space="0" w:color="000000"/>
            </w:tcBorders>
            <w:shd w:val="clear" w:color="auto" w:fill="D9D9D9"/>
          </w:tcPr>
          <w:p>
            <w:pPr>
              <w:pStyle w:val="TableParagraph"/>
              <w:spacing w:before="26"/>
              <w:ind w:left="130" w:right="130"/>
              <w:rPr>
                <w:rFonts w:ascii="Calibri"/>
                <w:sz w:val="22"/>
              </w:rPr>
            </w:pPr>
            <w:r>
              <w:rPr>
                <w:rFonts w:ascii="Calibri"/>
                <w:sz w:val="22"/>
              </w:rPr>
              <w:t>1.9</w:t>
            </w:r>
          </w:p>
        </w:tc>
        <w:tc>
          <w:tcPr>
            <w:tcW w:w="922" w:type="dxa"/>
            <w:tcBorders>
              <w:right w:val="single" w:sz="4" w:space="0" w:color="000000"/>
            </w:tcBorders>
            <w:shd w:val="clear" w:color="auto" w:fill="D9D9D9"/>
          </w:tcPr>
          <w:p>
            <w:pPr>
              <w:pStyle w:val="TableParagraph"/>
              <w:spacing w:before="26"/>
              <w:ind w:left="134" w:right="127"/>
              <w:rPr>
                <w:rFonts w:ascii="Calibri"/>
                <w:sz w:val="22"/>
              </w:rPr>
            </w:pPr>
            <w:r>
              <w:rPr>
                <w:rFonts w:ascii="Calibri"/>
                <w:sz w:val="22"/>
              </w:rPr>
              <w:t>1.4</w:t>
            </w:r>
          </w:p>
        </w:tc>
        <w:tc>
          <w:tcPr>
            <w:tcW w:w="918" w:type="dxa"/>
            <w:tcBorders>
              <w:left w:val="single" w:sz="4" w:space="0" w:color="000000"/>
            </w:tcBorders>
            <w:shd w:val="clear" w:color="auto" w:fill="D9D9D9"/>
          </w:tcPr>
          <w:p>
            <w:pPr>
              <w:pStyle w:val="TableParagraph"/>
              <w:spacing w:before="26"/>
              <w:ind w:left="128" w:right="129"/>
              <w:rPr>
                <w:rFonts w:ascii="Calibri"/>
                <w:sz w:val="22"/>
              </w:rPr>
            </w:pPr>
            <w:r>
              <w:rPr>
                <w:rFonts w:ascii="Calibri"/>
                <w:sz w:val="22"/>
              </w:rPr>
              <w:t>1.9</w:t>
            </w:r>
          </w:p>
        </w:tc>
        <w:tc>
          <w:tcPr>
            <w:tcW w:w="923" w:type="dxa"/>
            <w:tcBorders>
              <w:right w:val="single" w:sz="4" w:space="0" w:color="000000"/>
            </w:tcBorders>
            <w:shd w:val="clear" w:color="auto" w:fill="D9D9D9"/>
          </w:tcPr>
          <w:p>
            <w:pPr>
              <w:pStyle w:val="TableParagraph"/>
              <w:spacing w:before="26"/>
              <w:ind w:left="135" w:right="127"/>
              <w:rPr>
                <w:rFonts w:ascii="Calibri"/>
                <w:sz w:val="22"/>
              </w:rPr>
            </w:pPr>
            <w:r>
              <w:rPr>
                <w:rFonts w:ascii="Calibri"/>
                <w:sz w:val="22"/>
              </w:rPr>
              <w:t>1.9</w:t>
            </w:r>
          </w:p>
        </w:tc>
        <w:tc>
          <w:tcPr>
            <w:tcW w:w="918" w:type="dxa"/>
            <w:tcBorders>
              <w:left w:val="single" w:sz="4" w:space="0" w:color="000000"/>
            </w:tcBorders>
            <w:shd w:val="clear" w:color="auto" w:fill="D9D9D9"/>
          </w:tcPr>
          <w:p>
            <w:pPr>
              <w:pStyle w:val="TableParagraph"/>
              <w:spacing w:before="26"/>
              <w:ind w:left="128" w:right="128"/>
              <w:rPr>
                <w:rFonts w:ascii="Calibri"/>
                <w:sz w:val="22"/>
              </w:rPr>
            </w:pPr>
            <w:r>
              <w:rPr>
                <w:rFonts w:ascii="Calibri"/>
                <w:sz w:val="22"/>
              </w:rPr>
              <w:t>2.2</w:t>
            </w:r>
          </w:p>
        </w:tc>
        <w:tc>
          <w:tcPr>
            <w:tcW w:w="922" w:type="dxa"/>
            <w:tcBorders>
              <w:right w:val="single" w:sz="4" w:space="0" w:color="000000"/>
            </w:tcBorders>
            <w:shd w:val="clear" w:color="auto" w:fill="D9D9D9"/>
          </w:tcPr>
          <w:p>
            <w:pPr>
              <w:pStyle w:val="TableParagraph"/>
              <w:spacing w:before="26"/>
              <w:ind w:left="132" w:right="127"/>
              <w:rPr>
                <w:rFonts w:ascii="Calibri"/>
                <w:sz w:val="22"/>
              </w:rPr>
            </w:pPr>
            <w:r>
              <w:rPr>
                <w:rFonts w:ascii="Calibri"/>
                <w:sz w:val="22"/>
              </w:rPr>
              <w:t>1.8</w:t>
            </w:r>
          </w:p>
        </w:tc>
      </w:tr>
      <w:tr>
        <w:trPr>
          <w:trHeight w:val="360" w:hRule="atLeast"/>
        </w:trPr>
        <w:tc>
          <w:tcPr>
            <w:tcW w:w="1620" w:type="dxa"/>
            <w:shd w:val="clear" w:color="auto" w:fill="E1EEDA"/>
          </w:tcPr>
          <w:p>
            <w:pPr>
              <w:pStyle w:val="TableParagraph"/>
              <w:spacing w:before="45"/>
              <w:ind w:left="69"/>
              <w:jc w:val="left"/>
              <w:rPr>
                <w:rFonts w:ascii="Calibri"/>
                <w:sz w:val="22"/>
              </w:rPr>
            </w:pPr>
            <w:r>
              <w:rPr>
                <w:rFonts w:ascii="Calibri"/>
                <w:sz w:val="22"/>
              </w:rPr>
              <w:t>RMSE90Q tn</w:t>
            </w:r>
          </w:p>
        </w:tc>
        <w:tc>
          <w:tcPr>
            <w:tcW w:w="960" w:type="dxa"/>
            <w:shd w:val="clear" w:color="auto" w:fill="E1EEDA"/>
          </w:tcPr>
          <w:p>
            <w:pPr>
              <w:pStyle w:val="TableParagraph"/>
              <w:spacing w:before="45"/>
              <w:ind w:left="174" w:right="128"/>
              <w:rPr>
                <w:rFonts w:ascii="Calibri"/>
                <w:sz w:val="22"/>
              </w:rPr>
            </w:pPr>
            <w:r>
              <w:rPr>
                <w:rFonts w:ascii="Calibri"/>
                <w:sz w:val="22"/>
              </w:rPr>
              <w:t>2.9</w:t>
            </w:r>
          </w:p>
        </w:tc>
        <w:tc>
          <w:tcPr>
            <w:tcW w:w="922" w:type="dxa"/>
            <w:tcBorders>
              <w:right w:val="single" w:sz="4" w:space="0" w:color="000000"/>
            </w:tcBorders>
            <w:shd w:val="clear" w:color="auto" w:fill="E1EEDA"/>
          </w:tcPr>
          <w:p>
            <w:pPr>
              <w:pStyle w:val="TableParagraph"/>
              <w:spacing w:before="45"/>
              <w:ind w:left="134" w:right="127"/>
              <w:rPr>
                <w:rFonts w:ascii="Calibri"/>
                <w:sz w:val="22"/>
              </w:rPr>
            </w:pPr>
            <w:r>
              <w:rPr>
                <w:rFonts w:ascii="Calibri"/>
                <w:sz w:val="22"/>
              </w:rPr>
              <w:t>1.8</w:t>
            </w:r>
          </w:p>
        </w:tc>
        <w:tc>
          <w:tcPr>
            <w:tcW w:w="919" w:type="dxa"/>
            <w:tcBorders>
              <w:left w:val="single" w:sz="4" w:space="0" w:color="000000"/>
            </w:tcBorders>
            <w:shd w:val="clear" w:color="auto" w:fill="E1EEDA"/>
          </w:tcPr>
          <w:p>
            <w:pPr>
              <w:pStyle w:val="TableParagraph"/>
              <w:spacing w:before="45"/>
              <w:ind w:left="130" w:right="130"/>
              <w:rPr>
                <w:rFonts w:ascii="Calibri"/>
                <w:sz w:val="22"/>
              </w:rPr>
            </w:pPr>
            <w:r>
              <w:rPr>
                <w:rFonts w:ascii="Calibri"/>
                <w:sz w:val="22"/>
              </w:rPr>
              <w:t>2.6</w:t>
            </w:r>
          </w:p>
        </w:tc>
        <w:tc>
          <w:tcPr>
            <w:tcW w:w="922" w:type="dxa"/>
            <w:tcBorders>
              <w:right w:val="single" w:sz="4" w:space="0" w:color="000000"/>
            </w:tcBorders>
            <w:shd w:val="clear" w:color="auto" w:fill="E1EEDA"/>
          </w:tcPr>
          <w:p>
            <w:pPr>
              <w:pStyle w:val="TableParagraph"/>
              <w:spacing w:before="45"/>
              <w:ind w:left="134" w:right="127"/>
              <w:rPr>
                <w:rFonts w:ascii="Calibri"/>
                <w:sz w:val="22"/>
              </w:rPr>
            </w:pPr>
            <w:r>
              <w:rPr>
                <w:rFonts w:ascii="Calibri"/>
                <w:sz w:val="22"/>
              </w:rPr>
              <w:t>1.7</w:t>
            </w:r>
          </w:p>
        </w:tc>
        <w:tc>
          <w:tcPr>
            <w:tcW w:w="918" w:type="dxa"/>
            <w:tcBorders>
              <w:left w:val="single" w:sz="4" w:space="0" w:color="000000"/>
            </w:tcBorders>
            <w:shd w:val="clear" w:color="auto" w:fill="E1EEDA"/>
          </w:tcPr>
          <w:p>
            <w:pPr>
              <w:pStyle w:val="TableParagraph"/>
              <w:spacing w:before="45"/>
              <w:ind w:left="128" w:right="129"/>
              <w:rPr>
                <w:rFonts w:ascii="Calibri"/>
                <w:sz w:val="22"/>
              </w:rPr>
            </w:pPr>
            <w:r>
              <w:rPr>
                <w:rFonts w:ascii="Calibri"/>
                <w:sz w:val="22"/>
              </w:rPr>
              <w:t>2.5</w:t>
            </w:r>
          </w:p>
        </w:tc>
        <w:tc>
          <w:tcPr>
            <w:tcW w:w="923" w:type="dxa"/>
            <w:tcBorders>
              <w:right w:val="single" w:sz="4" w:space="0" w:color="000000"/>
            </w:tcBorders>
            <w:shd w:val="clear" w:color="auto" w:fill="E1EEDA"/>
          </w:tcPr>
          <w:p>
            <w:pPr>
              <w:pStyle w:val="TableParagraph"/>
              <w:spacing w:before="45"/>
              <w:ind w:left="135" w:right="127"/>
              <w:rPr>
                <w:rFonts w:ascii="Calibri"/>
                <w:sz w:val="22"/>
              </w:rPr>
            </w:pPr>
            <w:r>
              <w:rPr>
                <w:rFonts w:ascii="Calibri"/>
                <w:sz w:val="22"/>
              </w:rPr>
              <w:t>2.3</w:t>
            </w:r>
          </w:p>
        </w:tc>
        <w:tc>
          <w:tcPr>
            <w:tcW w:w="918" w:type="dxa"/>
            <w:tcBorders>
              <w:left w:val="single" w:sz="4" w:space="0" w:color="000000"/>
            </w:tcBorders>
            <w:shd w:val="clear" w:color="auto" w:fill="E1EEDA"/>
          </w:tcPr>
          <w:p>
            <w:pPr>
              <w:pStyle w:val="TableParagraph"/>
              <w:spacing w:before="45"/>
              <w:ind w:left="128" w:right="128"/>
              <w:rPr>
                <w:rFonts w:ascii="Calibri"/>
                <w:sz w:val="22"/>
              </w:rPr>
            </w:pPr>
            <w:r>
              <w:rPr>
                <w:rFonts w:ascii="Calibri"/>
                <w:sz w:val="22"/>
              </w:rPr>
              <w:t>2.6</w:t>
            </w:r>
          </w:p>
        </w:tc>
        <w:tc>
          <w:tcPr>
            <w:tcW w:w="922" w:type="dxa"/>
            <w:tcBorders>
              <w:right w:val="single" w:sz="4" w:space="0" w:color="000000"/>
            </w:tcBorders>
            <w:shd w:val="clear" w:color="auto" w:fill="E1EEDA"/>
          </w:tcPr>
          <w:p>
            <w:pPr>
              <w:pStyle w:val="TableParagraph"/>
              <w:spacing w:before="45"/>
              <w:ind w:left="132" w:right="127"/>
              <w:rPr>
                <w:rFonts w:ascii="Calibri"/>
                <w:sz w:val="22"/>
              </w:rPr>
            </w:pPr>
            <w:r>
              <w:rPr>
                <w:rFonts w:ascii="Calibri"/>
                <w:sz w:val="22"/>
              </w:rPr>
              <w:t>2.2</w:t>
            </w:r>
          </w:p>
        </w:tc>
      </w:tr>
      <w:tr>
        <w:trPr>
          <w:trHeight w:val="379" w:hRule="atLeast"/>
        </w:trPr>
        <w:tc>
          <w:tcPr>
            <w:tcW w:w="1620" w:type="dxa"/>
            <w:shd w:val="clear" w:color="auto" w:fill="D9D9D9"/>
          </w:tcPr>
          <w:p>
            <w:pPr>
              <w:pStyle w:val="TableParagraph"/>
              <w:spacing w:before="45"/>
              <w:ind w:left="69"/>
              <w:jc w:val="left"/>
              <w:rPr>
                <w:rFonts w:ascii="Calibri"/>
                <w:sz w:val="22"/>
              </w:rPr>
            </w:pPr>
            <w:r>
              <w:rPr>
                <w:rFonts w:ascii="Calibri"/>
                <w:sz w:val="22"/>
              </w:rPr>
              <w:t>ME90Q dyb</w:t>
            </w:r>
          </w:p>
        </w:tc>
        <w:tc>
          <w:tcPr>
            <w:tcW w:w="960" w:type="dxa"/>
            <w:shd w:val="clear" w:color="auto" w:fill="D9D9D9"/>
          </w:tcPr>
          <w:p>
            <w:pPr>
              <w:pStyle w:val="TableParagraph"/>
              <w:spacing w:before="45"/>
              <w:ind w:left="174" w:right="128"/>
              <w:rPr>
                <w:rFonts w:ascii="Calibri"/>
                <w:sz w:val="22"/>
              </w:rPr>
            </w:pPr>
            <w:r>
              <w:rPr>
                <w:rFonts w:ascii="Calibri"/>
                <w:sz w:val="22"/>
              </w:rPr>
              <w:t>0.0</w:t>
            </w:r>
          </w:p>
        </w:tc>
        <w:tc>
          <w:tcPr>
            <w:tcW w:w="922" w:type="dxa"/>
            <w:tcBorders>
              <w:right w:val="single" w:sz="4" w:space="0" w:color="000000"/>
            </w:tcBorders>
            <w:shd w:val="clear" w:color="auto" w:fill="D9D9D9"/>
          </w:tcPr>
          <w:p>
            <w:pPr>
              <w:pStyle w:val="TableParagraph"/>
              <w:spacing w:before="45"/>
              <w:ind w:left="134" w:right="127"/>
              <w:rPr>
                <w:rFonts w:ascii="Calibri"/>
                <w:sz w:val="22"/>
              </w:rPr>
            </w:pPr>
            <w:r>
              <w:rPr>
                <w:rFonts w:ascii="Calibri"/>
                <w:sz w:val="22"/>
              </w:rPr>
              <w:t>-0.1</w:t>
            </w:r>
          </w:p>
        </w:tc>
        <w:tc>
          <w:tcPr>
            <w:tcW w:w="919" w:type="dxa"/>
            <w:tcBorders>
              <w:left w:val="single" w:sz="4" w:space="0" w:color="000000"/>
            </w:tcBorders>
            <w:shd w:val="clear" w:color="auto" w:fill="D9D9D9"/>
          </w:tcPr>
          <w:p>
            <w:pPr>
              <w:pStyle w:val="TableParagraph"/>
              <w:spacing w:before="45"/>
              <w:ind w:left="130" w:right="130"/>
              <w:rPr>
                <w:rFonts w:ascii="Calibri"/>
                <w:sz w:val="22"/>
              </w:rPr>
            </w:pPr>
            <w:r>
              <w:rPr>
                <w:rFonts w:ascii="Calibri"/>
                <w:sz w:val="22"/>
              </w:rPr>
              <w:t>-0.1</w:t>
            </w:r>
          </w:p>
        </w:tc>
        <w:tc>
          <w:tcPr>
            <w:tcW w:w="922" w:type="dxa"/>
            <w:tcBorders>
              <w:right w:val="single" w:sz="4" w:space="0" w:color="000000"/>
            </w:tcBorders>
            <w:shd w:val="clear" w:color="auto" w:fill="D9D9D9"/>
          </w:tcPr>
          <w:p>
            <w:pPr>
              <w:pStyle w:val="TableParagraph"/>
              <w:spacing w:before="45"/>
              <w:ind w:left="134" w:right="127"/>
              <w:rPr>
                <w:rFonts w:ascii="Calibri"/>
                <w:sz w:val="22"/>
              </w:rPr>
            </w:pPr>
            <w:r>
              <w:rPr>
                <w:rFonts w:ascii="Calibri"/>
                <w:sz w:val="22"/>
              </w:rPr>
              <w:t>-0.4</w:t>
            </w:r>
          </w:p>
        </w:tc>
        <w:tc>
          <w:tcPr>
            <w:tcW w:w="918" w:type="dxa"/>
            <w:tcBorders>
              <w:left w:val="single" w:sz="4" w:space="0" w:color="000000"/>
            </w:tcBorders>
            <w:shd w:val="clear" w:color="auto" w:fill="D9D9D9"/>
          </w:tcPr>
          <w:p>
            <w:pPr>
              <w:pStyle w:val="TableParagraph"/>
              <w:spacing w:before="45"/>
              <w:ind w:left="128" w:right="129"/>
              <w:rPr>
                <w:rFonts w:ascii="Calibri"/>
                <w:sz w:val="22"/>
              </w:rPr>
            </w:pPr>
            <w:r>
              <w:rPr>
                <w:rFonts w:ascii="Calibri"/>
                <w:sz w:val="22"/>
              </w:rPr>
              <w:t>-0.5</w:t>
            </w:r>
          </w:p>
        </w:tc>
        <w:tc>
          <w:tcPr>
            <w:tcW w:w="923" w:type="dxa"/>
            <w:tcBorders>
              <w:right w:val="single" w:sz="4" w:space="0" w:color="000000"/>
            </w:tcBorders>
            <w:shd w:val="clear" w:color="auto" w:fill="D9D9D9"/>
          </w:tcPr>
          <w:p>
            <w:pPr>
              <w:pStyle w:val="TableParagraph"/>
              <w:spacing w:before="45"/>
              <w:ind w:left="135" w:right="127"/>
              <w:rPr>
                <w:rFonts w:ascii="Calibri"/>
                <w:sz w:val="22"/>
              </w:rPr>
            </w:pPr>
            <w:r>
              <w:rPr>
                <w:rFonts w:ascii="Calibri"/>
                <w:sz w:val="22"/>
              </w:rPr>
              <w:t>-0.9</w:t>
            </w:r>
          </w:p>
        </w:tc>
        <w:tc>
          <w:tcPr>
            <w:tcW w:w="918" w:type="dxa"/>
            <w:tcBorders>
              <w:left w:val="single" w:sz="4" w:space="0" w:color="000000"/>
            </w:tcBorders>
            <w:shd w:val="clear" w:color="auto" w:fill="D9D9D9"/>
          </w:tcPr>
          <w:p>
            <w:pPr>
              <w:pStyle w:val="TableParagraph"/>
              <w:spacing w:before="45"/>
              <w:ind w:left="128" w:right="128"/>
              <w:rPr>
                <w:rFonts w:ascii="Calibri"/>
                <w:sz w:val="22"/>
              </w:rPr>
            </w:pPr>
            <w:r>
              <w:rPr>
                <w:rFonts w:ascii="Calibri"/>
                <w:sz w:val="22"/>
              </w:rPr>
              <w:t>-1.6</w:t>
            </w:r>
          </w:p>
        </w:tc>
        <w:tc>
          <w:tcPr>
            <w:tcW w:w="922" w:type="dxa"/>
            <w:tcBorders>
              <w:right w:val="single" w:sz="4" w:space="0" w:color="000000"/>
            </w:tcBorders>
            <w:shd w:val="clear" w:color="auto" w:fill="D9D9D9"/>
          </w:tcPr>
          <w:p>
            <w:pPr>
              <w:pStyle w:val="TableParagraph"/>
              <w:spacing w:before="45"/>
              <w:ind w:left="132" w:right="127"/>
              <w:rPr>
                <w:rFonts w:ascii="Calibri"/>
                <w:sz w:val="22"/>
              </w:rPr>
            </w:pPr>
            <w:r>
              <w:rPr>
                <w:rFonts w:ascii="Calibri"/>
                <w:sz w:val="22"/>
              </w:rPr>
              <w:t>-3.0</w:t>
            </w:r>
          </w:p>
        </w:tc>
      </w:tr>
      <w:tr>
        <w:trPr>
          <w:trHeight w:val="340" w:hRule="atLeast"/>
        </w:trPr>
        <w:tc>
          <w:tcPr>
            <w:tcW w:w="1620" w:type="dxa"/>
            <w:shd w:val="clear" w:color="auto" w:fill="D9D9D9"/>
          </w:tcPr>
          <w:p>
            <w:pPr>
              <w:pStyle w:val="TableParagraph"/>
              <w:spacing w:before="25"/>
              <w:ind w:left="69"/>
              <w:jc w:val="left"/>
              <w:rPr>
                <w:rFonts w:ascii="Calibri"/>
                <w:sz w:val="22"/>
              </w:rPr>
            </w:pPr>
            <w:r>
              <w:rPr>
                <w:rFonts w:ascii="Calibri"/>
                <w:sz w:val="22"/>
              </w:rPr>
              <w:t>MAE90Q dyb</w:t>
            </w:r>
          </w:p>
        </w:tc>
        <w:tc>
          <w:tcPr>
            <w:tcW w:w="960" w:type="dxa"/>
            <w:shd w:val="clear" w:color="auto" w:fill="D9D9D9"/>
          </w:tcPr>
          <w:p>
            <w:pPr>
              <w:pStyle w:val="TableParagraph"/>
              <w:spacing w:before="25"/>
              <w:ind w:left="174" w:right="128"/>
              <w:rPr>
                <w:rFonts w:ascii="Calibri"/>
                <w:sz w:val="22"/>
              </w:rPr>
            </w:pPr>
            <w:r>
              <w:rPr>
                <w:rFonts w:ascii="Calibri"/>
                <w:sz w:val="22"/>
              </w:rPr>
              <w:t>1.9</w:t>
            </w:r>
          </w:p>
        </w:tc>
        <w:tc>
          <w:tcPr>
            <w:tcW w:w="922" w:type="dxa"/>
            <w:tcBorders>
              <w:right w:val="single" w:sz="4" w:space="0" w:color="000000"/>
            </w:tcBorders>
            <w:shd w:val="clear" w:color="auto" w:fill="D9D9D9"/>
          </w:tcPr>
          <w:p>
            <w:pPr>
              <w:pStyle w:val="TableParagraph"/>
              <w:spacing w:before="25"/>
              <w:ind w:left="134" w:right="127"/>
              <w:rPr>
                <w:rFonts w:ascii="Calibri"/>
                <w:sz w:val="22"/>
              </w:rPr>
            </w:pPr>
            <w:r>
              <w:rPr>
                <w:rFonts w:ascii="Calibri"/>
                <w:sz w:val="22"/>
              </w:rPr>
              <w:t>1.4</w:t>
            </w:r>
          </w:p>
        </w:tc>
        <w:tc>
          <w:tcPr>
            <w:tcW w:w="919" w:type="dxa"/>
            <w:tcBorders>
              <w:left w:val="single" w:sz="4" w:space="0" w:color="000000"/>
            </w:tcBorders>
            <w:shd w:val="clear" w:color="auto" w:fill="D9D9D9"/>
          </w:tcPr>
          <w:p>
            <w:pPr>
              <w:pStyle w:val="TableParagraph"/>
              <w:spacing w:before="25"/>
              <w:ind w:left="130" w:right="130"/>
              <w:rPr>
                <w:rFonts w:ascii="Calibri"/>
                <w:sz w:val="22"/>
              </w:rPr>
            </w:pPr>
            <w:r>
              <w:rPr>
                <w:rFonts w:ascii="Calibri"/>
                <w:sz w:val="22"/>
              </w:rPr>
              <w:t>1.9</w:t>
            </w:r>
          </w:p>
        </w:tc>
        <w:tc>
          <w:tcPr>
            <w:tcW w:w="922" w:type="dxa"/>
            <w:tcBorders>
              <w:right w:val="single" w:sz="4" w:space="0" w:color="000000"/>
            </w:tcBorders>
            <w:shd w:val="clear" w:color="auto" w:fill="D9D9D9"/>
          </w:tcPr>
          <w:p>
            <w:pPr>
              <w:pStyle w:val="TableParagraph"/>
              <w:spacing w:before="25"/>
              <w:ind w:left="134" w:right="127"/>
              <w:rPr>
                <w:rFonts w:ascii="Calibri"/>
                <w:sz w:val="22"/>
              </w:rPr>
            </w:pPr>
            <w:r>
              <w:rPr>
                <w:rFonts w:ascii="Calibri"/>
                <w:sz w:val="22"/>
              </w:rPr>
              <w:t>1.6</w:t>
            </w:r>
          </w:p>
        </w:tc>
        <w:tc>
          <w:tcPr>
            <w:tcW w:w="918" w:type="dxa"/>
            <w:tcBorders>
              <w:left w:val="single" w:sz="4" w:space="0" w:color="000000"/>
            </w:tcBorders>
            <w:shd w:val="clear" w:color="auto" w:fill="D9D9D9"/>
          </w:tcPr>
          <w:p>
            <w:pPr>
              <w:pStyle w:val="TableParagraph"/>
              <w:spacing w:before="25"/>
              <w:ind w:left="128" w:right="129"/>
              <w:rPr>
                <w:rFonts w:ascii="Calibri"/>
                <w:sz w:val="22"/>
              </w:rPr>
            </w:pPr>
            <w:r>
              <w:rPr>
                <w:rFonts w:ascii="Calibri"/>
                <w:sz w:val="22"/>
              </w:rPr>
              <w:t>1.9</w:t>
            </w:r>
          </w:p>
        </w:tc>
        <w:tc>
          <w:tcPr>
            <w:tcW w:w="923" w:type="dxa"/>
            <w:tcBorders>
              <w:right w:val="single" w:sz="4" w:space="0" w:color="000000"/>
            </w:tcBorders>
            <w:shd w:val="clear" w:color="auto" w:fill="D9D9D9"/>
          </w:tcPr>
          <w:p>
            <w:pPr>
              <w:pStyle w:val="TableParagraph"/>
              <w:spacing w:before="25"/>
              <w:ind w:left="135" w:right="127"/>
              <w:rPr>
                <w:rFonts w:ascii="Calibri"/>
                <w:sz w:val="22"/>
              </w:rPr>
            </w:pPr>
            <w:r>
              <w:rPr>
                <w:rFonts w:ascii="Calibri"/>
                <w:sz w:val="22"/>
              </w:rPr>
              <w:t>2.8</w:t>
            </w:r>
          </w:p>
        </w:tc>
        <w:tc>
          <w:tcPr>
            <w:tcW w:w="918" w:type="dxa"/>
            <w:tcBorders>
              <w:left w:val="single" w:sz="4" w:space="0" w:color="000000"/>
            </w:tcBorders>
            <w:shd w:val="clear" w:color="auto" w:fill="D9D9D9"/>
          </w:tcPr>
          <w:p>
            <w:pPr>
              <w:pStyle w:val="TableParagraph"/>
              <w:spacing w:before="25"/>
              <w:ind w:left="128" w:right="128"/>
              <w:rPr>
                <w:rFonts w:ascii="Calibri"/>
                <w:sz w:val="22"/>
              </w:rPr>
            </w:pPr>
            <w:r>
              <w:rPr>
                <w:rFonts w:ascii="Calibri"/>
                <w:sz w:val="22"/>
              </w:rPr>
              <w:t>2.6</w:t>
            </w:r>
          </w:p>
        </w:tc>
        <w:tc>
          <w:tcPr>
            <w:tcW w:w="922" w:type="dxa"/>
            <w:tcBorders>
              <w:right w:val="single" w:sz="4" w:space="0" w:color="000000"/>
            </w:tcBorders>
            <w:shd w:val="clear" w:color="auto" w:fill="D9D9D9"/>
          </w:tcPr>
          <w:p>
            <w:pPr>
              <w:pStyle w:val="TableParagraph"/>
              <w:spacing w:before="25"/>
              <w:ind w:left="132" w:right="127"/>
              <w:rPr>
                <w:rFonts w:ascii="Calibri"/>
                <w:sz w:val="22"/>
              </w:rPr>
            </w:pPr>
            <w:r>
              <w:rPr>
                <w:rFonts w:ascii="Calibri"/>
                <w:sz w:val="22"/>
              </w:rPr>
              <w:t>3.2</w:t>
            </w:r>
          </w:p>
        </w:tc>
      </w:tr>
      <w:tr>
        <w:trPr>
          <w:trHeight w:val="360" w:hRule="atLeast"/>
        </w:trPr>
        <w:tc>
          <w:tcPr>
            <w:tcW w:w="1620" w:type="dxa"/>
            <w:shd w:val="clear" w:color="auto" w:fill="E1EEDA"/>
          </w:tcPr>
          <w:p>
            <w:pPr>
              <w:pStyle w:val="TableParagraph"/>
              <w:spacing w:before="45"/>
              <w:ind w:left="69"/>
              <w:jc w:val="left"/>
              <w:rPr>
                <w:rFonts w:ascii="Calibri"/>
                <w:sz w:val="22"/>
              </w:rPr>
            </w:pPr>
            <w:r>
              <w:rPr>
                <w:rFonts w:ascii="Calibri"/>
                <w:sz w:val="22"/>
              </w:rPr>
              <w:t>RMSE90Q dyb</w:t>
            </w:r>
          </w:p>
        </w:tc>
        <w:tc>
          <w:tcPr>
            <w:tcW w:w="960" w:type="dxa"/>
            <w:shd w:val="clear" w:color="auto" w:fill="E1EEDA"/>
          </w:tcPr>
          <w:p>
            <w:pPr>
              <w:pStyle w:val="TableParagraph"/>
              <w:spacing w:before="45"/>
              <w:ind w:left="174" w:right="128"/>
              <w:rPr>
                <w:rFonts w:ascii="Calibri"/>
                <w:sz w:val="22"/>
              </w:rPr>
            </w:pPr>
            <w:r>
              <w:rPr>
                <w:rFonts w:ascii="Calibri"/>
                <w:sz w:val="22"/>
              </w:rPr>
              <w:t>2.4</w:t>
            </w:r>
          </w:p>
        </w:tc>
        <w:tc>
          <w:tcPr>
            <w:tcW w:w="922" w:type="dxa"/>
            <w:tcBorders>
              <w:right w:val="single" w:sz="4" w:space="0" w:color="000000"/>
            </w:tcBorders>
            <w:shd w:val="clear" w:color="auto" w:fill="E1EEDA"/>
          </w:tcPr>
          <w:p>
            <w:pPr>
              <w:pStyle w:val="TableParagraph"/>
              <w:spacing w:before="45"/>
              <w:ind w:left="134" w:right="127"/>
              <w:rPr>
                <w:rFonts w:ascii="Calibri"/>
                <w:sz w:val="22"/>
              </w:rPr>
            </w:pPr>
            <w:r>
              <w:rPr>
                <w:rFonts w:ascii="Calibri"/>
                <w:sz w:val="22"/>
              </w:rPr>
              <w:t>1.8</w:t>
            </w:r>
          </w:p>
        </w:tc>
        <w:tc>
          <w:tcPr>
            <w:tcW w:w="919" w:type="dxa"/>
            <w:tcBorders>
              <w:left w:val="single" w:sz="4" w:space="0" w:color="000000"/>
            </w:tcBorders>
            <w:shd w:val="clear" w:color="auto" w:fill="E1EEDA"/>
          </w:tcPr>
          <w:p>
            <w:pPr>
              <w:pStyle w:val="TableParagraph"/>
              <w:spacing w:before="45"/>
              <w:ind w:left="130" w:right="130"/>
              <w:rPr>
                <w:rFonts w:ascii="Calibri"/>
                <w:sz w:val="22"/>
              </w:rPr>
            </w:pPr>
            <w:r>
              <w:rPr>
                <w:rFonts w:ascii="Calibri"/>
                <w:sz w:val="22"/>
              </w:rPr>
              <w:t>2.4</w:t>
            </w:r>
          </w:p>
        </w:tc>
        <w:tc>
          <w:tcPr>
            <w:tcW w:w="922" w:type="dxa"/>
            <w:tcBorders>
              <w:right w:val="single" w:sz="4" w:space="0" w:color="000000"/>
            </w:tcBorders>
            <w:shd w:val="clear" w:color="auto" w:fill="E1EEDA"/>
          </w:tcPr>
          <w:p>
            <w:pPr>
              <w:pStyle w:val="TableParagraph"/>
              <w:spacing w:before="45"/>
              <w:ind w:left="134" w:right="127"/>
              <w:rPr>
                <w:rFonts w:ascii="Calibri"/>
                <w:sz w:val="22"/>
              </w:rPr>
            </w:pPr>
            <w:r>
              <w:rPr>
                <w:rFonts w:ascii="Calibri"/>
                <w:sz w:val="22"/>
              </w:rPr>
              <w:t>2.0</w:t>
            </w:r>
          </w:p>
        </w:tc>
        <w:tc>
          <w:tcPr>
            <w:tcW w:w="918" w:type="dxa"/>
            <w:tcBorders>
              <w:left w:val="single" w:sz="4" w:space="0" w:color="000000"/>
            </w:tcBorders>
            <w:shd w:val="clear" w:color="auto" w:fill="E1EEDA"/>
          </w:tcPr>
          <w:p>
            <w:pPr>
              <w:pStyle w:val="TableParagraph"/>
              <w:spacing w:before="45"/>
              <w:ind w:left="128" w:right="129"/>
              <w:rPr>
                <w:rFonts w:ascii="Calibri"/>
                <w:sz w:val="22"/>
              </w:rPr>
            </w:pPr>
            <w:r>
              <w:rPr>
                <w:rFonts w:ascii="Calibri"/>
                <w:sz w:val="22"/>
              </w:rPr>
              <w:t>2.3</w:t>
            </w:r>
          </w:p>
        </w:tc>
        <w:tc>
          <w:tcPr>
            <w:tcW w:w="923" w:type="dxa"/>
            <w:tcBorders>
              <w:right w:val="single" w:sz="4" w:space="0" w:color="000000"/>
            </w:tcBorders>
            <w:shd w:val="clear" w:color="auto" w:fill="E1EEDA"/>
          </w:tcPr>
          <w:p>
            <w:pPr>
              <w:pStyle w:val="TableParagraph"/>
              <w:spacing w:before="45"/>
              <w:ind w:left="135" w:right="127"/>
              <w:rPr>
                <w:rFonts w:ascii="Calibri"/>
                <w:sz w:val="22"/>
              </w:rPr>
            </w:pPr>
            <w:r>
              <w:rPr>
                <w:rFonts w:ascii="Calibri"/>
                <w:sz w:val="22"/>
              </w:rPr>
              <w:t>3.3</w:t>
            </w:r>
          </w:p>
        </w:tc>
        <w:tc>
          <w:tcPr>
            <w:tcW w:w="918" w:type="dxa"/>
            <w:tcBorders>
              <w:left w:val="single" w:sz="4" w:space="0" w:color="000000"/>
            </w:tcBorders>
            <w:shd w:val="clear" w:color="auto" w:fill="E1EEDA"/>
          </w:tcPr>
          <w:p>
            <w:pPr>
              <w:pStyle w:val="TableParagraph"/>
              <w:spacing w:before="45"/>
              <w:ind w:left="128" w:right="128"/>
              <w:rPr>
                <w:rFonts w:ascii="Calibri"/>
                <w:sz w:val="22"/>
              </w:rPr>
            </w:pPr>
            <w:r>
              <w:rPr>
                <w:rFonts w:ascii="Calibri"/>
                <w:sz w:val="22"/>
              </w:rPr>
              <w:t>3.1</w:t>
            </w:r>
          </w:p>
        </w:tc>
        <w:tc>
          <w:tcPr>
            <w:tcW w:w="922" w:type="dxa"/>
            <w:tcBorders>
              <w:right w:val="single" w:sz="4" w:space="0" w:color="000000"/>
            </w:tcBorders>
            <w:shd w:val="clear" w:color="auto" w:fill="E1EEDA"/>
          </w:tcPr>
          <w:p>
            <w:pPr>
              <w:pStyle w:val="TableParagraph"/>
              <w:spacing w:before="45"/>
              <w:ind w:left="132" w:right="127"/>
              <w:rPr>
                <w:rFonts w:ascii="Calibri"/>
                <w:sz w:val="22"/>
              </w:rPr>
            </w:pPr>
            <w:r>
              <w:rPr>
                <w:rFonts w:ascii="Calibri"/>
                <w:sz w:val="22"/>
              </w:rPr>
              <w:t>4.2</w:t>
            </w:r>
          </w:p>
        </w:tc>
      </w:tr>
    </w:tbl>
    <w:p>
      <w:pPr>
        <w:pStyle w:val="BodyText"/>
        <w:rPr>
          <w:rFonts w:ascii="Calibri"/>
          <w:sz w:val="22"/>
        </w:rPr>
      </w:pPr>
    </w:p>
    <w:p>
      <w:pPr>
        <w:pStyle w:val="BodyText"/>
        <w:spacing w:before="3"/>
        <w:rPr>
          <w:rFonts w:ascii="Calibri"/>
          <w:sz w:val="27"/>
        </w:rPr>
      </w:pPr>
    </w:p>
    <w:p>
      <w:pPr>
        <w:pStyle w:val="Heading3"/>
        <w:spacing w:line="237" w:lineRule="auto" w:after="2"/>
      </w:pPr>
      <w:r>
        <w:rPr/>
        <w:t>Performance statistik for simuleret trykniveau (2009-2015) Odense Å [m]. Middelfejl er angivet som obs –</w:t>
      </w:r>
      <w:r>
        <w:rPr>
          <w:spacing w:val="-3"/>
        </w:rPr>
        <w:t> </w:t>
      </w:r>
      <w:r>
        <w:rPr/>
        <w:t>sim.</w:t>
      </w:r>
    </w:p>
    <w:tbl>
      <w:tblPr>
        <w:tblW w:w="0" w:type="auto"/>
        <w:jc w:val="left"/>
        <w:tblInd w:w="6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20"/>
        <w:gridCol w:w="960"/>
        <w:gridCol w:w="922"/>
        <w:gridCol w:w="919"/>
        <w:gridCol w:w="922"/>
        <w:gridCol w:w="918"/>
        <w:gridCol w:w="923"/>
        <w:gridCol w:w="918"/>
        <w:gridCol w:w="922"/>
      </w:tblGrid>
      <w:tr>
        <w:trPr>
          <w:trHeight w:val="323" w:hRule="atLeast"/>
        </w:trPr>
        <w:tc>
          <w:tcPr>
            <w:tcW w:w="1620" w:type="dxa"/>
          </w:tcPr>
          <w:p>
            <w:pPr>
              <w:pStyle w:val="TableParagraph"/>
              <w:spacing w:before="16"/>
              <w:ind w:left="69"/>
              <w:jc w:val="left"/>
              <w:rPr>
                <w:rFonts w:ascii="Calibri"/>
                <w:sz w:val="22"/>
              </w:rPr>
            </w:pPr>
            <w:r>
              <w:rPr>
                <w:rFonts w:ascii="Calibri"/>
                <w:sz w:val="22"/>
              </w:rPr>
              <w:t>Validering</w:t>
            </w:r>
          </w:p>
        </w:tc>
        <w:tc>
          <w:tcPr>
            <w:tcW w:w="1882" w:type="dxa"/>
            <w:gridSpan w:val="2"/>
            <w:tcBorders>
              <w:right w:val="single" w:sz="4" w:space="0" w:color="000000"/>
            </w:tcBorders>
          </w:tcPr>
          <w:p>
            <w:pPr>
              <w:pStyle w:val="TableParagraph"/>
              <w:spacing w:before="16"/>
              <w:ind w:left="280"/>
              <w:jc w:val="left"/>
              <w:rPr>
                <w:rFonts w:ascii="Calibri"/>
                <w:sz w:val="22"/>
              </w:rPr>
            </w:pPr>
            <w:r>
              <w:rPr>
                <w:rFonts w:ascii="Calibri"/>
                <w:sz w:val="22"/>
              </w:rPr>
              <w:t>100m_Jup+Reg</w:t>
            </w:r>
          </w:p>
        </w:tc>
        <w:tc>
          <w:tcPr>
            <w:tcW w:w="1841" w:type="dxa"/>
            <w:gridSpan w:val="2"/>
            <w:tcBorders>
              <w:left w:val="single" w:sz="4" w:space="0" w:color="000000"/>
              <w:right w:val="single" w:sz="4" w:space="0" w:color="000000"/>
            </w:tcBorders>
          </w:tcPr>
          <w:p>
            <w:pPr>
              <w:pStyle w:val="TableParagraph"/>
              <w:spacing w:before="16"/>
              <w:ind w:left="455"/>
              <w:jc w:val="left"/>
              <w:rPr>
                <w:rFonts w:ascii="Calibri"/>
                <w:sz w:val="22"/>
              </w:rPr>
            </w:pPr>
            <w:r>
              <w:rPr>
                <w:rFonts w:ascii="Calibri"/>
                <w:sz w:val="22"/>
              </w:rPr>
              <w:t>100m_Jup</w:t>
            </w:r>
          </w:p>
        </w:tc>
        <w:tc>
          <w:tcPr>
            <w:tcW w:w="1841" w:type="dxa"/>
            <w:gridSpan w:val="2"/>
            <w:tcBorders>
              <w:left w:val="single" w:sz="4" w:space="0" w:color="000000"/>
              <w:right w:val="single" w:sz="4" w:space="0" w:color="000000"/>
            </w:tcBorders>
          </w:tcPr>
          <w:p>
            <w:pPr>
              <w:pStyle w:val="TableParagraph"/>
              <w:spacing w:before="16"/>
              <w:ind w:left="232"/>
              <w:jc w:val="left"/>
              <w:rPr>
                <w:rFonts w:ascii="Calibri"/>
                <w:sz w:val="22"/>
              </w:rPr>
            </w:pPr>
            <w:r>
              <w:rPr>
                <w:rFonts w:ascii="Calibri"/>
                <w:sz w:val="22"/>
              </w:rPr>
              <w:t>500m_Jup+Reg</w:t>
            </w:r>
          </w:p>
        </w:tc>
        <w:tc>
          <w:tcPr>
            <w:tcW w:w="1840" w:type="dxa"/>
            <w:gridSpan w:val="2"/>
            <w:tcBorders>
              <w:left w:val="single" w:sz="4" w:space="0" w:color="000000"/>
              <w:right w:val="single" w:sz="4" w:space="0" w:color="000000"/>
            </w:tcBorders>
          </w:tcPr>
          <w:p>
            <w:pPr>
              <w:pStyle w:val="TableParagraph"/>
              <w:spacing w:before="16"/>
              <w:ind w:left="473"/>
              <w:jc w:val="left"/>
              <w:rPr>
                <w:rFonts w:ascii="Calibri"/>
                <w:sz w:val="22"/>
              </w:rPr>
            </w:pPr>
            <w:r>
              <w:rPr>
                <w:rFonts w:ascii="Calibri"/>
                <w:sz w:val="22"/>
              </w:rPr>
              <w:t>DK-model</w:t>
            </w:r>
          </w:p>
        </w:tc>
      </w:tr>
      <w:tr>
        <w:trPr>
          <w:trHeight w:val="292" w:hRule="atLeast"/>
        </w:trPr>
        <w:tc>
          <w:tcPr>
            <w:tcW w:w="1620" w:type="dxa"/>
            <w:tcBorders>
              <w:bottom w:val="single" w:sz="8" w:space="0" w:color="000000"/>
            </w:tcBorders>
          </w:tcPr>
          <w:p>
            <w:pPr>
              <w:pStyle w:val="TableParagraph"/>
              <w:jc w:val="left"/>
              <w:rPr>
                <w:rFonts w:ascii="Times New Roman"/>
                <w:sz w:val="20"/>
              </w:rPr>
            </w:pPr>
          </w:p>
        </w:tc>
        <w:tc>
          <w:tcPr>
            <w:tcW w:w="960" w:type="dxa"/>
            <w:tcBorders>
              <w:bottom w:val="single" w:sz="8" w:space="0" w:color="000000"/>
            </w:tcBorders>
          </w:tcPr>
          <w:p>
            <w:pPr>
              <w:pStyle w:val="TableParagraph"/>
              <w:spacing w:line="268" w:lineRule="exact"/>
              <w:ind w:left="174" w:right="134"/>
              <w:rPr>
                <w:rFonts w:ascii="Calibri"/>
                <w:sz w:val="22"/>
              </w:rPr>
            </w:pPr>
            <w:r>
              <w:rPr>
                <w:rFonts w:ascii="Calibri"/>
                <w:sz w:val="22"/>
              </w:rPr>
              <w:t>Jupiter</w:t>
            </w:r>
          </w:p>
        </w:tc>
        <w:tc>
          <w:tcPr>
            <w:tcW w:w="922" w:type="dxa"/>
            <w:tcBorders>
              <w:bottom w:val="single" w:sz="8" w:space="0" w:color="000000"/>
              <w:right w:val="single" w:sz="4" w:space="0" w:color="000000"/>
            </w:tcBorders>
          </w:tcPr>
          <w:p>
            <w:pPr>
              <w:pStyle w:val="TableParagraph"/>
              <w:spacing w:line="268" w:lineRule="exact"/>
              <w:ind w:left="134" w:right="126"/>
              <w:rPr>
                <w:rFonts w:ascii="Calibri"/>
                <w:sz w:val="22"/>
              </w:rPr>
            </w:pPr>
            <w:r>
              <w:rPr>
                <w:rFonts w:ascii="Calibri"/>
                <w:sz w:val="22"/>
              </w:rPr>
              <w:t>Region</w:t>
            </w:r>
          </w:p>
        </w:tc>
        <w:tc>
          <w:tcPr>
            <w:tcW w:w="919" w:type="dxa"/>
            <w:tcBorders>
              <w:left w:val="single" w:sz="4" w:space="0" w:color="000000"/>
              <w:bottom w:val="single" w:sz="8" w:space="0" w:color="000000"/>
            </w:tcBorders>
          </w:tcPr>
          <w:p>
            <w:pPr>
              <w:pStyle w:val="TableParagraph"/>
              <w:spacing w:line="268" w:lineRule="exact"/>
              <w:ind w:left="130" w:right="132"/>
              <w:rPr>
                <w:rFonts w:ascii="Calibri"/>
                <w:sz w:val="22"/>
              </w:rPr>
            </w:pPr>
            <w:r>
              <w:rPr>
                <w:rFonts w:ascii="Calibri"/>
                <w:sz w:val="22"/>
              </w:rPr>
              <w:t>Jupiter</w:t>
            </w:r>
          </w:p>
        </w:tc>
        <w:tc>
          <w:tcPr>
            <w:tcW w:w="922" w:type="dxa"/>
            <w:tcBorders>
              <w:bottom w:val="single" w:sz="8" w:space="0" w:color="000000"/>
              <w:right w:val="single" w:sz="4" w:space="0" w:color="000000"/>
            </w:tcBorders>
          </w:tcPr>
          <w:p>
            <w:pPr>
              <w:pStyle w:val="TableParagraph"/>
              <w:spacing w:line="268" w:lineRule="exact"/>
              <w:ind w:left="134" w:right="127"/>
              <w:rPr>
                <w:rFonts w:ascii="Calibri"/>
                <w:sz w:val="22"/>
              </w:rPr>
            </w:pPr>
            <w:r>
              <w:rPr>
                <w:rFonts w:ascii="Calibri"/>
                <w:sz w:val="22"/>
              </w:rPr>
              <w:t>Region</w:t>
            </w:r>
          </w:p>
        </w:tc>
        <w:tc>
          <w:tcPr>
            <w:tcW w:w="918" w:type="dxa"/>
            <w:tcBorders>
              <w:left w:val="single" w:sz="4" w:space="0" w:color="000000"/>
              <w:bottom w:val="single" w:sz="8" w:space="0" w:color="000000"/>
            </w:tcBorders>
          </w:tcPr>
          <w:p>
            <w:pPr>
              <w:pStyle w:val="TableParagraph"/>
              <w:spacing w:line="268" w:lineRule="exact"/>
              <w:ind w:left="128" w:right="133"/>
              <w:rPr>
                <w:rFonts w:ascii="Calibri"/>
                <w:sz w:val="22"/>
              </w:rPr>
            </w:pPr>
            <w:r>
              <w:rPr>
                <w:rFonts w:ascii="Calibri"/>
                <w:sz w:val="22"/>
              </w:rPr>
              <w:t>Jupiter</w:t>
            </w:r>
          </w:p>
        </w:tc>
        <w:tc>
          <w:tcPr>
            <w:tcW w:w="923" w:type="dxa"/>
            <w:tcBorders>
              <w:bottom w:val="single" w:sz="8" w:space="0" w:color="000000"/>
              <w:right w:val="single" w:sz="4" w:space="0" w:color="000000"/>
            </w:tcBorders>
          </w:tcPr>
          <w:p>
            <w:pPr>
              <w:pStyle w:val="TableParagraph"/>
              <w:spacing w:line="268" w:lineRule="exact"/>
              <w:ind w:left="136" w:right="127"/>
              <w:rPr>
                <w:rFonts w:ascii="Calibri"/>
                <w:sz w:val="22"/>
              </w:rPr>
            </w:pPr>
            <w:r>
              <w:rPr>
                <w:rFonts w:ascii="Calibri"/>
                <w:sz w:val="22"/>
              </w:rPr>
              <w:t>Region</w:t>
            </w:r>
          </w:p>
        </w:tc>
        <w:tc>
          <w:tcPr>
            <w:tcW w:w="918" w:type="dxa"/>
            <w:tcBorders>
              <w:left w:val="single" w:sz="4" w:space="0" w:color="000000"/>
              <w:bottom w:val="single" w:sz="8" w:space="0" w:color="000000"/>
            </w:tcBorders>
          </w:tcPr>
          <w:p>
            <w:pPr>
              <w:pStyle w:val="TableParagraph"/>
              <w:spacing w:line="268" w:lineRule="exact"/>
              <w:ind w:left="128" w:right="133"/>
              <w:rPr>
                <w:rFonts w:ascii="Calibri"/>
                <w:sz w:val="22"/>
              </w:rPr>
            </w:pPr>
            <w:r>
              <w:rPr>
                <w:rFonts w:ascii="Calibri"/>
                <w:sz w:val="22"/>
              </w:rPr>
              <w:t>Jupiter</w:t>
            </w:r>
          </w:p>
        </w:tc>
        <w:tc>
          <w:tcPr>
            <w:tcW w:w="922" w:type="dxa"/>
            <w:tcBorders>
              <w:bottom w:val="single" w:sz="8" w:space="0" w:color="000000"/>
              <w:right w:val="single" w:sz="4" w:space="0" w:color="000000"/>
            </w:tcBorders>
          </w:tcPr>
          <w:p>
            <w:pPr>
              <w:pStyle w:val="TableParagraph"/>
              <w:spacing w:line="268" w:lineRule="exact"/>
              <w:ind w:left="133" w:right="127"/>
              <w:rPr>
                <w:rFonts w:ascii="Calibri"/>
                <w:sz w:val="22"/>
              </w:rPr>
            </w:pPr>
            <w:r>
              <w:rPr>
                <w:rFonts w:ascii="Calibri"/>
                <w:sz w:val="22"/>
              </w:rPr>
              <w:t>Region</w:t>
            </w:r>
          </w:p>
        </w:tc>
      </w:tr>
      <w:tr>
        <w:trPr>
          <w:trHeight w:val="317" w:hRule="atLeast"/>
        </w:trPr>
        <w:tc>
          <w:tcPr>
            <w:tcW w:w="1620" w:type="dxa"/>
            <w:tcBorders>
              <w:top w:val="single" w:sz="8" w:space="0" w:color="000000"/>
            </w:tcBorders>
          </w:tcPr>
          <w:p>
            <w:pPr>
              <w:pStyle w:val="TableParagraph"/>
              <w:spacing w:before="13"/>
              <w:ind w:left="69"/>
              <w:jc w:val="left"/>
              <w:rPr>
                <w:rFonts w:ascii="Calibri"/>
                <w:sz w:val="22"/>
              </w:rPr>
            </w:pPr>
            <w:r>
              <w:rPr>
                <w:rFonts w:ascii="Calibri"/>
                <w:sz w:val="22"/>
              </w:rPr>
              <w:t>ME tn</w:t>
            </w:r>
          </w:p>
        </w:tc>
        <w:tc>
          <w:tcPr>
            <w:tcW w:w="960" w:type="dxa"/>
            <w:tcBorders>
              <w:top w:val="single" w:sz="8" w:space="0" w:color="000000"/>
            </w:tcBorders>
          </w:tcPr>
          <w:p>
            <w:pPr>
              <w:pStyle w:val="TableParagraph"/>
              <w:spacing w:before="13"/>
              <w:ind w:left="174" w:right="128"/>
              <w:rPr>
                <w:rFonts w:ascii="Calibri"/>
                <w:sz w:val="22"/>
              </w:rPr>
            </w:pPr>
            <w:r>
              <w:rPr>
                <w:rFonts w:ascii="Calibri"/>
                <w:sz w:val="22"/>
              </w:rPr>
              <w:t>1.6</w:t>
            </w:r>
          </w:p>
        </w:tc>
        <w:tc>
          <w:tcPr>
            <w:tcW w:w="922" w:type="dxa"/>
            <w:tcBorders>
              <w:top w:val="single" w:sz="8" w:space="0" w:color="000000"/>
              <w:right w:val="single" w:sz="4" w:space="0" w:color="000000"/>
            </w:tcBorders>
          </w:tcPr>
          <w:p>
            <w:pPr>
              <w:pStyle w:val="TableParagraph"/>
              <w:spacing w:before="13"/>
              <w:ind w:left="134" w:right="127"/>
              <w:rPr>
                <w:rFonts w:ascii="Calibri"/>
                <w:sz w:val="22"/>
              </w:rPr>
            </w:pPr>
            <w:r>
              <w:rPr>
                <w:rFonts w:ascii="Calibri"/>
                <w:sz w:val="22"/>
              </w:rPr>
              <w:t>2.6</w:t>
            </w:r>
          </w:p>
        </w:tc>
        <w:tc>
          <w:tcPr>
            <w:tcW w:w="919" w:type="dxa"/>
            <w:tcBorders>
              <w:top w:val="single" w:sz="8" w:space="0" w:color="000000"/>
              <w:left w:val="single" w:sz="4" w:space="0" w:color="000000"/>
            </w:tcBorders>
          </w:tcPr>
          <w:p>
            <w:pPr>
              <w:pStyle w:val="TableParagraph"/>
              <w:spacing w:before="13"/>
              <w:ind w:left="130" w:right="130"/>
              <w:rPr>
                <w:rFonts w:ascii="Calibri"/>
                <w:sz w:val="22"/>
              </w:rPr>
            </w:pPr>
            <w:r>
              <w:rPr>
                <w:rFonts w:ascii="Calibri"/>
                <w:sz w:val="22"/>
              </w:rPr>
              <w:t>1.4</w:t>
            </w:r>
          </w:p>
        </w:tc>
        <w:tc>
          <w:tcPr>
            <w:tcW w:w="922" w:type="dxa"/>
            <w:tcBorders>
              <w:top w:val="single" w:sz="8" w:space="0" w:color="000000"/>
              <w:right w:val="single" w:sz="4" w:space="0" w:color="000000"/>
            </w:tcBorders>
          </w:tcPr>
          <w:p>
            <w:pPr>
              <w:pStyle w:val="TableParagraph"/>
              <w:spacing w:before="13"/>
              <w:ind w:left="134" w:right="127"/>
              <w:rPr>
                <w:rFonts w:ascii="Calibri"/>
                <w:sz w:val="22"/>
              </w:rPr>
            </w:pPr>
            <w:r>
              <w:rPr>
                <w:rFonts w:ascii="Calibri"/>
                <w:sz w:val="22"/>
              </w:rPr>
              <w:t>2.2</w:t>
            </w:r>
          </w:p>
        </w:tc>
        <w:tc>
          <w:tcPr>
            <w:tcW w:w="918" w:type="dxa"/>
            <w:tcBorders>
              <w:top w:val="single" w:sz="8" w:space="0" w:color="000000"/>
              <w:left w:val="single" w:sz="4" w:space="0" w:color="000000"/>
            </w:tcBorders>
          </w:tcPr>
          <w:p>
            <w:pPr>
              <w:pStyle w:val="TableParagraph"/>
              <w:spacing w:before="13"/>
              <w:ind w:left="128" w:right="129"/>
              <w:rPr>
                <w:rFonts w:ascii="Calibri"/>
                <w:sz w:val="22"/>
              </w:rPr>
            </w:pPr>
            <w:r>
              <w:rPr>
                <w:rFonts w:ascii="Calibri"/>
                <w:sz w:val="22"/>
              </w:rPr>
              <w:t>1.7</w:t>
            </w:r>
          </w:p>
        </w:tc>
        <w:tc>
          <w:tcPr>
            <w:tcW w:w="923" w:type="dxa"/>
            <w:tcBorders>
              <w:top w:val="single" w:sz="8" w:space="0" w:color="000000"/>
              <w:right w:val="single" w:sz="4" w:space="0" w:color="000000"/>
            </w:tcBorders>
          </w:tcPr>
          <w:p>
            <w:pPr>
              <w:pStyle w:val="TableParagraph"/>
              <w:spacing w:before="13"/>
              <w:ind w:left="135" w:right="127"/>
              <w:rPr>
                <w:rFonts w:ascii="Calibri"/>
                <w:sz w:val="22"/>
              </w:rPr>
            </w:pPr>
            <w:r>
              <w:rPr>
                <w:rFonts w:ascii="Calibri"/>
                <w:sz w:val="22"/>
              </w:rPr>
              <w:t>3.9</w:t>
            </w:r>
          </w:p>
        </w:tc>
        <w:tc>
          <w:tcPr>
            <w:tcW w:w="918" w:type="dxa"/>
            <w:tcBorders>
              <w:top w:val="single" w:sz="8" w:space="0" w:color="000000"/>
              <w:left w:val="single" w:sz="4" w:space="0" w:color="000000"/>
            </w:tcBorders>
          </w:tcPr>
          <w:p>
            <w:pPr>
              <w:pStyle w:val="TableParagraph"/>
              <w:spacing w:before="13"/>
              <w:ind w:left="128" w:right="128"/>
              <w:rPr>
                <w:rFonts w:ascii="Calibri"/>
                <w:sz w:val="22"/>
              </w:rPr>
            </w:pPr>
            <w:r>
              <w:rPr>
                <w:rFonts w:ascii="Calibri"/>
                <w:sz w:val="22"/>
              </w:rPr>
              <w:t>-0.5</w:t>
            </w:r>
          </w:p>
        </w:tc>
        <w:tc>
          <w:tcPr>
            <w:tcW w:w="922" w:type="dxa"/>
            <w:tcBorders>
              <w:top w:val="single" w:sz="8" w:space="0" w:color="000000"/>
              <w:right w:val="single" w:sz="4" w:space="0" w:color="000000"/>
            </w:tcBorders>
          </w:tcPr>
          <w:p>
            <w:pPr>
              <w:pStyle w:val="TableParagraph"/>
              <w:spacing w:before="13"/>
              <w:ind w:left="132" w:right="127"/>
              <w:rPr>
                <w:rFonts w:ascii="Calibri"/>
                <w:sz w:val="22"/>
              </w:rPr>
            </w:pPr>
            <w:r>
              <w:rPr>
                <w:rFonts w:ascii="Calibri"/>
                <w:sz w:val="22"/>
              </w:rPr>
              <w:t>1.6</w:t>
            </w:r>
          </w:p>
        </w:tc>
      </w:tr>
      <w:tr>
        <w:trPr>
          <w:trHeight w:val="282" w:hRule="atLeast"/>
        </w:trPr>
        <w:tc>
          <w:tcPr>
            <w:tcW w:w="1620" w:type="dxa"/>
          </w:tcPr>
          <w:p>
            <w:pPr>
              <w:pStyle w:val="TableParagraph"/>
              <w:spacing w:line="262" w:lineRule="exact"/>
              <w:ind w:left="69"/>
              <w:jc w:val="left"/>
              <w:rPr>
                <w:rFonts w:ascii="Calibri"/>
                <w:sz w:val="22"/>
              </w:rPr>
            </w:pPr>
            <w:r>
              <w:rPr>
                <w:rFonts w:ascii="Calibri"/>
                <w:sz w:val="22"/>
              </w:rPr>
              <w:t>MAE tn</w:t>
            </w:r>
          </w:p>
        </w:tc>
        <w:tc>
          <w:tcPr>
            <w:tcW w:w="960" w:type="dxa"/>
          </w:tcPr>
          <w:p>
            <w:pPr>
              <w:pStyle w:val="TableParagraph"/>
              <w:spacing w:line="262" w:lineRule="exact"/>
              <w:ind w:left="174" w:right="128"/>
              <w:rPr>
                <w:rFonts w:ascii="Calibri"/>
                <w:sz w:val="22"/>
              </w:rPr>
            </w:pPr>
            <w:r>
              <w:rPr>
                <w:rFonts w:ascii="Calibri"/>
                <w:sz w:val="22"/>
              </w:rPr>
              <w:t>2.6</w:t>
            </w:r>
          </w:p>
        </w:tc>
        <w:tc>
          <w:tcPr>
            <w:tcW w:w="922" w:type="dxa"/>
            <w:tcBorders>
              <w:right w:val="single" w:sz="4" w:space="0" w:color="000000"/>
            </w:tcBorders>
          </w:tcPr>
          <w:p>
            <w:pPr>
              <w:pStyle w:val="TableParagraph"/>
              <w:spacing w:line="262" w:lineRule="exact"/>
              <w:ind w:left="134" w:right="127"/>
              <w:rPr>
                <w:rFonts w:ascii="Calibri"/>
                <w:sz w:val="22"/>
              </w:rPr>
            </w:pPr>
            <w:r>
              <w:rPr>
                <w:rFonts w:ascii="Calibri"/>
                <w:sz w:val="22"/>
              </w:rPr>
              <w:t>4.2</w:t>
            </w:r>
          </w:p>
        </w:tc>
        <w:tc>
          <w:tcPr>
            <w:tcW w:w="919" w:type="dxa"/>
            <w:tcBorders>
              <w:left w:val="single" w:sz="4" w:space="0" w:color="000000"/>
            </w:tcBorders>
          </w:tcPr>
          <w:p>
            <w:pPr>
              <w:pStyle w:val="TableParagraph"/>
              <w:spacing w:line="262" w:lineRule="exact"/>
              <w:ind w:left="130" w:right="130"/>
              <w:rPr>
                <w:rFonts w:ascii="Calibri"/>
                <w:sz w:val="22"/>
              </w:rPr>
            </w:pPr>
            <w:r>
              <w:rPr>
                <w:rFonts w:ascii="Calibri"/>
                <w:sz w:val="22"/>
              </w:rPr>
              <w:t>2.5</w:t>
            </w:r>
          </w:p>
        </w:tc>
        <w:tc>
          <w:tcPr>
            <w:tcW w:w="922" w:type="dxa"/>
            <w:tcBorders>
              <w:right w:val="single" w:sz="4" w:space="0" w:color="000000"/>
            </w:tcBorders>
          </w:tcPr>
          <w:p>
            <w:pPr>
              <w:pStyle w:val="TableParagraph"/>
              <w:spacing w:line="262" w:lineRule="exact"/>
              <w:ind w:left="134" w:right="127"/>
              <w:rPr>
                <w:rFonts w:ascii="Calibri"/>
                <w:sz w:val="22"/>
              </w:rPr>
            </w:pPr>
            <w:r>
              <w:rPr>
                <w:rFonts w:ascii="Calibri"/>
                <w:sz w:val="22"/>
              </w:rPr>
              <w:t>3.9</w:t>
            </w:r>
          </w:p>
        </w:tc>
        <w:tc>
          <w:tcPr>
            <w:tcW w:w="918" w:type="dxa"/>
            <w:tcBorders>
              <w:left w:val="single" w:sz="4" w:space="0" w:color="000000"/>
            </w:tcBorders>
          </w:tcPr>
          <w:p>
            <w:pPr>
              <w:pStyle w:val="TableParagraph"/>
              <w:spacing w:line="262" w:lineRule="exact"/>
              <w:ind w:left="128" w:right="129"/>
              <w:rPr>
                <w:rFonts w:ascii="Calibri"/>
                <w:sz w:val="22"/>
              </w:rPr>
            </w:pPr>
            <w:r>
              <w:rPr>
                <w:rFonts w:ascii="Calibri"/>
                <w:sz w:val="22"/>
              </w:rPr>
              <w:t>3.0</w:t>
            </w:r>
          </w:p>
        </w:tc>
        <w:tc>
          <w:tcPr>
            <w:tcW w:w="923" w:type="dxa"/>
            <w:tcBorders>
              <w:right w:val="single" w:sz="4" w:space="0" w:color="000000"/>
            </w:tcBorders>
          </w:tcPr>
          <w:p>
            <w:pPr>
              <w:pStyle w:val="TableParagraph"/>
              <w:spacing w:line="262" w:lineRule="exact"/>
              <w:ind w:left="135" w:right="127"/>
              <w:rPr>
                <w:rFonts w:ascii="Calibri"/>
                <w:sz w:val="22"/>
              </w:rPr>
            </w:pPr>
            <w:r>
              <w:rPr>
                <w:rFonts w:ascii="Calibri"/>
                <w:sz w:val="22"/>
              </w:rPr>
              <w:t>5.8</w:t>
            </w:r>
          </w:p>
        </w:tc>
        <w:tc>
          <w:tcPr>
            <w:tcW w:w="918" w:type="dxa"/>
            <w:tcBorders>
              <w:left w:val="single" w:sz="4" w:space="0" w:color="000000"/>
            </w:tcBorders>
          </w:tcPr>
          <w:p>
            <w:pPr>
              <w:pStyle w:val="TableParagraph"/>
              <w:spacing w:line="262" w:lineRule="exact"/>
              <w:ind w:left="128" w:right="128"/>
              <w:rPr>
                <w:rFonts w:ascii="Calibri"/>
                <w:sz w:val="22"/>
              </w:rPr>
            </w:pPr>
            <w:r>
              <w:rPr>
                <w:rFonts w:ascii="Calibri"/>
                <w:sz w:val="22"/>
              </w:rPr>
              <w:t>2.7</w:t>
            </w:r>
          </w:p>
        </w:tc>
        <w:tc>
          <w:tcPr>
            <w:tcW w:w="922" w:type="dxa"/>
            <w:tcBorders>
              <w:right w:val="single" w:sz="4" w:space="0" w:color="000000"/>
            </w:tcBorders>
          </w:tcPr>
          <w:p>
            <w:pPr>
              <w:pStyle w:val="TableParagraph"/>
              <w:spacing w:line="262" w:lineRule="exact"/>
              <w:ind w:left="132" w:right="127"/>
              <w:rPr>
                <w:rFonts w:ascii="Calibri"/>
                <w:sz w:val="22"/>
              </w:rPr>
            </w:pPr>
            <w:r>
              <w:rPr>
                <w:rFonts w:ascii="Calibri"/>
                <w:sz w:val="22"/>
              </w:rPr>
              <w:t>4.9</w:t>
            </w:r>
          </w:p>
        </w:tc>
      </w:tr>
      <w:tr>
        <w:trPr>
          <w:trHeight w:val="300" w:hRule="atLeast"/>
        </w:trPr>
        <w:tc>
          <w:tcPr>
            <w:tcW w:w="1620" w:type="dxa"/>
            <w:shd w:val="clear" w:color="auto" w:fill="E1EEDA"/>
          </w:tcPr>
          <w:p>
            <w:pPr>
              <w:pStyle w:val="TableParagraph"/>
              <w:spacing w:line="266" w:lineRule="exact" w:before="13"/>
              <w:ind w:left="69"/>
              <w:jc w:val="left"/>
              <w:rPr>
                <w:rFonts w:ascii="Calibri"/>
                <w:sz w:val="22"/>
              </w:rPr>
            </w:pPr>
            <w:r>
              <w:rPr>
                <w:rFonts w:ascii="Calibri"/>
                <w:sz w:val="22"/>
              </w:rPr>
              <w:t>RMSE tn</w:t>
            </w:r>
          </w:p>
        </w:tc>
        <w:tc>
          <w:tcPr>
            <w:tcW w:w="960" w:type="dxa"/>
            <w:shd w:val="clear" w:color="auto" w:fill="E1EEDA"/>
          </w:tcPr>
          <w:p>
            <w:pPr>
              <w:pStyle w:val="TableParagraph"/>
              <w:spacing w:line="266" w:lineRule="exact" w:before="13"/>
              <w:ind w:left="174" w:right="128"/>
              <w:rPr>
                <w:rFonts w:ascii="Calibri"/>
                <w:sz w:val="22"/>
              </w:rPr>
            </w:pPr>
            <w:r>
              <w:rPr>
                <w:rFonts w:ascii="Calibri"/>
                <w:sz w:val="22"/>
              </w:rPr>
              <w:t>4.9</w:t>
            </w:r>
          </w:p>
        </w:tc>
        <w:tc>
          <w:tcPr>
            <w:tcW w:w="922" w:type="dxa"/>
            <w:tcBorders>
              <w:right w:val="single" w:sz="4" w:space="0" w:color="000000"/>
            </w:tcBorders>
            <w:shd w:val="clear" w:color="auto" w:fill="E1EEDA"/>
          </w:tcPr>
          <w:p>
            <w:pPr>
              <w:pStyle w:val="TableParagraph"/>
              <w:spacing w:line="266" w:lineRule="exact" w:before="13"/>
              <w:ind w:left="131" w:right="127"/>
              <w:rPr>
                <w:rFonts w:ascii="Calibri"/>
                <w:sz w:val="22"/>
              </w:rPr>
            </w:pPr>
            <w:r>
              <w:rPr>
                <w:rFonts w:ascii="Calibri"/>
                <w:sz w:val="22"/>
              </w:rPr>
              <w:t>11.9</w:t>
            </w:r>
          </w:p>
        </w:tc>
        <w:tc>
          <w:tcPr>
            <w:tcW w:w="919" w:type="dxa"/>
            <w:tcBorders>
              <w:left w:val="single" w:sz="4" w:space="0" w:color="000000"/>
            </w:tcBorders>
            <w:shd w:val="clear" w:color="auto" w:fill="E1EEDA"/>
          </w:tcPr>
          <w:p>
            <w:pPr>
              <w:pStyle w:val="TableParagraph"/>
              <w:spacing w:line="266" w:lineRule="exact" w:before="13"/>
              <w:ind w:left="130" w:right="130"/>
              <w:rPr>
                <w:rFonts w:ascii="Calibri"/>
                <w:sz w:val="22"/>
              </w:rPr>
            </w:pPr>
            <w:r>
              <w:rPr>
                <w:rFonts w:ascii="Calibri"/>
                <w:sz w:val="22"/>
              </w:rPr>
              <w:t>4.6</w:t>
            </w:r>
          </w:p>
        </w:tc>
        <w:tc>
          <w:tcPr>
            <w:tcW w:w="922" w:type="dxa"/>
            <w:tcBorders>
              <w:right w:val="single" w:sz="4" w:space="0" w:color="000000"/>
            </w:tcBorders>
            <w:shd w:val="clear" w:color="auto" w:fill="E1EEDA"/>
          </w:tcPr>
          <w:p>
            <w:pPr>
              <w:pStyle w:val="TableParagraph"/>
              <w:spacing w:line="266" w:lineRule="exact" w:before="13"/>
              <w:ind w:left="132" w:right="127"/>
              <w:rPr>
                <w:rFonts w:ascii="Calibri"/>
                <w:sz w:val="22"/>
              </w:rPr>
            </w:pPr>
            <w:r>
              <w:rPr>
                <w:rFonts w:ascii="Calibri"/>
                <w:sz w:val="22"/>
              </w:rPr>
              <w:t>11.8</w:t>
            </w:r>
          </w:p>
        </w:tc>
        <w:tc>
          <w:tcPr>
            <w:tcW w:w="918" w:type="dxa"/>
            <w:tcBorders>
              <w:left w:val="single" w:sz="4" w:space="0" w:color="000000"/>
            </w:tcBorders>
            <w:shd w:val="clear" w:color="auto" w:fill="E1EEDA"/>
          </w:tcPr>
          <w:p>
            <w:pPr>
              <w:pStyle w:val="TableParagraph"/>
              <w:spacing w:line="266" w:lineRule="exact" w:before="13"/>
              <w:ind w:left="128" w:right="129"/>
              <w:rPr>
                <w:rFonts w:ascii="Calibri"/>
                <w:sz w:val="22"/>
              </w:rPr>
            </w:pPr>
            <w:r>
              <w:rPr>
                <w:rFonts w:ascii="Calibri"/>
                <w:sz w:val="22"/>
              </w:rPr>
              <w:t>5.4</w:t>
            </w:r>
          </w:p>
        </w:tc>
        <w:tc>
          <w:tcPr>
            <w:tcW w:w="923" w:type="dxa"/>
            <w:tcBorders>
              <w:right w:val="single" w:sz="4" w:space="0" w:color="000000"/>
            </w:tcBorders>
            <w:shd w:val="clear" w:color="auto" w:fill="E1EEDA"/>
          </w:tcPr>
          <w:p>
            <w:pPr>
              <w:pStyle w:val="TableParagraph"/>
              <w:spacing w:line="266" w:lineRule="exact" w:before="13"/>
              <w:ind w:left="132" w:right="127"/>
              <w:rPr>
                <w:rFonts w:ascii="Calibri"/>
                <w:sz w:val="22"/>
              </w:rPr>
            </w:pPr>
            <w:r>
              <w:rPr>
                <w:rFonts w:ascii="Calibri"/>
                <w:sz w:val="22"/>
              </w:rPr>
              <w:t>14.8</w:t>
            </w:r>
          </w:p>
        </w:tc>
        <w:tc>
          <w:tcPr>
            <w:tcW w:w="918" w:type="dxa"/>
            <w:tcBorders>
              <w:left w:val="single" w:sz="4" w:space="0" w:color="000000"/>
            </w:tcBorders>
            <w:shd w:val="clear" w:color="auto" w:fill="E1EEDA"/>
          </w:tcPr>
          <w:p>
            <w:pPr>
              <w:pStyle w:val="TableParagraph"/>
              <w:spacing w:line="266" w:lineRule="exact" w:before="13"/>
              <w:ind w:left="128" w:right="128"/>
              <w:rPr>
                <w:rFonts w:ascii="Calibri"/>
                <w:sz w:val="22"/>
              </w:rPr>
            </w:pPr>
            <w:r>
              <w:rPr>
                <w:rFonts w:ascii="Calibri"/>
                <w:sz w:val="22"/>
              </w:rPr>
              <w:t>4.8</w:t>
            </w:r>
          </w:p>
        </w:tc>
        <w:tc>
          <w:tcPr>
            <w:tcW w:w="922" w:type="dxa"/>
            <w:tcBorders>
              <w:right w:val="single" w:sz="4" w:space="0" w:color="000000"/>
            </w:tcBorders>
            <w:shd w:val="clear" w:color="auto" w:fill="E1EEDA"/>
          </w:tcPr>
          <w:p>
            <w:pPr>
              <w:pStyle w:val="TableParagraph"/>
              <w:spacing w:line="266" w:lineRule="exact" w:before="13"/>
              <w:ind w:left="129" w:right="127"/>
              <w:rPr>
                <w:rFonts w:ascii="Calibri"/>
                <w:sz w:val="22"/>
              </w:rPr>
            </w:pPr>
            <w:r>
              <w:rPr>
                <w:rFonts w:ascii="Calibri"/>
                <w:sz w:val="22"/>
              </w:rPr>
              <w:t>14.3</w:t>
            </w:r>
          </w:p>
        </w:tc>
      </w:tr>
      <w:tr>
        <w:trPr>
          <w:trHeight w:val="317" w:hRule="atLeast"/>
        </w:trPr>
        <w:tc>
          <w:tcPr>
            <w:tcW w:w="1620" w:type="dxa"/>
          </w:tcPr>
          <w:p>
            <w:pPr>
              <w:pStyle w:val="TableParagraph"/>
              <w:spacing w:before="13"/>
              <w:ind w:left="69"/>
              <w:jc w:val="left"/>
              <w:rPr>
                <w:rFonts w:ascii="Calibri"/>
                <w:sz w:val="22"/>
              </w:rPr>
            </w:pPr>
            <w:r>
              <w:rPr>
                <w:rFonts w:ascii="Calibri"/>
                <w:sz w:val="22"/>
              </w:rPr>
              <w:t>ME dyb</w:t>
            </w:r>
          </w:p>
        </w:tc>
        <w:tc>
          <w:tcPr>
            <w:tcW w:w="960" w:type="dxa"/>
          </w:tcPr>
          <w:p>
            <w:pPr>
              <w:pStyle w:val="TableParagraph"/>
              <w:spacing w:before="13"/>
              <w:ind w:left="174" w:right="128"/>
              <w:rPr>
                <w:rFonts w:ascii="Calibri"/>
                <w:sz w:val="22"/>
              </w:rPr>
            </w:pPr>
            <w:r>
              <w:rPr>
                <w:rFonts w:ascii="Calibri"/>
                <w:sz w:val="22"/>
              </w:rPr>
              <w:t>1.3</w:t>
            </w:r>
          </w:p>
        </w:tc>
        <w:tc>
          <w:tcPr>
            <w:tcW w:w="922" w:type="dxa"/>
            <w:tcBorders>
              <w:right w:val="single" w:sz="4" w:space="0" w:color="000000"/>
            </w:tcBorders>
          </w:tcPr>
          <w:p>
            <w:pPr>
              <w:pStyle w:val="TableParagraph"/>
              <w:spacing w:before="13"/>
              <w:ind w:left="134" w:right="127"/>
              <w:rPr>
                <w:rFonts w:ascii="Calibri"/>
                <w:sz w:val="22"/>
              </w:rPr>
            </w:pPr>
            <w:r>
              <w:rPr>
                <w:rFonts w:ascii="Calibri"/>
                <w:sz w:val="22"/>
              </w:rPr>
              <w:t>6.8</w:t>
            </w:r>
          </w:p>
        </w:tc>
        <w:tc>
          <w:tcPr>
            <w:tcW w:w="919" w:type="dxa"/>
            <w:tcBorders>
              <w:left w:val="single" w:sz="4" w:space="0" w:color="000000"/>
            </w:tcBorders>
          </w:tcPr>
          <w:p>
            <w:pPr>
              <w:pStyle w:val="TableParagraph"/>
              <w:spacing w:before="13"/>
              <w:ind w:left="130" w:right="130"/>
              <w:rPr>
                <w:rFonts w:ascii="Calibri"/>
                <w:sz w:val="22"/>
              </w:rPr>
            </w:pPr>
            <w:r>
              <w:rPr>
                <w:rFonts w:ascii="Calibri"/>
                <w:sz w:val="22"/>
              </w:rPr>
              <w:t>1.1</w:t>
            </w:r>
          </w:p>
        </w:tc>
        <w:tc>
          <w:tcPr>
            <w:tcW w:w="922" w:type="dxa"/>
            <w:tcBorders>
              <w:right w:val="single" w:sz="4" w:space="0" w:color="000000"/>
            </w:tcBorders>
          </w:tcPr>
          <w:p>
            <w:pPr>
              <w:pStyle w:val="TableParagraph"/>
              <w:spacing w:before="13"/>
              <w:ind w:left="134" w:right="127"/>
              <w:rPr>
                <w:rFonts w:ascii="Calibri"/>
                <w:sz w:val="22"/>
              </w:rPr>
            </w:pPr>
            <w:r>
              <w:rPr>
                <w:rFonts w:ascii="Calibri"/>
                <w:sz w:val="22"/>
              </w:rPr>
              <w:t>6.3</w:t>
            </w:r>
          </w:p>
        </w:tc>
        <w:tc>
          <w:tcPr>
            <w:tcW w:w="918" w:type="dxa"/>
            <w:tcBorders>
              <w:left w:val="single" w:sz="4" w:space="0" w:color="000000"/>
            </w:tcBorders>
          </w:tcPr>
          <w:p>
            <w:pPr>
              <w:pStyle w:val="TableParagraph"/>
              <w:spacing w:before="13"/>
              <w:ind w:left="128" w:right="129"/>
              <w:rPr>
                <w:rFonts w:ascii="Calibri"/>
                <w:sz w:val="22"/>
              </w:rPr>
            </w:pPr>
            <w:r>
              <w:rPr>
                <w:rFonts w:ascii="Calibri"/>
                <w:sz w:val="22"/>
              </w:rPr>
              <w:t>0.2</w:t>
            </w:r>
          </w:p>
        </w:tc>
        <w:tc>
          <w:tcPr>
            <w:tcW w:w="923" w:type="dxa"/>
            <w:tcBorders>
              <w:right w:val="single" w:sz="4" w:space="0" w:color="000000"/>
            </w:tcBorders>
          </w:tcPr>
          <w:p>
            <w:pPr>
              <w:pStyle w:val="TableParagraph"/>
              <w:spacing w:before="13"/>
              <w:ind w:left="135" w:right="127"/>
              <w:rPr>
                <w:rFonts w:ascii="Calibri"/>
                <w:sz w:val="22"/>
              </w:rPr>
            </w:pPr>
            <w:r>
              <w:rPr>
                <w:rFonts w:ascii="Calibri"/>
                <w:sz w:val="22"/>
              </w:rPr>
              <w:t>2.3</w:t>
            </w:r>
          </w:p>
        </w:tc>
        <w:tc>
          <w:tcPr>
            <w:tcW w:w="918" w:type="dxa"/>
            <w:tcBorders>
              <w:left w:val="single" w:sz="4" w:space="0" w:color="000000"/>
            </w:tcBorders>
          </w:tcPr>
          <w:p>
            <w:pPr>
              <w:pStyle w:val="TableParagraph"/>
              <w:spacing w:before="13"/>
              <w:ind w:left="128" w:right="128"/>
              <w:rPr>
                <w:rFonts w:ascii="Calibri"/>
                <w:sz w:val="22"/>
              </w:rPr>
            </w:pPr>
            <w:r>
              <w:rPr>
                <w:rFonts w:ascii="Calibri"/>
                <w:sz w:val="22"/>
              </w:rPr>
              <w:t>-0.6</w:t>
            </w:r>
          </w:p>
        </w:tc>
        <w:tc>
          <w:tcPr>
            <w:tcW w:w="922" w:type="dxa"/>
            <w:tcBorders>
              <w:right w:val="single" w:sz="4" w:space="0" w:color="000000"/>
            </w:tcBorders>
          </w:tcPr>
          <w:p>
            <w:pPr>
              <w:pStyle w:val="TableParagraph"/>
              <w:spacing w:before="13"/>
              <w:ind w:left="132" w:right="127"/>
              <w:rPr>
                <w:rFonts w:ascii="Calibri"/>
                <w:sz w:val="22"/>
              </w:rPr>
            </w:pPr>
            <w:r>
              <w:rPr>
                <w:rFonts w:ascii="Calibri"/>
                <w:sz w:val="22"/>
              </w:rPr>
              <w:t>0.1</w:t>
            </w:r>
          </w:p>
        </w:tc>
      </w:tr>
      <w:tr>
        <w:trPr>
          <w:trHeight w:val="282" w:hRule="atLeast"/>
        </w:trPr>
        <w:tc>
          <w:tcPr>
            <w:tcW w:w="1620" w:type="dxa"/>
          </w:tcPr>
          <w:p>
            <w:pPr>
              <w:pStyle w:val="TableParagraph"/>
              <w:spacing w:line="262" w:lineRule="exact"/>
              <w:ind w:left="69"/>
              <w:jc w:val="left"/>
              <w:rPr>
                <w:rFonts w:ascii="Calibri"/>
                <w:sz w:val="22"/>
              </w:rPr>
            </w:pPr>
            <w:r>
              <w:rPr>
                <w:rFonts w:ascii="Calibri"/>
                <w:sz w:val="22"/>
              </w:rPr>
              <w:t>MAE dyb</w:t>
            </w:r>
          </w:p>
        </w:tc>
        <w:tc>
          <w:tcPr>
            <w:tcW w:w="960" w:type="dxa"/>
          </w:tcPr>
          <w:p>
            <w:pPr>
              <w:pStyle w:val="TableParagraph"/>
              <w:spacing w:line="262" w:lineRule="exact"/>
              <w:ind w:left="174" w:right="128"/>
              <w:rPr>
                <w:rFonts w:ascii="Calibri"/>
                <w:sz w:val="22"/>
              </w:rPr>
            </w:pPr>
            <w:r>
              <w:rPr>
                <w:rFonts w:ascii="Calibri"/>
                <w:sz w:val="22"/>
              </w:rPr>
              <w:t>3.1</w:t>
            </w:r>
          </w:p>
        </w:tc>
        <w:tc>
          <w:tcPr>
            <w:tcW w:w="922" w:type="dxa"/>
            <w:tcBorders>
              <w:right w:val="single" w:sz="4" w:space="0" w:color="000000"/>
            </w:tcBorders>
          </w:tcPr>
          <w:p>
            <w:pPr>
              <w:pStyle w:val="TableParagraph"/>
              <w:spacing w:line="262" w:lineRule="exact"/>
              <w:ind w:left="134" w:right="127"/>
              <w:rPr>
                <w:rFonts w:ascii="Calibri"/>
                <w:sz w:val="22"/>
              </w:rPr>
            </w:pPr>
            <w:r>
              <w:rPr>
                <w:rFonts w:ascii="Calibri"/>
                <w:sz w:val="22"/>
              </w:rPr>
              <w:t>8.4</w:t>
            </w:r>
          </w:p>
        </w:tc>
        <w:tc>
          <w:tcPr>
            <w:tcW w:w="919" w:type="dxa"/>
            <w:tcBorders>
              <w:left w:val="single" w:sz="4" w:space="0" w:color="000000"/>
            </w:tcBorders>
          </w:tcPr>
          <w:p>
            <w:pPr>
              <w:pStyle w:val="TableParagraph"/>
              <w:spacing w:line="262" w:lineRule="exact"/>
              <w:ind w:left="130" w:right="130"/>
              <w:rPr>
                <w:rFonts w:ascii="Calibri"/>
                <w:sz w:val="22"/>
              </w:rPr>
            </w:pPr>
            <w:r>
              <w:rPr>
                <w:rFonts w:ascii="Calibri"/>
                <w:sz w:val="22"/>
              </w:rPr>
              <w:t>3.1</w:t>
            </w:r>
          </w:p>
        </w:tc>
        <w:tc>
          <w:tcPr>
            <w:tcW w:w="922" w:type="dxa"/>
            <w:tcBorders>
              <w:right w:val="single" w:sz="4" w:space="0" w:color="000000"/>
            </w:tcBorders>
          </w:tcPr>
          <w:p>
            <w:pPr>
              <w:pStyle w:val="TableParagraph"/>
              <w:spacing w:line="262" w:lineRule="exact"/>
              <w:ind w:left="134" w:right="127"/>
              <w:rPr>
                <w:rFonts w:ascii="Calibri"/>
                <w:sz w:val="22"/>
              </w:rPr>
            </w:pPr>
            <w:r>
              <w:rPr>
                <w:rFonts w:ascii="Calibri"/>
                <w:sz w:val="22"/>
              </w:rPr>
              <w:t>8.2</w:t>
            </w:r>
          </w:p>
        </w:tc>
        <w:tc>
          <w:tcPr>
            <w:tcW w:w="918" w:type="dxa"/>
            <w:tcBorders>
              <w:left w:val="single" w:sz="4" w:space="0" w:color="000000"/>
            </w:tcBorders>
          </w:tcPr>
          <w:p>
            <w:pPr>
              <w:pStyle w:val="TableParagraph"/>
              <w:spacing w:line="262" w:lineRule="exact"/>
              <w:ind w:left="128" w:right="129"/>
              <w:rPr>
                <w:rFonts w:ascii="Calibri"/>
                <w:sz w:val="22"/>
              </w:rPr>
            </w:pPr>
            <w:r>
              <w:rPr>
                <w:rFonts w:ascii="Calibri"/>
                <w:sz w:val="22"/>
              </w:rPr>
              <w:t>2.7</w:t>
            </w:r>
          </w:p>
        </w:tc>
        <w:tc>
          <w:tcPr>
            <w:tcW w:w="923" w:type="dxa"/>
            <w:tcBorders>
              <w:right w:val="single" w:sz="4" w:space="0" w:color="000000"/>
            </w:tcBorders>
          </w:tcPr>
          <w:p>
            <w:pPr>
              <w:pStyle w:val="TableParagraph"/>
              <w:spacing w:line="262" w:lineRule="exact"/>
              <w:ind w:left="135" w:right="127"/>
              <w:rPr>
                <w:rFonts w:ascii="Calibri"/>
                <w:sz w:val="22"/>
              </w:rPr>
            </w:pPr>
            <w:r>
              <w:rPr>
                <w:rFonts w:ascii="Calibri"/>
                <w:sz w:val="22"/>
              </w:rPr>
              <w:t>4.9</w:t>
            </w:r>
          </w:p>
        </w:tc>
        <w:tc>
          <w:tcPr>
            <w:tcW w:w="918" w:type="dxa"/>
            <w:tcBorders>
              <w:left w:val="single" w:sz="4" w:space="0" w:color="000000"/>
            </w:tcBorders>
          </w:tcPr>
          <w:p>
            <w:pPr>
              <w:pStyle w:val="TableParagraph"/>
              <w:spacing w:line="262" w:lineRule="exact"/>
              <w:ind w:left="128" w:right="128"/>
              <w:rPr>
                <w:rFonts w:ascii="Calibri"/>
                <w:sz w:val="22"/>
              </w:rPr>
            </w:pPr>
            <w:r>
              <w:rPr>
                <w:rFonts w:ascii="Calibri"/>
                <w:sz w:val="22"/>
              </w:rPr>
              <w:t>3.5</w:t>
            </w:r>
          </w:p>
        </w:tc>
        <w:tc>
          <w:tcPr>
            <w:tcW w:w="922" w:type="dxa"/>
            <w:tcBorders>
              <w:right w:val="single" w:sz="4" w:space="0" w:color="000000"/>
            </w:tcBorders>
          </w:tcPr>
          <w:p>
            <w:pPr>
              <w:pStyle w:val="TableParagraph"/>
              <w:spacing w:line="262" w:lineRule="exact"/>
              <w:ind w:left="132" w:right="127"/>
              <w:rPr>
                <w:rFonts w:ascii="Calibri"/>
                <w:sz w:val="22"/>
              </w:rPr>
            </w:pPr>
            <w:r>
              <w:rPr>
                <w:rFonts w:ascii="Calibri"/>
                <w:sz w:val="22"/>
              </w:rPr>
              <w:t>5.5</w:t>
            </w:r>
          </w:p>
        </w:tc>
      </w:tr>
      <w:tr>
        <w:trPr>
          <w:trHeight w:val="300" w:hRule="atLeast"/>
        </w:trPr>
        <w:tc>
          <w:tcPr>
            <w:tcW w:w="1620" w:type="dxa"/>
            <w:shd w:val="clear" w:color="auto" w:fill="E1EEDA"/>
          </w:tcPr>
          <w:p>
            <w:pPr>
              <w:pStyle w:val="TableParagraph"/>
              <w:spacing w:line="266" w:lineRule="exact" w:before="13"/>
              <w:ind w:left="69"/>
              <w:jc w:val="left"/>
              <w:rPr>
                <w:rFonts w:ascii="Calibri"/>
                <w:sz w:val="22"/>
              </w:rPr>
            </w:pPr>
            <w:r>
              <w:rPr>
                <w:rFonts w:ascii="Calibri"/>
                <w:sz w:val="22"/>
              </w:rPr>
              <w:t>RMSE dyb</w:t>
            </w:r>
          </w:p>
        </w:tc>
        <w:tc>
          <w:tcPr>
            <w:tcW w:w="960" w:type="dxa"/>
            <w:shd w:val="clear" w:color="auto" w:fill="E1EEDA"/>
          </w:tcPr>
          <w:p>
            <w:pPr>
              <w:pStyle w:val="TableParagraph"/>
              <w:spacing w:line="266" w:lineRule="exact" w:before="13"/>
              <w:ind w:left="174" w:right="128"/>
              <w:rPr>
                <w:rFonts w:ascii="Calibri"/>
                <w:sz w:val="22"/>
              </w:rPr>
            </w:pPr>
            <w:r>
              <w:rPr>
                <w:rFonts w:ascii="Calibri"/>
                <w:sz w:val="22"/>
              </w:rPr>
              <w:t>5.2</w:t>
            </w:r>
          </w:p>
        </w:tc>
        <w:tc>
          <w:tcPr>
            <w:tcW w:w="922" w:type="dxa"/>
            <w:tcBorders>
              <w:right w:val="single" w:sz="4" w:space="0" w:color="000000"/>
            </w:tcBorders>
            <w:shd w:val="clear" w:color="auto" w:fill="E1EEDA"/>
          </w:tcPr>
          <w:p>
            <w:pPr>
              <w:pStyle w:val="TableParagraph"/>
              <w:spacing w:line="266" w:lineRule="exact" w:before="13"/>
              <w:ind w:left="131" w:right="127"/>
              <w:rPr>
                <w:rFonts w:ascii="Calibri"/>
                <w:sz w:val="22"/>
              </w:rPr>
            </w:pPr>
            <w:r>
              <w:rPr>
                <w:rFonts w:ascii="Calibri"/>
                <w:sz w:val="22"/>
              </w:rPr>
              <w:t>23.5</w:t>
            </w:r>
          </w:p>
        </w:tc>
        <w:tc>
          <w:tcPr>
            <w:tcW w:w="919" w:type="dxa"/>
            <w:tcBorders>
              <w:left w:val="single" w:sz="4" w:space="0" w:color="000000"/>
            </w:tcBorders>
            <w:shd w:val="clear" w:color="auto" w:fill="E1EEDA"/>
          </w:tcPr>
          <w:p>
            <w:pPr>
              <w:pStyle w:val="TableParagraph"/>
              <w:spacing w:line="266" w:lineRule="exact" w:before="13"/>
              <w:ind w:left="130" w:right="130"/>
              <w:rPr>
                <w:rFonts w:ascii="Calibri"/>
                <w:sz w:val="22"/>
              </w:rPr>
            </w:pPr>
            <w:r>
              <w:rPr>
                <w:rFonts w:ascii="Calibri"/>
                <w:sz w:val="22"/>
              </w:rPr>
              <w:t>5.2</w:t>
            </w:r>
          </w:p>
        </w:tc>
        <w:tc>
          <w:tcPr>
            <w:tcW w:w="922" w:type="dxa"/>
            <w:tcBorders>
              <w:right w:val="single" w:sz="4" w:space="0" w:color="000000"/>
            </w:tcBorders>
            <w:shd w:val="clear" w:color="auto" w:fill="E1EEDA"/>
          </w:tcPr>
          <w:p>
            <w:pPr>
              <w:pStyle w:val="TableParagraph"/>
              <w:spacing w:line="266" w:lineRule="exact" w:before="13"/>
              <w:ind w:left="132" w:right="127"/>
              <w:rPr>
                <w:rFonts w:ascii="Calibri"/>
                <w:sz w:val="22"/>
              </w:rPr>
            </w:pPr>
            <w:r>
              <w:rPr>
                <w:rFonts w:ascii="Calibri"/>
                <w:sz w:val="22"/>
              </w:rPr>
              <w:t>23.3</w:t>
            </w:r>
          </w:p>
        </w:tc>
        <w:tc>
          <w:tcPr>
            <w:tcW w:w="918" w:type="dxa"/>
            <w:tcBorders>
              <w:left w:val="single" w:sz="4" w:space="0" w:color="000000"/>
            </w:tcBorders>
            <w:shd w:val="clear" w:color="auto" w:fill="E1EEDA"/>
          </w:tcPr>
          <w:p>
            <w:pPr>
              <w:pStyle w:val="TableParagraph"/>
              <w:spacing w:line="266" w:lineRule="exact" w:before="13"/>
              <w:ind w:left="128" w:right="129"/>
              <w:rPr>
                <w:rFonts w:ascii="Calibri"/>
                <w:sz w:val="22"/>
              </w:rPr>
            </w:pPr>
            <w:r>
              <w:rPr>
                <w:rFonts w:ascii="Calibri"/>
                <w:sz w:val="22"/>
              </w:rPr>
              <w:t>4.2</w:t>
            </w:r>
          </w:p>
        </w:tc>
        <w:tc>
          <w:tcPr>
            <w:tcW w:w="923" w:type="dxa"/>
            <w:tcBorders>
              <w:right w:val="single" w:sz="4" w:space="0" w:color="000000"/>
            </w:tcBorders>
            <w:shd w:val="clear" w:color="auto" w:fill="E1EEDA"/>
          </w:tcPr>
          <w:p>
            <w:pPr>
              <w:pStyle w:val="TableParagraph"/>
              <w:spacing w:line="266" w:lineRule="exact" w:before="13"/>
              <w:ind w:left="132" w:right="127"/>
              <w:rPr>
                <w:rFonts w:ascii="Calibri"/>
                <w:sz w:val="22"/>
              </w:rPr>
            </w:pPr>
            <w:r>
              <w:rPr>
                <w:rFonts w:ascii="Calibri"/>
                <w:sz w:val="22"/>
              </w:rPr>
              <w:t>15.5</w:t>
            </w:r>
          </w:p>
        </w:tc>
        <w:tc>
          <w:tcPr>
            <w:tcW w:w="918" w:type="dxa"/>
            <w:tcBorders>
              <w:left w:val="single" w:sz="4" w:space="0" w:color="000000"/>
            </w:tcBorders>
            <w:shd w:val="clear" w:color="auto" w:fill="E1EEDA"/>
          </w:tcPr>
          <w:p>
            <w:pPr>
              <w:pStyle w:val="TableParagraph"/>
              <w:spacing w:line="266" w:lineRule="exact" w:before="13"/>
              <w:ind w:left="128" w:right="128"/>
              <w:rPr>
                <w:rFonts w:ascii="Calibri"/>
                <w:sz w:val="22"/>
              </w:rPr>
            </w:pPr>
            <w:r>
              <w:rPr>
                <w:rFonts w:ascii="Calibri"/>
                <w:sz w:val="22"/>
              </w:rPr>
              <w:t>5.5</w:t>
            </w:r>
          </w:p>
        </w:tc>
        <w:tc>
          <w:tcPr>
            <w:tcW w:w="922" w:type="dxa"/>
            <w:tcBorders>
              <w:right w:val="single" w:sz="4" w:space="0" w:color="000000"/>
            </w:tcBorders>
            <w:shd w:val="clear" w:color="auto" w:fill="E1EEDA"/>
          </w:tcPr>
          <w:p>
            <w:pPr>
              <w:pStyle w:val="TableParagraph"/>
              <w:spacing w:line="266" w:lineRule="exact" w:before="13"/>
              <w:ind w:left="129" w:right="127"/>
              <w:rPr>
                <w:rFonts w:ascii="Calibri"/>
                <w:sz w:val="22"/>
              </w:rPr>
            </w:pPr>
            <w:r>
              <w:rPr>
                <w:rFonts w:ascii="Calibri"/>
                <w:sz w:val="22"/>
              </w:rPr>
              <w:t>15.4</w:t>
            </w:r>
          </w:p>
        </w:tc>
      </w:tr>
      <w:tr>
        <w:trPr>
          <w:trHeight w:val="379" w:hRule="atLeast"/>
        </w:trPr>
        <w:tc>
          <w:tcPr>
            <w:tcW w:w="1620" w:type="dxa"/>
            <w:shd w:val="clear" w:color="auto" w:fill="D9D9D9"/>
          </w:tcPr>
          <w:p>
            <w:pPr>
              <w:pStyle w:val="TableParagraph"/>
              <w:spacing w:before="45"/>
              <w:ind w:left="69"/>
              <w:jc w:val="left"/>
              <w:rPr>
                <w:rFonts w:ascii="Calibri"/>
                <w:sz w:val="22"/>
              </w:rPr>
            </w:pPr>
            <w:r>
              <w:rPr>
                <w:rFonts w:ascii="Calibri"/>
                <w:sz w:val="22"/>
              </w:rPr>
              <w:t>ME90Q tn</w:t>
            </w:r>
          </w:p>
        </w:tc>
        <w:tc>
          <w:tcPr>
            <w:tcW w:w="960" w:type="dxa"/>
            <w:shd w:val="clear" w:color="auto" w:fill="D9D9D9"/>
          </w:tcPr>
          <w:p>
            <w:pPr>
              <w:pStyle w:val="TableParagraph"/>
              <w:spacing w:before="45"/>
              <w:ind w:left="174" w:right="128"/>
              <w:rPr>
                <w:rFonts w:ascii="Calibri"/>
                <w:sz w:val="22"/>
              </w:rPr>
            </w:pPr>
            <w:r>
              <w:rPr>
                <w:rFonts w:ascii="Calibri"/>
                <w:sz w:val="22"/>
              </w:rPr>
              <w:t>0.7</w:t>
            </w:r>
          </w:p>
        </w:tc>
        <w:tc>
          <w:tcPr>
            <w:tcW w:w="922" w:type="dxa"/>
            <w:tcBorders>
              <w:right w:val="single" w:sz="4" w:space="0" w:color="000000"/>
            </w:tcBorders>
            <w:shd w:val="clear" w:color="auto" w:fill="D9D9D9"/>
          </w:tcPr>
          <w:p>
            <w:pPr>
              <w:pStyle w:val="TableParagraph"/>
              <w:spacing w:before="45"/>
              <w:ind w:left="134" w:right="127"/>
              <w:rPr>
                <w:rFonts w:ascii="Calibri"/>
                <w:sz w:val="22"/>
              </w:rPr>
            </w:pPr>
            <w:r>
              <w:rPr>
                <w:rFonts w:ascii="Calibri"/>
                <w:sz w:val="22"/>
              </w:rPr>
              <w:t>0.8</w:t>
            </w:r>
          </w:p>
        </w:tc>
        <w:tc>
          <w:tcPr>
            <w:tcW w:w="919" w:type="dxa"/>
            <w:tcBorders>
              <w:left w:val="single" w:sz="4" w:space="0" w:color="000000"/>
            </w:tcBorders>
            <w:shd w:val="clear" w:color="auto" w:fill="D9D9D9"/>
          </w:tcPr>
          <w:p>
            <w:pPr>
              <w:pStyle w:val="TableParagraph"/>
              <w:spacing w:before="45"/>
              <w:ind w:left="130" w:right="130"/>
              <w:rPr>
                <w:rFonts w:ascii="Calibri"/>
                <w:sz w:val="22"/>
              </w:rPr>
            </w:pPr>
            <w:r>
              <w:rPr>
                <w:rFonts w:ascii="Calibri"/>
                <w:sz w:val="22"/>
              </w:rPr>
              <w:t>0.5</w:t>
            </w:r>
          </w:p>
        </w:tc>
        <w:tc>
          <w:tcPr>
            <w:tcW w:w="922" w:type="dxa"/>
            <w:tcBorders>
              <w:right w:val="single" w:sz="4" w:space="0" w:color="000000"/>
            </w:tcBorders>
            <w:shd w:val="clear" w:color="auto" w:fill="D9D9D9"/>
          </w:tcPr>
          <w:p>
            <w:pPr>
              <w:pStyle w:val="TableParagraph"/>
              <w:spacing w:before="45"/>
              <w:ind w:left="134" w:right="127"/>
              <w:rPr>
                <w:rFonts w:ascii="Calibri"/>
                <w:sz w:val="22"/>
              </w:rPr>
            </w:pPr>
            <w:r>
              <w:rPr>
                <w:rFonts w:ascii="Calibri"/>
                <w:sz w:val="22"/>
              </w:rPr>
              <w:t>0.4</w:t>
            </w:r>
          </w:p>
        </w:tc>
        <w:tc>
          <w:tcPr>
            <w:tcW w:w="918" w:type="dxa"/>
            <w:tcBorders>
              <w:left w:val="single" w:sz="4" w:space="0" w:color="000000"/>
            </w:tcBorders>
            <w:shd w:val="clear" w:color="auto" w:fill="D9D9D9"/>
          </w:tcPr>
          <w:p>
            <w:pPr>
              <w:pStyle w:val="TableParagraph"/>
              <w:spacing w:before="45"/>
              <w:ind w:left="128" w:right="129"/>
              <w:rPr>
                <w:rFonts w:ascii="Calibri"/>
                <w:sz w:val="22"/>
              </w:rPr>
            </w:pPr>
            <w:r>
              <w:rPr>
                <w:rFonts w:ascii="Calibri"/>
                <w:sz w:val="22"/>
              </w:rPr>
              <w:t>0.7</w:t>
            </w:r>
          </w:p>
        </w:tc>
        <w:tc>
          <w:tcPr>
            <w:tcW w:w="923" w:type="dxa"/>
            <w:tcBorders>
              <w:right w:val="single" w:sz="4" w:space="0" w:color="000000"/>
            </w:tcBorders>
            <w:shd w:val="clear" w:color="auto" w:fill="D9D9D9"/>
          </w:tcPr>
          <w:p>
            <w:pPr>
              <w:pStyle w:val="TableParagraph"/>
              <w:spacing w:before="45"/>
              <w:ind w:left="135" w:right="127"/>
              <w:rPr>
                <w:rFonts w:ascii="Calibri"/>
                <w:sz w:val="22"/>
              </w:rPr>
            </w:pPr>
            <w:r>
              <w:rPr>
                <w:rFonts w:ascii="Calibri"/>
                <w:sz w:val="22"/>
              </w:rPr>
              <w:t>1.3</w:t>
            </w:r>
          </w:p>
        </w:tc>
        <w:tc>
          <w:tcPr>
            <w:tcW w:w="918" w:type="dxa"/>
            <w:tcBorders>
              <w:left w:val="single" w:sz="4" w:space="0" w:color="000000"/>
            </w:tcBorders>
            <w:shd w:val="clear" w:color="auto" w:fill="D9D9D9"/>
          </w:tcPr>
          <w:p>
            <w:pPr>
              <w:pStyle w:val="TableParagraph"/>
              <w:spacing w:before="45"/>
              <w:ind w:left="128" w:right="128"/>
              <w:rPr>
                <w:rFonts w:ascii="Calibri"/>
                <w:sz w:val="22"/>
              </w:rPr>
            </w:pPr>
            <w:r>
              <w:rPr>
                <w:rFonts w:ascii="Calibri"/>
                <w:sz w:val="22"/>
              </w:rPr>
              <w:t>-0.9</w:t>
            </w:r>
          </w:p>
        </w:tc>
        <w:tc>
          <w:tcPr>
            <w:tcW w:w="922" w:type="dxa"/>
            <w:tcBorders>
              <w:right w:val="single" w:sz="4" w:space="0" w:color="000000"/>
            </w:tcBorders>
            <w:shd w:val="clear" w:color="auto" w:fill="D9D9D9"/>
          </w:tcPr>
          <w:p>
            <w:pPr>
              <w:pStyle w:val="TableParagraph"/>
              <w:spacing w:before="45"/>
              <w:ind w:left="132" w:right="127"/>
              <w:rPr>
                <w:rFonts w:ascii="Calibri"/>
                <w:sz w:val="22"/>
              </w:rPr>
            </w:pPr>
            <w:r>
              <w:rPr>
                <w:rFonts w:ascii="Calibri"/>
                <w:sz w:val="22"/>
              </w:rPr>
              <w:t>-0.7</w:t>
            </w:r>
          </w:p>
        </w:tc>
      </w:tr>
      <w:tr>
        <w:trPr>
          <w:trHeight w:val="340" w:hRule="atLeast"/>
        </w:trPr>
        <w:tc>
          <w:tcPr>
            <w:tcW w:w="1620" w:type="dxa"/>
            <w:shd w:val="clear" w:color="auto" w:fill="D9D9D9"/>
          </w:tcPr>
          <w:p>
            <w:pPr>
              <w:pStyle w:val="TableParagraph"/>
              <w:spacing w:before="25"/>
              <w:ind w:left="69"/>
              <w:jc w:val="left"/>
              <w:rPr>
                <w:rFonts w:ascii="Calibri"/>
                <w:sz w:val="22"/>
              </w:rPr>
            </w:pPr>
            <w:r>
              <w:rPr>
                <w:rFonts w:ascii="Calibri"/>
                <w:sz w:val="22"/>
              </w:rPr>
              <w:t>MAE90Q tn</w:t>
            </w:r>
          </w:p>
        </w:tc>
        <w:tc>
          <w:tcPr>
            <w:tcW w:w="960" w:type="dxa"/>
            <w:shd w:val="clear" w:color="auto" w:fill="D9D9D9"/>
          </w:tcPr>
          <w:p>
            <w:pPr>
              <w:pStyle w:val="TableParagraph"/>
              <w:spacing w:before="25"/>
              <w:ind w:left="174" w:right="128"/>
              <w:rPr>
                <w:rFonts w:ascii="Calibri"/>
                <w:sz w:val="22"/>
              </w:rPr>
            </w:pPr>
            <w:r>
              <w:rPr>
                <w:rFonts w:ascii="Calibri"/>
                <w:sz w:val="22"/>
              </w:rPr>
              <w:t>1.6</w:t>
            </w:r>
          </w:p>
        </w:tc>
        <w:tc>
          <w:tcPr>
            <w:tcW w:w="922" w:type="dxa"/>
            <w:tcBorders>
              <w:right w:val="single" w:sz="4" w:space="0" w:color="000000"/>
            </w:tcBorders>
            <w:shd w:val="clear" w:color="auto" w:fill="D9D9D9"/>
          </w:tcPr>
          <w:p>
            <w:pPr>
              <w:pStyle w:val="TableParagraph"/>
              <w:spacing w:before="25"/>
              <w:ind w:left="134" w:right="127"/>
              <w:rPr>
                <w:rFonts w:ascii="Calibri"/>
                <w:sz w:val="22"/>
              </w:rPr>
            </w:pPr>
            <w:r>
              <w:rPr>
                <w:rFonts w:ascii="Calibri"/>
                <w:sz w:val="22"/>
              </w:rPr>
              <w:t>1.8</w:t>
            </w:r>
          </w:p>
        </w:tc>
        <w:tc>
          <w:tcPr>
            <w:tcW w:w="919" w:type="dxa"/>
            <w:tcBorders>
              <w:left w:val="single" w:sz="4" w:space="0" w:color="000000"/>
            </w:tcBorders>
            <w:shd w:val="clear" w:color="auto" w:fill="D9D9D9"/>
          </w:tcPr>
          <w:p>
            <w:pPr>
              <w:pStyle w:val="TableParagraph"/>
              <w:spacing w:before="25"/>
              <w:ind w:left="130" w:right="130"/>
              <w:rPr>
                <w:rFonts w:ascii="Calibri"/>
                <w:sz w:val="22"/>
              </w:rPr>
            </w:pPr>
            <w:r>
              <w:rPr>
                <w:rFonts w:ascii="Calibri"/>
                <w:sz w:val="22"/>
              </w:rPr>
              <w:t>1.6</w:t>
            </w:r>
          </w:p>
        </w:tc>
        <w:tc>
          <w:tcPr>
            <w:tcW w:w="922" w:type="dxa"/>
            <w:tcBorders>
              <w:right w:val="single" w:sz="4" w:space="0" w:color="000000"/>
            </w:tcBorders>
            <w:shd w:val="clear" w:color="auto" w:fill="D9D9D9"/>
          </w:tcPr>
          <w:p>
            <w:pPr>
              <w:pStyle w:val="TableParagraph"/>
              <w:spacing w:before="25"/>
              <w:ind w:left="134" w:right="127"/>
              <w:rPr>
                <w:rFonts w:ascii="Calibri"/>
                <w:sz w:val="22"/>
              </w:rPr>
            </w:pPr>
            <w:r>
              <w:rPr>
                <w:rFonts w:ascii="Calibri"/>
                <w:sz w:val="22"/>
              </w:rPr>
              <w:t>1.6</w:t>
            </w:r>
          </w:p>
        </w:tc>
        <w:tc>
          <w:tcPr>
            <w:tcW w:w="918" w:type="dxa"/>
            <w:tcBorders>
              <w:left w:val="single" w:sz="4" w:space="0" w:color="000000"/>
            </w:tcBorders>
            <w:shd w:val="clear" w:color="auto" w:fill="D9D9D9"/>
          </w:tcPr>
          <w:p>
            <w:pPr>
              <w:pStyle w:val="TableParagraph"/>
              <w:spacing w:before="25"/>
              <w:ind w:left="128" w:right="129"/>
              <w:rPr>
                <w:rFonts w:ascii="Calibri"/>
                <w:sz w:val="22"/>
              </w:rPr>
            </w:pPr>
            <w:r>
              <w:rPr>
                <w:rFonts w:ascii="Calibri"/>
                <w:sz w:val="22"/>
              </w:rPr>
              <w:t>1.9</w:t>
            </w:r>
          </w:p>
        </w:tc>
        <w:tc>
          <w:tcPr>
            <w:tcW w:w="923" w:type="dxa"/>
            <w:tcBorders>
              <w:right w:val="single" w:sz="4" w:space="0" w:color="000000"/>
            </w:tcBorders>
            <w:shd w:val="clear" w:color="auto" w:fill="D9D9D9"/>
          </w:tcPr>
          <w:p>
            <w:pPr>
              <w:pStyle w:val="TableParagraph"/>
              <w:spacing w:before="25"/>
              <w:ind w:left="135" w:right="127"/>
              <w:rPr>
                <w:rFonts w:ascii="Calibri"/>
                <w:sz w:val="22"/>
              </w:rPr>
            </w:pPr>
            <w:r>
              <w:rPr>
                <w:rFonts w:ascii="Calibri"/>
                <w:sz w:val="22"/>
              </w:rPr>
              <w:t>2.6</w:t>
            </w:r>
          </w:p>
        </w:tc>
        <w:tc>
          <w:tcPr>
            <w:tcW w:w="918" w:type="dxa"/>
            <w:tcBorders>
              <w:left w:val="single" w:sz="4" w:space="0" w:color="000000"/>
            </w:tcBorders>
            <w:shd w:val="clear" w:color="auto" w:fill="D9D9D9"/>
          </w:tcPr>
          <w:p>
            <w:pPr>
              <w:pStyle w:val="TableParagraph"/>
              <w:spacing w:before="25"/>
              <w:ind w:left="128" w:right="128"/>
              <w:rPr>
                <w:rFonts w:ascii="Calibri"/>
                <w:sz w:val="22"/>
              </w:rPr>
            </w:pPr>
            <w:r>
              <w:rPr>
                <w:rFonts w:ascii="Calibri"/>
                <w:sz w:val="22"/>
              </w:rPr>
              <w:t>1.9</w:t>
            </w:r>
          </w:p>
        </w:tc>
        <w:tc>
          <w:tcPr>
            <w:tcW w:w="922" w:type="dxa"/>
            <w:tcBorders>
              <w:right w:val="single" w:sz="4" w:space="0" w:color="000000"/>
            </w:tcBorders>
            <w:shd w:val="clear" w:color="auto" w:fill="D9D9D9"/>
          </w:tcPr>
          <w:p>
            <w:pPr>
              <w:pStyle w:val="TableParagraph"/>
              <w:spacing w:before="25"/>
              <w:ind w:left="132" w:right="127"/>
              <w:rPr>
                <w:rFonts w:ascii="Calibri"/>
                <w:sz w:val="22"/>
              </w:rPr>
            </w:pPr>
            <w:r>
              <w:rPr>
                <w:rFonts w:ascii="Calibri"/>
                <w:sz w:val="22"/>
              </w:rPr>
              <w:t>1.9</w:t>
            </w:r>
          </w:p>
        </w:tc>
      </w:tr>
      <w:tr>
        <w:trPr>
          <w:trHeight w:val="360" w:hRule="atLeast"/>
        </w:trPr>
        <w:tc>
          <w:tcPr>
            <w:tcW w:w="1620" w:type="dxa"/>
            <w:shd w:val="clear" w:color="auto" w:fill="E1EEDA"/>
          </w:tcPr>
          <w:p>
            <w:pPr>
              <w:pStyle w:val="TableParagraph"/>
              <w:spacing w:before="45"/>
              <w:ind w:left="69"/>
              <w:jc w:val="left"/>
              <w:rPr>
                <w:rFonts w:ascii="Calibri"/>
                <w:sz w:val="22"/>
              </w:rPr>
            </w:pPr>
            <w:r>
              <w:rPr>
                <w:rFonts w:ascii="Calibri"/>
                <w:sz w:val="22"/>
              </w:rPr>
              <w:t>RMSE90Q tn</w:t>
            </w:r>
          </w:p>
        </w:tc>
        <w:tc>
          <w:tcPr>
            <w:tcW w:w="960" w:type="dxa"/>
            <w:shd w:val="clear" w:color="auto" w:fill="E1EEDA"/>
          </w:tcPr>
          <w:p>
            <w:pPr>
              <w:pStyle w:val="TableParagraph"/>
              <w:spacing w:before="45"/>
              <w:ind w:left="174" w:right="128"/>
              <w:rPr>
                <w:rFonts w:ascii="Calibri"/>
                <w:sz w:val="22"/>
              </w:rPr>
            </w:pPr>
            <w:r>
              <w:rPr>
                <w:rFonts w:ascii="Calibri"/>
                <w:sz w:val="22"/>
              </w:rPr>
              <w:t>2.0</w:t>
            </w:r>
          </w:p>
        </w:tc>
        <w:tc>
          <w:tcPr>
            <w:tcW w:w="922" w:type="dxa"/>
            <w:tcBorders>
              <w:right w:val="single" w:sz="4" w:space="0" w:color="000000"/>
            </w:tcBorders>
            <w:shd w:val="clear" w:color="auto" w:fill="E1EEDA"/>
          </w:tcPr>
          <w:p>
            <w:pPr>
              <w:pStyle w:val="TableParagraph"/>
              <w:spacing w:before="45"/>
              <w:ind w:left="134" w:right="127"/>
              <w:rPr>
                <w:rFonts w:ascii="Calibri"/>
                <w:sz w:val="22"/>
              </w:rPr>
            </w:pPr>
            <w:r>
              <w:rPr>
                <w:rFonts w:ascii="Calibri"/>
                <w:sz w:val="22"/>
              </w:rPr>
              <w:t>2.4</w:t>
            </w:r>
          </w:p>
        </w:tc>
        <w:tc>
          <w:tcPr>
            <w:tcW w:w="919" w:type="dxa"/>
            <w:tcBorders>
              <w:left w:val="single" w:sz="4" w:space="0" w:color="000000"/>
            </w:tcBorders>
            <w:shd w:val="clear" w:color="auto" w:fill="E1EEDA"/>
          </w:tcPr>
          <w:p>
            <w:pPr>
              <w:pStyle w:val="TableParagraph"/>
              <w:spacing w:before="45"/>
              <w:ind w:left="130" w:right="130"/>
              <w:rPr>
                <w:rFonts w:ascii="Calibri"/>
                <w:sz w:val="22"/>
              </w:rPr>
            </w:pPr>
            <w:r>
              <w:rPr>
                <w:rFonts w:ascii="Calibri"/>
                <w:sz w:val="22"/>
              </w:rPr>
              <w:t>1.9</w:t>
            </w:r>
          </w:p>
        </w:tc>
        <w:tc>
          <w:tcPr>
            <w:tcW w:w="922" w:type="dxa"/>
            <w:tcBorders>
              <w:right w:val="single" w:sz="4" w:space="0" w:color="000000"/>
            </w:tcBorders>
            <w:shd w:val="clear" w:color="auto" w:fill="E1EEDA"/>
          </w:tcPr>
          <w:p>
            <w:pPr>
              <w:pStyle w:val="TableParagraph"/>
              <w:spacing w:before="45"/>
              <w:ind w:left="134" w:right="127"/>
              <w:rPr>
                <w:rFonts w:ascii="Calibri"/>
                <w:sz w:val="22"/>
              </w:rPr>
            </w:pPr>
            <w:r>
              <w:rPr>
                <w:rFonts w:ascii="Calibri"/>
                <w:sz w:val="22"/>
              </w:rPr>
              <w:t>2.1</w:t>
            </w:r>
          </w:p>
        </w:tc>
        <w:tc>
          <w:tcPr>
            <w:tcW w:w="918" w:type="dxa"/>
            <w:tcBorders>
              <w:left w:val="single" w:sz="4" w:space="0" w:color="000000"/>
            </w:tcBorders>
            <w:shd w:val="clear" w:color="auto" w:fill="E1EEDA"/>
          </w:tcPr>
          <w:p>
            <w:pPr>
              <w:pStyle w:val="TableParagraph"/>
              <w:spacing w:before="45"/>
              <w:ind w:left="128" w:right="129"/>
              <w:rPr>
                <w:rFonts w:ascii="Calibri"/>
                <w:sz w:val="22"/>
              </w:rPr>
            </w:pPr>
            <w:r>
              <w:rPr>
                <w:rFonts w:ascii="Calibri"/>
                <w:sz w:val="22"/>
              </w:rPr>
              <w:t>2.5</w:t>
            </w:r>
          </w:p>
        </w:tc>
        <w:tc>
          <w:tcPr>
            <w:tcW w:w="923" w:type="dxa"/>
            <w:tcBorders>
              <w:right w:val="single" w:sz="4" w:space="0" w:color="000000"/>
            </w:tcBorders>
            <w:shd w:val="clear" w:color="auto" w:fill="E1EEDA"/>
          </w:tcPr>
          <w:p>
            <w:pPr>
              <w:pStyle w:val="TableParagraph"/>
              <w:spacing w:before="45"/>
              <w:ind w:left="135" w:right="127"/>
              <w:rPr>
                <w:rFonts w:ascii="Calibri"/>
                <w:sz w:val="22"/>
              </w:rPr>
            </w:pPr>
            <w:r>
              <w:rPr>
                <w:rFonts w:ascii="Calibri"/>
                <w:sz w:val="22"/>
              </w:rPr>
              <w:t>3.3</w:t>
            </w:r>
          </w:p>
        </w:tc>
        <w:tc>
          <w:tcPr>
            <w:tcW w:w="918" w:type="dxa"/>
            <w:tcBorders>
              <w:left w:val="single" w:sz="4" w:space="0" w:color="000000"/>
            </w:tcBorders>
            <w:shd w:val="clear" w:color="auto" w:fill="E1EEDA"/>
          </w:tcPr>
          <w:p>
            <w:pPr>
              <w:pStyle w:val="TableParagraph"/>
              <w:spacing w:before="45"/>
              <w:ind w:left="128" w:right="128"/>
              <w:rPr>
                <w:rFonts w:ascii="Calibri"/>
                <w:sz w:val="22"/>
              </w:rPr>
            </w:pPr>
            <w:r>
              <w:rPr>
                <w:rFonts w:ascii="Calibri"/>
                <w:sz w:val="22"/>
              </w:rPr>
              <w:t>2.3</w:t>
            </w:r>
          </w:p>
        </w:tc>
        <w:tc>
          <w:tcPr>
            <w:tcW w:w="922" w:type="dxa"/>
            <w:tcBorders>
              <w:right w:val="single" w:sz="4" w:space="0" w:color="000000"/>
            </w:tcBorders>
            <w:shd w:val="clear" w:color="auto" w:fill="E1EEDA"/>
          </w:tcPr>
          <w:p>
            <w:pPr>
              <w:pStyle w:val="TableParagraph"/>
              <w:spacing w:before="45"/>
              <w:ind w:left="132" w:right="127"/>
              <w:rPr>
                <w:rFonts w:ascii="Calibri"/>
                <w:sz w:val="22"/>
              </w:rPr>
            </w:pPr>
            <w:r>
              <w:rPr>
                <w:rFonts w:ascii="Calibri"/>
                <w:sz w:val="22"/>
              </w:rPr>
              <w:t>2.5</w:t>
            </w:r>
          </w:p>
        </w:tc>
      </w:tr>
      <w:tr>
        <w:trPr>
          <w:trHeight w:val="379" w:hRule="atLeast"/>
        </w:trPr>
        <w:tc>
          <w:tcPr>
            <w:tcW w:w="1620" w:type="dxa"/>
            <w:shd w:val="clear" w:color="auto" w:fill="D9D9D9"/>
          </w:tcPr>
          <w:p>
            <w:pPr>
              <w:pStyle w:val="TableParagraph"/>
              <w:spacing w:before="45"/>
              <w:ind w:left="69"/>
              <w:jc w:val="left"/>
              <w:rPr>
                <w:rFonts w:ascii="Calibri"/>
                <w:sz w:val="22"/>
              </w:rPr>
            </w:pPr>
            <w:r>
              <w:rPr>
                <w:rFonts w:ascii="Calibri"/>
                <w:sz w:val="22"/>
              </w:rPr>
              <w:t>ME90Q dyb</w:t>
            </w:r>
          </w:p>
        </w:tc>
        <w:tc>
          <w:tcPr>
            <w:tcW w:w="960" w:type="dxa"/>
            <w:shd w:val="clear" w:color="auto" w:fill="D9D9D9"/>
          </w:tcPr>
          <w:p>
            <w:pPr>
              <w:pStyle w:val="TableParagraph"/>
              <w:spacing w:before="45"/>
              <w:ind w:left="174" w:right="128"/>
              <w:rPr>
                <w:rFonts w:ascii="Calibri"/>
                <w:sz w:val="22"/>
              </w:rPr>
            </w:pPr>
            <w:r>
              <w:rPr>
                <w:rFonts w:ascii="Calibri"/>
                <w:sz w:val="22"/>
              </w:rPr>
              <w:t>0.5</w:t>
            </w:r>
          </w:p>
        </w:tc>
        <w:tc>
          <w:tcPr>
            <w:tcW w:w="922" w:type="dxa"/>
            <w:tcBorders>
              <w:right w:val="single" w:sz="4" w:space="0" w:color="000000"/>
            </w:tcBorders>
            <w:shd w:val="clear" w:color="auto" w:fill="D9D9D9"/>
          </w:tcPr>
          <w:p>
            <w:pPr>
              <w:pStyle w:val="TableParagraph"/>
              <w:spacing w:before="45"/>
              <w:ind w:left="134" w:right="127"/>
              <w:rPr>
                <w:rFonts w:ascii="Calibri"/>
                <w:sz w:val="22"/>
              </w:rPr>
            </w:pPr>
            <w:r>
              <w:rPr>
                <w:rFonts w:ascii="Calibri"/>
                <w:sz w:val="22"/>
              </w:rPr>
              <w:t>0.1</w:t>
            </w:r>
          </w:p>
        </w:tc>
        <w:tc>
          <w:tcPr>
            <w:tcW w:w="919" w:type="dxa"/>
            <w:tcBorders>
              <w:left w:val="single" w:sz="4" w:space="0" w:color="000000"/>
            </w:tcBorders>
            <w:shd w:val="clear" w:color="auto" w:fill="D9D9D9"/>
          </w:tcPr>
          <w:p>
            <w:pPr>
              <w:pStyle w:val="TableParagraph"/>
              <w:spacing w:before="45"/>
              <w:ind w:left="130" w:right="130"/>
              <w:rPr>
                <w:rFonts w:ascii="Calibri"/>
                <w:sz w:val="22"/>
              </w:rPr>
            </w:pPr>
            <w:r>
              <w:rPr>
                <w:rFonts w:ascii="Calibri"/>
                <w:sz w:val="22"/>
              </w:rPr>
              <w:t>0.4</w:t>
            </w:r>
          </w:p>
        </w:tc>
        <w:tc>
          <w:tcPr>
            <w:tcW w:w="922" w:type="dxa"/>
            <w:tcBorders>
              <w:right w:val="single" w:sz="4" w:space="0" w:color="000000"/>
            </w:tcBorders>
            <w:shd w:val="clear" w:color="auto" w:fill="D9D9D9"/>
          </w:tcPr>
          <w:p>
            <w:pPr>
              <w:pStyle w:val="TableParagraph"/>
              <w:spacing w:before="45"/>
              <w:ind w:left="134" w:right="127"/>
              <w:rPr>
                <w:rFonts w:ascii="Calibri"/>
                <w:sz w:val="22"/>
              </w:rPr>
            </w:pPr>
            <w:r>
              <w:rPr>
                <w:rFonts w:ascii="Calibri"/>
                <w:sz w:val="22"/>
              </w:rPr>
              <w:t>-0.2</w:t>
            </w:r>
          </w:p>
        </w:tc>
        <w:tc>
          <w:tcPr>
            <w:tcW w:w="918" w:type="dxa"/>
            <w:tcBorders>
              <w:left w:val="single" w:sz="4" w:space="0" w:color="000000"/>
            </w:tcBorders>
            <w:shd w:val="clear" w:color="auto" w:fill="D9D9D9"/>
          </w:tcPr>
          <w:p>
            <w:pPr>
              <w:pStyle w:val="TableParagraph"/>
              <w:spacing w:before="45"/>
              <w:ind w:left="128" w:right="129"/>
              <w:rPr>
                <w:rFonts w:ascii="Calibri"/>
                <w:sz w:val="22"/>
              </w:rPr>
            </w:pPr>
            <w:r>
              <w:rPr>
                <w:rFonts w:ascii="Calibri"/>
                <w:sz w:val="22"/>
              </w:rPr>
              <w:t>-0.1</w:t>
            </w:r>
          </w:p>
        </w:tc>
        <w:tc>
          <w:tcPr>
            <w:tcW w:w="923" w:type="dxa"/>
            <w:tcBorders>
              <w:right w:val="single" w:sz="4" w:space="0" w:color="000000"/>
            </w:tcBorders>
            <w:shd w:val="clear" w:color="auto" w:fill="D9D9D9"/>
          </w:tcPr>
          <w:p>
            <w:pPr>
              <w:pStyle w:val="TableParagraph"/>
              <w:spacing w:before="45"/>
              <w:ind w:left="135" w:right="127"/>
              <w:rPr>
                <w:rFonts w:ascii="Calibri"/>
                <w:sz w:val="22"/>
              </w:rPr>
            </w:pPr>
            <w:r>
              <w:rPr>
                <w:rFonts w:ascii="Calibri"/>
                <w:sz w:val="22"/>
              </w:rPr>
              <w:t>-0.2</w:t>
            </w:r>
          </w:p>
        </w:tc>
        <w:tc>
          <w:tcPr>
            <w:tcW w:w="918" w:type="dxa"/>
            <w:tcBorders>
              <w:left w:val="single" w:sz="4" w:space="0" w:color="000000"/>
            </w:tcBorders>
            <w:shd w:val="clear" w:color="auto" w:fill="D9D9D9"/>
          </w:tcPr>
          <w:p>
            <w:pPr>
              <w:pStyle w:val="TableParagraph"/>
              <w:spacing w:before="45"/>
              <w:ind w:left="128" w:right="128"/>
              <w:rPr>
                <w:rFonts w:ascii="Calibri"/>
                <w:sz w:val="22"/>
              </w:rPr>
            </w:pPr>
            <w:r>
              <w:rPr>
                <w:rFonts w:ascii="Calibri"/>
                <w:sz w:val="22"/>
              </w:rPr>
              <w:t>-1.4</w:t>
            </w:r>
          </w:p>
        </w:tc>
        <w:tc>
          <w:tcPr>
            <w:tcW w:w="922" w:type="dxa"/>
            <w:tcBorders>
              <w:right w:val="single" w:sz="4" w:space="0" w:color="000000"/>
            </w:tcBorders>
            <w:shd w:val="clear" w:color="auto" w:fill="D9D9D9"/>
          </w:tcPr>
          <w:p>
            <w:pPr>
              <w:pStyle w:val="TableParagraph"/>
              <w:spacing w:before="45"/>
              <w:ind w:left="132" w:right="127"/>
              <w:rPr>
                <w:rFonts w:ascii="Calibri"/>
                <w:sz w:val="22"/>
              </w:rPr>
            </w:pPr>
            <w:r>
              <w:rPr>
                <w:rFonts w:ascii="Calibri"/>
                <w:sz w:val="22"/>
              </w:rPr>
              <w:t>-1.8</w:t>
            </w:r>
          </w:p>
        </w:tc>
      </w:tr>
      <w:tr>
        <w:trPr>
          <w:trHeight w:val="340" w:hRule="atLeast"/>
        </w:trPr>
        <w:tc>
          <w:tcPr>
            <w:tcW w:w="1620" w:type="dxa"/>
            <w:shd w:val="clear" w:color="auto" w:fill="D9D9D9"/>
          </w:tcPr>
          <w:p>
            <w:pPr>
              <w:pStyle w:val="TableParagraph"/>
              <w:spacing w:before="25"/>
              <w:ind w:left="69"/>
              <w:jc w:val="left"/>
              <w:rPr>
                <w:rFonts w:ascii="Calibri"/>
                <w:sz w:val="22"/>
              </w:rPr>
            </w:pPr>
            <w:r>
              <w:rPr>
                <w:rFonts w:ascii="Calibri"/>
                <w:sz w:val="22"/>
              </w:rPr>
              <w:t>MAE90Q dyb</w:t>
            </w:r>
          </w:p>
        </w:tc>
        <w:tc>
          <w:tcPr>
            <w:tcW w:w="960" w:type="dxa"/>
            <w:shd w:val="clear" w:color="auto" w:fill="D9D9D9"/>
          </w:tcPr>
          <w:p>
            <w:pPr>
              <w:pStyle w:val="TableParagraph"/>
              <w:spacing w:before="25"/>
              <w:ind w:left="174" w:right="128"/>
              <w:rPr>
                <w:rFonts w:ascii="Calibri"/>
                <w:sz w:val="22"/>
              </w:rPr>
            </w:pPr>
            <w:r>
              <w:rPr>
                <w:rFonts w:ascii="Calibri"/>
                <w:sz w:val="22"/>
              </w:rPr>
              <w:t>2.0</w:t>
            </w:r>
          </w:p>
        </w:tc>
        <w:tc>
          <w:tcPr>
            <w:tcW w:w="922" w:type="dxa"/>
            <w:tcBorders>
              <w:right w:val="single" w:sz="4" w:space="0" w:color="000000"/>
            </w:tcBorders>
            <w:shd w:val="clear" w:color="auto" w:fill="D9D9D9"/>
          </w:tcPr>
          <w:p>
            <w:pPr>
              <w:pStyle w:val="TableParagraph"/>
              <w:spacing w:before="25"/>
              <w:ind w:left="134" w:right="127"/>
              <w:rPr>
                <w:rFonts w:ascii="Calibri"/>
                <w:sz w:val="22"/>
              </w:rPr>
            </w:pPr>
            <w:r>
              <w:rPr>
                <w:rFonts w:ascii="Calibri"/>
                <w:sz w:val="22"/>
              </w:rPr>
              <w:t>1.9</w:t>
            </w:r>
          </w:p>
        </w:tc>
        <w:tc>
          <w:tcPr>
            <w:tcW w:w="919" w:type="dxa"/>
            <w:tcBorders>
              <w:left w:val="single" w:sz="4" w:space="0" w:color="000000"/>
            </w:tcBorders>
            <w:shd w:val="clear" w:color="auto" w:fill="D9D9D9"/>
          </w:tcPr>
          <w:p>
            <w:pPr>
              <w:pStyle w:val="TableParagraph"/>
              <w:spacing w:before="25"/>
              <w:ind w:left="130" w:right="130"/>
              <w:rPr>
                <w:rFonts w:ascii="Calibri"/>
                <w:sz w:val="22"/>
              </w:rPr>
            </w:pPr>
            <w:r>
              <w:rPr>
                <w:rFonts w:ascii="Calibri"/>
                <w:sz w:val="22"/>
              </w:rPr>
              <w:t>2.0</w:t>
            </w:r>
          </w:p>
        </w:tc>
        <w:tc>
          <w:tcPr>
            <w:tcW w:w="922" w:type="dxa"/>
            <w:tcBorders>
              <w:right w:val="single" w:sz="4" w:space="0" w:color="000000"/>
            </w:tcBorders>
            <w:shd w:val="clear" w:color="auto" w:fill="D9D9D9"/>
          </w:tcPr>
          <w:p>
            <w:pPr>
              <w:pStyle w:val="TableParagraph"/>
              <w:spacing w:before="25"/>
              <w:ind w:left="134" w:right="127"/>
              <w:rPr>
                <w:rFonts w:ascii="Calibri"/>
                <w:sz w:val="22"/>
              </w:rPr>
            </w:pPr>
            <w:r>
              <w:rPr>
                <w:rFonts w:ascii="Calibri"/>
                <w:sz w:val="22"/>
              </w:rPr>
              <w:t>2.0</w:t>
            </w:r>
          </w:p>
        </w:tc>
        <w:tc>
          <w:tcPr>
            <w:tcW w:w="918" w:type="dxa"/>
            <w:tcBorders>
              <w:left w:val="single" w:sz="4" w:space="0" w:color="000000"/>
            </w:tcBorders>
            <w:shd w:val="clear" w:color="auto" w:fill="D9D9D9"/>
          </w:tcPr>
          <w:p>
            <w:pPr>
              <w:pStyle w:val="TableParagraph"/>
              <w:spacing w:before="25"/>
              <w:ind w:left="128" w:right="129"/>
              <w:rPr>
                <w:rFonts w:ascii="Calibri"/>
                <w:sz w:val="22"/>
              </w:rPr>
            </w:pPr>
            <w:r>
              <w:rPr>
                <w:rFonts w:ascii="Calibri"/>
                <w:sz w:val="22"/>
              </w:rPr>
              <w:t>2.0</w:t>
            </w:r>
          </w:p>
        </w:tc>
        <w:tc>
          <w:tcPr>
            <w:tcW w:w="923" w:type="dxa"/>
            <w:tcBorders>
              <w:right w:val="single" w:sz="4" w:space="0" w:color="000000"/>
            </w:tcBorders>
            <w:shd w:val="clear" w:color="auto" w:fill="D9D9D9"/>
          </w:tcPr>
          <w:p>
            <w:pPr>
              <w:pStyle w:val="TableParagraph"/>
              <w:spacing w:before="25"/>
              <w:ind w:left="135" w:right="127"/>
              <w:rPr>
                <w:rFonts w:ascii="Calibri"/>
                <w:sz w:val="22"/>
              </w:rPr>
            </w:pPr>
            <w:r>
              <w:rPr>
                <w:rFonts w:ascii="Calibri"/>
                <w:sz w:val="22"/>
              </w:rPr>
              <w:t>1.8</w:t>
            </w:r>
          </w:p>
        </w:tc>
        <w:tc>
          <w:tcPr>
            <w:tcW w:w="918" w:type="dxa"/>
            <w:tcBorders>
              <w:left w:val="single" w:sz="4" w:space="0" w:color="000000"/>
            </w:tcBorders>
            <w:shd w:val="clear" w:color="auto" w:fill="D9D9D9"/>
          </w:tcPr>
          <w:p>
            <w:pPr>
              <w:pStyle w:val="TableParagraph"/>
              <w:spacing w:before="25"/>
              <w:ind w:left="128" w:right="128"/>
              <w:rPr>
                <w:rFonts w:ascii="Calibri"/>
                <w:sz w:val="22"/>
              </w:rPr>
            </w:pPr>
            <w:r>
              <w:rPr>
                <w:rFonts w:ascii="Calibri"/>
                <w:sz w:val="22"/>
              </w:rPr>
              <w:t>2.4</w:t>
            </w:r>
          </w:p>
        </w:tc>
        <w:tc>
          <w:tcPr>
            <w:tcW w:w="922" w:type="dxa"/>
            <w:tcBorders>
              <w:right w:val="single" w:sz="4" w:space="0" w:color="000000"/>
            </w:tcBorders>
            <w:shd w:val="clear" w:color="auto" w:fill="D9D9D9"/>
          </w:tcPr>
          <w:p>
            <w:pPr>
              <w:pStyle w:val="TableParagraph"/>
              <w:spacing w:before="25"/>
              <w:ind w:left="132" w:right="127"/>
              <w:rPr>
                <w:rFonts w:ascii="Calibri"/>
                <w:sz w:val="22"/>
              </w:rPr>
            </w:pPr>
            <w:r>
              <w:rPr>
                <w:rFonts w:ascii="Calibri"/>
                <w:sz w:val="22"/>
              </w:rPr>
              <w:t>2.3</w:t>
            </w:r>
          </w:p>
        </w:tc>
      </w:tr>
      <w:tr>
        <w:trPr>
          <w:trHeight w:val="360" w:hRule="atLeast"/>
        </w:trPr>
        <w:tc>
          <w:tcPr>
            <w:tcW w:w="1620" w:type="dxa"/>
            <w:shd w:val="clear" w:color="auto" w:fill="E1EEDA"/>
          </w:tcPr>
          <w:p>
            <w:pPr>
              <w:pStyle w:val="TableParagraph"/>
              <w:spacing w:before="45"/>
              <w:ind w:left="69"/>
              <w:jc w:val="left"/>
              <w:rPr>
                <w:rFonts w:ascii="Calibri"/>
                <w:sz w:val="22"/>
              </w:rPr>
            </w:pPr>
            <w:r>
              <w:rPr>
                <w:rFonts w:ascii="Calibri"/>
                <w:sz w:val="22"/>
              </w:rPr>
              <w:t>RMSE90Q dyb</w:t>
            </w:r>
          </w:p>
        </w:tc>
        <w:tc>
          <w:tcPr>
            <w:tcW w:w="960" w:type="dxa"/>
            <w:shd w:val="clear" w:color="auto" w:fill="E1EEDA"/>
          </w:tcPr>
          <w:p>
            <w:pPr>
              <w:pStyle w:val="TableParagraph"/>
              <w:spacing w:before="45"/>
              <w:ind w:left="174" w:right="128"/>
              <w:rPr>
                <w:rFonts w:ascii="Calibri"/>
                <w:sz w:val="22"/>
              </w:rPr>
            </w:pPr>
            <w:r>
              <w:rPr>
                <w:rFonts w:ascii="Calibri"/>
                <w:sz w:val="22"/>
              </w:rPr>
              <w:t>2.5</w:t>
            </w:r>
          </w:p>
        </w:tc>
        <w:tc>
          <w:tcPr>
            <w:tcW w:w="922" w:type="dxa"/>
            <w:tcBorders>
              <w:right w:val="single" w:sz="4" w:space="0" w:color="000000"/>
            </w:tcBorders>
            <w:shd w:val="clear" w:color="auto" w:fill="E1EEDA"/>
          </w:tcPr>
          <w:p>
            <w:pPr>
              <w:pStyle w:val="TableParagraph"/>
              <w:spacing w:before="45"/>
              <w:ind w:left="134" w:right="127"/>
              <w:rPr>
                <w:rFonts w:ascii="Calibri"/>
                <w:sz w:val="22"/>
              </w:rPr>
            </w:pPr>
            <w:r>
              <w:rPr>
                <w:rFonts w:ascii="Calibri"/>
                <w:sz w:val="22"/>
              </w:rPr>
              <w:t>2.7</w:t>
            </w:r>
          </w:p>
        </w:tc>
        <w:tc>
          <w:tcPr>
            <w:tcW w:w="919" w:type="dxa"/>
            <w:tcBorders>
              <w:left w:val="single" w:sz="4" w:space="0" w:color="000000"/>
            </w:tcBorders>
            <w:shd w:val="clear" w:color="auto" w:fill="E1EEDA"/>
          </w:tcPr>
          <w:p>
            <w:pPr>
              <w:pStyle w:val="TableParagraph"/>
              <w:spacing w:before="45"/>
              <w:ind w:left="130" w:right="130"/>
              <w:rPr>
                <w:rFonts w:ascii="Calibri"/>
                <w:sz w:val="22"/>
              </w:rPr>
            </w:pPr>
            <w:r>
              <w:rPr>
                <w:rFonts w:ascii="Calibri"/>
                <w:sz w:val="22"/>
              </w:rPr>
              <w:t>2.5</w:t>
            </w:r>
          </w:p>
        </w:tc>
        <w:tc>
          <w:tcPr>
            <w:tcW w:w="922" w:type="dxa"/>
            <w:tcBorders>
              <w:right w:val="single" w:sz="4" w:space="0" w:color="000000"/>
            </w:tcBorders>
            <w:shd w:val="clear" w:color="auto" w:fill="E1EEDA"/>
          </w:tcPr>
          <w:p>
            <w:pPr>
              <w:pStyle w:val="TableParagraph"/>
              <w:spacing w:before="45"/>
              <w:ind w:left="134" w:right="127"/>
              <w:rPr>
                <w:rFonts w:ascii="Calibri"/>
                <w:sz w:val="22"/>
              </w:rPr>
            </w:pPr>
            <w:r>
              <w:rPr>
                <w:rFonts w:ascii="Calibri"/>
                <w:sz w:val="22"/>
              </w:rPr>
              <w:t>2.7</w:t>
            </w:r>
          </w:p>
        </w:tc>
        <w:tc>
          <w:tcPr>
            <w:tcW w:w="918" w:type="dxa"/>
            <w:tcBorders>
              <w:left w:val="single" w:sz="4" w:space="0" w:color="000000"/>
            </w:tcBorders>
            <w:shd w:val="clear" w:color="auto" w:fill="E1EEDA"/>
          </w:tcPr>
          <w:p>
            <w:pPr>
              <w:pStyle w:val="TableParagraph"/>
              <w:spacing w:before="45"/>
              <w:ind w:left="128" w:right="129"/>
              <w:rPr>
                <w:rFonts w:ascii="Calibri"/>
                <w:sz w:val="22"/>
              </w:rPr>
            </w:pPr>
            <w:r>
              <w:rPr>
                <w:rFonts w:ascii="Calibri"/>
                <w:sz w:val="22"/>
              </w:rPr>
              <w:t>2.4</w:t>
            </w:r>
          </w:p>
        </w:tc>
        <w:tc>
          <w:tcPr>
            <w:tcW w:w="923" w:type="dxa"/>
            <w:tcBorders>
              <w:right w:val="single" w:sz="4" w:space="0" w:color="000000"/>
            </w:tcBorders>
            <w:shd w:val="clear" w:color="auto" w:fill="E1EEDA"/>
          </w:tcPr>
          <w:p>
            <w:pPr>
              <w:pStyle w:val="TableParagraph"/>
              <w:spacing w:before="45"/>
              <w:ind w:left="135" w:right="127"/>
              <w:rPr>
                <w:rFonts w:ascii="Calibri"/>
                <w:sz w:val="22"/>
              </w:rPr>
            </w:pPr>
            <w:r>
              <w:rPr>
                <w:rFonts w:ascii="Calibri"/>
                <w:sz w:val="22"/>
              </w:rPr>
              <w:t>2.3</w:t>
            </w:r>
          </w:p>
        </w:tc>
        <w:tc>
          <w:tcPr>
            <w:tcW w:w="918" w:type="dxa"/>
            <w:tcBorders>
              <w:left w:val="single" w:sz="4" w:space="0" w:color="000000"/>
            </w:tcBorders>
            <w:shd w:val="clear" w:color="auto" w:fill="E1EEDA"/>
          </w:tcPr>
          <w:p>
            <w:pPr>
              <w:pStyle w:val="TableParagraph"/>
              <w:spacing w:before="45"/>
              <w:ind w:left="128" w:right="128"/>
              <w:rPr>
                <w:rFonts w:ascii="Calibri"/>
                <w:sz w:val="22"/>
              </w:rPr>
            </w:pPr>
            <w:r>
              <w:rPr>
                <w:rFonts w:ascii="Calibri"/>
                <w:sz w:val="22"/>
              </w:rPr>
              <w:t>2.9</w:t>
            </w:r>
          </w:p>
        </w:tc>
        <w:tc>
          <w:tcPr>
            <w:tcW w:w="922" w:type="dxa"/>
            <w:tcBorders>
              <w:right w:val="single" w:sz="4" w:space="0" w:color="000000"/>
            </w:tcBorders>
            <w:shd w:val="clear" w:color="auto" w:fill="E1EEDA"/>
          </w:tcPr>
          <w:p>
            <w:pPr>
              <w:pStyle w:val="TableParagraph"/>
              <w:spacing w:before="45"/>
              <w:ind w:left="132" w:right="127"/>
              <w:rPr>
                <w:rFonts w:ascii="Calibri"/>
                <w:sz w:val="22"/>
              </w:rPr>
            </w:pPr>
            <w:r>
              <w:rPr>
                <w:rFonts w:ascii="Calibri"/>
                <w:sz w:val="22"/>
              </w:rPr>
              <w:t>2.7</w:t>
            </w:r>
          </w:p>
        </w:tc>
      </w:tr>
    </w:tbl>
    <w:sectPr>
      <w:footerReference w:type="default" r:id="rId161"/>
      <w:pgSz w:w="11910" w:h="16850"/>
      <w:pgMar w:footer="937" w:header="0" w:top="1380" w:bottom="1120" w:left="1460" w:right="6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Symbol">
    <w:altName w:val="Symbol"/>
    <w:charset w:val="2"/>
    <w:family w:val="roman"/>
    <w:pitch w:val="variable"/>
  </w:font>
  <w:font w:name="Calibri Light">
    <w:altName w:val="Calibri Light"/>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6"/>
      </w:rPr>
    </w:pPr>
    <w:r>
      <w:rPr/>
      <w:pict>
        <v:shapetype id="_x0000_t202" o:spt="202" coordsize="21600,21600" path="m,l,21600r21600,l21600,xe">
          <v:stroke joinstyle="miter"/>
          <v:path gradientshapeok="t" o:connecttype="rect"/>
        </v:shapetype>
        <v:shape style="position:absolute;margin-left:98.264pt;margin-top:784.17627pt;width:40.6pt;height:13.8pt;mso-position-horizontal-relative:page;mso-position-vertical-relative:page;z-index:-292000" type="#_x0000_t202" filled="false" stroked="false">
          <v:textbox inset="0,0,0,0">
            <w:txbxContent>
              <w:p>
                <w:pPr>
                  <w:pStyle w:val="BodyText"/>
                  <w:spacing w:before="14"/>
                  <w:ind w:left="20"/>
                </w:pPr>
                <w:r>
                  <w:rPr/>
                  <w:t>G E U S</w:t>
                </w:r>
              </w:p>
            </w:txbxContent>
          </v:textbox>
          <w10:wrap type="none"/>
        </v:shape>
      </w:pict>
    </w:r>
    <w:r>
      <w:rPr/>
      <w:pict>
        <v:shape style="position:absolute;margin-left:504.980011pt;margin-top:784.17627pt;width:21.65pt;height:13.8pt;mso-position-horizontal-relative:page;mso-position-vertical-relative:page;z-index:-291976" type="#_x0000_t202" filled="false" stroked="false">
          <v:textbox inset="0,0,0,0">
            <w:txbxContent>
              <w:p>
                <w:pPr>
                  <w:pStyle w:val="BodyText"/>
                  <w:spacing w:before="14"/>
                  <w:ind w:left="40"/>
                </w:pPr>
                <w:r>
                  <w:rPr/>
                  <w:fldChar w:fldCharType="begin"/>
                </w:r>
                <w:r>
                  <w:rPr/>
                  <w:instrText> PAGE </w:instrText>
                </w:r>
                <w:r>
                  <w:rPr/>
                  <w:fldChar w:fldCharType="separate"/>
                </w:r>
                <w:r>
                  <w:rPr/>
                  <w:t>100</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98.264pt;margin-top:784.17627pt;width:40.6pt;height:13.8pt;mso-position-horizontal-relative:page;mso-position-vertical-relative:page;z-index:-291568" type="#_x0000_t202" filled="false" stroked="false">
          <v:textbox inset="0,0,0,0">
            <w:txbxContent>
              <w:p>
                <w:pPr>
                  <w:pStyle w:val="BodyText"/>
                  <w:spacing w:before="14"/>
                  <w:ind w:left="20"/>
                </w:pPr>
                <w:r>
                  <w:rPr/>
                  <w:t>G E U S</w:t>
                </w:r>
              </w:p>
            </w:txbxContent>
          </v:textbox>
          <w10:wrap type="none"/>
        </v:shape>
      </w:pict>
    </w:r>
    <w:r>
      <w:rPr/>
      <w:pict>
        <v:shape style="position:absolute;margin-left:505.980011pt;margin-top:784.17627pt;width:19.650pt;height:13.8pt;mso-position-horizontal-relative:page;mso-position-vertical-relative:page;z-index:-291544" type="#_x0000_t202" filled="false" stroked="false">
          <v:textbox inset="0,0,0,0">
            <w:txbxContent>
              <w:p>
                <w:pPr>
                  <w:pStyle w:val="BodyText"/>
                  <w:spacing w:before="14"/>
                  <w:ind w:left="20"/>
                </w:pPr>
                <w:r>
                  <w:rPr/>
                  <w:t>150</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6"/>
      </w:rPr>
    </w:pPr>
    <w:r>
      <w:rPr/>
      <w:pict>
        <v:shape style="position:absolute;margin-left:98.264pt;margin-top:784.17627pt;width:40.6pt;height:13.8pt;mso-position-horizontal-relative:page;mso-position-vertical-relative:page;z-index:-291520" type="#_x0000_t202" filled="false" stroked="false">
          <v:textbox inset="0,0,0,0">
            <w:txbxContent>
              <w:p>
                <w:pPr>
                  <w:pStyle w:val="BodyText"/>
                  <w:spacing w:before="14"/>
                  <w:ind w:left="20"/>
                </w:pPr>
                <w:r>
                  <w:rPr/>
                  <w:t>G E U S</w:t>
                </w:r>
              </w:p>
            </w:txbxContent>
          </v:textbox>
          <w10:wrap type="none"/>
        </v:shape>
      </w:pict>
    </w:r>
    <w:r>
      <w:rPr/>
      <w:pict>
        <v:shape style="position:absolute;margin-left:504.980011pt;margin-top:784.17627pt;width:21.65pt;height:13.8pt;mso-position-horizontal-relative:page;mso-position-vertical-relative:page;z-index:-291496" type="#_x0000_t202" filled="false" stroked="false">
          <v:textbox inset="0,0,0,0">
            <w:txbxContent>
              <w:p>
                <w:pPr>
                  <w:pStyle w:val="BodyText"/>
                  <w:spacing w:before="14"/>
                  <w:ind w:left="40"/>
                </w:pPr>
                <w:r>
                  <w:rPr/>
                  <w:fldChar w:fldCharType="begin"/>
                </w:r>
                <w:r>
                  <w:rPr/>
                  <w:instrText> PAGE </w:instrText>
                </w:r>
                <w:r>
                  <w:rPr/>
                  <w:fldChar w:fldCharType="separate"/>
                </w:r>
                <w:r>
                  <w:rPr/>
                  <w:t>153</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98.264pt;margin-top:784.17627pt;width:40.6pt;height:13.8pt;mso-position-horizontal-relative:page;mso-position-vertical-relative:page;z-index:-291472" type="#_x0000_t202" filled="false" stroked="false">
          <v:textbox inset="0,0,0,0">
            <w:txbxContent>
              <w:p>
                <w:pPr>
                  <w:pStyle w:val="BodyText"/>
                  <w:spacing w:before="14"/>
                  <w:ind w:left="20"/>
                </w:pPr>
                <w:r>
                  <w:rPr/>
                  <w:t>G E U S</w:t>
                </w:r>
              </w:p>
            </w:txbxContent>
          </v:textbox>
          <w10:wrap type="none"/>
        </v:shape>
      </w:pict>
    </w:r>
    <w:r>
      <w:rPr/>
      <w:pict>
        <v:shape style="position:absolute;margin-left:505.980011pt;margin-top:784.17627pt;width:19.650pt;height:13.8pt;mso-position-horizontal-relative:page;mso-position-vertical-relative:page;z-index:-291448" type="#_x0000_t202" filled="false" stroked="false">
          <v:textbox inset="0,0,0,0">
            <w:txbxContent>
              <w:p>
                <w:pPr>
                  <w:pStyle w:val="BodyText"/>
                  <w:spacing w:before="14"/>
                  <w:ind w:left="20"/>
                </w:pPr>
                <w:r>
                  <w:rPr/>
                  <w:t>160</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6"/>
      </w:rPr>
    </w:pPr>
    <w:r>
      <w:rPr/>
      <w:pict>
        <v:shape style="position:absolute;margin-left:98.264pt;margin-top:784.17627pt;width:40.6pt;height:13.8pt;mso-position-horizontal-relative:page;mso-position-vertical-relative:page;z-index:-291424" type="#_x0000_t202" filled="false" stroked="false">
          <v:textbox inset="0,0,0,0">
            <w:txbxContent>
              <w:p>
                <w:pPr>
                  <w:pStyle w:val="BodyText"/>
                  <w:spacing w:before="14"/>
                  <w:ind w:left="20"/>
                </w:pPr>
                <w:r>
                  <w:rPr/>
                  <w:t>G E U S</w:t>
                </w:r>
              </w:p>
            </w:txbxContent>
          </v:textbox>
          <w10:wrap type="none"/>
        </v:shape>
      </w:pict>
    </w:r>
    <w:r>
      <w:rPr/>
      <w:pict>
        <v:shape style="position:absolute;margin-left:504.980011pt;margin-top:784.17627pt;width:21.65pt;height:13.8pt;mso-position-horizontal-relative:page;mso-position-vertical-relative:page;z-index:-291400" type="#_x0000_t202" filled="false" stroked="false">
          <v:textbox inset="0,0,0,0">
            <w:txbxContent>
              <w:p>
                <w:pPr>
                  <w:pStyle w:val="BodyText"/>
                  <w:spacing w:before="14"/>
                  <w:ind w:left="40"/>
                </w:pPr>
                <w:r>
                  <w:rPr/>
                  <w:fldChar w:fldCharType="begin"/>
                </w:r>
                <w:r>
                  <w:rPr/>
                  <w:instrText> PAGE </w:instrText>
                </w:r>
                <w:r>
                  <w:rPr/>
                  <w:fldChar w:fldCharType="separate"/>
                </w:r>
                <w:r>
                  <w:rPr/>
                  <w:t>164</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98.264pt;margin-top:784.17627pt;width:40.6pt;height:13.8pt;mso-position-horizontal-relative:page;mso-position-vertical-relative:page;z-index:-291376" type="#_x0000_t202" filled="false" stroked="false">
          <v:textbox inset="0,0,0,0">
            <w:txbxContent>
              <w:p>
                <w:pPr>
                  <w:pStyle w:val="BodyText"/>
                  <w:spacing w:before="14"/>
                  <w:ind w:left="20"/>
                </w:pPr>
                <w:r>
                  <w:rPr/>
                  <w:t>G E U S</w:t>
                </w:r>
              </w:p>
            </w:txbxContent>
          </v:textbox>
          <w10:wrap type="none"/>
        </v:shape>
      </w:pict>
    </w:r>
    <w:r>
      <w:rPr/>
      <w:pict>
        <v:shape style="position:absolute;margin-left:505.980011pt;margin-top:784.17627pt;width:19.650pt;height:13.8pt;mso-position-horizontal-relative:page;mso-position-vertical-relative:page;z-index:-291352" type="#_x0000_t202" filled="false" stroked="false">
          <v:textbox inset="0,0,0,0">
            <w:txbxContent>
              <w:p>
                <w:pPr>
                  <w:pStyle w:val="BodyText"/>
                  <w:spacing w:before="14"/>
                  <w:ind w:left="20"/>
                </w:pPr>
                <w:r>
                  <w:rPr/>
                  <w:t>170</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98.264pt;margin-top:784.17627pt;width:40.6pt;height:13.8pt;mso-position-horizontal-relative:page;mso-position-vertical-relative:page;z-index:-291952" type="#_x0000_t202" filled="false" stroked="false">
          <v:textbox inset="0,0,0,0">
            <w:txbxContent>
              <w:p>
                <w:pPr>
                  <w:pStyle w:val="BodyText"/>
                  <w:spacing w:before="14"/>
                  <w:ind w:left="20"/>
                </w:pPr>
                <w:r>
                  <w:rPr/>
                  <w:t>G E U S</w:t>
                </w:r>
              </w:p>
            </w:txbxContent>
          </v:textbox>
          <w10:wrap type="none"/>
        </v:shape>
      </w:pict>
    </w:r>
    <w:r>
      <w:rPr/>
      <w:pict>
        <v:shape style="position:absolute;margin-left:505.980011pt;margin-top:784.17627pt;width:19.650pt;height:13.8pt;mso-position-horizontal-relative:page;mso-position-vertical-relative:page;z-index:-291928" type="#_x0000_t202" filled="false" stroked="false">
          <v:textbox inset="0,0,0,0">
            <w:txbxContent>
              <w:p>
                <w:pPr>
                  <w:pStyle w:val="BodyText"/>
                  <w:spacing w:before="14"/>
                  <w:ind w:left="20"/>
                </w:pPr>
                <w:r>
                  <w:rPr/>
                  <w:t>110</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98.264pt;margin-top:784.17627pt;width:40.6pt;height:13.8pt;mso-position-horizontal-relative:page;mso-position-vertical-relative:page;z-index:-291904" type="#_x0000_t202" filled="false" stroked="false">
          <v:textbox inset="0,0,0,0">
            <w:txbxContent>
              <w:p>
                <w:pPr>
                  <w:pStyle w:val="BodyText"/>
                  <w:spacing w:before="14"/>
                  <w:ind w:left="20"/>
                </w:pPr>
                <w:r>
                  <w:rPr/>
                  <w:t>G E U S</w:t>
                </w:r>
              </w:p>
            </w:txbxContent>
          </v:textbox>
          <w10:wrap type="none"/>
        </v:shape>
      </w:pict>
    </w:r>
    <w:r>
      <w:rPr/>
      <w:pict>
        <v:shape style="position:absolute;margin-left:504.980011pt;margin-top:784.17627pt;width:21.65pt;height:13.8pt;mso-position-horizontal-relative:page;mso-position-vertical-relative:page;z-index:-291880" type="#_x0000_t202" filled="false" stroked="false">
          <v:textbox inset="0,0,0,0">
            <w:txbxContent>
              <w:p>
                <w:pPr>
                  <w:pStyle w:val="BodyText"/>
                  <w:spacing w:before="14"/>
                  <w:ind w:left="40"/>
                </w:pPr>
                <w:r>
                  <w:rPr/>
                  <w:fldChar w:fldCharType="begin"/>
                </w:r>
                <w:r>
                  <w:rPr/>
                  <w:instrText> PAGE </w:instrText>
                </w:r>
                <w:r>
                  <w:rPr/>
                  <w:fldChar w:fldCharType="separate"/>
                </w:r>
                <w:r>
                  <w:rPr/>
                  <w:t>111</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98.264pt;margin-top:784.17627pt;width:40.6pt;height:13.8pt;mso-position-horizontal-relative:page;mso-position-vertical-relative:page;z-index:-291856" type="#_x0000_t202" filled="false" stroked="false">
          <v:textbox inset="0,0,0,0">
            <w:txbxContent>
              <w:p>
                <w:pPr>
                  <w:pStyle w:val="BodyText"/>
                  <w:spacing w:before="14"/>
                  <w:ind w:left="20"/>
                </w:pPr>
                <w:r>
                  <w:rPr/>
                  <w:t>G E U S</w:t>
                </w:r>
              </w:p>
            </w:txbxContent>
          </v:textbox>
          <w10:wrap type="none"/>
        </v:shape>
      </w:pict>
    </w:r>
    <w:r>
      <w:rPr/>
      <w:pict>
        <v:shape style="position:absolute;margin-left:505.980011pt;margin-top:784.17627pt;width:19.650pt;height:13.8pt;mso-position-horizontal-relative:page;mso-position-vertical-relative:page;z-index:-291832" type="#_x0000_t202" filled="false" stroked="false">
          <v:textbox inset="0,0,0,0">
            <w:txbxContent>
              <w:p>
                <w:pPr>
                  <w:pStyle w:val="BodyText"/>
                  <w:spacing w:before="14"/>
                  <w:ind w:left="20"/>
                </w:pPr>
                <w:r>
                  <w:rPr/>
                  <w:t>120</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98.264pt;margin-top:784.17627pt;width:40.6pt;height:13.8pt;mso-position-horizontal-relative:page;mso-position-vertical-relative:page;z-index:-291808" type="#_x0000_t202" filled="false" stroked="false">
          <v:textbox inset="0,0,0,0">
            <w:txbxContent>
              <w:p>
                <w:pPr>
                  <w:pStyle w:val="BodyText"/>
                  <w:spacing w:before="14"/>
                  <w:ind w:left="20"/>
                </w:pPr>
                <w:r>
                  <w:rPr/>
                  <w:t>G E U S</w:t>
                </w:r>
              </w:p>
            </w:txbxContent>
          </v:textbox>
          <w10:wrap type="none"/>
        </v:shape>
      </w:pict>
    </w:r>
    <w:r>
      <w:rPr/>
      <w:pict>
        <v:shape style="position:absolute;margin-left:504.980011pt;margin-top:784.17627pt;width:21.65pt;height:13.8pt;mso-position-horizontal-relative:page;mso-position-vertical-relative:page;z-index:-291784" type="#_x0000_t202" filled="false" stroked="false">
          <v:textbox inset="0,0,0,0">
            <w:txbxContent>
              <w:p>
                <w:pPr>
                  <w:pStyle w:val="BodyText"/>
                  <w:spacing w:before="14"/>
                  <w:ind w:left="40"/>
                </w:pPr>
                <w:r>
                  <w:rPr/>
                  <w:fldChar w:fldCharType="begin"/>
                </w:r>
                <w:r>
                  <w:rPr/>
                  <w:instrText> PAGE </w:instrText>
                </w:r>
                <w:r>
                  <w:rPr/>
                  <w:fldChar w:fldCharType="separate"/>
                </w:r>
                <w:r>
                  <w:rPr/>
                  <w:t>121</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98.264pt;margin-top:784.17627pt;width:40.6pt;height:13.8pt;mso-position-horizontal-relative:page;mso-position-vertical-relative:page;z-index:-291760" type="#_x0000_t202" filled="false" stroked="false">
          <v:textbox inset="0,0,0,0">
            <w:txbxContent>
              <w:p>
                <w:pPr>
                  <w:pStyle w:val="BodyText"/>
                  <w:spacing w:before="14"/>
                  <w:ind w:left="20"/>
                </w:pPr>
                <w:r>
                  <w:rPr/>
                  <w:t>G E U S</w:t>
                </w:r>
              </w:p>
            </w:txbxContent>
          </v:textbox>
          <w10:wrap type="none"/>
        </v:shape>
      </w:pict>
    </w:r>
    <w:r>
      <w:rPr/>
      <w:pict>
        <v:shape style="position:absolute;margin-left:505.980011pt;margin-top:784.17627pt;width:19.650pt;height:13.8pt;mso-position-horizontal-relative:page;mso-position-vertical-relative:page;z-index:-291736" type="#_x0000_t202" filled="false" stroked="false">
          <v:textbox inset="0,0,0,0">
            <w:txbxContent>
              <w:p>
                <w:pPr>
                  <w:pStyle w:val="BodyText"/>
                  <w:spacing w:before="14"/>
                  <w:ind w:left="20"/>
                </w:pPr>
                <w:r>
                  <w:rPr/>
                  <w:t>130</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98.264pt;margin-top:784.17627pt;width:40.6pt;height:13.8pt;mso-position-horizontal-relative:page;mso-position-vertical-relative:page;z-index:-291712" type="#_x0000_t202" filled="false" stroked="false">
          <v:textbox inset="0,0,0,0">
            <w:txbxContent>
              <w:p>
                <w:pPr>
                  <w:pStyle w:val="BodyText"/>
                  <w:spacing w:before="14"/>
                  <w:ind w:left="20"/>
                </w:pPr>
                <w:r>
                  <w:rPr/>
                  <w:t>G E U S</w:t>
                </w:r>
              </w:p>
            </w:txbxContent>
          </v:textbox>
          <w10:wrap type="none"/>
        </v:shape>
      </w:pict>
    </w:r>
    <w:r>
      <w:rPr/>
      <w:pict>
        <v:shape style="position:absolute;margin-left:504.980011pt;margin-top:784.17627pt;width:21.65pt;height:13.8pt;mso-position-horizontal-relative:page;mso-position-vertical-relative:page;z-index:-291688" type="#_x0000_t202" filled="false" stroked="false">
          <v:textbox inset="0,0,0,0">
            <w:txbxContent>
              <w:p>
                <w:pPr>
                  <w:pStyle w:val="BodyText"/>
                  <w:spacing w:before="14"/>
                  <w:ind w:left="40"/>
                </w:pPr>
                <w:r>
                  <w:rPr/>
                  <w:fldChar w:fldCharType="begin"/>
                </w:r>
                <w:r>
                  <w:rPr/>
                  <w:instrText> PAGE </w:instrText>
                </w:r>
                <w:r>
                  <w:rPr/>
                  <w:fldChar w:fldCharType="separate"/>
                </w:r>
                <w:r>
                  <w:rPr/>
                  <w:t>131</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98.264pt;margin-top:784.17627pt;width:40.6pt;height:13.8pt;mso-position-horizontal-relative:page;mso-position-vertical-relative:page;z-index:-291664" type="#_x0000_t202" filled="false" stroked="false">
          <v:textbox inset="0,0,0,0">
            <w:txbxContent>
              <w:p>
                <w:pPr>
                  <w:pStyle w:val="BodyText"/>
                  <w:spacing w:before="14"/>
                  <w:ind w:left="20"/>
                </w:pPr>
                <w:r>
                  <w:rPr/>
                  <w:t>G E U S</w:t>
                </w:r>
              </w:p>
            </w:txbxContent>
          </v:textbox>
          <w10:wrap type="none"/>
        </v:shape>
      </w:pict>
    </w:r>
    <w:r>
      <w:rPr/>
      <w:pict>
        <v:shape style="position:absolute;margin-left:505.980011pt;margin-top:784.17627pt;width:19.650pt;height:13.8pt;mso-position-horizontal-relative:page;mso-position-vertical-relative:page;z-index:-291640" type="#_x0000_t202" filled="false" stroked="false">
          <v:textbox inset="0,0,0,0">
            <w:txbxContent>
              <w:p>
                <w:pPr>
                  <w:pStyle w:val="BodyText"/>
                  <w:spacing w:before="14"/>
                  <w:ind w:left="20"/>
                </w:pPr>
                <w:r>
                  <w:rPr/>
                  <w:t>140</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98.264pt;margin-top:784.17627pt;width:40.6pt;height:13.8pt;mso-position-horizontal-relative:page;mso-position-vertical-relative:page;z-index:-291616" type="#_x0000_t202" filled="false" stroked="false">
          <v:textbox inset="0,0,0,0">
            <w:txbxContent>
              <w:p>
                <w:pPr>
                  <w:pStyle w:val="BodyText"/>
                  <w:spacing w:before="14"/>
                  <w:ind w:left="20"/>
                </w:pPr>
                <w:r>
                  <w:rPr/>
                  <w:t>G E U S</w:t>
                </w:r>
              </w:p>
            </w:txbxContent>
          </v:textbox>
          <w10:wrap type="none"/>
        </v:shape>
      </w:pict>
    </w:r>
    <w:r>
      <w:rPr/>
      <w:pict>
        <v:shape style="position:absolute;margin-left:504.980011pt;margin-top:784.17627pt;width:21.65pt;height:13.8pt;mso-position-horizontal-relative:page;mso-position-vertical-relative:page;z-index:-291592" type="#_x0000_t202" filled="false" stroked="false">
          <v:textbox inset="0,0,0,0">
            <w:txbxContent>
              <w:p>
                <w:pPr>
                  <w:pStyle w:val="BodyText"/>
                  <w:spacing w:before="14"/>
                  <w:ind w:left="40"/>
                </w:pPr>
                <w:r>
                  <w:rPr/>
                  <w:fldChar w:fldCharType="begin"/>
                </w:r>
                <w:r>
                  <w:rPr/>
                  <w:instrText> PAGE </w:instrText>
                </w:r>
                <w:r>
                  <w:rPr/>
                  <w:fldChar w:fldCharType="separate"/>
                </w:r>
                <w:r>
                  <w:rPr/>
                  <w:t>141</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9">
    <w:multiLevelType w:val="hybridMultilevel"/>
    <w:lvl w:ilvl="0">
      <w:start w:val="0"/>
      <w:numFmt w:val="bullet"/>
      <w:lvlText w:val=""/>
      <w:lvlJc w:val="left"/>
      <w:pPr>
        <w:ind w:left="1245" w:hanging="360"/>
      </w:pPr>
      <w:rPr>
        <w:rFonts w:hint="default" w:ascii="Symbol" w:hAnsi="Symbol" w:eastAsia="Symbol" w:cs="Symbol"/>
        <w:w w:val="100"/>
        <w:sz w:val="21"/>
        <w:szCs w:val="21"/>
        <w:lang w:val="da-DY" w:eastAsia="da-DY" w:bidi="da-DY"/>
      </w:rPr>
    </w:lvl>
    <w:lvl w:ilvl="1">
      <w:start w:val="0"/>
      <w:numFmt w:val="bullet"/>
      <w:lvlText w:val="•"/>
      <w:lvlJc w:val="left"/>
      <w:pPr>
        <w:ind w:left="2092" w:hanging="360"/>
      </w:pPr>
      <w:rPr>
        <w:rFonts w:hint="default"/>
        <w:lang w:val="da-DY" w:eastAsia="da-DY" w:bidi="da-DY"/>
      </w:rPr>
    </w:lvl>
    <w:lvl w:ilvl="2">
      <w:start w:val="0"/>
      <w:numFmt w:val="bullet"/>
      <w:lvlText w:val="•"/>
      <w:lvlJc w:val="left"/>
      <w:pPr>
        <w:ind w:left="2945" w:hanging="360"/>
      </w:pPr>
      <w:rPr>
        <w:rFonts w:hint="default"/>
        <w:lang w:val="da-DY" w:eastAsia="da-DY" w:bidi="da-DY"/>
      </w:rPr>
    </w:lvl>
    <w:lvl w:ilvl="3">
      <w:start w:val="0"/>
      <w:numFmt w:val="bullet"/>
      <w:lvlText w:val="•"/>
      <w:lvlJc w:val="left"/>
      <w:pPr>
        <w:ind w:left="3797" w:hanging="360"/>
      </w:pPr>
      <w:rPr>
        <w:rFonts w:hint="default"/>
        <w:lang w:val="da-DY" w:eastAsia="da-DY" w:bidi="da-DY"/>
      </w:rPr>
    </w:lvl>
    <w:lvl w:ilvl="4">
      <w:start w:val="0"/>
      <w:numFmt w:val="bullet"/>
      <w:lvlText w:val="•"/>
      <w:lvlJc w:val="left"/>
      <w:pPr>
        <w:ind w:left="4650" w:hanging="360"/>
      </w:pPr>
      <w:rPr>
        <w:rFonts w:hint="default"/>
        <w:lang w:val="da-DY" w:eastAsia="da-DY" w:bidi="da-DY"/>
      </w:rPr>
    </w:lvl>
    <w:lvl w:ilvl="5">
      <w:start w:val="0"/>
      <w:numFmt w:val="bullet"/>
      <w:lvlText w:val="•"/>
      <w:lvlJc w:val="left"/>
      <w:pPr>
        <w:ind w:left="5503" w:hanging="360"/>
      </w:pPr>
      <w:rPr>
        <w:rFonts w:hint="default"/>
        <w:lang w:val="da-DY" w:eastAsia="da-DY" w:bidi="da-DY"/>
      </w:rPr>
    </w:lvl>
    <w:lvl w:ilvl="6">
      <w:start w:val="0"/>
      <w:numFmt w:val="bullet"/>
      <w:lvlText w:val="•"/>
      <w:lvlJc w:val="left"/>
      <w:pPr>
        <w:ind w:left="6355" w:hanging="360"/>
      </w:pPr>
      <w:rPr>
        <w:rFonts w:hint="default"/>
        <w:lang w:val="da-DY" w:eastAsia="da-DY" w:bidi="da-DY"/>
      </w:rPr>
    </w:lvl>
    <w:lvl w:ilvl="7">
      <w:start w:val="0"/>
      <w:numFmt w:val="bullet"/>
      <w:lvlText w:val="•"/>
      <w:lvlJc w:val="left"/>
      <w:pPr>
        <w:ind w:left="7208" w:hanging="360"/>
      </w:pPr>
      <w:rPr>
        <w:rFonts w:hint="default"/>
        <w:lang w:val="da-DY" w:eastAsia="da-DY" w:bidi="da-DY"/>
      </w:rPr>
    </w:lvl>
    <w:lvl w:ilvl="8">
      <w:start w:val="0"/>
      <w:numFmt w:val="bullet"/>
      <w:lvlText w:val="•"/>
      <w:lvlJc w:val="left"/>
      <w:pPr>
        <w:ind w:left="8061" w:hanging="360"/>
      </w:pPr>
      <w:rPr>
        <w:rFonts w:hint="default"/>
        <w:lang w:val="da-DY" w:eastAsia="da-DY" w:bidi="da-DY"/>
      </w:rPr>
    </w:lvl>
  </w:abstractNum>
  <w:abstractNum w:abstractNumId="17">
    <w:multiLevelType w:val="hybridMultilevel"/>
    <w:lvl w:ilvl="0">
      <w:start w:val="0"/>
      <w:numFmt w:val="bullet"/>
      <w:lvlText w:val="•"/>
      <w:lvlJc w:val="left"/>
      <w:pPr>
        <w:ind w:left="1245" w:hanging="360"/>
      </w:pPr>
      <w:rPr>
        <w:rFonts w:hint="default" w:ascii="Arial" w:hAnsi="Arial" w:eastAsia="Arial" w:cs="Arial"/>
        <w:w w:val="100"/>
        <w:sz w:val="21"/>
        <w:szCs w:val="21"/>
        <w:lang w:val="da-DY" w:eastAsia="da-DY" w:bidi="da-DY"/>
      </w:rPr>
    </w:lvl>
    <w:lvl w:ilvl="1">
      <w:start w:val="0"/>
      <w:numFmt w:val="bullet"/>
      <w:lvlText w:val="–"/>
      <w:lvlJc w:val="left"/>
      <w:pPr>
        <w:ind w:left="1965" w:hanging="360"/>
      </w:pPr>
      <w:rPr>
        <w:rFonts w:hint="default" w:ascii="Arial" w:hAnsi="Arial" w:eastAsia="Arial" w:cs="Arial"/>
        <w:w w:val="100"/>
        <w:sz w:val="21"/>
        <w:szCs w:val="21"/>
        <w:lang w:val="da-DY" w:eastAsia="da-DY" w:bidi="da-DY"/>
      </w:rPr>
    </w:lvl>
    <w:lvl w:ilvl="2">
      <w:start w:val="0"/>
      <w:numFmt w:val="bullet"/>
      <w:lvlText w:val="•"/>
      <w:lvlJc w:val="left"/>
      <w:pPr>
        <w:ind w:left="2827" w:hanging="360"/>
      </w:pPr>
      <w:rPr>
        <w:rFonts w:hint="default"/>
        <w:lang w:val="da-DY" w:eastAsia="da-DY" w:bidi="da-DY"/>
      </w:rPr>
    </w:lvl>
    <w:lvl w:ilvl="3">
      <w:start w:val="0"/>
      <w:numFmt w:val="bullet"/>
      <w:lvlText w:val="•"/>
      <w:lvlJc w:val="left"/>
      <w:pPr>
        <w:ind w:left="3694" w:hanging="360"/>
      </w:pPr>
      <w:rPr>
        <w:rFonts w:hint="default"/>
        <w:lang w:val="da-DY" w:eastAsia="da-DY" w:bidi="da-DY"/>
      </w:rPr>
    </w:lvl>
    <w:lvl w:ilvl="4">
      <w:start w:val="0"/>
      <w:numFmt w:val="bullet"/>
      <w:lvlText w:val="•"/>
      <w:lvlJc w:val="left"/>
      <w:pPr>
        <w:ind w:left="4562" w:hanging="360"/>
      </w:pPr>
      <w:rPr>
        <w:rFonts w:hint="default"/>
        <w:lang w:val="da-DY" w:eastAsia="da-DY" w:bidi="da-DY"/>
      </w:rPr>
    </w:lvl>
    <w:lvl w:ilvl="5">
      <w:start w:val="0"/>
      <w:numFmt w:val="bullet"/>
      <w:lvlText w:val="•"/>
      <w:lvlJc w:val="left"/>
      <w:pPr>
        <w:ind w:left="5429" w:hanging="360"/>
      </w:pPr>
      <w:rPr>
        <w:rFonts w:hint="default"/>
        <w:lang w:val="da-DY" w:eastAsia="da-DY" w:bidi="da-DY"/>
      </w:rPr>
    </w:lvl>
    <w:lvl w:ilvl="6">
      <w:start w:val="0"/>
      <w:numFmt w:val="bullet"/>
      <w:lvlText w:val="•"/>
      <w:lvlJc w:val="left"/>
      <w:pPr>
        <w:ind w:left="6296" w:hanging="360"/>
      </w:pPr>
      <w:rPr>
        <w:rFonts w:hint="default"/>
        <w:lang w:val="da-DY" w:eastAsia="da-DY" w:bidi="da-DY"/>
      </w:rPr>
    </w:lvl>
    <w:lvl w:ilvl="7">
      <w:start w:val="0"/>
      <w:numFmt w:val="bullet"/>
      <w:lvlText w:val="•"/>
      <w:lvlJc w:val="left"/>
      <w:pPr>
        <w:ind w:left="7164" w:hanging="360"/>
      </w:pPr>
      <w:rPr>
        <w:rFonts w:hint="default"/>
        <w:lang w:val="da-DY" w:eastAsia="da-DY" w:bidi="da-DY"/>
      </w:rPr>
    </w:lvl>
    <w:lvl w:ilvl="8">
      <w:start w:val="0"/>
      <w:numFmt w:val="bullet"/>
      <w:lvlText w:val="•"/>
      <w:lvlJc w:val="left"/>
      <w:pPr>
        <w:ind w:left="8031" w:hanging="360"/>
      </w:pPr>
      <w:rPr>
        <w:rFonts w:hint="default"/>
        <w:lang w:val="da-DY" w:eastAsia="da-DY" w:bidi="da-DY"/>
      </w:rPr>
    </w:lvl>
  </w:abstractNum>
  <w:abstractNum w:abstractNumId="16">
    <w:multiLevelType w:val="hybridMultilevel"/>
    <w:lvl w:ilvl="0">
      <w:start w:val="8"/>
      <w:numFmt w:val="decimal"/>
      <w:lvlText w:val="%1"/>
      <w:lvlJc w:val="left"/>
      <w:pPr>
        <w:ind w:left="525" w:hanging="617"/>
        <w:jc w:val="left"/>
      </w:pPr>
      <w:rPr>
        <w:rFonts w:hint="default"/>
        <w:lang w:val="da-DY" w:eastAsia="da-DY" w:bidi="da-DY"/>
      </w:rPr>
    </w:lvl>
    <w:lvl w:ilvl="1">
      <w:start w:val="1"/>
      <w:numFmt w:val="decimal"/>
      <w:lvlText w:val="%1.%2"/>
      <w:lvlJc w:val="left"/>
      <w:pPr>
        <w:ind w:left="525" w:hanging="617"/>
        <w:jc w:val="left"/>
      </w:pPr>
      <w:rPr>
        <w:rFonts w:hint="default"/>
        <w:b/>
        <w:bCs/>
        <w:w w:val="100"/>
        <w:lang w:val="da-DY" w:eastAsia="da-DY" w:bidi="da-DY"/>
      </w:rPr>
    </w:lvl>
    <w:lvl w:ilvl="2">
      <w:start w:val="0"/>
      <w:numFmt w:val="bullet"/>
      <w:lvlText w:val=""/>
      <w:lvlJc w:val="left"/>
      <w:pPr>
        <w:ind w:left="1245" w:hanging="360"/>
      </w:pPr>
      <w:rPr>
        <w:rFonts w:hint="default" w:ascii="Symbol" w:hAnsi="Symbol" w:eastAsia="Symbol" w:cs="Symbol"/>
        <w:w w:val="99"/>
        <w:sz w:val="20"/>
        <w:szCs w:val="20"/>
        <w:lang w:val="da-DY" w:eastAsia="da-DY" w:bidi="da-DY"/>
      </w:rPr>
    </w:lvl>
    <w:lvl w:ilvl="3">
      <w:start w:val="0"/>
      <w:numFmt w:val="bullet"/>
      <w:lvlText w:val="•"/>
      <w:lvlJc w:val="left"/>
      <w:pPr>
        <w:ind w:left="3134" w:hanging="360"/>
      </w:pPr>
      <w:rPr>
        <w:rFonts w:hint="default"/>
        <w:lang w:val="da-DY" w:eastAsia="da-DY" w:bidi="da-DY"/>
      </w:rPr>
    </w:lvl>
    <w:lvl w:ilvl="4">
      <w:start w:val="0"/>
      <w:numFmt w:val="bullet"/>
      <w:lvlText w:val="•"/>
      <w:lvlJc w:val="left"/>
      <w:pPr>
        <w:ind w:left="4082" w:hanging="360"/>
      </w:pPr>
      <w:rPr>
        <w:rFonts w:hint="default"/>
        <w:lang w:val="da-DY" w:eastAsia="da-DY" w:bidi="da-DY"/>
      </w:rPr>
    </w:lvl>
    <w:lvl w:ilvl="5">
      <w:start w:val="0"/>
      <w:numFmt w:val="bullet"/>
      <w:lvlText w:val="•"/>
      <w:lvlJc w:val="left"/>
      <w:pPr>
        <w:ind w:left="5029" w:hanging="360"/>
      </w:pPr>
      <w:rPr>
        <w:rFonts w:hint="default"/>
        <w:lang w:val="da-DY" w:eastAsia="da-DY" w:bidi="da-DY"/>
      </w:rPr>
    </w:lvl>
    <w:lvl w:ilvl="6">
      <w:start w:val="0"/>
      <w:numFmt w:val="bullet"/>
      <w:lvlText w:val="•"/>
      <w:lvlJc w:val="left"/>
      <w:pPr>
        <w:ind w:left="5976" w:hanging="360"/>
      </w:pPr>
      <w:rPr>
        <w:rFonts w:hint="default"/>
        <w:lang w:val="da-DY" w:eastAsia="da-DY" w:bidi="da-DY"/>
      </w:rPr>
    </w:lvl>
    <w:lvl w:ilvl="7">
      <w:start w:val="0"/>
      <w:numFmt w:val="bullet"/>
      <w:lvlText w:val="•"/>
      <w:lvlJc w:val="left"/>
      <w:pPr>
        <w:ind w:left="6924" w:hanging="360"/>
      </w:pPr>
      <w:rPr>
        <w:rFonts w:hint="default"/>
        <w:lang w:val="da-DY" w:eastAsia="da-DY" w:bidi="da-DY"/>
      </w:rPr>
    </w:lvl>
    <w:lvl w:ilvl="8">
      <w:start w:val="0"/>
      <w:numFmt w:val="bullet"/>
      <w:lvlText w:val="•"/>
      <w:lvlJc w:val="left"/>
      <w:pPr>
        <w:ind w:left="7871" w:hanging="360"/>
      </w:pPr>
      <w:rPr>
        <w:rFonts w:hint="default"/>
        <w:lang w:val="da-DY" w:eastAsia="da-DY" w:bidi="da-DY"/>
      </w:rPr>
    </w:lvl>
  </w:abstractNum>
  <w:abstractNum w:abstractNumId="15">
    <w:multiLevelType w:val="hybridMultilevel"/>
    <w:lvl w:ilvl="0">
      <w:start w:val="8"/>
      <w:numFmt w:val="decimal"/>
      <w:lvlText w:val="%1."/>
      <w:lvlJc w:val="left"/>
      <w:pPr>
        <w:ind w:left="525" w:hanging="567"/>
        <w:jc w:val="left"/>
      </w:pPr>
      <w:rPr>
        <w:rFonts w:hint="default" w:ascii="Arial" w:hAnsi="Arial" w:eastAsia="Arial" w:cs="Arial"/>
        <w:b/>
        <w:bCs/>
        <w:w w:val="100"/>
        <w:sz w:val="34"/>
        <w:szCs w:val="34"/>
        <w:lang w:val="da-DY" w:eastAsia="da-DY" w:bidi="da-DY"/>
      </w:rPr>
    </w:lvl>
    <w:lvl w:ilvl="1">
      <w:start w:val="0"/>
      <w:numFmt w:val="bullet"/>
      <w:lvlText w:val="•"/>
      <w:lvlJc w:val="left"/>
      <w:pPr>
        <w:ind w:left="1444" w:hanging="567"/>
      </w:pPr>
      <w:rPr>
        <w:rFonts w:hint="default"/>
        <w:lang w:val="da-DY" w:eastAsia="da-DY" w:bidi="da-DY"/>
      </w:rPr>
    </w:lvl>
    <w:lvl w:ilvl="2">
      <w:start w:val="0"/>
      <w:numFmt w:val="bullet"/>
      <w:lvlText w:val="•"/>
      <w:lvlJc w:val="left"/>
      <w:pPr>
        <w:ind w:left="2369" w:hanging="567"/>
      </w:pPr>
      <w:rPr>
        <w:rFonts w:hint="default"/>
        <w:lang w:val="da-DY" w:eastAsia="da-DY" w:bidi="da-DY"/>
      </w:rPr>
    </w:lvl>
    <w:lvl w:ilvl="3">
      <w:start w:val="0"/>
      <w:numFmt w:val="bullet"/>
      <w:lvlText w:val="•"/>
      <w:lvlJc w:val="left"/>
      <w:pPr>
        <w:ind w:left="3293" w:hanging="567"/>
      </w:pPr>
      <w:rPr>
        <w:rFonts w:hint="default"/>
        <w:lang w:val="da-DY" w:eastAsia="da-DY" w:bidi="da-DY"/>
      </w:rPr>
    </w:lvl>
    <w:lvl w:ilvl="4">
      <w:start w:val="0"/>
      <w:numFmt w:val="bullet"/>
      <w:lvlText w:val="•"/>
      <w:lvlJc w:val="left"/>
      <w:pPr>
        <w:ind w:left="4218" w:hanging="567"/>
      </w:pPr>
      <w:rPr>
        <w:rFonts w:hint="default"/>
        <w:lang w:val="da-DY" w:eastAsia="da-DY" w:bidi="da-DY"/>
      </w:rPr>
    </w:lvl>
    <w:lvl w:ilvl="5">
      <w:start w:val="0"/>
      <w:numFmt w:val="bullet"/>
      <w:lvlText w:val="•"/>
      <w:lvlJc w:val="left"/>
      <w:pPr>
        <w:ind w:left="5143" w:hanging="567"/>
      </w:pPr>
      <w:rPr>
        <w:rFonts w:hint="default"/>
        <w:lang w:val="da-DY" w:eastAsia="da-DY" w:bidi="da-DY"/>
      </w:rPr>
    </w:lvl>
    <w:lvl w:ilvl="6">
      <w:start w:val="0"/>
      <w:numFmt w:val="bullet"/>
      <w:lvlText w:val="•"/>
      <w:lvlJc w:val="left"/>
      <w:pPr>
        <w:ind w:left="6067" w:hanging="567"/>
      </w:pPr>
      <w:rPr>
        <w:rFonts w:hint="default"/>
        <w:lang w:val="da-DY" w:eastAsia="da-DY" w:bidi="da-DY"/>
      </w:rPr>
    </w:lvl>
    <w:lvl w:ilvl="7">
      <w:start w:val="0"/>
      <w:numFmt w:val="bullet"/>
      <w:lvlText w:val="•"/>
      <w:lvlJc w:val="left"/>
      <w:pPr>
        <w:ind w:left="6992" w:hanging="567"/>
      </w:pPr>
      <w:rPr>
        <w:rFonts w:hint="default"/>
        <w:lang w:val="da-DY" w:eastAsia="da-DY" w:bidi="da-DY"/>
      </w:rPr>
    </w:lvl>
    <w:lvl w:ilvl="8">
      <w:start w:val="0"/>
      <w:numFmt w:val="bullet"/>
      <w:lvlText w:val="•"/>
      <w:lvlJc w:val="left"/>
      <w:pPr>
        <w:ind w:left="7917" w:hanging="567"/>
      </w:pPr>
      <w:rPr>
        <w:rFonts w:hint="default"/>
        <w:lang w:val="da-DY" w:eastAsia="da-DY" w:bidi="da-DY"/>
      </w:rPr>
    </w:lvl>
  </w:abstractNum>
  <w:abstractNum w:abstractNumId="14">
    <w:multiLevelType w:val="hybridMultilevel"/>
    <w:lvl w:ilvl="0">
      <w:start w:val="7"/>
      <w:numFmt w:val="decimal"/>
      <w:lvlText w:val="%1"/>
      <w:lvlJc w:val="left"/>
      <w:pPr>
        <w:ind w:left="1142" w:hanging="617"/>
        <w:jc w:val="left"/>
      </w:pPr>
      <w:rPr>
        <w:rFonts w:hint="default"/>
        <w:lang w:val="da-DY" w:eastAsia="da-DY" w:bidi="da-DY"/>
      </w:rPr>
    </w:lvl>
    <w:lvl w:ilvl="1">
      <w:start w:val="1"/>
      <w:numFmt w:val="decimal"/>
      <w:lvlText w:val="%1.%2"/>
      <w:lvlJc w:val="left"/>
      <w:pPr>
        <w:ind w:left="1142" w:hanging="617"/>
        <w:jc w:val="left"/>
      </w:pPr>
      <w:rPr>
        <w:rFonts w:hint="default" w:ascii="Arial" w:hAnsi="Arial" w:eastAsia="Arial" w:cs="Arial"/>
        <w:b/>
        <w:bCs/>
        <w:w w:val="100"/>
        <w:sz w:val="28"/>
        <w:szCs w:val="28"/>
        <w:lang w:val="da-DY" w:eastAsia="da-DY" w:bidi="da-DY"/>
      </w:rPr>
    </w:lvl>
    <w:lvl w:ilvl="2">
      <w:start w:val="0"/>
      <w:numFmt w:val="bullet"/>
      <w:lvlText w:val="•"/>
      <w:lvlJc w:val="left"/>
      <w:pPr>
        <w:ind w:left="2865" w:hanging="617"/>
      </w:pPr>
      <w:rPr>
        <w:rFonts w:hint="default"/>
        <w:lang w:val="da-DY" w:eastAsia="da-DY" w:bidi="da-DY"/>
      </w:rPr>
    </w:lvl>
    <w:lvl w:ilvl="3">
      <w:start w:val="0"/>
      <w:numFmt w:val="bullet"/>
      <w:lvlText w:val="•"/>
      <w:lvlJc w:val="left"/>
      <w:pPr>
        <w:ind w:left="3727" w:hanging="617"/>
      </w:pPr>
      <w:rPr>
        <w:rFonts w:hint="default"/>
        <w:lang w:val="da-DY" w:eastAsia="da-DY" w:bidi="da-DY"/>
      </w:rPr>
    </w:lvl>
    <w:lvl w:ilvl="4">
      <w:start w:val="0"/>
      <w:numFmt w:val="bullet"/>
      <w:lvlText w:val="•"/>
      <w:lvlJc w:val="left"/>
      <w:pPr>
        <w:ind w:left="4590" w:hanging="617"/>
      </w:pPr>
      <w:rPr>
        <w:rFonts w:hint="default"/>
        <w:lang w:val="da-DY" w:eastAsia="da-DY" w:bidi="da-DY"/>
      </w:rPr>
    </w:lvl>
    <w:lvl w:ilvl="5">
      <w:start w:val="0"/>
      <w:numFmt w:val="bullet"/>
      <w:lvlText w:val="•"/>
      <w:lvlJc w:val="left"/>
      <w:pPr>
        <w:ind w:left="5453" w:hanging="617"/>
      </w:pPr>
      <w:rPr>
        <w:rFonts w:hint="default"/>
        <w:lang w:val="da-DY" w:eastAsia="da-DY" w:bidi="da-DY"/>
      </w:rPr>
    </w:lvl>
    <w:lvl w:ilvl="6">
      <w:start w:val="0"/>
      <w:numFmt w:val="bullet"/>
      <w:lvlText w:val="•"/>
      <w:lvlJc w:val="left"/>
      <w:pPr>
        <w:ind w:left="6315" w:hanging="617"/>
      </w:pPr>
      <w:rPr>
        <w:rFonts w:hint="default"/>
        <w:lang w:val="da-DY" w:eastAsia="da-DY" w:bidi="da-DY"/>
      </w:rPr>
    </w:lvl>
    <w:lvl w:ilvl="7">
      <w:start w:val="0"/>
      <w:numFmt w:val="bullet"/>
      <w:lvlText w:val="•"/>
      <w:lvlJc w:val="left"/>
      <w:pPr>
        <w:ind w:left="7178" w:hanging="617"/>
      </w:pPr>
      <w:rPr>
        <w:rFonts w:hint="default"/>
        <w:lang w:val="da-DY" w:eastAsia="da-DY" w:bidi="da-DY"/>
      </w:rPr>
    </w:lvl>
    <w:lvl w:ilvl="8">
      <w:start w:val="0"/>
      <w:numFmt w:val="bullet"/>
      <w:lvlText w:val="•"/>
      <w:lvlJc w:val="left"/>
      <w:pPr>
        <w:ind w:left="8041" w:hanging="617"/>
      </w:pPr>
      <w:rPr>
        <w:rFonts w:hint="default"/>
        <w:lang w:val="da-DY" w:eastAsia="da-DY" w:bidi="da-DY"/>
      </w:rPr>
    </w:lvl>
  </w:abstractNum>
  <w:abstractNum w:abstractNumId="13">
    <w:multiLevelType w:val="hybridMultilevel"/>
    <w:lvl w:ilvl="0">
      <w:start w:val="6"/>
      <w:numFmt w:val="decimal"/>
      <w:lvlText w:val="%1"/>
      <w:lvlJc w:val="left"/>
      <w:pPr>
        <w:ind w:left="1142" w:hanging="617"/>
        <w:jc w:val="left"/>
      </w:pPr>
      <w:rPr>
        <w:rFonts w:hint="default"/>
        <w:lang w:val="da-DY" w:eastAsia="da-DY" w:bidi="da-DY"/>
      </w:rPr>
    </w:lvl>
    <w:lvl w:ilvl="1">
      <w:start w:val="1"/>
      <w:numFmt w:val="decimal"/>
      <w:lvlText w:val="%1.%2"/>
      <w:lvlJc w:val="left"/>
      <w:pPr>
        <w:ind w:left="1142" w:hanging="617"/>
        <w:jc w:val="left"/>
      </w:pPr>
      <w:rPr>
        <w:rFonts w:hint="default" w:ascii="Arial" w:hAnsi="Arial" w:eastAsia="Arial" w:cs="Arial"/>
        <w:b/>
        <w:bCs/>
        <w:w w:val="100"/>
        <w:sz w:val="28"/>
        <w:szCs w:val="28"/>
        <w:lang w:val="da-DY" w:eastAsia="da-DY" w:bidi="da-DY"/>
      </w:rPr>
    </w:lvl>
    <w:lvl w:ilvl="2">
      <w:start w:val="0"/>
      <w:numFmt w:val="bullet"/>
      <w:lvlText w:val="•"/>
      <w:lvlJc w:val="left"/>
      <w:pPr>
        <w:ind w:left="2865" w:hanging="617"/>
      </w:pPr>
      <w:rPr>
        <w:rFonts w:hint="default"/>
        <w:lang w:val="da-DY" w:eastAsia="da-DY" w:bidi="da-DY"/>
      </w:rPr>
    </w:lvl>
    <w:lvl w:ilvl="3">
      <w:start w:val="0"/>
      <w:numFmt w:val="bullet"/>
      <w:lvlText w:val="•"/>
      <w:lvlJc w:val="left"/>
      <w:pPr>
        <w:ind w:left="3727" w:hanging="617"/>
      </w:pPr>
      <w:rPr>
        <w:rFonts w:hint="default"/>
        <w:lang w:val="da-DY" w:eastAsia="da-DY" w:bidi="da-DY"/>
      </w:rPr>
    </w:lvl>
    <w:lvl w:ilvl="4">
      <w:start w:val="0"/>
      <w:numFmt w:val="bullet"/>
      <w:lvlText w:val="•"/>
      <w:lvlJc w:val="left"/>
      <w:pPr>
        <w:ind w:left="4590" w:hanging="617"/>
      </w:pPr>
      <w:rPr>
        <w:rFonts w:hint="default"/>
        <w:lang w:val="da-DY" w:eastAsia="da-DY" w:bidi="da-DY"/>
      </w:rPr>
    </w:lvl>
    <w:lvl w:ilvl="5">
      <w:start w:val="0"/>
      <w:numFmt w:val="bullet"/>
      <w:lvlText w:val="•"/>
      <w:lvlJc w:val="left"/>
      <w:pPr>
        <w:ind w:left="5453" w:hanging="617"/>
      </w:pPr>
      <w:rPr>
        <w:rFonts w:hint="default"/>
        <w:lang w:val="da-DY" w:eastAsia="da-DY" w:bidi="da-DY"/>
      </w:rPr>
    </w:lvl>
    <w:lvl w:ilvl="6">
      <w:start w:val="0"/>
      <w:numFmt w:val="bullet"/>
      <w:lvlText w:val="•"/>
      <w:lvlJc w:val="left"/>
      <w:pPr>
        <w:ind w:left="6315" w:hanging="617"/>
      </w:pPr>
      <w:rPr>
        <w:rFonts w:hint="default"/>
        <w:lang w:val="da-DY" w:eastAsia="da-DY" w:bidi="da-DY"/>
      </w:rPr>
    </w:lvl>
    <w:lvl w:ilvl="7">
      <w:start w:val="0"/>
      <w:numFmt w:val="bullet"/>
      <w:lvlText w:val="•"/>
      <w:lvlJc w:val="left"/>
      <w:pPr>
        <w:ind w:left="7178" w:hanging="617"/>
      </w:pPr>
      <w:rPr>
        <w:rFonts w:hint="default"/>
        <w:lang w:val="da-DY" w:eastAsia="da-DY" w:bidi="da-DY"/>
      </w:rPr>
    </w:lvl>
    <w:lvl w:ilvl="8">
      <w:start w:val="0"/>
      <w:numFmt w:val="bullet"/>
      <w:lvlText w:val="•"/>
      <w:lvlJc w:val="left"/>
      <w:pPr>
        <w:ind w:left="8041" w:hanging="617"/>
      </w:pPr>
      <w:rPr>
        <w:rFonts w:hint="default"/>
        <w:lang w:val="da-DY" w:eastAsia="da-DY" w:bidi="da-DY"/>
      </w:rPr>
    </w:lvl>
  </w:abstractNum>
  <w:abstractNum w:abstractNumId="12">
    <w:multiLevelType w:val="hybridMultilevel"/>
    <w:lvl w:ilvl="0">
      <w:start w:val="6"/>
      <w:numFmt w:val="decimal"/>
      <w:lvlText w:val="%1."/>
      <w:lvlJc w:val="left"/>
      <w:pPr>
        <w:ind w:left="1091" w:hanging="567"/>
        <w:jc w:val="left"/>
      </w:pPr>
      <w:rPr>
        <w:rFonts w:hint="default" w:ascii="Arial" w:hAnsi="Arial" w:eastAsia="Arial" w:cs="Arial"/>
        <w:b/>
        <w:bCs/>
        <w:w w:val="100"/>
        <w:sz w:val="34"/>
        <w:szCs w:val="34"/>
        <w:lang w:val="da-DY" w:eastAsia="da-DY" w:bidi="da-DY"/>
      </w:rPr>
    </w:lvl>
    <w:lvl w:ilvl="1">
      <w:start w:val="0"/>
      <w:numFmt w:val="bullet"/>
      <w:lvlText w:val="•"/>
      <w:lvlJc w:val="left"/>
      <w:pPr>
        <w:ind w:left="1966" w:hanging="567"/>
      </w:pPr>
      <w:rPr>
        <w:rFonts w:hint="default"/>
        <w:lang w:val="da-DY" w:eastAsia="da-DY" w:bidi="da-DY"/>
      </w:rPr>
    </w:lvl>
    <w:lvl w:ilvl="2">
      <w:start w:val="0"/>
      <w:numFmt w:val="bullet"/>
      <w:lvlText w:val="•"/>
      <w:lvlJc w:val="left"/>
      <w:pPr>
        <w:ind w:left="2833" w:hanging="567"/>
      </w:pPr>
      <w:rPr>
        <w:rFonts w:hint="default"/>
        <w:lang w:val="da-DY" w:eastAsia="da-DY" w:bidi="da-DY"/>
      </w:rPr>
    </w:lvl>
    <w:lvl w:ilvl="3">
      <w:start w:val="0"/>
      <w:numFmt w:val="bullet"/>
      <w:lvlText w:val="•"/>
      <w:lvlJc w:val="left"/>
      <w:pPr>
        <w:ind w:left="3699" w:hanging="567"/>
      </w:pPr>
      <w:rPr>
        <w:rFonts w:hint="default"/>
        <w:lang w:val="da-DY" w:eastAsia="da-DY" w:bidi="da-DY"/>
      </w:rPr>
    </w:lvl>
    <w:lvl w:ilvl="4">
      <w:start w:val="0"/>
      <w:numFmt w:val="bullet"/>
      <w:lvlText w:val="•"/>
      <w:lvlJc w:val="left"/>
      <w:pPr>
        <w:ind w:left="4566" w:hanging="567"/>
      </w:pPr>
      <w:rPr>
        <w:rFonts w:hint="default"/>
        <w:lang w:val="da-DY" w:eastAsia="da-DY" w:bidi="da-DY"/>
      </w:rPr>
    </w:lvl>
    <w:lvl w:ilvl="5">
      <w:start w:val="0"/>
      <w:numFmt w:val="bullet"/>
      <w:lvlText w:val="•"/>
      <w:lvlJc w:val="left"/>
      <w:pPr>
        <w:ind w:left="5433" w:hanging="567"/>
      </w:pPr>
      <w:rPr>
        <w:rFonts w:hint="default"/>
        <w:lang w:val="da-DY" w:eastAsia="da-DY" w:bidi="da-DY"/>
      </w:rPr>
    </w:lvl>
    <w:lvl w:ilvl="6">
      <w:start w:val="0"/>
      <w:numFmt w:val="bullet"/>
      <w:lvlText w:val="•"/>
      <w:lvlJc w:val="left"/>
      <w:pPr>
        <w:ind w:left="6299" w:hanging="567"/>
      </w:pPr>
      <w:rPr>
        <w:rFonts w:hint="default"/>
        <w:lang w:val="da-DY" w:eastAsia="da-DY" w:bidi="da-DY"/>
      </w:rPr>
    </w:lvl>
    <w:lvl w:ilvl="7">
      <w:start w:val="0"/>
      <w:numFmt w:val="bullet"/>
      <w:lvlText w:val="•"/>
      <w:lvlJc w:val="left"/>
      <w:pPr>
        <w:ind w:left="7166" w:hanging="567"/>
      </w:pPr>
      <w:rPr>
        <w:rFonts w:hint="default"/>
        <w:lang w:val="da-DY" w:eastAsia="da-DY" w:bidi="da-DY"/>
      </w:rPr>
    </w:lvl>
    <w:lvl w:ilvl="8">
      <w:start w:val="0"/>
      <w:numFmt w:val="bullet"/>
      <w:lvlText w:val="•"/>
      <w:lvlJc w:val="left"/>
      <w:pPr>
        <w:ind w:left="8033" w:hanging="567"/>
      </w:pPr>
      <w:rPr>
        <w:rFonts w:hint="default"/>
        <w:lang w:val="da-DY" w:eastAsia="da-DY" w:bidi="da-DY"/>
      </w:rPr>
    </w:lvl>
  </w:abstractNum>
  <w:abstractNum w:abstractNumId="11">
    <w:multiLevelType w:val="hybridMultilevel"/>
    <w:lvl w:ilvl="0">
      <w:start w:val="5"/>
      <w:numFmt w:val="decimal"/>
      <w:lvlText w:val="%1"/>
      <w:lvlJc w:val="left"/>
      <w:pPr>
        <w:ind w:left="1142" w:hanging="617"/>
        <w:jc w:val="left"/>
      </w:pPr>
      <w:rPr>
        <w:rFonts w:hint="default"/>
        <w:lang w:val="da-DY" w:eastAsia="da-DY" w:bidi="da-DY"/>
      </w:rPr>
    </w:lvl>
    <w:lvl w:ilvl="1">
      <w:start w:val="1"/>
      <w:numFmt w:val="decimal"/>
      <w:lvlText w:val="%1.%2"/>
      <w:lvlJc w:val="left"/>
      <w:pPr>
        <w:ind w:left="1142" w:hanging="617"/>
        <w:jc w:val="left"/>
      </w:pPr>
      <w:rPr>
        <w:rFonts w:hint="default" w:ascii="Arial" w:hAnsi="Arial" w:eastAsia="Arial" w:cs="Arial"/>
        <w:b/>
        <w:bCs/>
        <w:w w:val="100"/>
        <w:sz w:val="28"/>
        <w:szCs w:val="28"/>
        <w:lang w:val="da-DY" w:eastAsia="da-DY" w:bidi="da-DY"/>
      </w:rPr>
    </w:lvl>
    <w:lvl w:ilvl="2">
      <w:start w:val="0"/>
      <w:numFmt w:val="bullet"/>
      <w:lvlText w:val="•"/>
      <w:lvlJc w:val="left"/>
      <w:pPr>
        <w:ind w:left="2865" w:hanging="617"/>
      </w:pPr>
      <w:rPr>
        <w:rFonts w:hint="default"/>
        <w:lang w:val="da-DY" w:eastAsia="da-DY" w:bidi="da-DY"/>
      </w:rPr>
    </w:lvl>
    <w:lvl w:ilvl="3">
      <w:start w:val="0"/>
      <w:numFmt w:val="bullet"/>
      <w:lvlText w:val="•"/>
      <w:lvlJc w:val="left"/>
      <w:pPr>
        <w:ind w:left="3727" w:hanging="617"/>
      </w:pPr>
      <w:rPr>
        <w:rFonts w:hint="default"/>
        <w:lang w:val="da-DY" w:eastAsia="da-DY" w:bidi="da-DY"/>
      </w:rPr>
    </w:lvl>
    <w:lvl w:ilvl="4">
      <w:start w:val="0"/>
      <w:numFmt w:val="bullet"/>
      <w:lvlText w:val="•"/>
      <w:lvlJc w:val="left"/>
      <w:pPr>
        <w:ind w:left="4590" w:hanging="617"/>
      </w:pPr>
      <w:rPr>
        <w:rFonts w:hint="default"/>
        <w:lang w:val="da-DY" w:eastAsia="da-DY" w:bidi="da-DY"/>
      </w:rPr>
    </w:lvl>
    <w:lvl w:ilvl="5">
      <w:start w:val="0"/>
      <w:numFmt w:val="bullet"/>
      <w:lvlText w:val="•"/>
      <w:lvlJc w:val="left"/>
      <w:pPr>
        <w:ind w:left="5453" w:hanging="617"/>
      </w:pPr>
      <w:rPr>
        <w:rFonts w:hint="default"/>
        <w:lang w:val="da-DY" w:eastAsia="da-DY" w:bidi="da-DY"/>
      </w:rPr>
    </w:lvl>
    <w:lvl w:ilvl="6">
      <w:start w:val="0"/>
      <w:numFmt w:val="bullet"/>
      <w:lvlText w:val="•"/>
      <w:lvlJc w:val="left"/>
      <w:pPr>
        <w:ind w:left="6315" w:hanging="617"/>
      </w:pPr>
      <w:rPr>
        <w:rFonts w:hint="default"/>
        <w:lang w:val="da-DY" w:eastAsia="da-DY" w:bidi="da-DY"/>
      </w:rPr>
    </w:lvl>
    <w:lvl w:ilvl="7">
      <w:start w:val="0"/>
      <w:numFmt w:val="bullet"/>
      <w:lvlText w:val="•"/>
      <w:lvlJc w:val="left"/>
      <w:pPr>
        <w:ind w:left="7178" w:hanging="617"/>
      </w:pPr>
      <w:rPr>
        <w:rFonts w:hint="default"/>
        <w:lang w:val="da-DY" w:eastAsia="da-DY" w:bidi="da-DY"/>
      </w:rPr>
    </w:lvl>
    <w:lvl w:ilvl="8">
      <w:start w:val="0"/>
      <w:numFmt w:val="bullet"/>
      <w:lvlText w:val="•"/>
      <w:lvlJc w:val="left"/>
      <w:pPr>
        <w:ind w:left="8041" w:hanging="617"/>
      </w:pPr>
      <w:rPr>
        <w:rFonts w:hint="default"/>
        <w:lang w:val="da-DY" w:eastAsia="da-DY" w:bidi="da-DY"/>
      </w:rPr>
    </w:lvl>
  </w:abstractNum>
  <w:abstractNum w:abstractNumId="10">
    <w:multiLevelType w:val="hybridMultilevel"/>
    <w:lvl w:ilvl="0">
      <w:start w:val="1"/>
      <w:numFmt w:val="decimal"/>
      <w:lvlText w:val="%1."/>
      <w:lvlJc w:val="left"/>
      <w:pPr>
        <w:ind w:left="1245" w:hanging="360"/>
        <w:jc w:val="right"/>
      </w:pPr>
      <w:rPr>
        <w:rFonts w:hint="default"/>
        <w:spacing w:val="-1"/>
        <w:w w:val="99"/>
        <w:lang w:val="da-DY" w:eastAsia="da-DY" w:bidi="da-DY"/>
      </w:rPr>
    </w:lvl>
    <w:lvl w:ilvl="1">
      <w:start w:val="0"/>
      <w:numFmt w:val="bullet"/>
      <w:lvlText w:val="•"/>
      <w:lvlJc w:val="left"/>
      <w:pPr>
        <w:ind w:left="2092" w:hanging="360"/>
      </w:pPr>
      <w:rPr>
        <w:rFonts w:hint="default"/>
        <w:lang w:val="da-DY" w:eastAsia="da-DY" w:bidi="da-DY"/>
      </w:rPr>
    </w:lvl>
    <w:lvl w:ilvl="2">
      <w:start w:val="0"/>
      <w:numFmt w:val="bullet"/>
      <w:lvlText w:val="•"/>
      <w:lvlJc w:val="left"/>
      <w:pPr>
        <w:ind w:left="2945" w:hanging="360"/>
      </w:pPr>
      <w:rPr>
        <w:rFonts w:hint="default"/>
        <w:lang w:val="da-DY" w:eastAsia="da-DY" w:bidi="da-DY"/>
      </w:rPr>
    </w:lvl>
    <w:lvl w:ilvl="3">
      <w:start w:val="0"/>
      <w:numFmt w:val="bullet"/>
      <w:lvlText w:val="•"/>
      <w:lvlJc w:val="left"/>
      <w:pPr>
        <w:ind w:left="3797" w:hanging="360"/>
      </w:pPr>
      <w:rPr>
        <w:rFonts w:hint="default"/>
        <w:lang w:val="da-DY" w:eastAsia="da-DY" w:bidi="da-DY"/>
      </w:rPr>
    </w:lvl>
    <w:lvl w:ilvl="4">
      <w:start w:val="0"/>
      <w:numFmt w:val="bullet"/>
      <w:lvlText w:val="•"/>
      <w:lvlJc w:val="left"/>
      <w:pPr>
        <w:ind w:left="4650" w:hanging="360"/>
      </w:pPr>
      <w:rPr>
        <w:rFonts w:hint="default"/>
        <w:lang w:val="da-DY" w:eastAsia="da-DY" w:bidi="da-DY"/>
      </w:rPr>
    </w:lvl>
    <w:lvl w:ilvl="5">
      <w:start w:val="0"/>
      <w:numFmt w:val="bullet"/>
      <w:lvlText w:val="•"/>
      <w:lvlJc w:val="left"/>
      <w:pPr>
        <w:ind w:left="5503" w:hanging="360"/>
      </w:pPr>
      <w:rPr>
        <w:rFonts w:hint="default"/>
        <w:lang w:val="da-DY" w:eastAsia="da-DY" w:bidi="da-DY"/>
      </w:rPr>
    </w:lvl>
    <w:lvl w:ilvl="6">
      <w:start w:val="0"/>
      <w:numFmt w:val="bullet"/>
      <w:lvlText w:val="•"/>
      <w:lvlJc w:val="left"/>
      <w:pPr>
        <w:ind w:left="6355" w:hanging="360"/>
      </w:pPr>
      <w:rPr>
        <w:rFonts w:hint="default"/>
        <w:lang w:val="da-DY" w:eastAsia="da-DY" w:bidi="da-DY"/>
      </w:rPr>
    </w:lvl>
    <w:lvl w:ilvl="7">
      <w:start w:val="0"/>
      <w:numFmt w:val="bullet"/>
      <w:lvlText w:val="•"/>
      <w:lvlJc w:val="left"/>
      <w:pPr>
        <w:ind w:left="7208" w:hanging="360"/>
      </w:pPr>
      <w:rPr>
        <w:rFonts w:hint="default"/>
        <w:lang w:val="da-DY" w:eastAsia="da-DY" w:bidi="da-DY"/>
      </w:rPr>
    </w:lvl>
    <w:lvl w:ilvl="8">
      <w:start w:val="0"/>
      <w:numFmt w:val="bullet"/>
      <w:lvlText w:val="•"/>
      <w:lvlJc w:val="left"/>
      <w:pPr>
        <w:ind w:left="8061" w:hanging="360"/>
      </w:pPr>
      <w:rPr>
        <w:rFonts w:hint="default"/>
        <w:lang w:val="da-DY" w:eastAsia="da-DY" w:bidi="da-DY"/>
      </w:rPr>
    </w:lvl>
  </w:abstractNum>
  <w:abstractNum w:abstractNumId="8">
    <w:multiLevelType w:val="hybridMultilevel"/>
    <w:lvl w:ilvl="0">
      <w:start w:val="1"/>
      <w:numFmt w:val="decimal"/>
      <w:lvlText w:val="%1."/>
      <w:lvlJc w:val="left"/>
      <w:pPr>
        <w:ind w:left="1245" w:hanging="360"/>
        <w:jc w:val="left"/>
      </w:pPr>
      <w:rPr>
        <w:rFonts w:hint="default" w:ascii="Arial" w:hAnsi="Arial" w:eastAsia="Arial" w:cs="Arial"/>
        <w:spacing w:val="-1"/>
        <w:w w:val="99"/>
        <w:sz w:val="20"/>
        <w:szCs w:val="20"/>
        <w:lang w:val="da-DY" w:eastAsia="da-DY" w:bidi="da-DY"/>
      </w:rPr>
    </w:lvl>
    <w:lvl w:ilvl="1">
      <w:start w:val="0"/>
      <w:numFmt w:val="bullet"/>
      <w:lvlText w:val="•"/>
      <w:lvlJc w:val="left"/>
      <w:pPr>
        <w:ind w:left="2092" w:hanging="360"/>
      </w:pPr>
      <w:rPr>
        <w:rFonts w:hint="default"/>
        <w:lang w:val="da-DY" w:eastAsia="da-DY" w:bidi="da-DY"/>
      </w:rPr>
    </w:lvl>
    <w:lvl w:ilvl="2">
      <w:start w:val="0"/>
      <w:numFmt w:val="bullet"/>
      <w:lvlText w:val="•"/>
      <w:lvlJc w:val="left"/>
      <w:pPr>
        <w:ind w:left="2945" w:hanging="360"/>
      </w:pPr>
      <w:rPr>
        <w:rFonts w:hint="default"/>
        <w:lang w:val="da-DY" w:eastAsia="da-DY" w:bidi="da-DY"/>
      </w:rPr>
    </w:lvl>
    <w:lvl w:ilvl="3">
      <w:start w:val="0"/>
      <w:numFmt w:val="bullet"/>
      <w:lvlText w:val="•"/>
      <w:lvlJc w:val="left"/>
      <w:pPr>
        <w:ind w:left="3797" w:hanging="360"/>
      </w:pPr>
      <w:rPr>
        <w:rFonts w:hint="default"/>
        <w:lang w:val="da-DY" w:eastAsia="da-DY" w:bidi="da-DY"/>
      </w:rPr>
    </w:lvl>
    <w:lvl w:ilvl="4">
      <w:start w:val="0"/>
      <w:numFmt w:val="bullet"/>
      <w:lvlText w:val="•"/>
      <w:lvlJc w:val="left"/>
      <w:pPr>
        <w:ind w:left="4650" w:hanging="360"/>
      </w:pPr>
      <w:rPr>
        <w:rFonts w:hint="default"/>
        <w:lang w:val="da-DY" w:eastAsia="da-DY" w:bidi="da-DY"/>
      </w:rPr>
    </w:lvl>
    <w:lvl w:ilvl="5">
      <w:start w:val="0"/>
      <w:numFmt w:val="bullet"/>
      <w:lvlText w:val="•"/>
      <w:lvlJc w:val="left"/>
      <w:pPr>
        <w:ind w:left="5503" w:hanging="360"/>
      </w:pPr>
      <w:rPr>
        <w:rFonts w:hint="default"/>
        <w:lang w:val="da-DY" w:eastAsia="da-DY" w:bidi="da-DY"/>
      </w:rPr>
    </w:lvl>
    <w:lvl w:ilvl="6">
      <w:start w:val="0"/>
      <w:numFmt w:val="bullet"/>
      <w:lvlText w:val="•"/>
      <w:lvlJc w:val="left"/>
      <w:pPr>
        <w:ind w:left="6355" w:hanging="360"/>
      </w:pPr>
      <w:rPr>
        <w:rFonts w:hint="default"/>
        <w:lang w:val="da-DY" w:eastAsia="da-DY" w:bidi="da-DY"/>
      </w:rPr>
    </w:lvl>
    <w:lvl w:ilvl="7">
      <w:start w:val="0"/>
      <w:numFmt w:val="bullet"/>
      <w:lvlText w:val="•"/>
      <w:lvlJc w:val="left"/>
      <w:pPr>
        <w:ind w:left="7208" w:hanging="360"/>
      </w:pPr>
      <w:rPr>
        <w:rFonts w:hint="default"/>
        <w:lang w:val="da-DY" w:eastAsia="da-DY" w:bidi="da-DY"/>
      </w:rPr>
    </w:lvl>
    <w:lvl w:ilvl="8">
      <w:start w:val="0"/>
      <w:numFmt w:val="bullet"/>
      <w:lvlText w:val="•"/>
      <w:lvlJc w:val="left"/>
      <w:pPr>
        <w:ind w:left="8061" w:hanging="360"/>
      </w:pPr>
      <w:rPr>
        <w:rFonts w:hint="default"/>
        <w:lang w:val="da-DY" w:eastAsia="da-DY" w:bidi="da-DY"/>
      </w:rPr>
    </w:lvl>
  </w:abstractNum>
  <w:abstractNum w:abstractNumId="7">
    <w:multiLevelType w:val="hybridMultilevel"/>
    <w:lvl w:ilvl="0">
      <w:start w:val="4"/>
      <w:numFmt w:val="decimal"/>
      <w:lvlText w:val="%1"/>
      <w:lvlJc w:val="left"/>
      <w:pPr>
        <w:ind w:left="1142" w:hanging="617"/>
        <w:jc w:val="left"/>
      </w:pPr>
      <w:rPr>
        <w:rFonts w:hint="default"/>
        <w:lang w:val="da-DY" w:eastAsia="da-DY" w:bidi="da-DY"/>
      </w:rPr>
    </w:lvl>
    <w:lvl w:ilvl="1">
      <w:start w:val="1"/>
      <w:numFmt w:val="decimal"/>
      <w:lvlText w:val="%1.%2"/>
      <w:lvlJc w:val="left"/>
      <w:pPr>
        <w:ind w:left="1142" w:hanging="617"/>
        <w:jc w:val="left"/>
      </w:pPr>
      <w:rPr>
        <w:rFonts w:hint="default" w:ascii="Arial" w:hAnsi="Arial" w:eastAsia="Arial" w:cs="Arial"/>
        <w:b/>
        <w:bCs/>
        <w:w w:val="100"/>
        <w:sz w:val="28"/>
        <w:szCs w:val="28"/>
        <w:lang w:val="da-DY" w:eastAsia="da-DY" w:bidi="da-DY"/>
      </w:rPr>
    </w:lvl>
    <w:lvl w:ilvl="2">
      <w:start w:val="0"/>
      <w:numFmt w:val="bullet"/>
      <w:lvlText w:val=""/>
      <w:lvlJc w:val="left"/>
      <w:pPr>
        <w:ind w:left="1245" w:hanging="360"/>
      </w:pPr>
      <w:rPr>
        <w:rFonts w:hint="default" w:ascii="Symbol" w:hAnsi="Symbol" w:eastAsia="Symbol" w:cs="Symbol"/>
        <w:w w:val="99"/>
        <w:sz w:val="20"/>
        <w:szCs w:val="20"/>
        <w:lang w:val="da-DY" w:eastAsia="da-DY" w:bidi="da-DY"/>
      </w:rPr>
    </w:lvl>
    <w:lvl w:ilvl="3">
      <w:start w:val="0"/>
      <w:numFmt w:val="bullet"/>
      <w:lvlText w:val="•"/>
      <w:lvlJc w:val="left"/>
      <w:pPr>
        <w:ind w:left="3134" w:hanging="360"/>
      </w:pPr>
      <w:rPr>
        <w:rFonts w:hint="default"/>
        <w:lang w:val="da-DY" w:eastAsia="da-DY" w:bidi="da-DY"/>
      </w:rPr>
    </w:lvl>
    <w:lvl w:ilvl="4">
      <w:start w:val="0"/>
      <w:numFmt w:val="bullet"/>
      <w:lvlText w:val="•"/>
      <w:lvlJc w:val="left"/>
      <w:pPr>
        <w:ind w:left="4082" w:hanging="360"/>
      </w:pPr>
      <w:rPr>
        <w:rFonts w:hint="default"/>
        <w:lang w:val="da-DY" w:eastAsia="da-DY" w:bidi="da-DY"/>
      </w:rPr>
    </w:lvl>
    <w:lvl w:ilvl="5">
      <w:start w:val="0"/>
      <w:numFmt w:val="bullet"/>
      <w:lvlText w:val="•"/>
      <w:lvlJc w:val="left"/>
      <w:pPr>
        <w:ind w:left="5029" w:hanging="360"/>
      </w:pPr>
      <w:rPr>
        <w:rFonts w:hint="default"/>
        <w:lang w:val="da-DY" w:eastAsia="da-DY" w:bidi="da-DY"/>
      </w:rPr>
    </w:lvl>
    <w:lvl w:ilvl="6">
      <w:start w:val="0"/>
      <w:numFmt w:val="bullet"/>
      <w:lvlText w:val="•"/>
      <w:lvlJc w:val="left"/>
      <w:pPr>
        <w:ind w:left="5976" w:hanging="360"/>
      </w:pPr>
      <w:rPr>
        <w:rFonts w:hint="default"/>
        <w:lang w:val="da-DY" w:eastAsia="da-DY" w:bidi="da-DY"/>
      </w:rPr>
    </w:lvl>
    <w:lvl w:ilvl="7">
      <w:start w:val="0"/>
      <w:numFmt w:val="bullet"/>
      <w:lvlText w:val="•"/>
      <w:lvlJc w:val="left"/>
      <w:pPr>
        <w:ind w:left="6924" w:hanging="360"/>
      </w:pPr>
      <w:rPr>
        <w:rFonts w:hint="default"/>
        <w:lang w:val="da-DY" w:eastAsia="da-DY" w:bidi="da-DY"/>
      </w:rPr>
    </w:lvl>
    <w:lvl w:ilvl="8">
      <w:start w:val="0"/>
      <w:numFmt w:val="bullet"/>
      <w:lvlText w:val="•"/>
      <w:lvlJc w:val="left"/>
      <w:pPr>
        <w:ind w:left="7871" w:hanging="360"/>
      </w:pPr>
      <w:rPr>
        <w:rFonts w:hint="default"/>
        <w:lang w:val="da-DY" w:eastAsia="da-DY" w:bidi="da-DY"/>
      </w:rPr>
    </w:lvl>
  </w:abstractNum>
  <w:abstractNum w:abstractNumId="6">
    <w:multiLevelType w:val="hybridMultilevel"/>
    <w:lvl w:ilvl="0">
      <w:start w:val="7"/>
      <w:numFmt w:val="decimal"/>
      <w:lvlText w:val="%1."/>
      <w:lvlJc w:val="left"/>
      <w:pPr>
        <w:ind w:left="525" w:hanging="240"/>
        <w:jc w:val="left"/>
      </w:pPr>
      <w:rPr>
        <w:rFonts w:hint="default" w:ascii="Arial" w:hAnsi="Arial" w:eastAsia="Arial" w:cs="Arial"/>
        <w:w w:val="100"/>
        <w:sz w:val="21"/>
        <w:szCs w:val="21"/>
        <w:lang w:val="da-DY" w:eastAsia="da-DY" w:bidi="da-DY"/>
      </w:rPr>
    </w:lvl>
    <w:lvl w:ilvl="1">
      <w:start w:val="0"/>
      <w:numFmt w:val="bullet"/>
      <w:lvlText w:val="•"/>
      <w:lvlJc w:val="left"/>
      <w:pPr>
        <w:ind w:left="1341" w:hanging="456"/>
      </w:pPr>
      <w:rPr>
        <w:rFonts w:hint="default" w:ascii="Arial" w:hAnsi="Arial" w:eastAsia="Arial" w:cs="Arial"/>
        <w:w w:val="99"/>
        <w:sz w:val="20"/>
        <w:szCs w:val="20"/>
        <w:lang w:val="da-DY" w:eastAsia="da-DY" w:bidi="da-DY"/>
      </w:rPr>
    </w:lvl>
    <w:lvl w:ilvl="2">
      <w:start w:val="0"/>
      <w:numFmt w:val="bullet"/>
      <w:lvlText w:val="•"/>
      <w:lvlJc w:val="left"/>
      <w:pPr>
        <w:ind w:left="2276" w:hanging="456"/>
      </w:pPr>
      <w:rPr>
        <w:rFonts w:hint="default"/>
        <w:lang w:val="da-DY" w:eastAsia="da-DY" w:bidi="da-DY"/>
      </w:rPr>
    </w:lvl>
    <w:lvl w:ilvl="3">
      <w:start w:val="0"/>
      <w:numFmt w:val="bullet"/>
      <w:lvlText w:val="•"/>
      <w:lvlJc w:val="left"/>
      <w:pPr>
        <w:ind w:left="3212" w:hanging="456"/>
      </w:pPr>
      <w:rPr>
        <w:rFonts w:hint="default"/>
        <w:lang w:val="da-DY" w:eastAsia="da-DY" w:bidi="da-DY"/>
      </w:rPr>
    </w:lvl>
    <w:lvl w:ilvl="4">
      <w:start w:val="0"/>
      <w:numFmt w:val="bullet"/>
      <w:lvlText w:val="•"/>
      <w:lvlJc w:val="left"/>
      <w:pPr>
        <w:ind w:left="4148" w:hanging="456"/>
      </w:pPr>
      <w:rPr>
        <w:rFonts w:hint="default"/>
        <w:lang w:val="da-DY" w:eastAsia="da-DY" w:bidi="da-DY"/>
      </w:rPr>
    </w:lvl>
    <w:lvl w:ilvl="5">
      <w:start w:val="0"/>
      <w:numFmt w:val="bullet"/>
      <w:lvlText w:val="•"/>
      <w:lvlJc w:val="left"/>
      <w:pPr>
        <w:ind w:left="5085" w:hanging="456"/>
      </w:pPr>
      <w:rPr>
        <w:rFonts w:hint="default"/>
        <w:lang w:val="da-DY" w:eastAsia="da-DY" w:bidi="da-DY"/>
      </w:rPr>
    </w:lvl>
    <w:lvl w:ilvl="6">
      <w:start w:val="0"/>
      <w:numFmt w:val="bullet"/>
      <w:lvlText w:val="•"/>
      <w:lvlJc w:val="left"/>
      <w:pPr>
        <w:ind w:left="6021" w:hanging="456"/>
      </w:pPr>
      <w:rPr>
        <w:rFonts w:hint="default"/>
        <w:lang w:val="da-DY" w:eastAsia="da-DY" w:bidi="da-DY"/>
      </w:rPr>
    </w:lvl>
    <w:lvl w:ilvl="7">
      <w:start w:val="0"/>
      <w:numFmt w:val="bullet"/>
      <w:lvlText w:val="•"/>
      <w:lvlJc w:val="left"/>
      <w:pPr>
        <w:ind w:left="6957" w:hanging="456"/>
      </w:pPr>
      <w:rPr>
        <w:rFonts w:hint="default"/>
        <w:lang w:val="da-DY" w:eastAsia="da-DY" w:bidi="da-DY"/>
      </w:rPr>
    </w:lvl>
    <w:lvl w:ilvl="8">
      <w:start w:val="0"/>
      <w:numFmt w:val="bullet"/>
      <w:lvlText w:val="•"/>
      <w:lvlJc w:val="left"/>
      <w:pPr>
        <w:ind w:left="7893" w:hanging="456"/>
      </w:pPr>
      <w:rPr>
        <w:rFonts w:hint="default"/>
        <w:lang w:val="da-DY" w:eastAsia="da-DY" w:bidi="da-DY"/>
      </w:rPr>
    </w:lvl>
  </w:abstractNum>
  <w:abstractNum w:abstractNumId="5">
    <w:multiLevelType w:val="hybridMultilevel"/>
    <w:lvl w:ilvl="0">
      <w:start w:val="3"/>
      <w:numFmt w:val="decimal"/>
      <w:lvlText w:val="%1"/>
      <w:lvlJc w:val="left"/>
      <w:pPr>
        <w:ind w:left="1142" w:hanging="617"/>
        <w:jc w:val="left"/>
      </w:pPr>
      <w:rPr>
        <w:rFonts w:hint="default"/>
        <w:lang w:val="da-DY" w:eastAsia="da-DY" w:bidi="da-DY"/>
      </w:rPr>
    </w:lvl>
    <w:lvl w:ilvl="1">
      <w:start w:val="1"/>
      <w:numFmt w:val="decimal"/>
      <w:lvlText w:val="%1.%2"/>
      <w:lvlJc w:val="left"/>
      <w:pPr>
        <w:ind w:left="1142" w:hanging="617"/>
        <w:jc w:val="left"/>
      </w:pPr>
      <w:rPr>
        <w:rFonts w:hint="default" w:ascii="Arial" w:hAnsi="Arial" w:eastAsia="Arial" w:cs="Arial"/>
        <w:b/>
        <w:bCs/>
        <w:w w:val="100"/>
        <w:sz w:val="28"/>
        <w:szCs w:val="28"/>
        <w:lang w:val="da-DY" w:eastAsia="da-DY" w:bidi="da-DY"/>
      </w:rPr>
    </w:lvl>
    <w:lvl w:ilvl="2">
      <w:start w:val="0"/>
      <w:numFmt w:val="bullet"/>
      <w:lvlText w:val="•"/>
      <w:lvlJc w:val="left"/>
      <w:pPr>
        <w:ind w:left="1245" w:hanging="360"/>
      </w:pPr>
      <w:rPr>
        <w:rFonts w:hint="default"/>
        <w:w w:val="100"/>
        <w:lang w:val="da-DY" w:eastAsia="da-DY" w:bidi="da-DY"/>
      </w:rPr>
    </w:lvl>
    <w:lvl w:ilvl="3">
      <w:start w:val="0"/>
      <w:numFmt w:val="bullet"/>
      <w:lvlText w:val="•"/>
      <w:lvlJc w:val="left"/>
      <w:pPr>
        <w:ind w:left="2393" w:hanging="360"/>
      </w:pPr>
      <w:rPr>
        <w:rFonts w:hint="default"/>
        <w:lang w:val="da-DY" w:eastAsia="da-DY" w:bidi="da-DY"/>
      </w:rPr>
    </w:lvl>
    <w:lvl w:ilvl="4">
      <w:start w:val="0"/>
      <w:numFmt w:val="bullet"/>
      <w:lvlText w:val="•"/>
      <w:lvlJc w:val="left"/>
      <w:pPr>
        <w:ind w:left="3446" w:hanging="360"/>
      </w:pPr>
      <w:rPr>
        <w:rFonts w:hint="default"/>
        <w:lang w:val="da-DY" w:eastAsia="da-DY" w:bidi="da-DY"/>
      </w:rPr>
    </w:lvl>
    <w:lvl w:ilvl="5">
      <w:start w:val="0"/>
      <w:numFmt w:val="bullet"/>
      <w:lvlText w:val="•"/>
      <w:lvlJc w:val="left"/>
      <w:pPr>
        <w:ind w:left="4499" w:hanging="360"/>
      </w:pPr>
      <w:rPr>
        <w:rFonts w:hint="default"/>
        <w:lang w:val="da-DY" w:eastAsia="da-DY" w:bidi="da-DY"/>
      </w:rPr>
    </w:lvl>
    <w:lvl w:ilvl="6">
      <w:start w:val="0"/>
      <w:numFmt w:val="bullet"/>
      <w:lvlText w:val="•"/>
      <w:lvlJc w:val="left"/>
      <w:pPr>
        <w:ind w:left="5553" w:hanging="360"/>
      </w:pPr>
      <w:rPr>
        <w:rFonts w:hint="default"/>
        <w:lang w:val="da-DY" w:eastAsia="da-DY" w:bidi="da-DY"/>
      </w:rPr>
    </w:lvl>
    <w:lvl w:ilvl="7">
      <w:start w:val="0"/>
      <w:numFmt w:val="bullet"/>
      <w:lvlText w:val="•"/>
      <w:lvlJc w:val="left"/>
      <w:pPr>
        <w:ind w:left="6606" w:hanging="360"/>
      </w:pPr>
      <w:rPr>
        <w:rFonts w:hint="default"/>
        <w:lang w:val="da-DY" w:eastAsia="da-DY" w:bidi="da-DY"/>
      </w:rPr>
    </w:lvl>
    <w:lvl w:ilvl="8">
      <w:start w:val="0"/>
      <w:numFmt w:val="bullet"/>
      <w:lvlText w:val="•"/>
      <w:lvlJc w:val="left"/>
      <w:pPr>
        <w:ind w:left="7659" w:hanging="360"/>
      </w:pPr>
      <w:rPr>
        <w:rFonts w:hint="default"/>
        <w:lang w:val="da-DY" w:eastAsia="da-DY" w:bidi="da-DY"/>
      </w:rPr>
    </w:lvl>
  </w:abstractNum>
  <w:abstractNum w:abstractNumId="4">
    <w:multiLevelType w:val="hybridMultilevel"/>
    <w:lvl w:ilvl="0">
      <w:start w:val="0"/>
      <w:numFmt w:val="bullet"/>
      <w:lvlText w:val=""/>
      <w:lvlJc w:val="left"/>
      <w:pPr>
        <w:ind w:left="885" w:hanging="360"/>
      </w:pPr>
      <w:rPr>
        <w:rFonts w:hint="default" w:ascii="Symbol" w:hAnsi="Symbol" w:eastAsia="Symbol" w:cs="Symbol"/>
        <w:w w:val="100"/>
        <w:sz w:val="21"/>
        <w:szCs w:val="21"/>
        <w:lang w:val="da-DY" w:eastAsia="da-DY" w:bidi="da-DY"/>
      </w:rPr>
    </w:lvl>
    <w:lvl w:ilvl="1">
      <w:start w:val="0"/>
      <w:numFmt w:val="bullet"/>
      <w:lvlText w:val="•"/>
      <w:lvlJc w:val="left"/>
      <w:pPr>
        <w:ind w:left="1768" w:hanging="360"/>
      </w:pPr>
      <w:rPr>
        <w:rFonts w:hint="default"/>
        <w:lang w:val="da-DY" w:eastAsia="da-DY" w:bidi="da-DY"/>
      </w:rPr>
    </w:lvl>
    <w:lvl w:ilvl="2">
      <w:start w:val="0"/>
      <w:numFmt w:val="bullet"/>
      <w:lvlText w:val="•"/>
      <w:lvlJc w:val="left"/>
      <w:pPr>
        <w:ind w:left="2657" w:hanging="360"/>
      </w:pPr>
      <w:rPr>
        <w:rFonts w:hint="default"/>
        <w:lang w:val="da-DY" w:eastAsia="da-DY" w:bidi="da-DY"/>
      </w:rPr>
    </w:lvl>
    <w:lvl w:ilvl="3">
      <w:start w:val="0"/>
      <w:numFmt w:val="bullet"/>
      <w:lvlText w:val="•"/>
      <w:lvlJc w:val="left"/>
      <w:pPr>
        <w:ind w:left="3545" w:hanging="360"/>
      </w:pPr>
      <w:rPr>
        <w:rFonts w:hint="default"/>
        <w:lang w:val="da-DY" w:eastAsia="da-DY" w:bidi="da-DY"/>
      </w:rPr>
    </w:lvl>
    <w:lvl w:ilvl="4">
      <w:start w:val="0"/>
      <w:numFmt w:val="bullet"/>
      <w:lvlText w:val="•"/>
      <w:lvlJc w:val="left"/>
      <w:pPr>
        <w:ind w:left="4434" w:hanging="360"/>
      </w:pPr>
      <w:rPr>
        <w:rFonts w:hint="default"/>
        <w:lang w:val="da-DY" w:eastAsia="da-DY" w:bidi="da-DY"/>
      </w:rPr>
    </w:lvl>
    <w:lvl w:ilvl="5">
      <w:start w:val="0"/>
      <w:numFmt w:val="bullet"/>
      <w:lvlText w:val="•"/>
      <w:lvlJc w:val="left"/>
      <w:pPr>
        <w:ind w:left="5323" w:hanging="360"/>
      </w:pPr>
      <w:rPr>
        <w:rFonts w:hint="default"/>
        <w:lang w:val="da-DY" w:eastAsia="da-DY" w:bidi="da-DY"/>
      </w:rPr>
    </w:lvl>
    <w:lvl w:ilvl="6">
      <w:start w:val="0"/>
      <w:numFmt w:val="bullet"/>
      <w:lvlText w:val="•"/>
      <w:lvlJc w:val="left"/>
      <w:pPr>
        <w:ind w:left="6211" w:hanging="360"/>
      </w:pPr>
      <w:rPr>
        <w:rFonts w:hint="default"/>
        <w:lang w:val="da-DY" w:eastAsia="da-DY" w:bidi="da-DY"/>
      </w:rPr>
    </w:lvl>
    <w:lvl w:ilvl="7">
      <w:start w:val="0"/>
      <w:numFmt w:val="bullet"/>
      <w:lvlText w:val="•"/>
      <w:lvlJc w:val="left"/>
      <w:pPr>
        <w:ind w:left="7100" w:hanging="360"/>
      </w:pPr>
      <w:rPr>
        <w:rFonts w:hint="default"/>
        <w:lang w:val="da-DY" w:eastAsia="da-DY" w:bidi="da-DY"/>
      </w:rPr>
    </w:lvl>
    <w:lvl w:ilvl="8">
      <w:start w:val="0"/>
      <w:numFmt w:val="bullet"/>
      <w:lvlText w:val="•"/>
      <w:lvlJc w:val="left"/>
      <w:pPr>
        <w:ind w:left="7989" w:hanging="360"/>
      </w:pPr>
      <w:rPr>
        <w:rFonts w:hint="default"/>
        <w:lang w:val="da-DY" w:eastAsia="da-DY" w:bidi="da-DY"/>
      </w:rPr>
    </w:lvl>
  </w:abstractNum>
  <w:abstractNum w:abstractNumId="3">
    <w:multiLevelType w:val="hybridMultilevel"/>
    <w:lvl w:ilvl="0">
      <w:start w:val="2"/>
      <w:numFmt w:val="decimal"/>
      <w:lvlText w:val="%1"/>
      <w:lvlJc w:val="left"/>
      <w:pPr>
        <w:ind w:left="1142" w:hanging="617"/>
        <w:jc w:val="left"/>
      </w:pPr>
      <w:rPr>
        <w:rFonts w:hint="default"/>
        <w:lang w:val="da-DY" w:eastAsia="da-DY" w:bidi="da-DY"/>
      </w:rPr>
    </w:lvl>
    <w:lvl w:ilvl="1">
      <w:start w:val="1"/>
      <w:numFmt w:val="decimal"/>
      <w:lvlText w:val="%1.%2"/>
      <w:lvlJc w:val="left"/>
      <w:pPr>
        <w:ind w:left="1142" w:hanging="617"/>
        <w:jc w:val="left"/>
      </w:pPr>
      <w:rPr>
        <w:rFonts w:hint="default" w:ascii="Arial" w:hAnsi="Arial" w:eastAsia="Arial" w:cs="Arial"/>
        <w:b/>
        <w:bCs/>
        <w:w w:val="100"/>
        <w:sz w:val="28"/>
        <w:szCs w:val="28"/>
        <w:lang w:val="da-DY" w:eastAsia="da-DY" w:bidi="da-DY"/>
      </w:rPr>
    </w:lvl>
    <w:lvl w:ilvl="2">
      <w:start w:val="0"/>
      <w:numFmt w:val="bullet"/>
      <w:lvlText w:val=""/>
      <w:lvlJc w:val="left"/>
      <w:pPr>
        <w:ind w:left="1245" w:hanging="360"/>
      </w:pPr>
      <w:rPr>
        <w:rFonts w:hint="default" w:ascii="Symbol" w:hAnsi="Symbol" w:eastAsia="Symbol" w:cs="Symbol"/>
        <w:w w:val="99"/>
        <w:sz w:val="20"/>
        <w:szCs w:val="20"/>
        <w:lang w:val="da-DY" w:eastAsia="da-DY" w:bidi="da-DY"/>
      </w:rPr>
    </w:lvl>
    <w:lvl w:ilvl="3">
      <w:start w:val="0"/>
      <w:numFmt w:val="bullet"/>
      <w:lvlText w:val="•"/>
      <w:lvlJc w:val="left"/>
      <w:pPr>
        <w:ind w:left="3134" w:hanging="360"/>
      </w:pPr>
      <w:rPr>
        <w:rFonts w:hint="default"/>
        <w:lang w:val="da-DY" w:eastAsia="da-DY" w:bidi="da-DY"/>
      </w:rPr>
    </w:lvl>
    <w:lvl w:ilvl="4">
      <w:start w:val="0"/>
      <w:numFmt w:val="bullet"/>
      <w:lvlText w:val="•"/>
      <w:lvlJc w:val="left"/>
      <w:pPr>
        <w:ind w:left="4082" w:hanging="360"/>
      </w:pPr>
      <w:rPr>
        <w:rFonts w:hint="default"/>
        <w:lang w:val="da-DY" w:eastAsia="da-DY" w:bidi="da-DY"/>
      </w:rPr>
    </w:lvl>
    <w:lvl w:ilvl="5">
      <w:start w:val="0"/>
      <w:numFmt w:val="bullet"/>
      <w:lvlText w:val="•"/>
      <w:lvlJc w:val="left"/>
      <w:pPr>
        <w:ind w:left="5029" w:hanging="360"/>
      </w:pPr>
      <w:rPr>
        <w:rFonts w:hint="default"/>
        <w:lang w:val="da-DY" w:eastAsia="da-DY" w:bidi="da-DY"/>
      </w:rPr>
    </w:lvl>
    <w:lvl w:ilvl="6">
      <w:start w:val="0"/>
      <w:numFmt w:val="bullet"/>
      <w:lvlText w:val="•"/>
      <w:lvlJc w:val="left"/>
      <w:pPr>
        <w:ind w:left="5976" w:hanging="360"/>
      </w:pPr>
      <w:rPr>
        <w:rFonts w:hint="default"/>
        <w:lang w:val="da-DY" w:eastAsia="da-DY" w:bidi="da-DY"/>
      </w:rPr>
    </w:lvl>
    <w:lvl w:ilvl="7">
      <w:start w:val="0"/>
      <w:numFmt w:val="bullet"/>
      <w:lvlText w:val="•"/>
      <w:lvlJc w:val="left"/>
      <w:pPr>
        <w:ind w:left="6924" w:hanging="360"/>
      </w:pPr>
      <w:rPr>
        <w:rFonts w:hint="default"/>
        <w:lang w:val="da-DY" w:eastAsia="da-DY" w:bidi="da-DY"/>
      </w:rPr>
    </w:lvl>
    <w:lvl w:ilvl="8">
      <w:start w:val="0"/>
      <w:numFmt w:val="bullet"/>
      <w:lvlText w:val="•"/>
      <w:lvlJc w:val="left"/>
      <w:pPr>
        <w:ind w:left="7871" w:hanging="360"/>
      </w:pPr>
      <w:rPr>
        <w:rFonts w:hint="default"/>
        <w:lang w:val="da-DY" w:eastAsia="da-DY" w:bidi="da-DY"/>
      </w:rPr>
    </w:lvl>
  </w:abstractNum>
  <w:abstractNum w:abstractNumId="2">
    <w:multiLevelType w:val="hybridMultilevel"/>
    <w:lvl w:ilvl="0">
      <w:start w:val="1"/>
      <w:numFmt w:val="decimal"/>
      <w:lvlText w:val="%1)"/>
      <w:lvlJc w:val="left"/>
      <w:pPr>
        <w:ind w:left="1245" w:hanging="360"/>
        <w:jc w:val="left"/>
      </w:pPr>
      <w:rPr>
        <w:rFonts w:hint="default" w:ascii="Arial" w:hAnsi="Arial" w:eastAsia="Arial" w:cs="Arial"/>
        <w:spacing w:val="-1"/>
        <w:w w:val="99"/>
        <w:sz w:val="20"/>
        <w:szCs w:val="20"/>
        <w:lang w:val="da-DY" w:eastAsia="da-DY" w:bidi="da-DY"/>
      </w:rPr>
    </w:lvl>
    <w:lvl w:ilvl="1">
      <w:start w:val="0"/>
      <w:numFmt w:val="bullet"/>
      <w:lvlText w:val="•"/>
      <w:lvlJc w:val="left"/>
      <w:pPr>
        <w:ind w:left="2092" w:hanging="360"/>
      </w:pPr>
      <w:rPr>
        <w:rFonts w:hint="default"/>
        <w:lang w:val="da-DY" w:eastAsia="da-DY" w:bidi="da-DY"/>
      </w:rPr>
    </w:lvl>
    <w:lvl w:ilvl="2">
      <w:start w:val="0"/>
      <w:numFmt w:val="bullet"/>
      <w:lvlText w:val="•"/>
      <w:lvlJc w:val="left"/>
      <w:pPr>
        <w:ind w:left="2945" w:hanging="360"/>
      </w:pPr>
      <w:rPr>
        <w:rFonts w:hint="default"/>
        <w:lang w:val="da-DY" w:eastAsia="da-DY" w:bidi="da-DY"/>
      </w:rPr>
    </w:lvl>
    <w:lvl w:ilvl="3">
      <w:start w:val="0"/>
      <w:numFmt w:val="bullet"/>
      <w:lvlText w:val="•"/>
      <w:lvlJc w:val="left"/>
      <w:pPr>
        <w:ind w:left="3797" w:hanging="360"/>
      </w:pPr>
      <w:rPr>
        <w:rFonts w:hint="default"/>
        <w:lang w:val="da-DY" w:eastAsia="da-DY" w:bidi="da-DY"/>
      </w:rPr>
    </w:lvl>
    <w:lvl w:ilvl="4">
      <w:start w:val="0"/>
      <w:numFmt w:val="bullet"/>
      <w:lvlText w:val="•"/>
      <w:lvlJc w:val="left"/>
      <w:pPr>
        <w:ind w:left="4650" w:hanging="360"/>
      </w:pPr>
      <w:rPr>
        <w:rFonts w:hint="default"/>
        <w:lang w:val="da-DY" w:eastAsia="da-DY" w:bidi="da-DY"/>
      </w:rPr>
    </w:lvl>
    <w:lvl w:ilvl="5">
      <w:start w:val="0"/>
      <w:numFmt w:val="bullet"/>
      <w:lvlText w:val="•"/>
      <w:lvlJc w:val="left"/>
      <w:pPr>
        <w:ind w:left="5503" w:hanging="360"/>
      </w:pPr>
      <w:rPr>
        <w:rFonts w:hint="default"/>
        <w:lang w:val="da-DY" w:eastAsia="da-DY" w:bidi="da-DY"/>
      </w:rPr>
    </w:lvl>
    <w:lvl w:ilvl="6">
      <w:start w:val="0"/>
      <w:numFmt w:val="bullet"/>
      <w:lvlText w:val="•"/>
      <w:lvlJc w:val="left"/>
      <w:pPr>
        <w:ind w:left="6355" w:hanging="360"/>
      </w:pPr>
      <w:rPr>
        <w:rFonts w:hint="default"/>
        <w:lang w:val="da-DY" w:eastAsia="da-DY" w:bidi="da-DY"/>
      </w:rPr>
    </w:lvl>
    <w:lvl w:ilvl="7">
      <w:start w:val="0"/>
      <w:numFmt w:val="bullet"/>
      <w:lvlText w:val="•"/>
      <w:lvlJc w:val="left"/>
      <w:pPr>
        <w:ind w:left="7208" w:hanging="360"/>
      </w:pPr>
      <w:rPr>
        <w:rFonts w:hint="default"/>
        <w:lang w:val="da-DY" w:eastAsia="da-DY" w:bidi="da-DY"/>
      </w:rPr>
    </w:lvl>
    <w:lvl w:ilvl="8">
      <w:start w:val="0"/>
      <w:numFmt w:val="bullet"/>
      <w:lvlText w:val="•"/>
      <w:lvlJc w:val="left"/>
      <w:pPr>
        <w:ind w:left="8061" w:hanging="360"/>
      </w:pPr>
      <w:rPr>
        <w:rFonts w:hint="default"/>
        <w:lang w:val="da-DY" w:eastAsia="da-DY" w:bidi="da-DY"/>
      </w:rPr>
    </w:lvl>
  </w:abstractNum>
  <w:abstractNum w:abstractNumId="1">
    <w:multiLevelType w:val="hybridMultilevel"/>
    <w:lvl w:ilvl="0">
      <w:start w:val="1"/>
      <w:numFmt w:val="decimal"/>
      <w:lvlText w:val="%1."/>
      <w:lvlJc w:val="left"/>
      <w:pPr>
        <w:ind w:left="1091" w:hanging="567"/>
        <w:jc w:val="left"/>
      </w:pPr>
      <w:rPr>
        <w:rFonts w:hint="default" w:ascii="Arial" w:hAnsi="Arial" w:eastAsia="Arial" w:cs="Arial"/>
        <w:b/>
        <w:bCs/>
        <w:w w:val="100"/>
        <w:sz w:val="34"/>
        <w:szCs w:val="34"/>
        <w:lang w:val="da-DY" w:eastAsia="da-DY" w:bidi="da-DY"/>
      </w:rPr>
    </w:lvl>
    <w:lvl w:ilvl="1">
      <w:start w:val="0"/>
      <w:numFmt w:val="bullet"/>
      <w:lvlText w:val=""/>
      <w:lvlJc w:val="left"/>
      <w:pPr>
        <w:ind w:left="1245" w:hanging="360"/>
      </w:pPr>
      <w:rPr>
        <w:rFonts w:hint="default" w:ascii="Symbol" w:hAnsi="Symbol" w:eastAsia="Symbol" w:cs="Symbol"/>
        <w:w w:val="99"/>
        <w:sz w:val="20"/>
        <w:szCs w:val="20"/>
        <w:lang w:val="da-DY" w:eastAsia="da-DY" w:bidi="da-DY"/>
      </w:rPr>
    </w:lvl>
    <w:lvl w:ilvl="2">
      <w:start w:val="0"/>
      <w:numFmt w:val="bullet"/>
      <w:lvlText w:val="•"/>
      <w:lvlJc w:val="left"/>
      <w:pPr>
        <w:ind w:left="2187" w:hanging="360"/>
      </w:pPr>
      <w:rPr>
        <w:rFonts w:hint="default"/>
        <w:lang w:val="da-DY" w:eastAsia="da-DY" w:bidi="da-DY"/>
      </w:rPr>
    </w:lvl>
    <w:lvl w:ilvl="3">
      <w:start w:val="0"/>
      <w:numFmt w:val="bullet"/>
      <w:lvlText w:val="•"/>
      <w:lvlJc w:val="left"/>
      <w:pPr>
        <w:ind w:left="3134" w:hanging="360"/>
      </w:pPr>
      <w:rPr>
        <w:rFonts w:hint="default"/>
        <w:lang w:val="da-DY" w:eastAsia="da-DY" w:bidi="da-DY"/>
      </w:rPr>
    </w:lvl>
    <w:lvl w:ilvl="4">
      <w:start w:val="0"/>
      <w:numFmt w:val="bullet"/>
      <w:lvlText w:val="•"/>
      <w:lvlJc w:val="left"/>
      <w:pPr>
        <w:ind w:left="4082" w:hanging="360"/>
      </w:pPr>
      <w:rPr>
        <w:rFonts w:hint="default"/>
        <w:lang w:val="da-DY" w:eastAsia="da-DY" w:bidi="da-DY"/>
      </w:rPr>
    </w:lvl>
    <w:lvl w:ilvl="5">
      <w:start w:val="0"/>
      <w:numFmt w:val="bullet"/>
      <w:lvlText w:val="•"/>
      <w:lvlJc w:val="left"/>
      <w:pPr>
        <w:ind w:left="5029" w:hanging="360"/>
      </w:pPr>
      <w:rPr>
        <w:rFonts w:hint="default"/>
        <w:lang w:val="da-DY" w:eastAsia="da-DY" w:bidi="da-DY"/>
      </w:rPr>
    </w:lvl>
    <w:lvl w:ilvl="6">
      <w:start w:val="0"/>
      <w:numFmt w:val="bullet"/>
      <w:lvlText w:val="•"/>
      <w:lvlJc w:val="left"/>
      <w:pPr>
        <w:ind w:left="5976" w:hanging="360"/>
      </w:pPr>
      <w:rPr>
        <w:rFonts w:hint="default"/>
        <w:lang w:val="da-DY" w:eastAsia="da-DY" w:bidi="da-DY"/>
      </w:rPr>
    </w:lvl>
    <w:lvl w:ilvl="7">
      <w:start w:val="0"/>
      <w:numFmt w:val="bullet"/>
      <w:lvlText w:val="•"/>
      <w:lvlJc w:val="left"/>
      <w:pPr>
        <w:ind w:left="6924" w:hanging="360"/>
      </w:pPr>
      <w:rPr>
        <w:rFonts w:hint="default"/>
        <w:lang w:val="da-DY" w:eastAsia="da-DY" w:bidi="da-DY"/>
      </w:rPr>
    </w:lvl>
    <w:lvl w:ilvl="8">
      <w:start w:val="0"/>
      <w:numFmt w:val="bullet"/>
      <w:lvlText w:val="•"/>
      <w:lvlJc w:val="left"/>
      <w:pPr>
        <w:ind w:left="7871" w:hanging="360"/>
      </w:pPr>
      <w:rPr>
        <w:rFonts w:hint="default"/>
        <w:lang w:val="da-DY" w:eastAsia="da-DY" w:bidi="da-DY"/>
      </w:rPr>
    </w:lvl>
  </w:abstractNum>
  <w:abstractNum w:abstractNumId="0">
    <w:multiLevelType w:val="hybridMultilevel"/>
    <w:lvl w:ilvl="0">
      <w:start w:val="1"/>
      <w:numFmt w:val="decimal"/>
      <w:lvlText w:val="%1."/>
      <w:lvlJc w:val="left"/>
      <w:pPr>
        <w:ind w:left="1406" w:hanging="881"/>
        <w:jc w:val="left"/>
      </w:pPr>
      <w:rPr>
        <w:rFonts w:hint="default" w:ascii="Arial" w:hAnsi="Arial" w:eastAsia="Arial" w:cs="Arial"/>
        <w:b/>
        <w:bCs/>
        <w:w w:val="100"/>
        <w:sz w:val="21"/>
        <w:szCs w:val="21"/>
        <w:lang w:val="da-DY" w:eastAsia="da-DY" w:bidi="da-DY"/>
      </w:rPr>
    </w:lvl>
    <w:lvl w:ilvl="1">
      <w:start w:val="1"/>
      <w:numFmt w:val="decimal"/>
      <w:lvlText w:val="%1.%2"/>
      <w:lvlJc w:val="left"/>
      <w:pPr>
        <w:ind w:left="1406" w:hanging="598"/>
        <w:jc w:val="left"/>
      </w:pPr>
      <w:rPr>
        <w:rFonts w:hint="default"/>
        <w:spacing w:val="-1"/>
        <w:w w:val="100"/>
        <w:lang w:val="da-DY" w:eastAsia="da-DY" w:bidi="da-DY"/>
      </w:rPr>
    </w:lvl>
    <w:lvl w:ilvl="2">
      <w:start w:val="0"/>
      <w:numFmt w:val="bullet"/>
      <w:lvlText w:val="•"/>
      <w:lvlJc w:val="left"/>
      <w:pPr>
        <w:ind w:left="3073" w:hanging="598"/>
      </w:pPr>
      <w:rPr>
        <w:rFonts w:hint="default"/>
        <w:lang w:val="da-DY" w:eastAsia="da-DY" w:bidi="da-DY"/>
      </w:rPr>
    </w:lvl>
    <w:lvl w:ilvl="3">
      <w:start w:val="0"/>
      <w:numFmt w:val="bullet"/>
      <w:lvlText w:val="•"/>
      <w:lvlJc w:val="left"/>
      <w:pPr>
        <w:ind w:left="3909" w:hanging="598"/>
      </w:pPr>
      <w:rPr>
        <w:rFonts w:hint="default"/>
        <w:lang w:val="da-DY" w:eastAsia="da-DY" w:bidi="da-DY"/>
      </w:rPr>
    </w:lvl>
    <w:lvl w:ilvl="4">
      <w:start w:val="0"/>
      <w:numFmt w:val="bullet"/>
      <w:lvlText w:val="•"/>
      <w:lvlJc w:val="left"/>
      <w:pPr>
        <w:ind w:left="4746" w:hanging="598"/>
      </w:pPr>
      <w:rPr>
        <w:rFonts w:hint="default"/>
        <w:lang w:val="da-DY" w:eastAsia="da-DY" w:bidi="da-DY"/>
      </w:rPr>
    </w:lvl>
    <w:lvl w:ilvl="5">
      <w:start w:val="0"/>
      <w:numFmt w:val="bullet"/>
      <w:lvlText w:val="•"/>
      <w:lvlJc w:val="left"/>
      <w:pPr>
        <w:ind w:left="5583" w:hanging="598"/>
      </w:pPr>
      <w:rPr>
        <w:rFonts w:hint="default"/>
        <w:lang w:val="da-DY" w:eastAsia="da-DY" w:bidi="da-DY"/>
      </w:rPr>
    </w:lvl>
    <w:lvl w:ilvl="6">
      <w:start w:val="0"/>
      <w:numFmt w:val="bullet"/>
      <w:lvlText w:val="•"/>
      <w:lvlJc w:val="left"/>
      <w:pPr>
        <w:ind w:left="6419" w:hanging="598"/>
      </w:pPr>
      <w:rPr>
        <w:rFonts w:hint="default"/>
        <w:lang w:val="da-DY" w:eastAsia="da-DY" w:bidi="da-DY"/>
      </w:rPr>
    </w:lvl>
    <w:lvl w:ilvl="7">
      <w:start w:val="0"/>
      <w:numFmt w:val="bullet"/>
      <w:lvlText w:val="•"/>
      <w:lvlJc w:val="left"/>
      <w:pPr>
        <w:ind w:left="7256" w:hanging="598"/>
      </w:pPr>
      <w:rPr>
        <w:rFonts w:hint="default"/>
        <w:lang w:val="da-DY" w:eastAsia="da-DY" w:bidi="da-DY"/>
      </w:rPr>
    </w:lvl>
    <w:lvl w:ilvl="8">
      <w:start w:val="0"/>
      <w:numFmt w:val="bullet"/>
      <w:lvlText w:val="•"/>
      <w:lvlJc w:val="left"/>
      <w:pPr>
        <w:ind w:left="8093" w:hanging="598"/>
      </w:pPr>
      <w:rPr>
        <w:rFonts w:hint="default"/>
        <w:lang w:val="da-DY" w:eastAsia="da-DY" w:bidi="da-DY"/>
      </w:rPr>
    </w:lvl>
  </w:abstractNum>
  <w:num w:numId="10">
    <w:abstractNumId w:val="9"/>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da-DY" w:eastAsia="da-DY" w:bidi="da-DY"/>
    </w:rPr>
  </w:style>
  <w:style w:styleId="TOC1" w:type="paragraph">
    <w:name w:val="TOC 1"/>
    <w:basedOn w:val="Normal"/>
    <w:uiPriority w:val="1"/>
    <w:qFormat/>
    <w:pPr>
      <w:spacing w:before="289"/>
      <w:ind w:left="1406" w:hanging="881"/>
    </w:pPr>
    <w:rPr>
      <w:rFonts w:ascii="Arial" w:hAnsi="Arial" w:eastAsia="Arial" w:cs="Arial"/>
      <w:b/>
      <w:bCs/>
      <w:sz w:val="21"/>
      <w:szCs w:val="21"/>
      <w:lang w:val="da-DY" w:eastAsia="da-DY" w:bidi="da-DY"/>
    </w:rPr>
  </w:style>
  <w:style w:styleId="TOC2" w:type="paragraph">
    <w:name w:val="TOC 2"/>
    <w:basedOn w:val="Normal"/>
    <w:uiPriority w:val="1"/>
    <w:qFormat/>
    <w:pPr>
      <w:spacing w:before="49"/>
      <w:ind w:left="1406" w:hanging="598"/>
    </w:pPr>
    <w:rPr>
      <w:rFonts w:ascii="Arial" w:hAnsi="Arial" w:eastAsia="Arial" w:cs="Arial"/>
      <w:sz w:val="21"/>
      <w:szCs w:val="21"/>
      <w:lang w:val="da-DY" w:eastAsia="da-DY" w:bidi="da-DY"/>
    </w:rPr>
  </w:style>
  <w:style w:styleId="BodyText" w:type="paragraph">
    <w:name w:val="Body Text"/>
    <w:basedOn w:val="Normal"/>
    <w:uiPriority w:val="1"/>
    <w:qFormat/>
    <w:pPr/>
    <w:rPr>
      <w:rFonts w:ascii="Arial" w:hAnsi="Arial" w:eastAsia="Arial" w:cs="Arial"/>
      <w:sz w:val="21"/>
      <w:szCs w:val="21"/>
      <w:lang w:val="da-DY" w:eastAsia="da-DY" w:bidi="da-DY"/>
    </w:rPr>
  </w:style>
  <w:style w:styleId="Heading1" w:type="paragraph">
    <w:name w:val="Heading 1"/>
    <w:basedOn w:val="Normal"/>
    <w:uiPriority w:val="1"/>
    <w:qFormat/>
    <w:pPr>
      <w:spacing w:before="73"/>
      <w:ind w:left="1091" w:hanging="566"/>
      <w:outlineLvl w:val="1"/>
    </w:pPr>
    <w:rPr>
      <w:rFonts w:ascii="Arial" w:hAnsi="Arial" w:eastAsia="Arial" w:cs="Arial"/>
      <w:b/>
      <w:bCs/>
      <w:sz w:val="34"/>
      <w:szCs w:val="34"/>
      <w:lang w:val="da-DY" w:eastAsia="da-DY" w:bidi="da-DY"/>
    </w:rPr>
  </w:style>
  <w:style w:styleId="Heading2" w:type="paragraph">
    <w:name w:val="Heading 2"/>
    <w:basedOn w:val="Normal"/>
    <w:uiPriority w:val="1"/>
    <w:qFormat/>
    <w:pPr>
      <w:ind w:left="1142" w:hanging="617"/>
      <w:outlineLvl w:val="2"/>
    </w:pPr>
    <w:rPr>
      <w:rFonts w:ascii="Arial" w:hAnsi="Arial" w:eastAsia="Arial" w:cs="Arial"/>
      <w:b/>
      <w:bCs/>
      <w:sz w:val="28"/>
      <w:szCs w:val="28"/>
      <w:lang w:val="da-DY" w:eastAsia="da-DY" w:bidi="da-DY"/>
    </w:rPr>
  </w:style>
  <w:style w:styleId="Heading3" w:type="paragraph">
    <w:name w:val="Heading 3"/>
    <w:basedOn w:val="Normal"/>
    <w:uiPriority w:val="1"/>
    <w:qFormat/>
    <w:pPr>
      <w:ind w:left="664" w:right="605"/>
      <w:outlineLvl w:val="3"/>
    </w:pPr>
    <w:rPr>
      <w:rFonts w:ascii="Calibri" w:hAnsi="Calibri" w:eastAsia="Calibri" w:cs="Calibri"/>
      <w:sz w:val="22"/>
      <w:szCs w:val="22"/>
      <w:lang w:val="da-DY" w:eastAsia="da-DY" w:bidi="da-DY"/>
    </w:rPr>
  </w:style>
  <w:style w:styleId="Heading4" w:type="paragraph">
    <w:name w:val="Heading 4"/>
    <w:basedOn w:val="Normal"/>
    <w:uiPriority w:val="1"/>
    <w:qFormat/>
    <w:pPr>
      <w:ind w:left="525"/>
      <w:outlineLvl w:val="4"/>
    </w:pPr>
    <w:rPr>
      <w:rFonts w:ascii="Arial" w:hAnsi="Arial" w:eastAsia="Arial" w:cs="Arial"/>
      <w:b/>
      <w:bCs/>
      <w:sz w:val="21"/>
      <w:szCs w:val="21"/>
      <w:lang w:val="da-DY" w:eastAsia="da-DY" w:bidi="da-DY"/>
    </w:rPr>
  </w:style>
  <w:style w:styleId="Heading5" w:type="paragraph">
    <w:name w:val="Heading 5"/>
    <w:basedOn w:val="Normal"/>
    <w:uiPriority w:val="1"/>
    <w:qFormat/>
    <w:pPr>
      <w:ind w:left="525"/>
      <w:outlineLvl w:val="5"/>
    </w:pPr>
    <w:rPr>
      <w:rFonts w:ascii="Arial" w:hAnsi="Arial" w:eastAsia="Arial" w:cs="Arial"/>
      <w:b/>
      <w:bCs/>
      <w:i/>
      <w:sz w:val="21"/>
      <w:szCs w:val="21"/>
      <w:lang w:val="da-DY" w:eastAsia="da-DY" w:bidi="da-DY"/>
    </w:rPr>
  </w:style>
  <w:style w:styleId="ListParagraph" w:type="paragraph">
    <w:name w:val="List Paragraph"/>
    <w:basedOn w:val="Normal"/>
    <w:uiPriority w:val="1"/>
    <w:qFormat/>
    <w:pPr>
      <w:ind w:left="1245" w:hanging="360"/>
    </w:pPr>
    <w:rPr>
      <w:rFonts w:ascii="Arial" w:hAnsi="Arial" w:eastAsia="Arial" w:cs="Arial"/>
      <w:lang w:val="da-DY" w:eastAsia="da-DY" w:bidi="da-DY"/>
    </w:rPr>
  </w:style>
  <w:style w:styleId="TableParagraph" w:type="paragraph">
    <w:name w:val="Table Paragraph"/>
    <w:basedOn w:val="Normal"/>
    <w:uiPriority w:val="1"/>
    <w:qFormat/>
    <w:pPr>
      <w:jc w:val="center"/>
    </w:pPr>
    <w:rPr>
      <w:rFonts w:ascii="Arial" w:hAnsi="Arial" w:eastAsia="Arial" w:cs="Arial"/>
      <w:lang w:val="da-DY" w:eastAsia="da-DY" w:bidi="da-DY"/>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footer" Target="footer1.xml"/><Relationship Id="rId13" Type="http://schemas.openxmlformats.org/officeDocument/2006/relationships/hyperlink" Target="http://www.vandmodel.dk/" TargetMode="External"/><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pn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pn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40" Type="http://schemas.openxmlformats.org/officeDocument/2006/relationships/image" Target="media/image34.png"/><Relationship Id="rId41" Type="http://schemas.openxmlformats.org/officeDocument/2006/relationships/image" Target="media/image35.jpeg"/><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jpeg"/><Relationship Id="rId46" Type="http://schemas.openxmlformats.org/officeDocument/2006/relationships/image" Target="media/image40.jpeg"/><Relationship Id="rId47" Type="http://schemas.openxmlformats.org/officeDocument/2006/relationships/image" Target="media/image41.jpeg"/><Relationship Id="rId48" Type="http://schemas.openxmlformats.org/officeDocument/2006/relationships/image" Target="media/image42.jpeg"/><Relationship Id="rId49" Type="http://schemas.openxmlformats.org/officeDocument/2006/relationships/image" Target="media/image43.jpeg"/><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png"/><Relationship Id="rId53" Type="http://schemas.openxmlformats.org/officeDocument/2006/relationships/image" Target="media/image47.png"/><Relationship Id="rId54" Type="http://schemas.openxmlformats.org/officeDocument/2006/relationships/image" Target="media/image48.png"/><Relationship Id="rId55" Type="http://schemas.openxmlformats.org/officeDocument/2006/relationships/image" Target="media/image49.png"/><Relationship Id="rId56" Type="http://schemas.openxmlformats.org/officeDocument/2006/relationships/image" Target="media/image50.png"/><Relationship Id="rId57" Type="http://schemas.openxmlformats.org/officeDocument/2006/relationships/image" Target="media/image51.png"/><Relationship Id="rId58" Type="http://schemas.openxmlformats.org/officeDocument/2006/relationships/image" Target="media/image52.png"/><Relationship Id="rId59" Type="http://schemas.openxmlformats.org/officeDocument/2006/relationships/image" Target="media/image53.png"/><Relationship Id="rId60" Type="http://schemas.openxmlformats.org/officeDocument/2006/relationships/image" Target="media/image54.png"/><Relationship Id="rId61" Type="http://schemas.openxmlformats.org/officeDocument/2006/relationships/image" Target="media/image55.png"/><Relationship Id="rId62" Type="http://schemas.openxmlformats.org/officeDocument/2006/relationships/image" Target="media/image56.png"/><Relationship Id="rId63" Type="http://schemas.openxmlformats.org/officeDocument/2006/relationships/image" Target="media/image57.jpeg"/><Relationship Id="rId64" Type="http://schemas.openxmlformats.org/officeDocument/2006/relationships/image" Target="media/image58.png"/><Relationship Id="rId65" Type="http://schemas.openxmlformats.org/officeDocument/2006/relationships/image" Target="media/image59.png"/><Relationship Id="rId66" Type="http://schemas.openxmlformats.org/officeDocument/2006/relationships/image" Target="media/image60.jpeg"/><Relationship Id="rId67" Type="http://schemas.openxmlformats.org/officeDocument/2006/relationships/image" Target="media/image61.jpeg"/><Relationship Id="rId68" Type="http://schemas.openxmlformats.org/officeDocument/2006/relationships/image" Target="media/image62.png"/><Relationship Id="rId69" Type="http://schemas.openxmlformats.org/officeDocument/2006/relationships/image" Target="media/image63.png"/><Relationship Id="rId70" Type="http://schemas.openxmlformats.org/officeDocument/2006/relationships/image" Target="media/image64.png"/><Relationship Id="rId71" Type="http://schemas.openxmlformats.org/officeDocument/2006/relationships/image" Target="media/image65.png"/><Relationship Id="rId72" Type="http://schemas.openxmlformats.org/officeDocument/2006/relationships/image" Target="media/image66.jpeg"/><Relationship Id="rId73" Type="http://schemas.openxmlformats.org/officeDocument/2006/relationships/image" Target="media/image67.png"/><Relationship Id="rId74" Type="http://schemas.openxmlformats.org/officeDocument/2006/relationships/image" Target="media/image68.png"/><Relationship Id="rId75" Type="http://schemas.openxmlformats.org/officeDocument/2006/relationships/image" Target="media/image69.png"/><Relationship Id="rId76" Type="http://schemas.openxmlformats.org/officeDocument/2006/relationships/image" Target="media/image70.png"/><Relationship Id="rId77" Type="http://schemas.openxmlformats.org/officeDocument/2006/relationships/image" Target="media/image71.jpeg"/><Relationship Id="rId78" Type="http://schemas.openxmlformats.org/officeDocument/2006/relationships/image" Target="media/image72.jpeg"/><Relationship Id="rId79" Type="http://schemas.openxmlformats.org/officeDocument/2006/relationships/image" Target="media/image73.jpeg"/><Relationship Id="rId80" Type="http://schemas.openxmlformats.org/officeDocument/2006/relationships/image" Target="media/image74.jpeg"/><Relationship Id="rId81" Type="http://schemas.openxmlformats.org/officeDocument/2006/relationships/image" Target="media/image75.jpeg"/><Relationship Id="rId82" Type="http://schemas.openxmlformats.org/officeDocument/2006/relationships/image" Target="media/image76.jpeg"/><Relationship Id="rId83" Type="http://schemas.openxmlformats.org/officeDocument/2006/relationships/image" Target="media/image77.jpeg"/><Relationship Id="rId84" Type="http://schemas.openxmlformats.org/officeDocument/2006/relationships/image" Target="media/image78.jpeg"/><Relationship Id="rId85" Type="http://schemas.openxmlformats.org/officeDocument/2006/relationships/image" Target="media/image79.jpeg"/><Relationship Id="rId86" Type="http://schemas.openxmlformats.org/officeDocument/2006/relationships/image" Target="media/image80.jpeg"/><Relationship Id="rId87" Type="http://schemas.openxmlformats.org/officeDocument/2006/relationships/image" Target="media/image81.jpeg"/><Relationship Id="rId88" Type="http://schemas.openxmlformats.org/officeDocument/2006/relationships/image" Target="media/image82.jpeg"/><Relationship Id="rId89" Type="http://schemas.openxmlformats.org/officeDocument/2006/relationships/image" Target="media/image83.jpeg"/><Relationship Id="rId90" Type="http://schemas.openxmlformats.org/officeDocument/2006/relationships/image" Target="media/image84.jpeg"/><Relationship Id="rId91" Type="http://schemas.openxmlformats.org/officeDocument/2006/relationships/image" Target="media/image85.jpeg"/><Relationship Id="rId92" Type="http://schemas.openxmlformats.org/officeDocument/2006/relationships/image" Target="media/image86.jpeg"/><Relationship Id="rId93" Type="http://schemas.openxmlformats.org/officeDocument/2006/relationships/image" Target="media/image87.jpeg"/><Relationship Id="rId94" Type="http://schemas.openxmlformats.org/officeDocument/2006/relationships/image" Target="media/image88.jpeg"/><Relationship Id="rId95" Type="http://schemas.openxmlformats.org/officeDocument/2006/relationships/image" Target="media/image89.jpeg"/><Relationship Id="rId96" Type="http://schemas.openxmlformats.org/officeDocument/2006/relationships/image" Target="media/image90.jpeg"/><Relationship Id="rId97" Type="http://schemas.openxmlformats.org/officeDocument/2006/relationships/image" Target="media/image91.jpeg"/><Relationship Id="rId98" Type="http://schemas.openxmlformats.org/officeDocument/2006/relationships/image" Target="media/image92.jpeg"/><Relationship Id="rId99" Type="http://schemas.openxmlformats.org/officeDocument/2006/relationships/image" Target="media/image93.jpeg"/><Relationship Id="rId100" Type="http://schemas.openxmlformats.org/officeDocument/2006/relationships/image" Target="media/image94.jpeg"/><Relationship Id="rId101" Type="http://schemas.openxmlformats.org/officeDocument/2006/relationships/image" Target="media/image95.jpeg"/><Relationship Id="rId102" Type="http://schemas.openxmlformats.org/officeDocument/2006/relationships/image" Target="media/image96.jpeg"/><Relationship Id="rId103" Type="http://schemas.openxmlformats.org/officeDocument/2006/relationships/footer" Target="footer2.xml"/><Relationship Id="rId104" Type="http://schemas.openxmlformats.org/officeDocument/2006/relationships/image" Target="media/image97.jpeg"/><Relationship Id="rId105" Type="http://schemas.openxmlformats.org/officeDocument/2006/relationships/image" Target="media/image98.jpeg"/><Relationship Id="rId106" Type="http://schemas.openxmlformats.org/officeDocument/2006/relationships/footer" Target="footer3.xml"/><Relationship Id="rId107" Type="http://schemas.openxmlformats.org/officeDocument/2006/relationships/image" Target="media/image99.jpeg"/><Relationship Id="rId108" Type="http://schemas.openxmlformats.org/officeDocument/2006/relationships/image" Target="media/image100.jpeg"/><Relationship Id="rId109" Type="http://schemas.openxmlformats.org/officeDocument/2006/relationships/image" Target="media/image101.jpeg"/><Relationship Id="rId110" Type="http://schemas.openxmlformats.org/officeDocument/2006/relationships/image" Target="media/image102.jpeg"/><Relationship Id="rId111" Type="http://schemas.openxmlformats.org/officeDocument/2006/relationships/image" Target="media/image103.jpeg"/><Relationship Id="rId112" Type="http://schemas.openxmlformats.org/officeDocument/2006/relationships/image" Target="media/image104.jpeg"/><Relationship Id="rId113" Type="http://schemas.openxmlformats.org/officeDocument/2006/relationships/image" Target="media/image105.jpeg"/><Relationship Id="rId114" Type="http://schemas.openxmlformats.org/officeDocument/2006/relationships/image" Target="media/image106.jpeg"/><Relationship Id="rId115" Type="http://schemas.openxmlformats.org/officeDocument/2006/relationships/image" Target="media/image107.jpeg"/><Relationship Id="rId116" Type="http://schemas.openxmlformats.org/officeDocument/2006/relationships/image" Target="media/image108.jpeg"/><Relationship Id="rId117" Type="http://schemas.openxmlformats.org/officeDocument/2006/relationships/image" Target="media/image109.jpeg"/><Relationship Id="rId118" Type="http://schemas.openxmlformats.org/officeDocument/2006/relationships/image" Target="media/image110.jpeg"/><Relationship Id="rId119" Type="http://schemas.openxmlformats.org/officeDocument/2006/relationships/image" Target="media/image111.jpeg"/><Relationship Id="rId120" Type="http://schemas.openxmlformats.org/officeDocument/2006/relationships/image" Target="media/image112.jpeg"/><Relationship Id="rId121" Type="http://schemas.openxmlformats.org/officeDocument/2006/relationships/footer" Target="footer4.xml"/><Relationship Id="rId122" Type="http://schemas.openxmlformats.org/officeDocument/2006/relationships/image" Target="media/image113.jpeg"/><Relationship Id="rId123" Type="http://schemas.openxmlformats.org/officeDocument/2006/relationships/footer" Target="footer5.xml"/><Relationship Id="rId124" Type="http://schemas.openxmlformats.org/officeDocument/2006/relationships/image" Target="media/image114.jpeg"/><Relationship Id="rId125" Type="http://schemas.openxmlformats.org/officeDocument/2006/relationships/image" Target="media/image115.jpeg"/><Relationship Id="rId126" Type="http://schemas.openxmlformats.org/officeDocument/2006/relationships/image" Target="media/image116.jpeg"/><Relationship Id="rId127" Type="http://schemas.openxmlformats.org/officeDocument/2006/relationships/image" Target="media/image117.jpeg"/><Relationship Id="rId128" Type="http://schemas.openxmlformats.org/officeDocument/2006/relationships/image" Target="media/image118.jpeg"/><Relationship Id="rId129" Type="http://schemas.openxmlformats.org/officeDocument/2006/relationships/image" Target="media/image119.jpeg"/><Relationship Id="rId130" Type="http://schemas.openxmlformats.org/officeDocument/2006/relationships/image" Target="media/image120.jpeg"/><Relationship Id="rId131" Type="http://schemas.openxmlformats.org/officeDocument/2006/relationships/image" Target="media/image121.jpeg"/><Relationship Id="rId132" Type="http://schemas.openxmlformats.org/officeDocument/2006/relationships/image" Target="media/image122.jpeg"/><Relationship Id="rId133" Type="http://schemas.openxmlformats.org/officeDocument/2006/relationships/image" Target="media/image123.jpeg"/><Relationship Id="rId134" Type="http://schemas.openxmlformats.org/officeDocument/2006/relationships/image" Target="media/image124.jpeg"/><Relationship Id="rId135" Type="http://schemas.openxmlformats.org/officeDocument/2006/relationships/image" Target="media/image125.jpeg"/><Relationship Id="rId136" Type="http://schemas.openxmlformats.org/officeDocument/2006/relationships/image" Target="media/image126.jpeg"/><Relationship Id="rId137" Type="http://schemas.openxmlformats.org/officeDocument/2006/relationships/footer" Target="footer6.xml"/><Relationship Id="rId138" Type="http://schemas.openxmlformats.org/officeDocument/2006/relationships/image" Target="media/image127.jpeg"/><Relationship Id="rId139" Type="http://schemas.openxmlformats.org/officeDocument/2006/relationships/image" Target="media/image128.jpeg"/><Relationship Id="rId140" Type="http://schemas.openxmlformats.org/officeDocument/2006/relationships/footer" Target="footer7.xml"/><Relationship Id="rId141" Type="http://schemas.openxmlformats.org/officeDocument/2006/relationships/image" Target="media/image129.jpeg"/><Relationship Id="rId142" Type="http://schemas.openxmlformats.org/officeDocument/2006/relationships/image" Target="media/image130.jpeg"/><Relationship Id="rId143" Type="http://schemas.openxmlformats.org/officeDocument/2006/relationships/image" Target="media/image131.jpeg"/><Relationship Id="rId144" Type="http://schemas.openxmlformats.org/officeDocument/2006/relationships/image" Target="media/image132.jpeg"/><Relationship Id="rId145" Type="http://schemas.openxmlformats.org/officeDocument/2006/relationships/footer" Target="footer8.xml"/><Relationship Id="rId146" Type="http://schemas.openxmlformats.org/officeDocument/2006/relationships/footer" Target="footer9.xml"/><Relationship Id="rId147" Type="http://schemas.openxmlformats.org/officeDocument/2006/relationships/footer" Target="footer10.xml"/><Relationship Id="rId148" Type="http://schemas.openxmlformats.org/officeDocument/2006/relationships/footer" Target="footer11.xml"/><Relationship Id="rId149" Type="http://schemas.openxmlformats.org/officeDocument/2006/relationships/hyperlink" Target="http://vandmodel.dk/xpdf/dk-model2009_sammenfatning.pdf" TargetMode="External"/><Relationship Id="rId150" Type="http://schemas.openxmlformats.org/officeDocument/2006/relationships/hyperlink" Target="http://dce2.au.dk/pub/TR49.pdf" TargetMode="External"/><Relationship Id="rId151" Type="http://schemas.openxmlformats.org/officeDocument/2006/relationships/hyperlink" Target="http://www.pesthomepage.org/Downloads.php#hdr1" TargetMode="External"/><Relationship Id="rId152" Type="http://schemas.openxmlformats.org/officeDocument/2006/relationships/footer" Target="footer12.xml"/><Relationship Id="rId153" Type="http://schemas.openxmlformats.org/officeDocument/2006/relationships/footer" Target="footer13.xml"/><Relationship Id="rId154" Type="http://schemas.openxmlformats.org/officeDocument/2006/relationships/image" Target="media/image133.png"/><Relationship Id="rId155" Type="http://schemas.openxmlformats.org/officeDocument/2006/relationships/image" Target="media/image134.png"/><Relationship Id="rId156" Type="http://schemas.openxmlformats.org/officeDocument/2006/relationships/image" Target="media/image135.png"/><Relationship Id="rId157" Type="http://schemas.openxmlformats.org/officeDocument/2006/relationships/image" Target="media/image136.png"/><Relationship Id="rId158" Type="http://schemas.openxmlformats.org/officeDocument/2006/relationships/image" Target="media/image137.png"/><Relationship Id="rId159" Type="http://schemas.openxmlformats.org/officeDocument/2006/relationships/image" Target="media/image138.png"/><Relationship Id="rId160" Type="http://schemas.openxmlformats.org/officeDocument/2006/relationships/image" Target="media/image139.png"/><Relationship Id="rId161" Type="http://schemas.openxmlformats.org/officeDocument/2006/relationships/footer" Target="footer14.xml"/><Relationship Id="rId16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Nielsen, Karen Løvig</dc:creator>
  <dc:title>DANMARKS OG GRØNLANDS GEOLOGISKE UNDERSØGELSE RAPPORT 1997/110</dc:title>
  <dcterms:created xsi:type="dcterms:W3CDTF">2019-09-16T06:44:32Z</dcterms:created>
  <dcterms:modified xsi:type="dcterms:W3CDTF">2019-09-16T06:44:32Z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2018-09-26T00:00:00Z</vt:filetime>
  </property>
  <property fmtid="{D5CDD505-2E9C-101B-9397-08002B2CF9AE}" pid="3" name="Creator">
    <vt:lpwstr>Microsoft® Word 2016</vt:lpwstr>
  </property>
  <property fmtid="{D5CDD505-2E9C-101B-9397-08002B2CF9AE}" pid="4" name="LastSaved">
    <vt:filetime>2019-09-16T00:00:00Z</vt:filetime>
  </property>
</Properties>
</file>