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after="1"/>
        <w:rPr>
          <w:rFonts w:ascii="Times New Roman"/>
          <w:sz w:val="12"/>
        </w:rPr>
      </w:pPr>
    </w:p>
    <w:p>
      <w:pPr>
        <w:pStyle w:val="BodyText"/>
        <w:spacing w:line="234" w:lineRule="exact"/>
        <w:ind w:left="2404"/>
        <w:rPr>
          <w:rFonts w:ascii="Times New Roman"/>
        </w:rPr>
      </w:pPr>
      <w:r>
        <w:rPr>
          <w:rFonts w:ascii="Times New Roman"/>
          <w:position w:val="-4"/>
        </w:rPr>
        <w:pict>
          <v:group style="width:367.15pt;height:11.3pt;mso-position-horizontal-relative:char;mso-position-vertical-relative:line" coordorigin="0,0" coordsize="7343,226">
            <v:rect style="position:absolute;left:0;top:0;width:15;height:15" filled="true" fillcolor="#a21f1f" stroked="false">
              <v:fill type="solid"/>
            </v:rect>
            <v:rect style="position:absolute;left:0;top:0;width:15;height:15" filled="true" fillcolor="#a21f1f" stroked="false">
              <v:fill type="solid"/>
            </v:rect>
            <v:line style="position:absolute" from="14,7" to="7343,7" stroked="true" strokeweight=".72pt" strokecolor="#a21f1f">
              <v:stroke dashstyle="solid"/>
            </v:line>
            <v:line style="position:absolute" from="7,14" to="7,226" stroked="true" strokeweight=".72pt" strokecolor="#a21f1f">
              <v:stroke dashstyle="solid"/>
            </v:line>
          </v:group>
        </w:pict>
      </w:r>
      <w:r>
        <w:rPr>
          <w:rFonts w:ascii="Times New Roman"/>
          <w:position w:val="-4"/>
        </w:rPr>
      </w:r>
    </w:p>
    <w:p>
      <w:pPr>
        <w:pStyle w:val="BodyText"/>
        <w:rPr>
          <w:rFonts w:ascii="Times New Roman"/>
        </w:rPr>
      </w:pPr>
    </w:p>
    <w:p>
      <w:pPr>
        <w:pStyle w:val="BodyText"/>
        <w:rPr>
          <w:rFonts w:ascii="Times New Roman"/>
        </w:rPr>
      </w:pPr>
    </w:p>
    <w:p>
      <w:pPr>
        <w:pStyle w:val="BodyText"/>
        <w:rPr>
          <w:rFonts w:ascii="Times New Roman"/>
        </w:rPr>
      </w:pPr>
    </w:p>
    <w:p>
      <w:pPr>
        <w:spacing w:before="228"/>
        <w:ind w:left="2405" w:right="0" w:firstLine="0"/>
        <w:jc w:val="left"/>
        <w:rPr>
          <w:b/>
          <w:i/>
          <w:sz w:val="48"/>
        </w:rPr>
      </w:pPr>
      <w:r>
        <w:rPr>
          <w:b/>
          <w:i/>
          <w:sz w:val="48"/>
        </w:rPr>
        <w:t>Effekten af de frie geodata – </w:t>
      </w:r>
      <w:r>
        <w:rPr>
          <w:b/>
          <w:i/>
          <w:sz w:val="48"/>
        </w:rPr>
        <w:t>Eftermåling</w:t>
      </w:r>
    </w:p>
    <w:p>
      <w:pPr>
        <w:spacing w:before="1"/>
        <w:ind w:left="2405" w:right="0" w:firstLine="0"/>
        <w:jc w:val="left"/>
        <w:rPr>
          <w:sz w:val="48"/>
        </w:rPr>
      </w:pPr>
      <w:r>
        <w:rPr>
          <w:sz w:val="48"/>
        </w:rPr>
        <w:t>Styrelsen for Dataforsyning og Effektivisering</w:t>
      </w:r>
    </w:p>
    <w:p>
      <w:pPr>
        <w:pStyle w:val="BodyText"/>
      </w:pPr>
    </w:p>
    <w:p>
      <w:pPr>
        <w:pStyle w:val="BodyText"/>
      </w:pPr>
    </w:p>
    <w:p>
      <w:pPr>
        <w:pStyle w:val="BodyText"/>
      </w:pPr>
    </w:p>
    <w:p>
      <w:pPr>
        <w:pStyle w:val="BodyText"/>
      </w:pPr>
    </w:p>
    <w:p>
      <w:pPr>
        <w:pStyle w:val="BodyText"/>
      </w:pPr>
    </w:p>
    <w:p>
      <w:pPr>
        <w:pStyle w:val="BodyText"/>
        <w:spacing w:before="3"/>
        <w:rPr>
          <w:sz w:val="11"/>
        </w:rPr>
      </w:pPr>
    </w:p>
    <w:p>
      <w:pPr>
        <w:pStyle w:val="BodyText"/>
        <w:ind w:left="-121"/>
      </w:pPr>
      <w:r>
        <w:rPr/>
        <w:pict>
          <v:group style="width:112.35pt;height:12.4pt;mso-position-horizontal-relative:char;mso-position-vertical-relative:line" coordorigin="0,0" coordsize="2247,248">
            <v:line style="position:absolute" from="19,10" to="2247,10" stroked="true" strokeweight=".96pt" strokecolor="#a21f1f">
              <v:stroke dashstyle="shortdot"/>
            </v:line>
            <v:line style="position:absolute" from="10,0" to="10,247" stroked="true" strokeweight=".96pt" strokecolor="#a21f1f">
              <v:stroke dashstyle="shortdot"/>
            </v:line>
          </v:group>
        </w:pict>
      </w:r>
      <w:r>
        <w:rPr/>
      </w:r>
    </w:p>
    <w:p>
      <w:pPr>
        <w:pStyle w:val="BodyText"/>
        <w:spacing w:before="10"/>
        <w:rPr>
          <w:sz w:val="16"/>
        </w:rPr>
      </w:pPr>
    </w:p>
    <w:p>
      <w:pPr>
        <w:spacing w:before="99"/>
        <w:ind w:left="117" w:right="0" w:firstLine="0"/>
        <w:jc w:val="left"/>
        <w:rPr>
          <w:i/>
          <w:sz w:val="19"/>
        </w:rPr>
      </w:pPr>
      <w:r>
        <w:rPr/>
        <w:drawing>
          <wp:anchor distT="0" distB="0" distL="0" distR="0" allowOverlap="1" layoutInCell="1" locked="0" behindDoc="0" simplePos="0" relativeHeight="1096">
            <wp:simplePos x="0" y="0"/>
            <wp:positionH relativeFrom="page">
              <wp:posOffset>2523744</wp:posOffset>
            </wp:positionH>
            <wp:positionV relativeFrom="paragraph">
              <wp:posOffset>72407</wp:posOffset>
            </wp:positionV>
            <wp:extent cx="4107814" cy="392112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107814" cy="3921125"/>
                    </a:xfrm>
                    <a:prstGeom prst="rect">
                      <a:avLst/>
                    </a:prstGeom>
                  </pic:spPr>
                </pic:pic>
              </a:graphicData>
            </a:graphic>
          </wp:anchor>
        </w:drawing>
      </w:r>
      <w:r>
        <w:rPr>
          <w:i/>
          <w:sz w:val="19"/>
        </w:rPr>
        <w:t>17 marts 2017</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
        <w:rPr>
          <w:i/>
          <w:sz w:val="23"/>
        </w:rPr>
      </w:pPr>
      <w:r>
        <w:rPr/>
        <w:drawing>
          <wp:anchor distT="0" distB="0" distL="0" distR="0" allowOverlap="1" layoutInCell="1" locked="0" behindDoc="0" simplePos="0" relativeHeight="2">
            <wp:simplePos x="0" y="0"/>
            <wp:positionH relativeFrom="page">
              <wp:posOffset>1358264</wp:posOffset>
            </wp:positionH>
            <wp:positionV relativeFrom="paragraph">
              <wp:posOffset>193798</wp:posOffset>
            </wp:positionV>
            <wp:extent cx="1140141" cy="864108"/>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140141" cy="864108"/>
                    </a:xfrm>
                    <a:prstGeom prst="rect">
                      <a:avLst/>
                    </a:prstGeom>
                  </pic:spPr>
                </pic:pic>
              </a:graphicData>
            </a:graphic>
          </wp:anchor>
        </w:drawing>
      </w:r>
    </w:p>
    <w:p>
      <w:pPr>
        <w:spacing w:after="0"/>
        <w:rPr>
          <w:sz w:val="23"/>
        </w:rPr>
        <w:sectPr>
          <w:headerReference w:type="default" r:id="rId5"/>
          <w:type w:val="continuous"/>
          <w:pgSz w:w="11910" w:h="16840"/>
          <w:pgMar w:header="563" w:top="1220" w:bottom="28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410" w:lineRule="exact" w:before="0"/>
        <w:ind w:left="278" w:right="0" w:firstLine="0"/>
        <w:jc w:val="left"/>
        <w:rPr>
          <w:b/>
          <w:i/>
          <w:sz w:val="40"/>
        </w:rPr>
      </w:pPr>
      <w:r>
        <w:rPr>
          <w:b/>
          <w:i/>
          <w:sz w:val="40"/>
        </w:rPr>
        <w:t>Indholdsfortegnelse</w:t>
      </w:r>
    </w:p>
    <w:p>
      <w:pPr>
        <w:spacing w:after="0" w:line="410" w:lineRule="exact"/>
        <w:jc w:val="left"/>
        <w:rPr>
          <w:sz w:val="40"/>
        </w:rPr>
        <w:sectPr>
          <w:headerReference w:type="default" r:id="rId8"/>
          <w:footerReference w:type="default" r:id="rId9"/>
          <w:pgSz w:w="11910" w:h="16840"/>
          <w:pgMar w:header="572" w:footer="577" w:top="1220" w:bottom="1710" w:left="1140" w:right="0"/>
          <w:pgNumType w:start="2"/>
        </w:sectPr>
      </w:pPr>
    </w:p>
    <w:sdt>
      <w:sdtPr>
        <w:docPartObj>
          <w:docPartGallery w:val="Table of Contents"/>
          <w:docPartUnique/>
        </w:docPartObj>
      </w:sdtPr>
      <w:sdtEndPr/>
      <w:sdtContent>
        <w:p>
          <w:pPr>
            <w:pStyle w:val="TOC1"/>
            <w:numPr>
              <w:ilvl w:val="0"/>
              <w:numId w:val="1"/>
            </w:numPr>
            <w:tabs>
              <w:tab w:pos="845" w:val="left" w:leader="none"/>
              <w:tab w:pos="846" w:val="left" w:leader="none"/>
              <w:tab w:pos="9736" w:val="right" w:leader="dot"/>
            </w:tabs>
            <w:spacing w:line="240" w:lineRule="auto" w:before="353" w:after="0"/>
            <w:ind w:left="845" w:right="0" w:hanging="567"/>
            <w:jc w:val="left"/>
          </w:pPr>
          <w:r>
            <w:rPr/>
            <w:pict>
              <v:line style="position:absolute;mso-position-horizontal-relative:page;mso-position-vertical-relative:paragraph;z-index:1144" from="69.503998pt,12.659946pt" to="545.853998pt,12.659946pt" stroked="true" strokeweight=".96001pt" strokecolor="#a21f1f">
                <v:stroke dashstyle="solid"/>
                <w10:wrap type="none"/>
              </v:line>
            </w:pict>
          </w:r>
          <w:r>
            <w:rPr/>
            <w:pict>
              <v:line style="position:absolute;mso-position-horizontal-relative:page;mso-position-vertical-relative:paragraph;z-index:1168" from="75.143997pt,35.579952pt" to="545.859997pt,35.579952pt" stroked="true" strokeweight=".96pt" strokecolor="#a21f1f">
                <v:stroke dashstyle="shortdot"/>
                <w10:wrap type="none"/>
              </v:line>
            </w:pict>
          </w:r>
          <w:hyperlink w:history="true" w:anchor="_bookmark0">
            <w:r>
              <w:rPr/>
              <w:t>Ledelsesresume</w:t>
              <w:tab/>
              <w:t>4</w:t>
            </w:r>
          </w:hyperlink>
        </w:p>
        <w:p>
          <w:pPr>
            <w:pStyle w:val="TOC2"/>
            <w:numPr>
              <w:ilvl w:val="1"/>
              <w:numId w:val="1"/>
            </w:numPr>
            <w:tabs>
              <w:tab w:pos="957" w:val="left" w:leader="none"/>
              <w:tab w:pos="958" w:val="left" w:leader="none"/>
              <w:tab w:pos="9623" w:val="left" w:leader="dot"/>
            </w:tabs>
            <w:spacing w:line="240" w:lineRule="auto" w:before="231" w:after="0"/>
            <w:ind w:left="958" w:right="0" w:hanging="567"/>
            <w:jc w:val="left"/>
          </w:pPr>
          <w:hyperlink w:history="true" w:anchor="_bookmark1">
            <w:r>
              <w:rPr/>
              <w:t>Analysens</w:t>
            </w:r>
            <w:r>
              <w:rPr>
                <w:spacing w:val="-6"/>
              </w:rPr>
              <w:t> </w:t>
            </w:r>
            <w:r>
              <w:rPr/>
              <w:t>hovedresultater</w:t>
              <w:tab/>
              <w:t>4</w:t>
            </w:r>
          </w:hyperlink>
        </w:p>
        <w:p>
          <w:pPr>
            <w:pStyle w:val="TOC3"/>
            <w:numPr>
              <w:ilvl w:val="2"/>
              <w:numId w:val="1"/>
            </w:numPr>
            <w:tabs>
              <w:tab w:pos="1130" w:val="left" w:leader="none"/>
              <w:tab w:pos="1131" w:val="left" w:leader="none"/>
              <w:tab w:pos="9623" w:val="left" w:leader="dot"/>
            </w:tabs>
            <w:spacing w:line="240" w:lineRule="auto" w:before="135" w:after="0"/>
            <w:ind w:left="1130" w:right="0" w:hanging="568"/>
            <w:jc w:val="left"/>
          </w:pPr>
          <w:hyperlink w:history="true" w:anchor="_bookmark2">
            <w:r>
              <w:rPr/>
              <w:t>Den samfundsmæssige værdi af de frie geodata anslås til ca. 3,5 mia.</w:t>
            </w:r>
            <w:r>
              <w:rPr>
                <w:spacing w:val="-30"/>
              </w:rPr>
              <w:t> </w:t>
            </w:r>
            <w:r>
              <w:rPr/>
              <w:t>i</w:t>
            </w:r>
            <w:r>
              <w:rPr>
                <w:spacing w:val="-1"/>
              </w:rPr>
              <w:t> </w:t>
            </w:r>
            <w:r>
              <w:rPr/>
              <w:t>2016</w:t>
              <w:tab/>
              <w:t>4</w:t>
            </w:r>
          </w:hyperlink>
        </w:p>
        <w:p>
          <w:pPr>
            <w:pStyle w:val="TOC3"/>
            <w:numPr>
              <w:ilvl w:val="2"/>
              <w:numId w:val="1"/>
            </w:numPr>
            <w:tabs>
              <w:tab w:pos="1131" w:val="left" w:leader="none"/>
              <w:tab w:pos="9623" w:val="left" w:leader="dot"/>
            </w:tabs>
            <w:spacing w:line="240" w:lineRule="auto" w:before="133" w:after="0"/>
            <w:ind w:left="1130" w:right="0" w:hanging="568"/>
            <w:jc w:val="left"/>
          </w:pPr>
          <w:hyperlink w:history="true" w:anchor="_bookmark4">
            <w:r>
              <w:rPr/>
              <w:t>Analysens relation til før-målingen</w:t>
            </w:r>
            <w:r>
              <w:rPr>
                <w:spacing w:val="-12"/>
              </w:rPr>
              <w:t> </w:t>
            </w:r>
            <w:r>
              <w:rPr/>
              <w:t>fra</w:t>
            </w:r>
            <w:r>
              <w:rPr>
                <w:spacing w:val="-4"/>
              </w:rPr>
              <w:t> </w:t>
            </w:r>
            <w:r>
              <w:rPr/>
              <w:t>2013</w:t>
              <w:tab/>
              <w:t>6</w:t>
            </w:r>
          </w:hyperlink>
        </w:p>
        <w:p>
          <w:pPr>
            <w:pStyle w:val="TOC3"/>
            <w:numPr>
              <w:ilvl w:val="2"/>
              <w:numId w:val="1"/>
            </w:numPr>
            <w:tabs>
              <w:tab w:pos="1131" w:val="left" w:leader="none"/>
              <w:tab w:pos="9616" w:val="left" w:leader="dot"/>
            </w:tabs>
            <w:spacing w:line="240" w:lineRule="auto" w:before="133" w:after="0"/>
            <w:ind w:left="1130" w:right="0" w:hanging="568"/>
            <w:jc w:val="left"/>
          </w:pPr>
          <w:hyperlink w:history="true" w:anchor="_bookmark7">
            <w:r>
              <w:rPr/>
              <w:t>De frie geodata anvendes fx til klimasikring, brancheanalyser og</w:t>
            </w:r>
            <w:r>
              <w:rPr>
                <w:spacing w:val="-34"/>
              </w:rPr>
              <w:t> </w:t>
            </w:r>
            <w:r>
              <w:rPr/>
              <w:t>facility</w:t>
            </w:r>
            <w:r>
              <w:rPr>
                <w:spacing w:val="-2"/>
              </w:rPr>
              <w:t> </w:t>
            </w:r>
            <w:r>
              <w:rPr/>
              <w:t>management</w:t>
              <w:tab/>
              <w:t>8</w:t>
            </w:r>
          </w:hyperlink>
        </w:p>
        <w:p>
          <w:pPr>
            <w:pStyle w:val="TOC3"/>
            <w:numPr>
              <w:ilvl w:val="2"/>
              <w:numId w:val="1"/>
            </w:numPr>
            <w:tabs>
              <w:tab w:pos="1131" w:val="left" w:leader="none"/>
              <w:tab w:pos="9616" w:val="left" w:leader="dot"/>
            </w:tabs>
            <w:spacing w:line="254" w:lineRule="auto" w:before="133" w:after="0"/>
            <w:ind w:left="1130" w:right="1029" w:hanging="568"/>
            <w:jc w:val="left"/>
          </w:pPr>
          <w:r>
            <w:rPr/>
            <w:pict>
              <v:line style="position:absolute;mso-position-horizontal-relative:page;mso-position-vertical-relative:paragraph;z-index:1192" from="69.503998pt,36.579918pt" to="545.853998pt,36.579918pt" stroked="true" strokeweight=".95999pt" strokecolor="#a21f1f">
                <v:stroke dashstyle="solid"/>
                <w10:wrap type="none"/>
              </v:line>
            </w:pict>
          </w:r>
          <w:hyperlink w:history="true" w:anchor="_bookmark8">
            <w:r>
              <w:rPr/>
              <w:t>Der er potentialer ved øget anvendelse af de frie geodata, men der er også barrierer, der bør</w:t>
            </w:r>
          </w:hyperlink>
          <w:hyperlink w:history="true" w:anchor="_bookmark8">
            <w:r>
              <w:rPr/>
              <w:t> nedbrydes</w:t>
              <w:tab/>
            </w:r>
            <w:r>
              <w:rPr>
                <w:spacing w:val="-18"/>
              </w:rPr>
              <w:t>8</w:t>
            </w:r>
          </w:hyperlink>
        </w:p>
        <w:p>
          <w:pPr>
            <w:pStyle w:val="TOC1"/>
            <w:numPr>
              <w:ilvl w:val="0"/>
              <w:numId w:val="1"/>
            </w:numPr>
            <w:tabs>
              <w:tab w:pos="845" w:val="left" w:leader="none"/>
              <w:tab w:pos="846" w:val="left" w:leader="none"/>
              <w:tab w:pos="9563" w:val="left" w:leader="dot"/>
            </w:tabs>
            <w:spacing w:line="240" w:lineRule="auto" w:before="216" w:after="0"/>
            <w:ind w:left="845" w:right="0" w:hanging="567"/>
            <w:jc w:val="left"/>
          </w:pPr>
          <w:r>
            <w:rPr/>
            <w:pict>
              <v:line style="position:absolute;mso-position-horizontal-relative:page;mso-position-vertical-relative:paragraph;z-index:1216" from="75.143997pt,28.84993pt" to="545.859997pt,28.84993pt" stroked="true" strokeweight=".96pt" strokecolor="#a21f1f">
                <v:stroke dashstyle="shortdot"/>
                <w10:wrap type="none"/>
              </v:line>
            </w:pict>
          </w:r>
          <w:hyperlink w:history="true" w:anchor="_bookmark11">
            <w:r>
              <w:rPr/>
              <w:t>Metodeanvendelse</w:t>
              <w:tab/>
              <w:t>11</w:t>
            </w:r>
          </w:hyperlink>
        </w:p>
        <w:p>
          <w:pPr>
            <w:pStyle w:val="TOC2"/>
            <w:numPr>
              <w:ilvl w:val="1"/>
              <w:numId w:val="1"/>
            </w:numPr>
            <w:tabs>
              <w:tab w:pos="957" w:val="left" w:leader="none"/>
              <w:tab w:pos="958" w:val="left" w:leader="none"/>
              <w:tab w:pos="9736" w:val="right" w:leader="dot"/>
            </w:tabs>
            <w:spacing w:line="240" w:lineRule="auto" w:before="234" w:after="0"/>
            <w:ind w:left="958" w:right="0" w:hanging="567"/>
            <w:jc w:val="left"/>
          </w:pPr>
          <w:hyperlink w:history="true" w:anchor="_bookmark12">
            <w:r>
              <w:rPr/>
              <w:t>Definition og afgrænsning</w:t>
            </w:r>
            <w:r>
              <w:rPr>
                <w:spacing w:val="-2"/>
              </w:rPr>
              <w:t> </w:t>
            </w:r>
            <w:r>
              <w:rPr/>
              <w:t>af</w:t>
            </w:r>
            <w:r>
              <w:rPr>
                <w:spacing w:val="-1"/>
              </w:rPr>
              <w:t> </w:t>
            </w:r>
            <w:r>
              <w:rPr/>
              <w:t>geodata</w:t>
              <w:tab/>
              <w:t>11</w:t>
            </w:r>
          </w:hyperlink>
        </w:p>
        <w:p>
          <w:pPr>
            <w:pStyle w:val="TOC2"/>
            <w:numPr>
              <w:ilvl w:val="1"/>
              <w:numId w:val="1"/>
            </w:numPr>
            <w:tabs>
              <w:tab w:pos="957" w:val="left" w:leader="none"/>
              <w:tab w:pos="958" w:val="left" w:leader="none"/>
              <w:tab w:pos="9736" w:val="right" w:leader="dot"/>
            </w:tabs>
            <w:spacing w:line="240" w:lineRule="auto" w:before="133" w:after="0"/>
            <w:ind w:left="958" w:right="0" w:hanging="567"/>
            <w:jc w:val="left"/>
          </w:pPr>
          <w:hyperlink w:history="true" w:anchor="_bookmark14">
            <w:r>
              <w:rPr/>
              <w:t>Analysedesign</w:t>
              <w:tab/>
              <w:t>13</w:t>
            </w:r>
          </w:hyperlink>
        </w:p>
        <w:p>
          <w:pPr>
            <w:pStyle w:val="TOC2"/>
            <w:numPr>
              <w:ilvl w:val="1"/>
              <w:numId w:val="1"/>
            </w:numPr>
            <w:tabs>
              <w:tab w:pos="957" w:val="left" w:leader="none"/>
              <w:tab w:pos="958" w:val="left" w:leader="none"/>
              <w:tab w:pos="9736" w:val="right" w:leader="dot"/>
            </w:tabs>
            <w:spacing w:line="240" w:lineRule="auto" w:before="133" w:after="0"/>
            <w:ind w:left="958" w:right="0" w:hanging="567"/>
            <w:jc w:val="left"/>
          </w:pPr>
          <w:hyperlink w:history="true" w:anchor="_bookmark15">
            <w:r>
              <w:rPr/>
              <w:t>Metode til opgørelse og beregning af værdien af</w:t>
            </w:r>
            <w:r>
              <w:rPr>
                <w:spacing w:val="-4"/>
              </w:rPr>
              <w:t> </w:t>
            </w:r>
            <w:r>
              <w:rPr/>
              <w:t>frie geodata</w:t>
              <w:tab/>
              <w:t>14</w:t>
            </w:r>
          </w:hyperlink>
        </w:p>
        <w:p>
          <w:pPr>
            <w:pStyle w:val="TOC3"/>
            <w:numPr>
              <w:ilvl w:val="2"/>
              <w:numId w:val="1"/>
            </w:numPr>
            <w:tabs>
              <w:tab w:pos="1131" w:val="left" w:leader="none"/>
              <w:tab w:pos="9736" w:val="right" w:leader="dot"/>
            </w:tabs>
            <w:spacing w:line="240" w:lineRule="auto" w:before="133" w:after="0"/>
            <w:ind w:left="1130" w:right="0" w:hanging="568"/>
            <w:jc w:val="left"/>
          </w:pPr>
          <w:hyperlink w:history="true" w:anchor="_bookmark16">
            <w:r>
              <w:rPr/>
              <w:t>Forandringsteori – fra frisættelse af geodata til effekt på</w:t>
            </w:r>
            <w:r>
              <w:rPr>
                <w:spacing w:val="-17"/>
              </w:rPr>
              <w:t> </w:t>
            </w:r>
            <w:r>
              <w:rPr/>
              <w:t>samfundsøkonomisk niveau</w:t>
              <w:tab/>
              <w:t>14</w:t>
            </w:r>
          </w:hyperlink>
        </w:p>
        <w:p>
          <w:pPr>
            <w:pStyle w:val="TOC3"/>
            <w:numPr>
              <w:ilvl w:val="2"/>
              <w:numId w:val="1"/>
            </w:numPr>
            <w:tabs>
              <w:tab w:pos="1131" w:val="left" w:leader="none"/>
              <w:tab w:pos="9737" w:val="right" w:leader="dot"/>
            </w:tabs>
            <w:spacing w:line="240" w:lineRule="auto" w:before="132" w:after="0"/>
            <w:ind w:left="1130" w:right="0" w:hanging="568"/>
            <w:jc w:val="left"/>
          </w:pPr>
          <w:hyperlink w:history="true" w:anchor="_bookmark18">
            <w:r>
              <w:rPr/>
              <w:t>Metode til opgørelse og beregning af værdien</w:t>
            </w:r>
            <w:r>
              <w:rPr>
                <w:spacing w:val="-5"/>
              </w:rPr>
              <w:t> </w:t>
            </w:r>
            <w:r>
              <w:rPr/>
              <w:t>af</w:t>
            </w:r>
            <w:r>
              <w:rPr>
                <w:spacing w:val="1"/>
              </w:rPr>
              <w:t> </w:t>
            </w:r>
            <w:r>
              <w:rPr/>
              <w:t>geodata</w:t>
              <w:tab/>
              <w:t>16</w:t>
            </w:r>
          </w:hyperlink>
        </w:p>
        <w:p>
          <w:pPr>
            <w:pStyle w:val="TOC3"/>
            <w:numPr>
              <w:ilvl w:val="2"/>
              <w:numId w:val="1"/>
            </w:numPr>
            <w:tabs>
              <w:tab w:pos="1131" w:val="left" w:leader="none"/>
              <w:tab w:pos="9738" w:val="right" w:leader="dot"/>
            </w:tabs>
            <w:spacing w:line="240" w:lineRule="auto" w:before="133" w:after="0"/>
            <w:ind w:left="1130" w:right="0" w:hanging="568"/>
            <w:jc w:val="left"/>
          </w:pPr>
          <w:hyperlink w:history="true" w:anchor="_bookmark20">
            <w:r>
              <w:rPr/>
              <w:t>Værdikædebetragtning – værdiskabende effekt</w:t>
            </w:r>
            <w:r>
              <w:rPr>
                <w:spacing w:val="-3"/>
              </w:rPr>
              <w:t> </w:t>
            </w:r>
            <w:r>
              <w:rPr/>
              <w:t>af</w:t>
            </w:r>
            <w:r>
              <w:rPr>
                <w:spacing w:val="2"/>
              </w:rPr>
              <w:t> </w:t>
            </w:r>
            <w:r>
              <w:rPr/>
              <w:t>geodata</w:t>
              <w:tab/>
              <w:t>18</w:t>
            </w:r>
          </w:hyperlink>
        </w:p>
        <w:p>
          <w:pPr>
            <w:pStyle w:val="TOC1"/>
            <w:numPr>
              <w:ilvl w:val="0"/>
              <w:numId w:val="1"/>
            </w:numPr>
            <w:tabs>
              <w:tab w:pos="845" w:val="left" w:leader="none"/>
              <w:tab w:pos="846" w:val="left" w:leader="none"/>
              <w:tab w:pos="9732" w:val="right" w:leader="dot"/>
            </w:tabs>
            <w:spacing w:line="240" w:lineRule="auto" w:before="231" w:after="0"/>
            <w:ind w:left="845" w:right="0" w:hanging="567"/>
            <w:jc w:val="left"/>
          </w:pPr>
          <w:r>
            <w:rPr/>
            <w:pict>
              <v:line style="position:absolute;mso-position-horizontal-relative:page;mso-position-vertical-relative:paragraph;z-index:1240" from="69.503998pt,6.559914pt" to="545.853998pt,6.559914pt" stroked="true" strokeweight=".95999pt" strokecolor="#a21f1f">
                <v:stroke dashstyle="solid"/>
                <w10:wrap type="none"/>
              </v:line>
            </w:pict>
          </w:r>
          <w:r>
            <w:rPr/>
            <w:pict>
              <v:line style="position:absolute;mso-position-horizontal-relative:page;mso-position-vertical-relative:paragraph;z-index:1264" from="75.143997pt,29.599909pt" to="545.859997pt,29.599909pt" stroked="true" strokeweight=".96pt" strokecolor="#a21f1f">
                <v:stroke dashstyle="shortdot"/>
                <w10:wrap type="none"/>
              </v:line>
            </w:pict>
          </w:r>
          <w:hyperlink w:history="true" w:anchor="_bookmark22">
            <w:r>
              <w:rPr/>
              <w:t>Dataindsamling</w:t>
            </w:r>
            <w:r>
              <w:rPr>
                <w:spacing w:val="-2"/>
              </w:rPr>
              <w:t> </w:t>
            </w:r>
            <w:r>
              <w:rPr/>
              <w:t>og</w:t>
            </w:r>
            <w:r>
              <w:rPr>
                <w:spacing w:val="-1"/>
              </w:rPr>
              <w:t> </w:t>
            </w:r>
            <w:r>
              <w:rPr/>
              <w:t>datakvalitet</w:t>
              <w:tab/>
              <w:t>20</w:t>
            </w:r>
          </w:hyperlink>
        </w:p>
        <w:p>
          <w:pPr>
            <w:pStyle w:val="TOC2"/>
            <w:numPr>
              <w:ilvl w:val="1"/>
              <w:numId w:val="1"/>
            </w:numPr>
            <w:tabs>
              <w:tab w:pos="957" w:val="left" w:leader="none"/>
              <w:tab w:pos="958" w:val="left" w:leader="none"/>
              <w:tab w:pos="9732" w:val="right" w:leader="dot"/>
            </w:tabs>
            <w:spacing w:line="240" w:lineRule="auto" w:before="234" w:after="0"/>
            <w:ind w:left="958" w:right="0" w:hanging="567"/>
            <w:jc w:val="left"/>
          </w:pPr>
          <w:hyperlink w:history="true" w:anchor="_bookmark23">
            <w:r>
              <w:rPr/>
              <w:t>Kvantitativ</w:t>
            </w:r>
            <w:r>
              <w:rPr>
                <w:spacing w:val="-2"/>
              </w:rPr>
              <w:t> </w:t>
            </w:r>
            <w:r>
              <w:rPr/>
              <w:t>dataindsamling</w:t>
              <w:tab/>
              <w:t>20</w:t>
            </w:r>
          </w:hyperlink>
        </w:p>
        <w:p>
          <w:pPr>
            <w:pStyle w:val="TOC3"/>
            <w:numPr>
              <w:ilvl w:val="2"/>
              <w:numId w:val="1"/>
            </w:numPr>
            <w:tabs>
              <w:tab w:pos="1131" w:val="left" w:leader="none"/>
              <w:tab w:pos="9734" w:val="right" w:leader="dot"/>
            </w:tabs>
            <w:spacing w:line="240" w:lineRule="auto" w:before="135" w:after="0"/>
            <w:ind w:left="1130" w:right="0" w:hanging="568"/>
            <w:jc w:val="left"/>
          </w:pPr>
          <w:hyperlink w:history="true" w:anchor="_bookmark24">
            <w:r>
              <w:rPr/>
              <w:t>Dataindsamling fra private virksomheder</w:t>
            </w:r>
            <w:r>
              <w:rPr>
                <w:spacing w:val="-2"/>
              </w:rPr>
              <w:t> </w:t>
            </w:r>
            <w:r>
              <w:rPr/>
              <w:t>og</w:t>
            </w:r>
            <w:r>
              <w:rPr>
                <w:spacing w:val="1"/>
              </w:rPr>
              <w:t> </w:t>
            </w:r>
            <w:r>
              <w:rPr/>
              <w:t>forsyningsselskaber</w:t>
              <w:tab/>
              <w:t>21</w:t>
            </w:r>
          </w:hyperlink>
        </w:p>
        <w:p>
          <w:pPr>
            <w:pStyle w:val="TOC3"/>
            <w:numPr>
              <w:ilvl w:val="2"/>
              <w:numId w:val="1"/>
            </w:numPr>
            <w:tabs>
              <w:tab w:pos="1131" w:val="left" w:leader="none"/>
              <w:tab w:pos="9732" w:val="right" w:leader="dot"/>
            </w:tabs>
            <w:spacing w:line="240" w:lineRule="auto" w:before="133" w:after="0"/>
            <w:ind w:left="1130" w:right="0" w:hanging="568"/>
            <w:jc w:val="left"/>
          </w:pPr>
          <w:hyperlink w:history="true" w:anchor="_bookmark27">
            <w:r>
              <w:rPr/>
              <w:t>Dataindsamling fra offentlige</w:t>
            </w:r>
            <w:r>
              <w:rPr>
                <w:spacing w:val="-2"/>
              </w:rPr>
              <w:t> </w:t>
            </w:r>
            <w:r>
              <w:rPr/>
              <w:t>myndigheder</w:t>
              <w:tab/>
              <w:t>23</w:t>
            </w:r>
          </w:hyperlink>
        </w:p>
        <w:p>
          <w:pPr>
            <w:pStyle w:val="TOC3"/>
            <w:numPr>
              <w:ilvl w:val="2"/>
              <w:numId w:val="1"/>
            </w:numPr>
            <w:tabs>
              <w:tab w:pos="1131" w:val="left" w:leader="none"/>
              <w:tab w:pos="9732" w:val="right" w:leader="dot"/>
            </w:tabs>
            <w:spacing w:line="240" w:lineRule="auto" w:before="133" w:after="0"/>
            <w:ind w:left="1130" w:right="0" w:hanging="568"/>
            <w:jc w:val="left"/>
          </w:pPr>
          <w:hyperlink w:history="true" w:anchor="_bookmark30">
            <w:r>
              <w:rPr/>
              <w:t>Datakvalitet</w:t>
              <w:tab/>
              <w:t>24</w:t>
            </w:r>
          </w:hyperlink>
        </w:p>
        <w:p>
          <w:pPr>
            <w:pStyle w:val="TOC2"/>
            <w:numPr>
              <w:ilvl w:val="1"/>
              <w:numId w:val="1"/>
            </w:numPr>
            <w:tabs>
              <w:tab w:pos="957" w:val="left" w:leader="none"/>
              <w:tab w:pos="958" w:val="left" w:leader="none"/>
              <w:tab w:pos="9732" w:val="right" w:leader="dot"/>
            </w:tabs>
            <w:spacing w:line="240" w:lineRule="auto" w:before="231" w:after="0"/>
            <w:ind w:left="958" w:right="0" w:hanging="567"/>
            <w:jc w:val="left"/>
          </w:pPr>
          <w:r>
            <w:rPr/>
            <w:pict>
              <v:line style="position:absolute;mso-position-horizontal-relative:page;mso-position-vertical-relative:paragraph;z-index:1288" from="75.143997pt,6.559933pt" to="545.859997pt,6.559933pt" stroked="true" strokeweight=".96pt" strokecolor="#a21f1f">
                <v:stroke dashstyle="shortdot"/>
                <w10:wrap type="none"/>
              </v:line>
            </w:pict>
          </w:r>
          <w:r>
            <w:rPr/>
            <w:pict>
              <v:line style="position:absolute;mso-position-horizontal-relative:page;mso-position-vertical-relative:paragraph;z-index:1312" from="69.503998pt,29.479939pt" to="545.853998pt,29.479939pt" stroked="true" strokeweight=".95999pt" strokecolor="#a21f1f">
                <v:stroke dashstyle="solid"/>
                <w10:wrap type="none"/>
              </v:line>
            </w:pict>
          </w:r>
          <w:hyperlink w:history="true" w:anchor="_bookmark33">
            <w:r>
              <w:rPr/>
              <w:t>Kvalitativ</w:t>
            </w:r>
            <w:r>
              <w:rPr>
                <w:spacing w:val="-2"/>
              </w:rPr>
              <w:t> </w:t>
            </w:r>
            <w:r>
              <w:rPr/>
              <w:t>dataindsamling</w:t>
              <w:tab/>
              <w:t>26</w:t>
            </w:r>
          </w:hyperlink>
        </w:p>
        <w:p>
          <w:pPr>
            <w:pStyle w:val="TOC1"/>
            <w:numPr>
              <w:ilvl w:val="0"/>
              <w:numId w:val="1"/>
            </w:numPr>
            <w:tabs>
              <w:tab w:pos="845" w:val="left" w:leader="none"/>
              <w:tab w:pos="846" w:val="left" w:leader="none"/>
              <w:tab w:pos="9734" w:val="right" w:leader="dot"/>
            </w:tabs>
            <w:spacing w:line="240" w:lineRule="auto" w:before="231" w:after="0"/>
            <w:ind w:left="845" w:right="0" w:hanging="567"/>
            <w:jc w:val="left"/>
          </w:pPr>
          <w:r>
            <w:rPr/>
            <w:pict>
              <v:line style="position:absolute;mso-position-horizontal-relative:page;mso-position-vertical-relative:paragraph;z-index:1336" from="75.143997pt,29.59992pt" to="545.859997pt,29.59992pt" stroked="true" strokeweight=".96pt" strokecolor="#a21f1f">
                <v:stroke dashstyle="shortdot"/>
                <w10:wrap type="none"/>
              </v:line>
            </w:pict>
          </w:r>
          <w:hyperlink w:history="true" w:anchor="_bookmark34">
            <w:r>
              <w:rPr/>
              <w:t>Kortlægning og opgørelse af anvendelsen af</w:t>
            </w:r>
            <w:r>
              <w:rPr>
                <w:spacing w:val="-8"/>
              </w:rPr>
              <w:t> </w:t>
            </w:r>
            <w:r>
              <w:rPr/>
              <w:t>frie</w:t>
            </w:r>
            <w:r>
              <w:rPr>
                <w:spacing w:val="1"/>
              </w:rPr>
              <w:t> </w:t>
            </w:r>
            <w:r>
              <w:rPr/>
              <w:t>geodata</w:t>
              <w:tab/>
              <w:t>28</w:t>
            </w:r>
          </w:hyperlink>
        </w:p>
        <w:p>
          <w:pPr>
            <w:pStyle w:val="TOC2"/>
            <w:numPr>
              <w:ilvl w:val="1"/>
              <w:numId w:val="1"/>
            </w:numPr>
            <w:tabs>
              <w:tab w:pos="566" w:val="left" w:leader="none"/>
              <w:tab w:pos="958" w:val="left" w:leader="none"/>
              <w:tab w:pos="9119" w:val="left" w:leader="dot"/>
            </w:tabs>
            <w:spacing w:line="240" w:lineRule="auto" w:before="234" w:after="0"/>
            <w:ind w:left="958" w:right="639" w:hanging="567"/>
            <w:jc w:val="left"/>
          </w:pPr>
          <w:hyperlink w:history="true" w:anchor="_bookmark35">
            <w:r>
              <w:rPr/>
              <w:t>Effekter af de frie geodata i den</w:t>
            </w:r>
            <w:r>
              <w:rPr>
                <w:spacing w:val="-19"/>
              </w:rPr>
              <w:t> </w:t>
            </w:r>
            <w:r>
              <w:rPr/>
              <w:t>private</w:t>
            </w:r>
            <w:r>
              <w:rPr>
                <w:spacing w:val="-4"/>
              </w:rPr>
              <w:t> </w:t>
            </w:r>
            <w:r>
              <w:rPr/>
              <w:t>sektor</w:t>
              <w:tab/>
              <w:t>29</w:t>
            </w:r>
          </w:hyperlink>
        </w:p>
        <w:p>
          <w:pPr>
            <w:pStyle w:val="TOC3"/>
            <w:numPr>
              <w:ilvl w:val="2"/>
              <w:numId w:val="1"/>
            </w:numPr>
            <w:tabs>
              <w:tab w:pos="1131" w:val="left" w:leader="none"/>
              <w:tab w:pos="9503" w:val="left" w:leader="dot"/>
            </w:tabs>
            <w:spacing w:line="240" w:lineRule="auto" w:before="135" w:after="0"/>
            <w:ind w:left="1130" w:right="0" w:hanging="568"/>
            <w:jc w:val="left"/>
          </w:pPr>
          <w:hyperlink w:history="true" w:anchor="_bookmark37">
            <w:r>
              <w:rPr/>
              <w:t>Anvendelse af geodata til interne arbejdsprocesser samt produkter</w:t>
            </w:r>
            <w:r>
              <w:rPr>
                <w:spacing w:val="-33"/>
              </w:rPr>
              <w:t> </w:t>
            </w:r>
            <w:r>
              <w:rPr/>
              <w:t>og</w:t>
            </w:r>
            <w:r>
              <w:rPr>
                <w:spacing w:val="-5"/>
              </w:rPr>
              <w:t> </w:t>
            </w:r>
            <w:r>
              <w:rPr/>
              <w:t>ydelser</w:t>
              <w:tab/>
              <w:t>30</w:t>
            </w:r>
          </w:hyperlink>
        </w:p>
        <w:p>
          <w:pPr>
            <w:pStyle w:val="TOC3"/>
            <w:numPr>
              <w:ilvl w:val="2"/>
              <w:numId w:val="1"/>
            </w:numPr>
            <w:tabs>
              <w:tab w:pos="1131" w:val="left" w:leader="none"/>
              <w:tab w:pos="9515" w:val="left" w:leader="dot"/>
            </w:tabs>
            <w:spacing w:line="240" w:lineRule="auto" w:before="133" w:after="0"/>
            <w:ind w:left="1130" w:right="0" w:hanging="568"/>
            <w:jc w:val="left"/>
          </w:pPr>
          <w:hyperlink w:history="true" w:anchor="_bookmark41">
            <w:r>
              <w:rPr/>
              <w:t>Betydning af geodata for omsætning, innovation og</w:t>
            </w:r>
            <w:r>
              <w:rPr>
                <w:spacing w:val="-26"/>
              </w:rPr>
              <w:t> </w:t>
            </w:r>
            <w:r>
              <w:rPr/>
              <w:t>interne</w:t>
            </w:r>
            <w:r>
              <w:rPr>
                <w:spacing w:val="-4"/>
              </w:rPr>
              <w:t> </w:t>
            </w:r>
            <w:r>
              <w:rPr/>
              <w:t>arbejdsprocesser</w:t>
              <w:tab/>
              <w:t>33</w:t>
            </w:r>
          </w:hyperlink>
        </w:p>
        <w:p>
          <w:pPr>
            <w:pStyle w:val="TOC2"/>
            <w:numPr>
              <w:ilvl w:val="1"/>
              <w:numId w:val="1"/>
            </w:numPr>
            <w:tabs>
              <w:tab w:pos="566" w:val="left" w:leader="none"/>
              <w:tab w:pos="958" w:val="left" w:leader="none"/>
              <w:tab w:pos="9133" w:val="left" w:leader="dot"/>
            </w:tabs>
            <w:spacing w:line="240" w:lineRule="auto" w:before="231" w:after="0"/>
            <w:ind w:left="958" w:right="636" w:hanging="567"/>
            <w:jc w:val="left"/>
          </w:pPr>
          <w:r>
            <w:rPr/>
            <w:pict>
              <v:line style="position:absolute;mso-position-horizontal-relative:page;mso-position-vertical-relative:paragraph;z-index:1360" from="75.143997pt,6.559917pt" to="545.859997pt,6.559917pt" stroked="true" strokeweight=".96pt" strokecolor="#a21f1f">
                <v:stroke dashstyle="shortdot"/>
                <w10:wrap type="none"/>
              </v:line>
            </w:pict>
          </w:r>
          <w:hyperlink w:history="true" w:anchor="_bookmark47">
            <w:r>
              <w:rPr/>
              <w:t>Effekterne af frie geodata</w:t>
            </w:r>
            <w:r>
              <w:rPr>
                <w:spacing w:val="-18"/>
              </w:rPr>
              <w:t> </w:t>
            </w:r>
            <w:r>
              <w:rPr/>
              <w:t>i</w:t>
            </w:r>
            <w:r>
              <w:rPr>
                <w:spacing w:val="-3"/>
              </w:rPr>
              <w:t> </w:t>
            </w:r>
            <w:r>
              <w:rPr/>
              <w:t>forsyningssektoren</w:t>
              <w:tab/>
              <w:t>37</w:t>
            </w:r>
          </w:hyperlink>
        </w:p>
        <w:p>
          <w:pPr>
            <w:pStyle w:val="TOC3"/>
            <w:numPr>
              <w:ilvl w:val="2"/>
              <w:numId w:val="1"/>
            </w:numPr>
            <w:tabs>
              <w:tab w:pos="1131" w:val="left" w:leader="none"/>
              <w:tab w:pos="9525" w:val="left" w:leader="dot"/>
            </w:tabs>
            <w:spacing w:line="240" w:lineRule="auto" w:before="133" w:after="0"/>
            <w:ind w:left="1130" w:right="0" w:hanging="568"/>
            <w:jc w:val="left"/>
          </w:pPr>
          <w:hyperlink w:history="true" w:anchor="_bookmark48">
            <w:r>
              <w:rPr/>
              <w:t>Anvendelse af geodata til produkter</w:t>
            </w:r>
            <w:r>
              <w:rPr>
                <w:spacing w:val="-16"/>
              </w:rPr>
              <w:t> </w:t>
            </w:r>
            <w:r>
              <w:rPr/>
              <w:t>og</w:t>
            </w:r>
            <w:r>
              <w:rPr>
                <w:spacing w:val="-3"/>
              </w:rPr>
              <w:t> </w:t>
            </w:r>
            <w:r>
              <w:rPr/>
              <w:t>ydelser</w:t>
              <w:tab/>
              <w:t>37</w:t>
            </w:r>
          </w:hyperlink>
        </w:p>
        <w:p>
          <w:pPr>
            <w:pStyle w:val="TOC3"/>
            <w:numPr>
              <w:ilvl w:val="2"/>
              <w:numId w:val="1"/>
            </w:numPr>
            <w:tabs>
              <w:tab w:pos="1131" w:val="left" w:leader="none"/>
              <w:tab w:pos="9501" w:val="left" w:leader="dot"/>
            </w:tabs>
            <w:spacing w:line="240" w:lineRule="auto" w:before="132" w:after="0"/>
            <w:ind w:left="1130" w:right="0" w:hanging="568"/>
            <w:jc w:val="left"/>
          </w:pPr>
          <w:hyperlink w:history="true" w:anchor="_bookmark52">
            <w:r>
              <w:rPr/>
              <w:t>Betydning af geodata for omsætning, innovation og</w:t>
            </w:r>
            <w:r>
              <w:rPr>
                <w:spacing w:val="-26"/>
              </w:rPr>
              <w:t> </w:t>
            </w:r>
            <w:r>
              <w:rPr/>
              <w:t>interne</w:t>
            </w:r>
            <w:r>
              <w:rPr>
                <w:spacing w:val="-4"/>
              </w:rPr>
              <w:t> </w:t>
            </w:r>
            <w:r>
              <w:rPr/>
              <w:t>arbejdsprocesser</w:t>
              <w:tab/>
              <w:t>40</w:t>
            </w:r>
          </w:hyperlink>
        </w:p>
        <w:p>
          <w:pPr>
            <w:pStyle w:val="TOC2"/>
            <w:numPr>
              <w:ilvl w:val="1"/>
              <w:numId w:val="1"/>
            </w:numPr>
            <w:tabs>
              <w:tab w:pos="566" w:val="left" w:leader="none"/>
              <w:tab w:pos="958" w:val="left" w:leader="none"/>
              <w:tab w:pos="9119" w:val="left" w:leader="dot"/>
            </w:tabs>
            <w:spacing w:line="240" w:lineRule="auto" w:before="231" w:after="0"/>
            <w:ind w:left="958" w:right="636" w:hanging="567"/>
            <w:jc w:val="left"/>
          </w:pPr>
          <w:r>
            <w:rPr/>
            <w:pict>
              <v:line style="position:absolute;mso-position-horizontal-relative:page;mso-position-vertical-relative:paragraph;z-index:1384" from="75.143997pt,6.559919pt" to="545.859997pt,6.559919pt" stroked="true" strokeweight=".96pt" strokecolor="#a21f1f">
                <v:stroke dashstyle="shortdot"/>
                <w10:wrap type="none"/>
              </v:line>
            </w:pict>
          </w:r>
          <w:hyperlink w:history="true" w:anchor="_bookmark58">
            <w:r>
              <w:rPr/>
              <w:t>Effekterne af de frie geodata i den</w:t>
            </w:r>
            <w:r>
              <w:rPr>
                <w:spacing w:val="-26"/>
              </w:rPr>
              <w:t> </w:t>
            </w:r>
            <w:r>
              <w:rPr/>
              <w:t>offentlige</w:t>
            </w:r>
            <w:r>
              <w:rPr>
                <w:spacing w:val="-3"/>
              </w:rPr>
              <w:t> </w:t>
            </w:r>
            <w:r>
              <w:rPr/>
              <w:t>sektor</w:t>
              <w:tab/>
              <w:t>44</w:t>
            </w:r>
          </w:hyperlink>
        </w:p>
        <w:p>
          <w:pPr>
            <w:pStyle w:val="TOC3"/>
            <w:numPr>
              <w:ilvl w:val="2"/>
              <w:numId w:val="1"/>
            </w:numPr>
            <w:tabs>
              <w:tab w:pos="1131" w:val="left" w:leader="none"/>
              <w:tab w:pos="9510" w:val="left" w:leader="dot"/>
            </w:tabs>
            <w:spacing w:line="240" w:lineRule="auto" w:before="136" w:after="0"/>
            <w:ind w:left="1130" w:right="0" w:hanging="568"/>
            <w:jc w:val="left"/>
          </w:pPr>
          <w:hyperlink w:history="true" w:anchor="_bookmark59">
            <w:r>
              <w:rPr/>
              <w:t>Anvendelse af geodata i</w:t>
            </w:r>
            <w:r>
              <w:rPr>
                <w:spacing w:val="-20"/>
              </w:rPr>
              <w:t> </w:t>
            </w:r>
            <w:r>
              <w:rPr/>
              <w:t>myndighedernes</w:t>
            </w:r>
            <w:r>
              <w:rPr>
                <w:spacing w:val="-5"/>
              </w:rPr>
              <w:t> </w:t>
            </w:r>
            <w:r>
              <w:rPr/>
              <w:t>opgavevaretagelse</w:t>
              <w:tab/>
              <w:t>44</w:t>
            </w:r>
          </w:hyperlink>
        </w:p>
        <w:p>
          <w:pPr>
            <w:pStyle w:val="TOC3"/>
            <w:numPr>
              <w:ilvl w:val="2"/>
              <w:numId w:val="1"/>
            </w:numPr>
            <w:tabs>
              <w:tab w:pos="1131" w:val="left" w:leader="none"/>
              <w:tab w:pos="9508" w:val="left" w:leader="dot"/>
            </w:tabs>
            <w:spacing w:line="240" w:lineRule="auto" w:before="133" w:after="0"/>
            <w:ind w:left="1130" w:right="0" w:hanging="568"/>
            <w:jc w:val="left"/>
          </w:pPr>
          <w:hyperlink w:history="true" w:anchor="_bookmark65">
            <w:r>
              <w:rPr/>
              <w:t>Betydning af geodata for</w:t>
            </w:r>
            <w:r>
              <w:rPr>
                <w:spacing w:val="-17"/>
              </w:rPr>
              <w:t> </w:t>
            </w:r>
            <w:r>
              <w:rPr/>
              <w:t>interne</w:t>
            </w:r>
            <w:r>
              <w:rPr>
                <w:spacing w:val="-5"/>
              </w:rPr>
              <w:t> </w:t>
            </w:r>
            <w:r>
              <w:rPr/>
              <w:t>arbejdsprocesser</w:t>
              <w:tab/>
              <w:t>50</w:t>
            </w:r>
          </w:hyperlink>
        </w:p>
        <w:p>
          <w:pPr>
            <w:pStyle w:val="TOC1"/>
            <w:numPr>
              <w:ilvl w:val="0"/>
              <w:numId w:val="1"/>
            </w:numPr>
            <w:tabs>
              <w:tab w:pos="845" w:val="left" w:leader="none"/>
              <w:tab w:pos="846" w:val="left" w:leader="none"/>
              <w:tab w:pos="9544" w:val="left" w:leader="dot"/>
            </w:tabs>
            <w:spacing w:line="240" w:lineRule="auto" w:before="231" w:after="0"/>
            <w:ind w:left="845" w:right="0" w:hanging="567"/>
            <w:jc w:val="left"/>
          </w:pPr>
          <w:r>
            <w:rPr/>
            <w:pict>
              <v:line style="position:absolute;mso-position-horizontal-relative:page;mso-position-vertical-relative:paragraph;z-index:1408" from="69.503998pt,6.559917pt" to="545.853998pt,6.559917pt" stroked="true" strokeweight=".96002pt" strokecolor="#a21f1f">
                <v:stroke dashstyle="solid"/>
                <w10:wrap type="none"/>
              </v:line>
            </w:pict>
          </w:r>
          <w:r>
            <w:rPr/>
            <w:pict>
              <v:line style="position:absolute;mso-position-horizontal-relative:page;mso-position-vertical-relative:paragraph;z-index:1432" from="75.143997pt,29.599928pt" to="545.859997pt,29.599928pt" stroked="true" strokeweight=".96pt" strokecolor="#a21f1f">
                <v:stroke dashstyle="shortdot"/>
                <w10:wrap type="none"/>
              </v:line>
            </w:pict>
          </w:r>
          <w:hyperlink w:history="true" w:anchor="_bookmark67">
            <w:r>
              <w:rPr/>
              <w:t>Økonomiske effekter af de frie geodata</w:t>
            </w:r>
            <w:r>
              <w:rPr>
                <w:spacing w:val="-19"/>
              </w:rPr>
              <w:t> </w:t>
            </w:r>
            <w:r>
              <w:rPr/>
              <w:t>i</w:t>
            </w:r>
            <w:r>
              <w:rPr>
                <w:spacing w:val="-3"/>
              </w:rPr>
              <w:t> </w:t>
            </w:r>
            <w:r>
              <w:rPr/>
              <w:t>2016</w:t>
              <w:tab/>
              <w:t>51</w:t>
            </w:r>
          </w:hyperlink>
        </w:p>
        <w:p>
          <w:pPr>
            <w:pStyle w:val="TOC2"/>
            <w:numPr>
              <w:ilvl w:val="1"/>
              <w:numId w:val="1"/>
            </w:numPr>
            <w:tabs>
              <w:tab w:pos="957" w:val="left" w:leader="none"/>
              <w:tab w:pos="958" w:val="left" w:leader="none"/>
              <w:tab w:pos="9736" w:val="right" w:leader="dot"/>
            </w:tabs>
            <w:spacing w:line="240" w:lineRule="auto" w:before="234" w:after="0"/>
            <w:ind w:left="958" w:right="0" w:hanging="567"/>
            <w:jc w:val="left"/>
          </w:pPr>
          <w:hyperlink w:history="true" w:anchor="_bookmark69">
            <w:r>
              <w:rPr/>
              <w:t>Markedseffekten i</w:t>
            </w:r>
            <w:r>
              <w:rPr>
                <w:spacing w:val="-2"/>
              </w:rPr>
              <w:t> </w:t>
            </w:r>
            <w:r>
              <w:rPr/>
              <w:t>private</w:t>
            </w:r>
            <w:r>
              <w:rPr>
                <w:spacing w:val="1"/>
              </w:rPr>
              <w:t> </w:t>
            </w:r>
            <w:r>
              <w:rPr/>
              <w:t>virksomheder</w:t>
              <w:tab/>
              <w:t>53</w:t>
            </w:r>
          </w:hyperlink>
        </w:p>
        <w:p>
          <w:pPr>
            <w:pStyle w:val="TOC2"/>
            <w:numPr>
              <w:ilvl w:val="1"/>
              <w:numId w:val="1"/>
            </w:numPr>
            <w:tabs>
              <w:tab w:pos="957" w:val="left" w:leader="none"/>
              <w:tab w:pos="958" w:val="left" w:leader="none"/>
              <w:tab w:pos="9736" w:val="right" w:leader="dot"/>
            </w:tabs>
            <w:spacing w:line="240" w:lineRule="auto" w:before="132" w:after="20"/>
            <w:ind w:left="958" w:right="0" w:hanging="567"/>
            <w:jc w:val="left"/>
          </w:pPr>
          <w:hyperlink w:history="true" w:anchor="_bookmark74">
            <w:r>
              <w:rPr/>
              <w:t>Beskæftigelseseffekten i</w:t>
            </w:r>
            <w:r>
              <w:rPr>
                <w:spacing w:val="-2"/>
              </w:rPr>
              <w:t> </w:t>
            </w:r>
            <w:r>
              <w:rPr/>
              <w:t>private</w:t>
            </w:r>
            <w:r>
              <w:rPr>
                <w:spacing w:val="-1"/>
              </w:rPr>
              <w:t> </w:t>
            </w:r>
            <w:r>
              <w:rPr/>
              <w:t>virksomheder</w:t>
              <w:tab/>
              <w:t>56</w:t>
            </w:r>
          </w:hyperlink>
        </w:p>
        <w:p>
          <w:pPr>
            <w:pStyle w:val="TOC2"/>
            <w:numPr>
              <w:ilvl w:val="1"/>
              <w:numId w:val="1"/>
            </w:numPr>
            <w:tabs>
              <w:tab w:pos="957" w:val="left" w:leader="none"/>
              <w:tab w:pos="958" w:val="left" w:leader="none"/>
              <w:tab w:pos="9735" w:val="right" w:leader="dot"/>
            </w:tabs>
            <w:spacing w:line="240" w:lineRule="auto" w:before="345" w:after="0"/>
            <w:ind w:left="958" w:right="0" w:hanging="567"/>
            <w:jc w:val="left"/>
          </w:pPr>
          <w:r>
            <w:rPr/>
            <w:pict>
              <v:group style="position:absolute;margin-left:70.944pt;margin-top:.499897pt;width:474.95pt;height:12.25pt;mso-position-horizontal-relative:page;mso-position-vertical-relative:paragraph;z-index:1456" coordorigin="1419,10" coordsize="9499,245">
                <v:line style="position:absolute" from="1433,17" to="10888,17" stroked="true" strokeweight=".72pt" strokecolor="#a21f1f">
                  <v:stroke dashstyle="solid"/>
                </v:line>
                <v:line style="position:absolute" from="1426,10" to="1426,236" stroked="true" strokeweight=".72pt" strokecolor="#a21f1f">
                  <v:stroke dashstyle="solid"/>
                </v:line>
                <v:line style="position:absolute" from="1503,245" to="10917,245" stroked="true" strokeweight=".96pt" strokecolor="#a21f1f">
                  <v:stroke dashstyle="shortdot"/>
                </v:line>
                <w10:wrap type="none"/>
              </v:group>
            </w:pict>
          </w:r>
          <w:hyperlink w:history="true" w:anchor="_bookmark77">
            <w:r>
              <w:rPr/>
              <w:t>Effektiviseringseffekten i private virksomheder, forsyningsselskaber og</w:t>
            </w:r>
            <w:r>
              <w:rPr>
                <w:spacing w:val="-32"/>
              </w:rPr>
              <w:t> </w:t>
            </w:r>
            <w:r>
              <w:rPr/>
              <w:t>offentlige</w:t>
            </w:r>
            <w:r>
              <w:rPr>
                <w:spacing w:val="-4"/>
              </w:rPr>
              <w:t> </w:t>
            </w:r>
            <w:r>
              <w:rPr/>
              <w:t>myndigheder</w:t>
              <w:tab/>
              <w:t>57</w:t>
            </w:r>
          </w:hyperlink>
        </w:p>
        <w:p>
          <w:pPr>
            <w:pStyle w:val="TOC3"/>
            <w:numPr>
              <w:ilvl w:val="2"/>
              <w:numId w:val="1"/>
            </w:numPr>
            <w:tabs>
              <w:tab w:pos="1131" w:val="left" w:leader="none"/>
              <w:tab w:pos="9735" w:val="right" w:leader="dot"/>
            </w:tabs>
            <w:spacing w:line="240" w:lineRule="auto" w:before="135" w:after="0"/>
            <w:ind w:left="1130" w:right="0" w:hanging="568"/>
            <w:jc w:val="left"/>
          </w:pPr>
          <w:hyperlink w:history="true" w:anchor="_bookmark78">
            <w:r>
              <w:rPr/>
              <w:t>Effektiviseringseffekten i</w:t>
            </w:r>
            <w:r>
              <w:rPr>
                <w:spacing w:val="1"/>
              </w:rPr>
              <w:t> </w:t>
            </w:r>
            <w:r>
              <w:rPr/>
              <w:t>private</w:t>
            </w:r>
            <w:r>
              <w:rPr>
                <w:spacing w:val="-2"/>
              </w:rPr>
              <w:t> </w:t>
            </w:r>
            <w:r>
              <w:rPr/>
              <w:t>virksomheder</w:t>
              <w:tab/>
              <w:t>57</w:t>
            </w:r>
          </w:hyperlink>
        </w:p>
        <w:p>
          <w:pPr>
            <w:pStyle w:val="TOC3"/>
            <w:numPr>
              <w:ilvl w:val="2"/>
              <w:numId w:val="1"/>
            </w:numPr>
            <w:tabs>
              <w:tab w:pos="1131" w:val="left" w:leader="none"/>
              <w:tab w:pos="9736" w:val="right" w:leader="dot"/>
            </w:tabs>
            <w:spacing w:line="240" w:lineRule="auto" w:before="133" w:after="0"/>
            <w:ind w:left="1130" w:right="0" w:hanging="568"/>
            <w:jc w:val="left"/>
          </w:pPr>
          <w:hyperlink w:history="true" w:anchor="_bookmark80">
            <w:r>
              <w:rPr/>
              <w:t>Effektiviseringseffekten</w:t>
            </w:r>
            <w:r>
              <w:rPr>
                <w:spacing w:val="-2"/>
              </w:rPr>
              <w:t> </w:t>
            </w:r>
            <w:r>
              <w:rPr/>
              <w:t>i forsyningsselskaber</w:t>
              <w:tab/>
              <w:t>59</w:t>
            </w:r>
          </w:hyperlink>
        </w:p>
        <w:p>
          <w:pPr>
            <w:pStyle w:val="TOC3"/>
            <w:numPr>
              <w:ilvl w:val="2"/>
              <w:numId w:val="1"/>
            </w:numPr>
            <w:tabs>
              <w:tab w:pos="1131" w:val="left" w:leader="none"/>
              <w:tab w:pos="9736" w:val="right" w:leader="dot"/>
            </w:tabs>
            <w:spacing w:line="240" w:lineRule="auto" w:before="133" w:after="0"/>
            <w:ind w:left="1130" w:right="0" w:hanging="568"/>
            <w:jc w:val="left"/>
          </w:pPr>
          <w:hyperlink w:history="true" w:anchor="_bookmark82">
            <w:r>
              <w:rPr/>
              <w:t>Effektiviseringseffekten i</w:t>
            </w:r>
            <w:r>
              <w:rPr>
                <w:spacing w:val="-4"/>
              </w:rPr>
              <w:t> </w:t>
            </w:r>
            <w:r>
              <w:rPr/>
              <w:t>offentlige myndigheder</w:t>
              <w:tab/>
              <w:t>60</w:t>
            </w:r>
          </w:hyperlink>
        </w:p>
        <w:p>
          <w:pPr>
            <w:pStyle w:val="TOC1"/>
            <w:numPr>
              <w:ilvl w:val="0"/>
              <w:numId w:val="1"/>
            </w:numPr>
            <w:tabs>
              <w:tab w:pos="845" w:val="left" w:leader="none"/>
              <w:tab w:pos="846" w:val="left" w:leader="none"/>
              <w:tab w:pos="9735" w:val="right" w:leader="dot"/>
            </w:tabs>
            <w:spacing w:line="240" w:lineRule="auto" w:before="231" w:after="0"/>
            <w:ind w:left="845" w:right="0" w:hanging="567"/>
            <w:jc w:val="left"/>
          </w:pPr>
          <w:r>
            <w:rPr/>
            <w:pict>
              <v:line style="position:absolute;mso-position-horizontal-relative:page;mso-position-vertical-relative:paragraph;z-index:1480" from="69.503998pt,6.559905pt" to="545.853998pt,6.559905pt" stroked="true" strokeweight=".95999pt" strokecolor="#a21f1f">
                <v:stroke dashstyle="solid"/>
                <w10:wrap type="none"/>
              </v:line>
            </w:pict>
          </w:r>
          <w:r>
            <w:rPr/>
            <w:pict>
              <v:line style="position:absolute;mso-position-horizontal-relative:page;mso-position-vertical-relative:paragraph;z-index:1504" from="75.143997pt,29.599899pt" to="545.859997pt,29.599899pt" stroked="true" strokeweight=".96pt" strokecolor="#a21f1f">
                <v:stroke dashstyle="shortdot"/>
                <w10:wrap type="none"/>
              </v:line>
            </w:pict>
          </w:r>
          <w:hyperlink w:history="true" w:anchor="_bookmark85">
            <w:r>
              <w:rPr/>
              <w:t>Samfundsøkonomisk værdi af de</w:t>
            </w:r>
            <w:r>
              <w:rPr>
                <w:spacing w:val="-1"/>
              </w:rPr>
              <w:t> </w:t>
            </w:r>
            <w:r>
              <w:rPr/>
              <w:t>frie geodata</w:t>
              <w:tab/>
              <w:t>63</w:t>
            </w:r>
          </w:hyperlink>
        </w:p>
        <w:p>
          <w:pPr>
            <w:pStyle w:val="TOC2"/>
            <w:numPr>
              <w:ilvl w:val="1"/>
              <w:numId w:val="1"/>
            </w:numPr>
            <w:tabs>
              <w:tab w:pos="957" w:val="left" w:leader="none"/>
              <w:tab w:pos="958" w:val="left" w:leader="none"/>
              <w:tab w:pos="9735" w:val="right" w:leader="dot"/>
            </w:tabs>
            <w:spacing w:line="240" w:lineRule="auto" w:before="233" w:after="0"/>
            <w:ind w:left="958" w:right="0" w:hanging="567"/>
            <w:jc w:val="left"/>
          </w:pPr>
          <w:hyperlink w:history="true" w:anchor="_bookmark86">
            <w:r>
              <w:rPr/>
              <w:t>Produktionseffekt</w:t>
            </w:r>
            <w:r>
              <w:rPr>
                <w:spacing w:val="-1"/>
              </w:rPr>
              <w:t> </w:t>
            </w:r>
            <w:r>
              <w:rPr/>
              <w:t>(værditilvækst)</w:t>
              <w:tab/>
              <w:t>63</w:t>
            </w:r>
          </w:hyperlink>
        </w:p>
        <w:p>
          <w:pPr>
            <w:pStyle w:val="TOC2"/>
            <w:numPr>
              <w:ilvl w:val="1"/>
              <w:numId w:val="1"/>
            </w:numPr>
            <w:tabs>
              <w:tab w:pos="957" w:val="left" w:leader="none"/>
              <w:tab w:pos="958" w:val="left" w:leader="none"/>
              <w:tab w:pos="9736" w:val="right" w:leader="dot"/>
            </w:tabs>
            <w:spacing w:line="240" w:lineRule="auto" w:before="133" w:after="0"/>
            <w:ind w:left="958" w:right="0" w:hanging="567"/>
            <w:jc w:val="left"/>
          </w:pPr>
          <w:hyperlink w:history="true" w:anchor="_bookmark88">
            <w:r>
              <w:rPr/>
              <w:t>Effektiviseringseffekter</w:t>
              <w:tab/>
              <w:t>65</w:t>
            </w:r>
          </w:hyperlink>
        </w:p>
        <w:p>
          <w:pPr>
            <w:pStyle w:val="TOC2"/>
            <w:numPr>
              <w:ilvl w:val="1"/>
              <w:numId w:val="1"/>
            </w:numPr>
            <w:tabs>
              <w:tab w:pos="957" w:val="left" w:leader="none"/>
              <w:tab w:pos="958" w:val="left" w:leader="none"/>
              <w:tab w:pos="9736" w:val="right" w:leader="dot"/>
            </w:tabs>
            <w:spacing w:line="240" w:lineRule="auto" w:before="133" w:after="0"/>
            <w:ind w:left="958" w:right="0" w:hanging="567"/>
            <w:jc w:val="left"/>
          </w:pPr>
          <w:hyperlink w:history="true" w:anchor="_bookmark89">
            <w:r>
              <w:rPr/>
              <w:t>Velfærdseffekter</w:t>
              <w:tab/>
              <w:t>66</w:t>
            </w:r>
          </w:hyperlink>
        </w:p>
        <w:p>
          <w:pPr>
            <w:pStyle w:val="TOC1"/>
            <w:numPr>
              <w:ilvl w:val="0"/>
              <w:numId w:val="1"/>
            </w:numPr>
            <w:tabs>
              <w:tab w:pos="845" w:val="left" w:leader="none"/>
              <w:tab w:pos="846" w:val="left" w:leader="none"/>
              <w:tab w:pos="9735" w:val="right" w:leader="dot"/>
            </w:tabs>
            <w:spacing w:line="240" w:lineRule="auto" w:before="231" w:after="0"/>
            <w:ind w:left="845" w:right="0" w:hanging="567"/>
            <w:jc w:val="left"/>
          </w:pPr>
          <w:r>
            <w:rPr/>
            <w:pict>
              <v:line style="position:absolute;mso-position-horizontal-relative:page;mso-position-vertical-relative:paragraph;z-index:1528" from="69.503998pt,6.559934pt" to="545.853998pt,6.559934pt" stroked="true" strokeweight=".96001pt" strokecolor="#a21f1f">
                <v:stroke dashstyle="solid"/>
                <w10:wrap type="none"/>
              </v:line>
            </w:pict>
          </w:r>
          <w:r>
            <w:rPr/>
            <w:pict>
              <v:line style="position:absolute;mso-position-horizontal-relative:page;mso-position-vertical-relative:paragraph;z-index:1552" from="75.143997pt,29.599939pt" to="545.859997pt,29.599939pt" stroked="true" strokeweight=".96pt" strokecolor="#a21f1f">
                <v:stroke dashstyle="shortdot"/>
                <w10:wrap type="none"/>
              </v:line>
            </w:pict>
          </w:r>
          <w:hyperlink w:history="true" w:anchor="_bookmark90">
            <w:r>
              <w:rPr/>
              <w:t>Case-undersøgelser: Eksempler på anvendelse af de</w:t>
            </w:r>
            <w:r>
              <w:rPr>
                <w:spacing w:val="-5"/>
              </w:rPr>
              <w:t> </w:t>
            </w:r>
            <w:r>
              <w:rPr/>
              <w:t>frie</w:t>
            </w:r>
            <w:r>
              <w:rPr>
                <w:spacing w:val="-2"/>
              </w:rPr>
              <w:t> </w:t>
            </w:r>
            <w:r>
              <w:rPr/>
              <w:t>geodata</w:t>
              <w:tab/>
              <w:t>67</w:t>
            </w:r>
          </w:hyperlink>
        </w:p>
        <w:p>
          <w:pPr>
            <w:pStyle w:val="TOC2"/>
            <w:numPr>
              <w:ilvl w:val="1"/>
              <w:numId w:val="1"/>
            </w:numPr>
            <w:tabs>
              <w:tab w:pos="566" w:val="left" w:leader="none"/>
              <w:tab w:pos="958" w:val="left" w:leader="none"/>
              <w:tab w:pos="9111" w:val="left" w:leader="dot"/>
            </w:tabs>
            <w:spacing w:line="240" w:lineRule="auto" w:before="234" w:after="0"/>
            <w:ind w:left="958" w:right="637" w:hanging="567"/>
            <w:jc w:val="left"/>
          </w:pPr>
          <w:hyperlink w:history="true" w:anchor="_bookmark92">
            <w:r>
              <w:rPr/>
              <w:t>Geodata som grundlag</w:t>
            </w:r>
            <w:r>
              <w:rPr>
                <w:spacing w:val="-10"/>
              </w:rPr>
              <w:t> </w:t>
            </w:r>
            <w:r>
              <w:rPr/>
              <w:t>for</w:t>
            </w:r>
            <w:r>
              <w:rPr>
                <w:spacing w:val="-1"/>
              </w:rPr>
              <w:t> </w:t>
            </w:r>
            <w:r>
              <w:rPr/>
              <w:t>klimasikring</w:t>
              <w:tab/>
              <w:t>68</w:t>
            </w:r>
          </w:hyperlink>
        </w:p>
        <w:p>
          <w:pPr>
            <w:pStyle w:val="TOC3"/>
            <w:numPr>
              <w:ilvl w:val="2"/>
              <w:numId w:val="1"/>
            </w:numPr>
            <w:tabs>
              <w:tab w:pos="1131" w:val="left" w:leader="none"/>
              <w:tab w:pos="9510" w:val="left" w:leader="dot"/>
            </w:tabs>
            <w:spacing w:line="240" w:lineRule="auto" w:before="135" w:after="0"/>
            <w:ind w:left="1130" w:right="0" w:hanging="568"/>
            <w:jc w:val="left"/>
          </w:pPr>
          <w:hyperlink w:history="true" w:anchor="_bookmark94">
            <w:r>
              <w:rPr/>
              <w:t>Markedseffekter</w:t>
              <w:tab/>
              <w:t>69</w:t>
            </w:r>
          </w:hyperlink>
        </w:p>
        <w:p>
          <w:pPr>
            <w:pStyle w:val="TOC3"/>
            <w:numPr>
              <w:ilvl w:val="2"/>
              <w:numId w:val="1"/>
            </w:numPr>
            <w:tabs>
              <w:tab w:pos="1131" w:val="left" w:leader="none"/>
              <w:tab w:pos="9513" w:val="left" w:leader="dot"/>
            </w:tabs>
            <w:spacing w:line="240" w:lineRule="auto" w:before="133" w:after="0"/>
            <w:ind w:left="1130" w:right="0" w:hanging="568"/>
            <w:jc w:val="left"/>
          </w:pPr>
          <w:hyperlink w:history="true" w:anchor="_bookmark95">
            <w:r>
              <w:rPr/>
              <w:t>Effektiviseringseffekter</w:t>
              <w:tab/>
              <w:t>70</w:t>
            </w:r>
          </w:hyperlink>
        </w:p>
        <w:p>
          <w:pPr>
            <w:pStyle w:val="TOC2"/>
            <w:numPr>
              <w:ilvl w:val="1"/>
              <w:numId w:val="1"/>
            </w:numPr>
            <w:tabs>
              <w:tab w:pos="566" w:val="left" w:leader="none"/>
              <w:tab w:pos="958" w:val="left" w:leader="none"/>
              <w:tab w:pos="9157" w:val="left" w:leader="dot"/>
            </w:tabs>
            <w:spacing w:line="240" w:lineRule="auto" w:before="231" w:after="0"/>
            <w:ind w:left="958" w:right="636" w:hanging="567"/>
            <w:jc w:val="left"/>
          </w:pPr>
          <w:r>
            <w:rPr/>
            <w:pict>
              <v:line style="position:absolute;mso-position-horizontal-relative:page;mso-position-vertical-relative:paragraph;z-index:1576" from="75.143997pt,6.559893pt" to="545.859997pt,6.559893pt" stroked="true" strokeweight=".96pt" strokecolor="#a21f1f">
                <v:stroke dashstyle="shortdot"/>
                <w10:wrap type="none"/>
              </v:line>
            </w:pict>
          </w:r>
          <w:hyperlink w:history="true" w:anchor="_bookmark96">
            <w:r>
              <w:rPr/>
              <w:t>Geodata som input til</w:t>
            </w:r>
            <w:r>
              <w:rPr>
                <w:spacing w:val="-15"/>
              </w:rPr>
              <w:t> </w:t>
            </w:r>
            <w:r>
              <w:rPr/>
              <w:t>bankers</w:t>
            </w:r>
            <w:r>
              <w:rPr>
                <w:spacing w:val="-4"/>
              </w:rPr>
              <w:t> </w:t>
            </w:r>
            <w:r>
              <w:rPr/>
              <w:t>brancheanalyser</w:t>
              <w:tab/>
              <w:t>71</w:t>
            </w:r>
          </w:hyperlink>
        </w:p>
        <w:p>
          <w:pPr>
            <w:pStyle w:val="TOC3"/>
            <w:numPr>
              <w:ilvl w:val="2"/>
              <w:numId w:val="1"/>
            </w:numPr>
            <w:tabs>
              <w:tab w:pos="1131" w:val="left" w:leader="none"/>
              <w:tab w:pos="9525" w:val="left" w:leader="dot"/>
            </w:tabs>
            <w:spacing w:line="240" w:lineRule="auto" w:before="133" w:after="0"/>
            <w:ind w:left="1130" w:right="0" w:hanging="568"/>
            <w:jc w:val="left"/>
          </w:pPr>
          <w:hyperlink w:history="true" w:anchor="_bookmark98">
            <w:r>
              <w:rPr/>
              <w:t>Markedseffekter</w:t>
              <w:tab/>
              <w:t>73</w:t>
            </w:r>
          </w:hyperlink>
        </w:p>
        <w:p>
          <w:pPr>
            <w:pStyle w:val="TOC3"/>
            <w:numPr>
              <w:ilvl w:val="2"/>
              <w:numId w:val="1"/>
            </w:numPr>
            <w:tabs>
              <w:tab w:pos="1131" w:val="left" w:leader="none"/>
              <w:tab w:pos="9522" w:val="left" w:leader="dot"/>
            </w:tabs>
            <w:spacing w:line="240" w:lineRule="auto" w:before="133" w:after="0"/>
            <w:ind w:left="1130" w:right="0" w:hanging="568"/>
            <w:jc w:val="left"/>
          </w:pPr>
          <w:hyperlink w:history="true" w:anchor="_bookmark99">
            <w:r>
              <w:rPr/>
              <w:t>Effektiviseringseffekter</w:t>
              <w:tab/>
              <w:t>74</w:t>
            </w:r>
          </w:hyperlink>
        </w:p>
        <w:p>
          <w:pPr>
            <w:pStyle w:val="TOC2"/>
            <w:numPr>
              <w:ilvl w:val="1"/>
              <w:numId w:val="1"/>
            </w:numPr>
            <w:tabs>
              <w:tab w:pos="566" w:val="left" w:leader="none"/>
              <w:tab w:pos="958" w:val="left" w:leader="none"/>
              <w:tab w:pos="9138" w:val="left" w:leader="dot"/>
            </w:tabs>
            <w:spacing w:line="240" w:lineRule="auto" w:before="231" w:after="0"/>
            <w:ind w:left="958" w:right="635" w:hanging="567"/>
            <w:jc w:val="left"/>
          </w:pPr>
          <w:r>
            <w:rPr/>
            <w:pict>
              <v:line style="position:absolute;mso-position-horizontal-relative:page;mso-position-vertical-relative:paragraph;z-index:1600" from="75.143997pt,6.55991pt" to="545.859997pt,6.55991pt" stroked="true" strokeweight=".96pt" strokecolor="#a21f1f">
                <v:stroke dashstyle="shortdot"/>
                <w10:wrap type="none"/>
              </v:line>
            </w:pict>
          </w:r>
          <w:hyperlink w:history="true" w:anchor="_bookmark100">
            <w:r>
              <w:rPr/>
              <w:t>Geodata i relation til facility</w:t>
            </w:r>
            <w:r>
              <w:rPr>
                <w:spacing w:val="-15"/>
              </w:rPr>
              <w:t> </w:t>
            </w:r>
            <w:r>
              <w:rPr/>
              <w:t>management (FM)</w:t>
              <w:tab/>
              <w:t>75</w:t>
            </w:r>
          </w:hyperlink>
        </w:p>
        <w:p>
          <w:pPr>
            <w:pStyle w:val="TOC3"/>
            <w:numPr>
              <w:ilvl w:val="2"/>
              <w:numId w:val="1"/>
            </w:numPr>
            <w:tabs>
              <w:tab w:pos="1131" w:val="left" w:leader="none"/>
              <w:tab w:pos="9534" w:val="left" w:leader="dot"/>
            </w:tabs>
            <w:spacing w:line="240" w:lineRule="auto" w:before="135" w:after="0"/>
            <w:ind w:left="1130" w:right="0" w:hanging="568"/>
            <w:jc w:val="left"/>
          </w:pPr>
          <w:hyperlink w:history="true" w:anchor="_bookmark102">
            <w:r>
              <w:rPr/>
              <w:t>Markedseffekter</w:t>
              <w:tab/>
              <w:t>77</w:t>
            </w:r>
          </w:hyperlink>
        </w:p>
        <w:p>
          <w:pPr>
            <w:pStyle w:val="TOC3"/>
            <w:numPr>
              <w:ilvl w:val="2"/>
              <w:numId w:val="1"/>
            </w:numPr>
            <w:tabs>
              <w:tab w:pos="1131" w:val="left" w:leader="none"/>
              <w:tab w:pos="9534" w:val="left" w:leader="dot"/>
            </w:tabs>
            <w:spacing w:line="240" w:lineRule="auto" w:before="133" w:after="0"/>
            <w:ind w:left="1130" w:right="0" w:hanging="568"/>
            <w:jc w:val="left"/>
          </w:pPr>
          <w:hyperlink w:history="true" w:anchor="_bookmark103">
            <w:r>
              <w:rPr/>
              <w:t>Effektiviseringseffekter</w:t>
              <w:tab/>
              <w:t>77</w:t>
            </w:r>
          </w:hyperlink>
        </w:p>
        <w:p>
          <w:pPr>
            <w:pStyle w:val="TOC1"/>
            <w:numPr>
              <w:ilvl w:val="0"/>
              <w:numId w:val="1"/>
            </w:numPr>
            <w:tabs>
              <w:tab w:pos="845" w:val="left" w:leader="none"/>
              <w:tab w:pos="846" w:val="left" w:leader="none"/>
              <w:tab w:pos="9522" w:val="left" w:leader="dot"/>
            </w:tabs>
            <w:spacing w:line="240" w:lineRule="auto" w:before="231" w:after="0"/>
            <w:ind w:left="845" w:right="0" w:hanging="567"/>
            <w:jc w:val="left"/>
          </w:pPr>
          <w:r>
            <w:rPr/>
            <w:pict>
              <v:line style="position:absolute;mso-position-horizontal-relative:page;mso-position-vertical-relative:paragraph;z-index:1624" from="69.503998pt,6.559937pt" to="545.853998pt,6.559937pt" stroked="true" strokeweight=".95999pt" strokecolor="#a21f1f">
                <v:stroke dashstyle="solid"/>
                <w10:wrap type="none"/>
              </v:line>
            </w:pict>
          </w:r>
          <w:r>
            <w:rPr/>
            <w:pict>
              <v:line style="position:absolute;mso-position-horizontal-relative:page;mso-position-vertical-relative:paragraph;z-index:1648" from="75.143997pt,29.599932pt" to="545.859997pt,29.599932pt" stroked="true" strokeweight=".96pt" strokecolor="#a21f1f">
                <v:stroke dashstyle="shortdot"/>
                <w10:wrap type="none"/>
              </v:line>
            </w:pict>
          </w:r>
          <w:hyperlink w:history="true" w:anchor="_bookmark104">
            <w:r>
              <w:rPr/>
              <w:t>Potentialer og barrierer for fremtidig anvendelse af de</w:t>
            </w:r>
            <w:r>
              <w:rPr>
                <w:spacing w:val="-31"/>
              </w:rPr>
              <w:t> </w:t>
            </w:r>
            <w:r>
              <w:rPr/>
              <w:t>frie</w:t>
            </w:r>
            <w:r>
              <w:rPr>
                <w:spacing w:val="-4"/>
              </w:rPr>
              <w:t> </w:t>
            </w:r>
            <w:r>
              <w:rPr/>
              <w:t>geodata</w:t>
              <w:tab/>
              <w:t>79</w:t>
            </w:r>
          </w:hyperlink>
        </w:p>
        <w:p>
          <w:pPr>
            <w:pStyle w:val="TOC2"/>
            <w:numPr>
              <w:ilvl w:val="1"/>
              <w:numId w:val="1"/>
            </w:numPr>
            <w:tabs>
              <w:tab w:pos="957" w:val="left" w:leader="none"/>
              <w:tab w:pos="958" w:val="left" w:leader="none"/>
              <w:tab w:pos="9736" w:val="right" w:leader="dot"/>
            </w:tabs>
            <w:spacing w:line="240" w:lineRule="auto" w:before="234" w:after="0"/>
            <w:ind w:left="958" w:right="0" w:hanging="567"/>
            <w:jc w:val="left"/>
          </w:pPr>
          <w:hyperlink w:history="true" w:anchor="_bookmark105">
            <w:r>
              <w:rPr/>
              <w:t>Potentialer for fremtidig anvendelse af de frie geodata i den</w:t>
            </w:r>
            <w:r>
              <w:rPr>
                <w:spacing w:val="-12"/>
              </w:rPr>
              <w:t> </w:t>
            </w:r>
            <w:r>
              <w:rPr/>
              <w:t>private</w:t>
            </w:r>
            <w:r>
              <w:rPr>
                <w:spacing w:val="-2"/>
              </w:rPr>
              <w:t> </w:t>
            </w:r>
            <w:r>
              <w:rPr/>
              <w:t>sektor</w:t>
              <w:tab/>
              <w:t>79</w:t>
            </w:r>
          </w:hyperlink>
        </w:p>
        <w:p>
          <w:pPr>
            <w:pStyle w:val="TOC2"/>
            <w:numPr>
              <w:ilvl w:val="1"/>
              <w:numId w:val="1"/>
            </w:numPr>
            <w:tabs>
              <w:tab w:pos="957" w:val="left" w:leader="none"/>
              <w:tab w:pos="958" w:val="left" w:leader="none"/>
              <w:tab w:pos="9732" w:val="right" w:leader="dot"/>
            </w:tabs>
            <w:spacing w:line="240" w:lineRule="auto" w:before="133" w:after="0"/>
            <w:ind w:left="958" w:right="0" w:hanging="567"/>
            <w:jc w:val="left"/>
          </w:pPr>
          <w:hyperlink w:history="true" w:anchor="_bookmark113">
            <w:r>
              <w:rPr/>
              <w:t>Potentialer for fremtidig anvendelse af de frie geodata i den</w:t>
            </w:r>
            <w:r>
              <w:rPr>
                <w:spacing w:val="-15"/>
              </w:rPr>
              <w:t> </w:t>
            </w:r>
            <w:r>
              <w:rPr/>
              <w:t>offentlige</w:t>
            </w:r>
            <w:r>
              <w:rPr>
                <w:spacing w:val="-3"/>
              </w:rPr>
              <w:t> </w:t>
            </w:r>
            <w:r>
              <w:rPr/>
              <w:t>sektor</w:t>
              <w:tab/>
              <w:t>84</w:t>
            </w:r>
          </w:hyperlink>
        </w:p>
        <w:p>
          <w:pPr>
            <w:pStyle w:val="TOC2"/>
            <w:numPr>
              <w:ilvl w:val="1"/>
              <w:numId w:val="1"/>
            </w:numPr>
            <w:tabs>
              <w:tab w:pos="957" w:val="left" w:leader="none"/>
              <w:tab w:pos="958" w:val="left" w:leader="none"/>
              <w:tab w:pos="9732" w:val="right" w:leader="dot"/>
            </w:tabs>
            <w:spacing w:line="240" w:lineRule="auto" w:before="133" w:after="0"/>
            <w:ind w:left="958" w:right="0" w:hanging="567"/>
            <w:jc w:val="left"/>
          </w:pPr>
          <w:hyperlink w:history="true" w:anchor="_bookmark116">
            <w:r>
              <w:rPr/>
              <w:t>Barrierer for fremtidig anvendelse af de</w:t>
            </w:r>
            <w:r>
              <w:rPr>
                <w:spacing w:val="-5"/>
              </w:rPr>
              <w:t> </w:t>
            </w:r>
            <w:r>
              <w:rPr/>
              <w:t>frie geodata</w:t>
              <w:tab/>
              <w:t>86</w:t>
            </w:r>
          </w:hyperlink>
        </w:p>
        <w:p>
          <w:pPr>
            <w:pStyle w:val="TOC3"/>
            <w:numPr>
              <w:ilvl w:val="2"/>
              <w:numId w:val="1"/>
            </w:numPr>
            <w:tabs>
              <w:tab w:pos="1131" w:val="left" w:leader="none"/>
              <w:tab w:pos="9733" w:val="right" w:leader="dot"/>
            </w:tabs>
            <w:spacing w:line="240" w:lineRule="auto" w:before="132" w:after="0"/>
            <w:ind w:left="1130" w:right="0" w:hanging="568"/>
            <w:jc w:val="left"/>
          </w:pPr>
          <w:hyperlink w:history="true" w:anchor="_bookmark118">
            <w:r>
              <w:rPr/>
              <w:t>Særlige barrierer i den</w:t>
            </w:r>
            <w:r>
              <w:rPr>
                <w:spacing w:val="-4"/>
              </w:rPr>
              <w:t> </w:t>
            </w:r>
            <w:r>
              <w:rPr/>
              <w:t>private</w:t>
            </w:r>
            <w:r>
              <w:rPr>
                <w:spacing w:val="-2"/>
              </w:rPr>
              <w:t> </w:t>
            </w:r>
            <w:r>
              <w:rPr/>
              <w:t>sektor</w:t>
              <w:tab/>
              <w:t>88</w:t>
            </w:r>
          </w:hyperlink>
        </w:p>
        <w:p>
          <w:pPr>
            <w:pStyle w:val="TOC3"/>
            <w:numPr>
              <w:ilvl w:val="2"/>
              <w:numId w:val="1"/>
            </w:numPr>
            <w:tabs>
              <w:tab w:pos="1131" w:val="left" w:leader="none"/>
              <w:tab w:pos="9735" w:val="right" w:leader="dot"/>
            </w:tabs>
            <w:spacing w:line="240" w:lineRule="auto" w:before="133" w:after="0"/>
            <w:ind w:left="1130" w:right="0" w:hanging="568"/>
            <w:jc w:val="left"/>
          </w:pPr>
          <w:hyperlink w:history="true" w:anchor="_bookmark120">
            <w:r>
              <w:rPr/>
              <w:t>Særlige barrierer i den</w:t>
            </w:r>
            <w:r>
              <w:rPr>
                <w:spacing w:val="-4"/>
              </w:rPr>
              <w:t> </w:t>
            </w:r>
            <w:r>
              <w:rPr/>
              <w:t>offentlige</w:t>
            </w:r>
            <w:r>
              <w:rPr>
                <w:spacing w:val="-2"/>
              </w:rPr>
              <w:t> </w:t>
            </w:r>
            <w:r>
              <w:rPr/>
              <w:t>sektor</w:t>
              <w:tab/>
              <w:t>91</w:t>
            </w:r>
          </w:hyperlink>
        </w:p>
      </w:sdtContent>
    </w:sdt>
    <w:p>
      <w:pPr>
        <w:spacing w:after="0" w:line="240" w:lineRule="auto"/>
        <w:jc w:val="left"/>
        <w:sectPr>
          <w:type w:val="continuous"/>
          <w:pgSz w:w="11910" w:h="16840"/>
          <w:pgMar w:top="1239" w:bottom="171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1"/>
        <w:numPr>
          <w:ilvl w:val="0"/>
          <w:numId w:val="2"/>
        </w:numPr>
        <w:tabs>
          <w:tab w:pos="711" w:val="left" w:leader="none"/>
        </w:tabs>
        <w:spacing w:line="240" w:lineRule="auto" w:before="0" w:after="0"/>
        <w:ind w:left="710" w:right="0" w:hanging="432"/>
        <w:jc w:val="left"/>
        <w:rPr>
          <w:i/>
        </w:rPr>
      </w:pPr>
      <w:bookmarkStart w:name="_bookmark0" w:id="1"/>
      <w:bookmarkEnd w:id="1"/>
      <w:r>
        <w:rPr>
          <w:b w:val="0"/>
          <w:i w:val="0"/>
        </w:rPr>
      </w:r>
      <w:bookmarkStart w:name="_bookmark0" w:id="2"/>
      <w:bookmarkEnd w:id="2"/>
      <w:r>
        <w:rPr>
          <w:i/>
        </w:rPr>
        <w:t>Ledels</w:t>
      </w:r>
      <w:r>
        <w:rPr>
          <w:i/>
        </w:rPr>
        <w:t>esresume</w:t>
      </w:r>
    </w:p>
    <w:p>
      <w:pPr>
        <w:pStyle w:val="BodyText"/>
        <w:spacing w:line="360" w:lineRule="auto" w:before="238"/>
        <w:ind w:left="278" w:right="1166"/>
      </w:pPr>
      <w:r>
        <w:rPr/>
        <w:t>De seneste år er interessen for at fritstille offentlige data vokset markant verden over. Danmark er et af de lande, hvor den offentlige sektor har arbejdet systematisk med tilgængeliggørelse af offentlige data. I den nye fællesoffentlige digitaliseringsstrategi 2016-2020 sættes der yderligere fokus på de offentlige datas potentiale for at understøtte effektivisering og fremme økonomisk vækst og nye erhvervsmuligheder.</w:t>
      </w:r>
    </w:p>
    <w:p>
      <w:pPr>
        <w:pStyle w:val="BodyText"/>
        <w:spacing w:line="360" w:lineRule="auto"/>
        <w:ind w:left="278" w:right="1428"/>
      </w:pPr>
      <w:r>
        <w:rPr/>
        <w:t>Styrelsen for Dataforsyning og Effektivisering er ansvarlig for udmøntning af fire initiativer under strategiens overordnede mål om, at offentlig digitalisering skal give gode vilkår for vækst. Nærværende analyse skriver sig ind i den dagsorden og har til formål at belyse geodatas værdiskabende rolle i den offentlige og private sektor, herunder forsyningssektoren.</w:t>
      </w:r>
    </w:p>
    <w:p>
      <w:pPr>
        <w:pStyle w:val="BodyText"/>
        <w:spacing w:before="3"/>
        <w:rPr>
          <w:sz w:val="21"/>
        </w:rPr>
      </w:pPr>
    </w:p>
    <w:p>
      <w:pPr>
        <w:pStyle w:val="BodyText"/>
        <w:spacing w:line="360" w:lineRule="auto" w:before="1"/>
        <w:ind w:left="278" w:right="1218"/>
      </w:pPr>
      <w:r>
        <w:rPr/>
        <w:t>I 2012 etablerede regeringen og KL Grunddataprogrammet</w:t>
      </w:r>
      <w:r>
        <w:rPr>
          <w:position w:val="5"/>
          <w:sz w:val="13"/>
        </w:rPr>
        <w:t>1 </w:t>
      </w:r>
      <w:r>
        <w:rPr/>
        <w:t>som en del af den fællesoffentlige digitaliseringsstrategi 2011-15. Programmet har til formål at bidrage til effektivisering, modernisering og bedre forvaltning i den offentlige sektor samt øget vækst og produktivitet i den private sektor. Som en del af programmet blev styrelsens geografiske grunddata frisat, fremadrettet benævnt de frie geodata.</w:t>
      </w:r>
    </w:p>
    <w:p>
      <w:pPr>
        <w:pStyle w:val="BodyText"/>
        <w:spacing w:before="1"/>
        <w:rPr>
          <w:sz w:val="21"/>
        </w:rPr>
      </w:pPr>
    </w:p>
    <w:p>
      <w:pPr>
        <w:pStyle w:val="BodyText"/>
        <w:spacing w:line="360" w:lineRule="auto"/>
        <w:ind w:left="278" w:right="1419"/>
      </w:pPr>
      <w:r>
        <w:rPr/>
        <w:t>Med frisættelsen af mange af de offentlige geodata fulgte en forventning om, at de frie geodata ville medføre en positiv effekt på samfundsøkonomien i form af øget vækst og en mere effektiv offentlig opgavevaretagelse. Beslutningen om at frisætte geodata var således baseret på en positiv business case, hvor frisættelsen forventedes at medføre en betydelig gevinst for private virksomheder, der efter frisættelsen frit kunne hente offentlige grunddata af høj kvalitet. I business casen blev der ligeledes indikeret et besparelsespotentiale for offentlige myndigheder i form af reduktion af fx udgifter til opdatering og vedligehold af egne geodata.</w:t>
      </w:r>
    </w:p>
    <w:p>
      <w:pPr>
        <w:pStyle w:val="BodyText"/>
        <w:spacing w:before="11"/>
      </w:pPr>
    </w:p>
    <w:p>
      <w:pPr>
        <w:pStyle w:val="Heading2"/>
        <w:ind w:left="278" w:firstLine="0"/>
        <w:rPr>
          <w:i/>
        </w:rPr>
      </w:pPr>
      <w:bookmarkStart w:name="_bookmark1" w:id="3"/>
      <w:bookmarkEnd w:id="3"/>
      <w:r>
        <w:rPr>
          <w:b w:val="0"/>
          <w:i w:val="0"/>
        </w:rPr>
      </w:r>
      <w:r>
        <w:rPr>
          <w:i/>
          <w:color w:val="A21F1F"/>
        </w:rPr>
        <w:t>1.1 Analysens hovedresultater</w:t>
      </w:r>
    </w:p>
    <w:p>
      <w:pPr>
        <w:pStyle w:val="BodyText"/>
        <w:spacing w:line="360" w:lineRule="auto" w:before="241"/>
        <w:ind w:left="278" w:right="1203"/>
        <w:jc w:val="both"/>
      </w:pPr>
      <w:r>
        <w:rPr/>
        <w:t>I det efterfølgende gennemgås analysens hovedresultater, herunder af den samfundsøkonomiske værdi af geodata, resultaterne af den nuværende anvendelse af geodata samt de potentialer, der er identificeret for øget anvendelse af geodata, samt de barrierer, der står i vejen herfor.</w:t>
      </w:r>
    </w:p>
    <w:p>
      <w:pPr>
        <w:pStyle w:val="BodyText"/>
        <w:spacing w:before="10"/>
      </w:pPr>
    </w:p>
    <w:p>
      <w:pPr>
        <w:pStyle w:val="Heading3"/>
        <w:numPr>
          <w:ilvl w:val="2"/>
          <w:numId w:val="3"/>
        </w:numPr>
        <w:tabs>
          <w:tab w:pos="999" w:val="left" w:leader="none"/>
        </w:tabs>
        <w:spacing w:line="240" w:lineRule="auto" w:before="0" w:after="0"/>
        <w:ind w:left="998" w:right="1098" w:hanging="720"/>
        <w:jc w:val="left"/>
      </w:pPr>
      <w:bookmarkStart w:name="_bookmark2" w:id="4"/>
      <w:bookmarkEnd w:id="4"/>
      <w:r>
        <w:rPr>
          <w:i w:val="0"/>
        </w:rPr>
      </w:r>
      <w:bookmarkStart w:name="_bookmark2" w:id="5"/>
      <w:bookmarkEnd w:id="5"/>
      <w:r>
        <w:rPr>
          <w:i/>
          <w:color w:val="A21F1F"/>
        </w:rPr>
        <w:t>D</w:t>
      </w:r>
      <w:r>
        <w:rPr>
          <w:i/>
          <w:color w:val="A21F1F"/>
        </w:rPr>
        <w:t>en samfundsmæssige værdi af de frie geodata anslås til</w:t>
      </w:r>
      <w:r>
        <w:rPr>
          <w:i/>
          <w:color w:val="A21F1F"/>
          <w:spacing w:val="-38"/>
        </w:rPr>
        <w:t> </w:t>
      </w:r>
      <w:r>
        <w:rPr>
          <w:i/>
          <w:color w:val="A21F1F"/>
        </w:rPr>
        <w:t>ca. </w:t>
      </w:r>
      <w:r>
        <w:rPr>
          <w:color w:val="A21F1F"/>
        </w:rPr>
        <w:t>3,5 mia. i 2016</w:t>
      </w:r>
    </w:p>
    <w:p>
      <w:pPr>
        <w:pStyle w:val="BodyText"/>
        <w:spacing w:line="360" w:lineRule="auto" w:before="242"/>
        <w:ind w:left="278" w:right="1157"/>
      </w:pPr>
      <w:r>
        <w:rPr/>
        <w:t>På baggrund af det indsamlede datamateriale fra henholdsvis spørgeskemaundersøgelsen og case- undersøgelserne viser der sig en tendens til en væsentlig stigning i anvendelsen af de frie geodata fra 2012 til 2016.</w:t>
      </w:r>
    </w:p>
    <w:p>
      <w:pPr>
        <w:pStyle w:val="BodyText"/>
        <w:spacing w:before="4"/>
        <w:rPr>
          <w:sz w:val="21"/>
        </w:rPr>
      </w:pPr>
    </w:p>
    <w:p>
      <w:pPr>
        <w:pStyle w:val="BodyText"/>
        <w:spacing w:line="360" w:lineRule="auto" w:before="1"/>
        <w:ind w:left="278" w:right="1297"/>
      </w:pPr>
      <w:r>
        <w:rPr/>
        <w:t>PwC’s beregninger, der i store træk er gennemført efter samme metode som før-målingen, viser, at der både er en produktionseffekt og en effektiviseringseffekt af de frie geodata. Den samlede samfundsøkonomiske værdi af de frie geodata i 2016 estimeres til i alt 3,5 mia. kr., der udgøres af ca. 2,5</w:t>
      </w:r>
    </w:p>
    <w:p>
      <w:pPr>
        <w:pStyle w:val="BodyText"/>
        <w:spacing w:before="7"/>
        <w:rPr>
          <w:sz w:val="28"/>
        </w:rPr>
      </w:pPr>
      <w:r>
        <w:rPr/>
        <w:pict>
          <v:line style="position:absolute;mso-position-horizontal-relative:page;mso-position-vertical-relative:paragraph;z-index:-352;mso-wrap-distance-left:0;mso-wrap-distance-right:0" from="70.944pt,18.505589pt" to="214.964pt,18.505589pt" stroked="true" strokeweight=".47998pt" strokecolor="#000000">
            <v:stroke dashstyle="solid"/>
            <w10:wrap type="topAndBottom"/>
          </v:line>
        </w:pict>
      </w:r>
    </w:p>
    <w:p>
      <w:pPr>
        <w:pStyle w:val="BodyText"/>
        <w:spacing w:before="63"/>
        <w:ind w:left="278"/>
      </w:pPr>
      <w:r>
        <w:rPr>
          <w:position w:val="5"/>
          <w:sz w:val="13"/>
        </w:rPr>
        <w:t>1 </w:t>
      </w:r>
      <w:hyperlink r:id="rId10">
        <w:r>
          <w:rPr/>
          <w:t>www.grunddata.dk</w:t>
        </w:r>
      </w:hyperlink>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mia. kr. i produktionseffekt og ca. 1 mia. i effektiviseringseffekt, jf. nedenstående </w:t>
      </w:r>
      <w:hyperlink w:history="true" w:anchor="_bookmark3">
        <w:r>
          <w:rPr/>
          <w:t>Tabel 1.</w:t>
        </w:r>
      </w:hyperlink>
      <w:r>
        <w:rPr/>
        <w:t> Analysen er en</w:t>
      </w:r>
    </w:p>
    <w:p>
      <w:pPr>
        <w:pStyle w:val="BodyText"/>
        <w:spacing w:line="360" w:lineRule="auto" w:before="114"/>
        <w:ind w:left="278" w:right="1269"/>
      </w:pPr>
      <w:r>
        <w:rPr/>
        <w:t>punktmåling, der værdisætter de frie geodata på analysens gennemførelsestidspunkt, som afspejler udviklingen fra før-målingen i 2012 og 2016. Den samfundsøkonomiske værdi er således ikke at betragte som en årlig værditilvækst siden frisættelsen.</w:t>
      </w:r>
    </w:p>
    <w:p>
      <w:pPr>
        <w:pStyle w:val="BodyText"/>
        <w:spacing w:before="1"/>
        <w:rPr>
          <w:sz w:val="21"/>
        </w:rPr>
      </w:pPr>
    </w:p>
    <w:p>
      <w:pPr>
        <w:pStyle w:val="BodyText"/>
        <w:spacing w:line="360" w:lineRule="auto"/>
        <w:ind w:left="278" w:right="1092"/>
      </w:pPr>
      <w:r>
        <w:rPr/>
        <w:t>Estimatet er foretaget på baggrund af data indsamlet via spørgeskemaundersøgelser blandt offentlige myndigheder og private virksomheder, herunder forsyningsselskaber og dækker en periode på 12 måneder fra november 2015 til oktober 2016.</w:t>
      </w:r>
    </w:p>
    <w:p>
      <w:pPr>
        <w:pStyle w:val="BodyText"/>
        <w:rPr>
          <w:sz w:val="21"/>
        </w:rPr>
      </w:pPr>
    </w:p>
    <w:p>
      <w:pPr>
        <w:spacing w:before="0"/>
        <w:ind w:left="278" w:right="0" w:firstLine="0"/>
        <w:jc w:val="left"/>
        <w:rPr>
          <w:i/>
          <w:sz w:val="18"/>
        </w:rPr>
      </w:pPr>
      <w:r>
        <w:rPr/>
        <w:pict>
          <v:group style="position:absolute;margin-left:70.944pt;margin-top:99.39296pt;width:496.15pt;height:52.65pt;mso-position-horizontal-relative:page;mso-position-vertical-relative:paragraph;z-index:-180712" coordorigin="1419,1988" coordsize="9923,1053">
            <v:rect style="position:absolute;left:8660;top:1987;width:630;height:1005" filled="true" fillcolor="#f1f1f1" stroked="false">
              <v:fill type="solid"/>
            </v:rect>
            <v:line style="position:absolute" from="1419,3036" to="6810,3036" stroked="true" strokeweight=".48001pt" strokecolor="#000000">
              <v:stroke dashstyle="solid"/>
            </v:line>
            <v:rect style="position:absolute;left:6810;top:3031;width:10;height:10" filled="true" fillcolor="#000000" stroked="false">
              <v:fill type="solid"/>
            </v:rect>
            <v:line style="position:absolute" from="6820,3036" to="9076,3036" stroked="true" strokeweight=".48001pt" strokecolor="#000000">
              <v:stroke dashstyle="solid"/>
            </v:line>
            <v:rect style="position:absolute;left:9075;top:3031;width:10;height:10" filled="true" fillcolor="#000000" stroked="false">
              <v:fill type="solid"/>
            </v:rect>
            <v:line style="position:absolute" from="9085,3036" to="11342,3036" stroked="true" strokeweight=".48001pt" strokecolor="#000000">
              <v:stroke dashstyle="solid"/>
            </v:line>
            <w10:wrap type="none"/>
          </v:group>
        </w:pict>
      </w:r>
      <w:bookmarkStart w:name="_bookmark3" w:id="6"/>
      <w:bookmarkEnd w:id="6"/>
      <w:r>
        <w:rPr/>
      </w:r>
      <w:r>
        <w:rPr>
          <w:i/>
          <w:color w:val="A21F1F"/>
          <w:sz w:val="18"/>
        </w:rPr>
        <w:t>Tabel 1: Samfundsøkonomisk værdi af de frie geodata i 2016 hhv. 2012 (før-måling)</w:t>
      </w:r>
    </w:p>
    <w:p>
      <w:pPr>
        <w:pStyle w:val="BodyText"/>
        <w:spacing w:before="10"/>
        <w:rPr>
          <w:i/>
          <w:sz w:val="1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7"/>
        <w:gridCol w:w="1721"/>
        <w:gridCol w:w="2371"/>
      </w:tblGrid>
      <w:tr>
        <w:trPr>
          <w:trHeight w:val="480" w:hRule="atLeast"/>
        </w:trPr>
        <w:tc>
          <w:tcPr>
            <w:tcW w:w="6157" w:type="dxa"/>
            <w:shd w:val="clear" w:color="auto" w:fill="A21F1F"/>
          </w:tcPr>
          <w:p>
            <w:pPr>
              <w:pStyle w:val="TableParagraph"/>
              <w:rPr>
                <w:rFonts w:ascii="Times New Roman"/>
                <w:sz w:val="18"/>
              </w:rPr>
            </w:pPr>
          </w:p>
        </w:tc>
        <w:tc>
          <w:tcPr>
            <w:tcW w:w="1721" w:type="dxa"/>
            <w:shd w:val="clear" w:color="auto" w:fill="A21F1F"/>
          </w:tcPr>
          <w:p>
            <w:pPr>
              <w:pStyle w:val="TableParagraph"/>
              <w:spacing w:before="11"/>
              <w:ind w:left="1010"/>
              <w:rPr>
                <w:b/>
                <w:sz w:val="20"/>
              </w:rPr>
            </w:pPr>
            <w:r>
              <w:rPr>
                <w:b/>
                <w:color w:val="FFFFFF"/>
                <w:sz w:val="20"/>
              </w:rPr>
              <w:t>2012</w:t>
            </w:r>
          </w:p>
          <w:p>
            <w:pPr>
              <w:pStyle w:val="TableParagraph"/>
              <w:spacing w:line="209" w:lineRule="exact" w:before="12"/>
              <w:ind w:left="683"/>
              <w:rPr>
                <w:b/>
                <w:sz w:val="20"/>
              </w:rPr>
            </w:pPr>
            <w:r>
              <w:rPr>
                <w:b/>
                <w:color w:val="FFFFFF"/>
                <w:sz w:val="20"/>
              </w:rPr>
              <w:t>Mio.</w:t>
            </w:r>
            <w:r>
              <w:rPr>
                <w:b/>
                <w:color w:val="FFFFFF"/>
                <w:spacing w:val="-4"/>
                <w:sz w:val="20"/>
              </w:rPr>
              <w:t> </w:t>
            </w:r>
            <w:r>
              <w:rPr>
                <w:b/>
                <w:color w:val="FFFFFF"/>
                <w:sz w:val="20"/>
              </w:rPr>
              <w:t>kr.</w:t>
            </w:r>
          </w:p>
        </w:tc>
        <w:tc>
          <w:tcPr>
            <w:tcW w:w="2371" w:type="dxa"/>
            <w:shd w:val="clear" w:color="auto" w:fill="A21F1F"/>
          </w:tcPr>
          <w:p>
            <w:pPr>
              <w:pStyle w:val="TableParagraph"/>
              <w:spacing w:before="11"/>
              <w:ind w:left="1553"/>
              <w:rPr>
                <w:b/>
                <w:sz w:val="20"/>
              </w:rPr>
            </w:pPr>
            <w:r>
              <w:rPr>
                <w:b/>
                <w:color w:val="FFFFFF"/>
                <w:sz w:val="20"/>
              </w:rPr>
              <w:t>2016</w:t>
            </w:r>
          </w:p>
          <w:p>
            <w:pPr>
              <w:pStyle w:val="TableParagraph"/>
              <w:spacing w:line="209" w:lineRule="exact" w:before="12"/>
              <w:ind w:left="1229"/>
              <w:rPr>
                <w:b/>
                <w:sz w:val="20"/>
              </w:rPr>
            </w:pPr>
            <w:r>
              <w:rPr>
                <w:b/>
                <w:color w:val="FFFFFF"/>
                <w:sz w:val="20"/>
              </w:rPr>
              <w:t>Mio.</w:t>
            </w:r>
            <w:r>
              <w:rPr>
                <w:b/>
                <w:color w:val="FFFFFF"/>
                <w:spacing w:val="-4"/>
                <w:sz w:val="20"/>
              </w:rPr>
              <w:t> </w:t>
            </w:r>
            <w:r>
              <w:rPr>
                <w:b/>
                <w:color w:val="FFFFFF"/>
                <w:sz w:val="20"/>
              </w:rPr>
              <w:t>kr.</w:t>
            </w:r>
          </w:p>
        </w:tc>
      </w:tr>
      <w:tr>
        <w:trPr>
          <w:trHeight w:val="366" w:hRule="atLeast"/>
        </w:trPr>
        <w:tc>
          <w:tcPr>
            <w:tcW w:w="6157" w:type="dxa"/>
            <w:tcBorders>
              <w:bottom w:val="single" w:sz="4" w:space="0" w:color="000000"/>
            </w:tcBorders>
          </w:tcPr>
          <w:p>
            <w:pPr>
              <w:pStyle w:val="TableParagraph"/>
              <w:spacing w:line="209" w:lineRule="exact" w:before="138"/>
              <w:ind w:left="14"/>
              <w:rPr>
                <w:b/>
                <w:sz w:val="20"/>
              </w:rPr>
            </w:pPr>
            <w:r>
              <w:rPr>
                <w:b/>
                <w:sz w:val="20"/>
              </w:rPr>
              <w:t>Produktionseffekten af de frie geodata</w:t>
            </w:r>
          </w:p>
        </w:tc>
        <w:tc>
          <w:tcPr>
            <w:tcW w:w="1721" w:type="dxa"/>
            <w:tcBorders>
              <w:bottom w:val="single" w:sz="4" w:space="0" w:color="000000"/>
            </w:tcBorders>
          </w:tcPr>
          <w:p>
            <w:pPr>
              <w:pStyle w:val="TableParagraph"/>
              <w:spacing w:line="209" w:lineRule="exact" w:before="138"/>
              <w:ind w:right="221"/>
              <w:jc w:val="right"/>
              <w:rPr>
                <w:b/>
                <w:sz w:val="20"/>
              </w:rPr>
            </w:pPr>
            <w:r>
              <w:rPr>
                <w:b/>
                <w:w w:val="95"/>
                <w:sz w:val="20"/>
              </w:rPr>
              <w:t>1.402</w:t>
            </w:r>
          </w:p>
        </w:tc>
        <w:tc>
          <w:tcPr>
            <w:tcW w:w="2371" w:type="dxa"/>
            <w:tcBorders>
              <w:bottom w:val="single" w:sz="4" w:space="0" w:color="000000"/>
            </w:tcBorders>
          </w:tcPr>
          <w:p>
            <w:pPr>
              <w:pStyle w:val="TableParagraph"/>
              <w:spacing w:line="209" w:lineRule="exact" w:before="138"/>
              <w:ind w:right="327"/>
              <w:jc w:val="right"/>
              <w:rPr>
                <w:b/>
                <w:sz w:val="20"/>
              </w:rPr>
            </w:pPr>
            <w:r>
              <w:rPr>
                <w:b/>
                <w:w w:val="95"/>
                <w:sz w:val="20"/>
              </w:rPr>
              <w:t>2.542</w:t>
            </w:r>
          </w:p>
        </w:tc>
      </w:tr>
      <w:tr>
        <w:trPr>
          <w:trHeight w:val="439" w:hRule="atLeast"/>
        </w:trPr>
        <w:tc>
          <w:tcPr>
            <w:tcW w:w="6157" w:type="dxa"/>
            <w:tcBorders>
              <w:top w:val="single" w:sz="4" w:space="0" w:color="000000"/>
            </w:tcBorders>
          </w:tcPr>
          <w:p>
            <w:pPr>
              <w:pStyle w:val="TableParagraph"/>
              <w:spacing w:before="141"/>
              <w:ind w:left="14"/>
              <w:rPr>
                <w:sz w:val="20"/>
              </w:rPr>
            </w:pPr>
            <w:r>
              <w:rPr>
                <w:sz w:val="20"/>
              </w:rPr>
              <w:t>Private virksomheder</w:t>
            </w:r>
          </w:p>
        </w:tc>
        <w:tc>
          <w:tcPr>
            <w:tcW w:w="1721" w:type="dxa"/>
            <w:tcBorders>
              <w:top w:val="single" w:sz="4" w:space="0" w:color="000000"/>
            </w:tcBorders>
          </w:tcPr>
          <w:p>
            <w:pPr>
              <w:pStyle w:val="TableParagraph"/>
              <w:spacing w:before="141"/>
              <w:ind w:right="218"/>
              <w:jc w:val="right"/>
              <w:rPr>
                <w:sz w:val="20"/>
              </w:rPr>
            </w:pPr>
            <w:r>
              <w:rPr>
                <w:w w:val="95"/>
                <w:sz w:val="20"/>
              </w:rPr>
              <w:t>116</w:t>
            </w:r>
          </w:p>
        </w:tc>
        <w:tc>
          <w:tcPr>
            <w:tcW w:w="2371" w:type="dxa"/>
            <w:tcBorders>
              <w:top w:val="single" w:sz="4" w:space="0" w:color="000000"/>
            </w:tcBorders>
          </w:tcPr>
          <w:p>
            <w:pPr>
              <w:pStyle w:val="TableParagraph"/>
              <w:spacing w:before="141"/>
              <w:ind w:right="323"/>
              <w:jc w:val="right"/>
              <w:rPr>
                <w:sz w:val="20"/>
              </w:rPr>
            </w:pPr>
            <w:r>
              <w:rPr>
                <w:w w:val="95"/>
                <w:sz w:val="20"/>
              </w:rPr>
              <w:t>446</w:t>
            </w:r>
          </w:p>
        </w:tc>
      </w:tr>
      <w:tr>
        <w:trPr>
          <w:trHeight w:val="362" w:hRule="atLeast"/>
        </w:trPr>
        <w:tc>
          <w:tcPr>
            <w:tcW w:w="6157" w:type="dxa"/>
          </w:tcPr>
          <w:p>
            <w:pPr>
              <w:pStyle w:val="TableParagraph"/>
              <w:spacing w:before="71"/>
              <w:ind w:left="14"/>
              <w:rPr>
                <w:sz w:val="20"/>
              </w:rPr>
            </w:pPr>
            <w:r>
              <w:rPr>
                <w:sz w:val="20"/>
              </w:rPr>
              <w:t>Statslige myndigheder</w:t>
            </w:r>
          </w:p>
        </w:tc>
        <w:tc>
          <w:tcPr>
            <w:tcW w:w="1721" w:type="dxa"/>
          </w:tcPr>
          <w:p>
            <w:pPr>
              <w:pStyle w:val="TableParagraph"/>
              <w:spacing w:before="71"/>
              <w:ind w:right="219"/>
              <w:jc w:val="right"/>
              <w:rPr>
                <w:sz w:val="20"/>
              </w:rPr>
            </w:pPr>
            <w:r>
              <w:rPr>
                <w:w w:val="95"/>
                <w:sz w:val="20"/>
              </w:rPr>
              <w:t>321</w:t>
            </w:r>
          </w:p>
        </w:tc>
        <w:tc>
          <w:tcPr>
            <w:tcW w:w="2371" w:type="dxa"/>
          </w:tcPr>
          <w:p>
            <w:pPr>
              <w:pStyle w:val="TableParagraph"/>
              <w:spacing w:before="71"/>
              <w:ind w:right="324"/>
              <w:jc w:val="right"/>
              <w:rPr>
                <w:sz w:val="20"/>
              </w:rPr>
            </w:pPr>
            <w:r>
              <w:rPr>
                <w:w w:val="95"/>
                <w:sz w:val="20"/>
              </w:rPr>
              <w:t>373</w:t>
            </w:r>
          </w:p>
        </w:tc>
      </w:tr>
      <w:tr>
        <w:trPr>
          <w:trHeight w:val="376" w:hRule="atLeast"/>
        </w:trPr>
        <w:tc>
          <w:tcPr>
            <w:tcW w:w="6157" w:type="dxa"/>
          </w:tcPr>
          <w:p>
            <w:pPr>
              <w:pStyle w:val="TableParagraph"/>
              <w:spacing w:before="77"/>
              <w:ind w:left="14"/>
              <w:rPr>
                <w:sz w:val="20"/>
              </w:rPr>
            </w:pPr>
            <w:r>
              <w:rPr>
                <w:sz w:val="20"/>
              </w:rPr>
              <w:t>Kommuner</w:t>
            </w:r>
          </w:p>
        </w:tc>
        <w:tc>
          <w:tcPr>
            <w:tcW w:w="1721" w:type="dxa"/>
          </w:tcPr>
          <w:p>
            <w:pPr>
              <w:pStyle w:val="TableParagraph"/>
              <w:rPr>
                <w:rFonts w:ascii="Times New Roman"/>
                <w:sz w:val="18"/>
              </w:rPr>
            </w:pPr>
          </w:p>
        </w:tc>
        <w:tc>
          <w:tcPr>
            <w:tcW w:w="2371" w:type="dxa"/>
          </w:tcPr>
          <w:p>
            <w:pPr>
              <w:pStyle w:val="TableParagraph"/>
              <w:spacing w:before="77"/>
              <w:ind w:right="324"/>
              <w:jc w:val="right"/>
              <w:rPr>
                <w:sz w:val="20"/>
              </w:rPr>
            </w:pPr>
            <w:r>
              <w:rPr>
                <w:sz w:val="20"/>
              </w:rPr>
              <w:t>1.376</w:t>
            </w:r>
          </w:p>
        </w:tc>
      </w:tr>
      <w:tr>
        <w:trPr>
          <w:trHeight w:val="368" w:hRule="atLeast"/>
        </w:trPr>
        <w:tc>
          <w:tcPr>
            <w:tcW w:w="6157" w:type="dxa"/>
          </w:tcPr>
          <w:p>
            <w:pPr>
              <w:pStyle w:val="TableParagraph"/>
              <w:spacing w:before="71"/>
              <w:ind w:left="14"/>
              <w:rPr>
                <w:sz w:val="20"/>
              </w:rPr>
            </w:pPr>
            <w:r>
              <w:rPr>
                <w:sz w:val="20"/>
              </w:rPr>
              <w:t>Regioner</w:t>
            </w:r>
          </w:p>
        </w:tc>
        <w:tc>
          <w:tcPr>
            <w:tcW w:w="1721" w:type="dxa"/>
          </w:tcPr>
          <w:p>
            <w:pPr>
              <w:pStyle w:val="TableParagraph"/>
              <w:spacing w:line="209" w:lineRule="exact"/>
              <w:ind w:right="147"/>
              <w:jc w:val="right"/>
              <w:rPr>
                <w:sz w:val="20"/>
              </w:rPr>
            </w:pPr>
            <w:r>
              <w:rPr>
                <w:w w:val="95"/>
                <w:sz w:val="20"/>
              </w:rPr>
              <w:t>965</w:t>
            </w:r>
          </w:p>
        </w:tc>
        <w:tc>
          <w:tcPr>
            <w:tcW w:w="2371" w:type="dxa"/>
          </w:tcPr>
          <w:p>
            <w:pPr>
              <w:pStyle w:val="TableParagraph"/>
              <w:spacing w:before="71"/>
              <w:ind w:right="324"/>
              <w:jc w:val="right"/>
              <w:rPr>
                <w:sz w:val="20"/>
              </w:rPr>
            </w:pPr>
            <w:r>
              <w:rPr>
                <w:w w:val="95"/>
                <w:sz w:val="20"/>
              </w:rPr>
              <w:t>151</w:t>
            </w:r>
          </w:p>
        </w:tc>
      </w:tr>
      <w:tr>
        <w:trPr>
          <w:trHeight w:val="303" w:hRule="atLeast"/>
        </w:trPr>
        <w:tc>
          <w:tcPr>
            <w:tcW w:w="6157" w:type="dxa"/>
          </w:tcPr>
          <w:p>
            <w:pPr>
              <w:pStyle w:val="TableParagraph"/>
              <w:spacing w:line="214" w:lineRule="exact" w:before="69"/>
              <w:ind w:left="14"/>
              <w:rPr>
                <w:sz w:val="20"/>
              </w:rPr>
            </w:pPr>
            <w:r>
              <w:rPr>
                <w:sz w:val="20"/>
              </w:rPr>
              <w:t>Selvejende institutioner og øvrige</w:t>
            </w:r>
          </w:p>
        </w:tc>
        <w:tc>
          <w:tcPr>
            <w:tcW w:w="1721" w:type="dxa"/>
          </w:tcPr>
          <w:p>
            <w:pPr>
              <w:pStyle w:val="TableParagraph"/>
              <w:rPr>
                <w:rFonts w:ascii="Times New Roman"/>
                <w:sz w:val="18"/>
              </w:rPr>
            </w:pPr>
          </w:p>
        </w:tc>
        <w:tc>
          <w:tcPr>
            <w:tcW w:w="2371" w:type="dxa"/>
          </w:tcPr>
          <w:p>
            <w:pPr>
              <w:pStyle w:val="TableParagraph"/>
              <w:spacing w:line="214" w:lineRule="exact" w:before="69"/>
              <w:ind w:right="324"/>
              <w:jc w:val="right"/>
              <w:rPr>
                <w:sz w:val="20"/>
              </w:rPr>
            </w:pPr>
            <w:r>
              <w:rPr>
                <w:w w:val="95"/>
                <w:sz w:val="20"/>
              </w:rPr>
              <w:t>196</w:t>
            </w:r>
          </w:p>
        </w:tc>
      </w:tr>
      <w:tr>
        <w:trPr>
          <w:trHeight w:val="364" w:hRule="atLeast"/>
        </w:trPr>
        <w:tc>
          <w:tcPr>
            <w:tcW w:w="6157" w:type="dxa"/>
            <w:tcBorders>
              <w:bottom w:val="single" w:sz="4" w:space="0" w:color="000000"/>
            </w:tcBorders>
          </w:tcPr>
          <w:p>
            <w:pPr>
              <w:pStyle w:val="TableParagraph"/>
              <w:spacing w:line="209" w:lineRule="exact" w:before="136"/>
              <w:ind w:left="14"/>
              <w:rPr>
                <w:b/>
                <w:sz w:val="20"/>
              </w:rPr>
            </w:pPr>
            <w:r>
              <w:rPr>
                <w:b/>
                <w:sz w:val="20"/>
              </w:rPr>
              <w:t>Effektiviseringseffekten af de frie geodata</w:t>
            </w:r>
          </w:p>
        </w:tc>
        <w:tc>
          <w:tcPr>
            <w:tcW w:w="1721" w:type="dxa"/>
            <w:tcBorders>
              <w:bottom w:val="single" w:sz="4" w:space="0" w:color="000000"/>
            </w:tcBorders>
          </w:tcPr>
          <w:p>
            <w:pPr>
              <w:pStyle w:val="TableParagraph"/>
              <w:spacing w:line="209" w:lineRule="exact" w:before="136"/>
              <w:ind w:right="219"/>
              <w:jc w:val="right"/>
              <w:rPr>
                <w:b/>
                <w:sz w:val="20"/>
              </w:rPr>
            </w:pPr>
            <w:r>
              <w:rPr>
                <w:b/>
                <w:w w:val="95"/>
                <w:sz w:val="20"/>
              </w:rPr>
              <w:t>190</w:t>
            </w:r>
          </w:p>
        </w:tc>
        <w:tc>
          <w:tcPr>
            <w:tcW w:w="2371" w:type="dxa"/>
            <w:tcBorders>
              <w:bottom w:val="single" w:sz="4" w:space="0" w:color="000000"/>
            </w:tcBorders>
          </w:tcPr>
          <w:p>
            <w:pPr>
              <w:pStyle w:val="TableParagraph"/>
              <w:spacing w:line="209" w:lineRule="exact" w:before="136"/>
              <w:ind w:right="323"/>
              <w:jc w:val="right"/>
              <w:rPr>
                <w:b/>
                <w:sz w:val="20"/>
              </w:rPr>
            </w:pPr>
            <w:r>
              <w:rPr>
                <w:b/>
                <w:w w:val="95"/>
                <w:sz w:val="20"/>
              </w:rPr>
              <w:t>999</w:t>
            </w:r>
          </w:p>
        </w:tc>
      </w:tr>
      <w:tr>
        <w:trPr>
          <w:trHeight w:val="439" w:hRule="atLeast"/>
        </w:trPr>
        <w:tc>
          <w:tcPr>
            <w:tcW w:w="6157" w:type="dxa"/>
            <w:tcBorders>
              <w:top w:val="single" w:sz="4" w:space="0" w:color="000000"/>
            </w:tcBorders>
          </w:tcPr>
          <w:p>
            <w:pPr>
              <w:pStyle w:val="TableParagraph"/>
              <w:spacing w:before="140"/>
              <w:ind w:left="14"/>
              <w:rPr>
                <w:sz w:val="20"/>
              </w:rPr>
            </w:pPr>
            <w:r>
              <w:rPr>
                <w:sz w:val="20"/>
              </w:rPr>
              <w:t>Private virksomheder</w:t>
            </w:r>
          </w:p>
        </w:tc>
        <w:tc>
          <w:tcPr>
            <w:tcW w:w="1721" w:type="dxa"/>
            <w:tcBorders>
              <w:top w:val="single" w:sz="4" w:space="0" w:color="000000"/>
            </w:tcBorders>
          </w:tcPr>
          <w:p>
            <w:pPr>
              <w:pStyle w:val="TableParagraph"/>
              <w:spacing w:before="140"/>
              <w:ind w:right="219"/>
              <w:jc w:val="right"/>
              <w:rPr>
                <w:sz w:val="20"/>
              </w:rPr>
            </w:pPr>
            <w:r>
              <w:rPr>
                <w:w w:val="95"/>
                <w:sz w:val="20"/>
              </w:rPr>
              <w:t>40</w:t>
            </w:r>
          </w:p>
        </w:tc>
        <w:tc>
          <w:tcPr>
            <w:tcW w:w="2371" w:type="dxa"/>
            <w:tcBorders>
              <w:top w:val="single" w:sz="4" w:space="0" w:color="000000"/>
            </w:tcBorders>
          </w:tcPr>
          <w:p>
            <w:pPr>
              <w:pStyle w:val="TableParagraph"/>
              <w:spacing w:before="140"/>
              <w:ind w:right="326"/>
              <w:jc w:val="right"/>
              <w:rPr>
                <w:sz w:val="20"/>
              </w:rPr>
            </w:pPr>
            <w:r>
              <w:rPr>
                <w:sz w:val="20"/>
              </w:rPr>
              <w:t>726</w:t>
            </w:r>
          </w:p>
        </w:tc>
      </w:tr>
      <w:tr>
        <w:trPr>
          <w:trHeight w:val="423" w:hRule="atLeast"/>
        </w:trPr>
        <w:tc>
          <w:tcPr>
            <w:tcW w:w="6157" w:type="dxa"/>
          </w:tcPr>
          <w:p>
            <w:pPr>
              <w:pStyle w:val="TableParagraph"/>
              <w:spacing w:before="71"/>
              <w:ind w:left="14"/>
              <w:rPr>
                <w:sz w:val="20"/>
              </w:rPr>
            </w:pPr>
            <w:r>
              <w:rPr>
                <w:sz w:val="20"/>
              </w:rPr>
              <w:t>Forsyningsselskaber</w:t>
            </w:r>
          </w:p>
        </w:tc>
        <w:tc>
          <w:tcPr>
            <w:tcW w:w="1721" w:type="dxa"/>
          </w:tcPr>
          <w:p>
            <w:pPr>
              <w:pStyle w:val="TableParagraph"/>
              <w:spacing w:before="71"/>
              <w:ind w:right="219"/>
              <w:jc w:val="right"/>
              <w:rPr>
                <w:sz w:val="20"/>
              </w:rPr>
            </w:pPr>
            <w:r>
              <w:rPr>
                <w:w w:val="95"/>
                <w:sz w:val="20"/>
              </w:rPr>
              <w:t>100</w:t>
            </w:r>
          </w:p>
        </w:tc>
        <w:tc>
          <w:tcPr>
            <w:tcW w:w="2371" w:type="dxa"/>
          </w:tcPr>
          <w:p>
            <w:pPr>
              <w:pStyle w:val="TableParagraph"/>
              <w:spacing w:before="71"/>
              <w:ind w:right="327"/>
              <w:jc w:val="right"/>
              <w:rPr>
                <w:sz w:val="20"/>
              </w:rPr>
            </w:pPr>
            <w:r>
              <w:rPr>
                <w:w w:val="95"/>
                <w:sz w:val="20"/>
              </w:rPr>
              <w:t>229</w:t>
            </w:r>
          </w:p>
        </w:tc>
      </w:tr>
      <w:tr>
        <w:trPr>
          <w:trHeight w:val="316" w:hRule="atLeast"/>
        </w:trPr>
        <w:tc>
          <w:tcPr>
            <w:tcW w:w="6157" w:type="dxa"/>
          </w:tcPr>
          <w:p>
            <w:pPr>
              <w:pStyle w:val="TableParagraph"/>
              <w:spacing w:before="17"/>
              <w:ind w:left="14"/>
              <w:rPr>
                <w:sz w:val="20"/>
              </w:rPr>
            </w:pPr>
            <w:r>
              <w:rPr>
                <w:sz w:val="20"/>
              </w:rPr>
              <w:t>Statslige myndigheder</w:t>
            </w:r>
          </w:p>
        </w:tc>
        <w:tc>
          <w:tcPr>
            <w:tcW w:w="1721" w:type="dxa"/>
          </w:tcPr>
          <w:p>
            <w:pPr>
              <w:pStyle w:val="TableParagraph"/>
              <w:rPr>
                <w:rFonts w:ascii="Times New Roman"/>
                <w:sz w:val="18"/>
              </w:rPr>
            </w:pPr>
          </w:p>
        </w:tc>
        <w:tc>
          <w:tcPr>
            <w:tcW w:w="2371" w:type="dxa"/>
          </w:tcPr>
          <w:p>
            <w:pPr>
              <w:pStyle w:val="TableParagraph"/>
              <w:spacing w:before="17"/>
              <w:ind w:right="326"/>
              <w:jc w:val="right"/>
              <w:rPr>
                <w:sz w:val="20"/>
              </w:rPr>
            </w:pPr>
            <w:r>
              <w:rPr>
                <w:w w:val="95"/>
                <w:sz w:val="20"/>
              </w:rPr>
              <w:t>22</w:t>
            </w:r>
          </w:p>
        </w:tc>
      </w:tr>
      <w:tr>
        <w:trPr>
          <w:trHeight w:val="368" w:hRule="atLeast"/>
        </w:trPr>
        <w:tc>
          <w:tcPr>
            <w:tcW w:w="6157" w:type="dxa"/>
          </w:tcPr>
          <w:p>
            <w:pPr>
              <w:pStyle w:val="TableParagraph"/>
              <w:spacing w:before="71"/>
              <w:ind w:left="14"/>
              <w:rPr>
                <w:sz w:val="20"/>
              </w:rPr>
            </w:pPr>
            <w:r>
              <w:rPr>
                <w:sz w:val="20"/>
              </w:rPr>
              <w:t>Kommuner</w:t>
            </w:r>
          </w:p>
        </w:tc>
        <w:tc>
          <w:tcPr>
            <w:tcW w:w="1721" w:type="dxa"/>
          </w:tcPr>
          <w:p>
            <w:pPr>
              <w:pStyle w:val="TableParagraph"/>
              <w:spacing w:line="167" w:lineRule="exact" w:before="181"/>
              <w:ind w:right="199"/>
              <w:jc w:val="right"/>
              <w:rPr>
                <w:sz w:val="20"/>
              </w:rPr>
            </w:pPr>
            <w:r>
              <w:rPr>
                <w:w w:val="95"/>
                <w:sz w:val="20"/>
              </w:rPr>
              <w:t>50</w:t>
            </w:r>
          </w:p>
        </w:tc>
        <w:tc>
          <w:tcPr>
            <w:tcW w:w="2371" w:type="dxa"/>
          </w:tcPr>
          <w:p>
            <w:pPr>
              <w:pStyle w:val="TableParagraph"/>
              <w:spacing w:before="71"/>
              <w:ind w:right="321"/>
              <w:jc w:val="right"/>
              <w:rPr>
                <w:sz w:val="20"/>
              </w:rPr>
            </w:pPr>
            <w:r>
              <w:rPr>
                <w:w w:val="95"/>
                <w:sz w:val="20"/>
              </w:rPr>
              <w:t>18</w:t>
            </w:r>
          </w:p>
        </w:tc>
      </w:tr>
      <w:tr>
        <w:trPr>
          <w:trHeight w:val="368" w:hRule="atLeast"/>
        </w:trPr>
        <w:tc>
          <w:tcPr>
            <w:tcW w:w="6157" w:type="dxa"/>
          </w:tcPr>
          <w:p>
            <w:pPr>
              <w:pStyle w:val="TableParagraph"/>
              <w:spacing w:before="70"/>
              <w:ind w:left="14"/>
              <w:rPr>
                <w:sz w:val="20"/>
              </w:rPr>
            </w:pPr>
            <w:r>
              <w:rPr>
                <w:sz w:val="20"/>
              </w:rPr>
              <w:t>Regioner</w:t>
            </w:r>
          </w:p>
        </w:tc>
        <w:tc>
          <w:tcPr>
            <w:tcW w:w="1721" w:type="dxa"/>
          </w:tcPr>
          <w:p>
            <w:pPr>
              <w:pStyle w:val="TableParagraph"/>
              <w:rPr>
                <w:rFonts w:ascii="Times New Roman"/>
                <w:sz w:val="18"/>
              </w:rPr>
            </w:pPr>
          </w:p>
        </w:tc>
        <w:tc>
          <w:tcPr>
            <w:tcW w:w="2371" w:type="dxa"/>
          </w:tcPr>
          <w:p>
            <w:pPr>
              <w:pStyle w:val="TableParagraph"/>
              <w:spacing w:before="70"/>
              <w:ind w:right="325"/>
              <w:jc w:val="right"/>
              <w:rPr>
                <w:sz w:val="20"/>
              </w:rPr>
            </w:pPr>
            <w:r>
              <w:rPr>
                <w:w w:val="99"/>
                <w:sz w:val="20"/>
              </w:rPr>
              <w:t>2</w:t>
            </w:r>
          </w:p>
        </w:tc>
      </w:tr>
      <w:tr>
        <w:trPr>
          <w:trHeight w:val="369" w:hRule="atLeast"/>
        </w:trPr>
        <w:tc>
          <w:tcPr>
            <w:tcW w:w="6157" w:type="dxa"/>
          </w:tcPr>
          <w:p>
            <w:pPr>
              <w:pStyle w:val="TableParagraph"/>
              <w:spacing w:before="71"/>
              <w:ind w:left="14"/>
              <w:rPr>
                <w:sz w:val="20"/>
              </w:rPr>
            </w:pPr>
            <w:r>
              <w:rPr>
                <w:sz w:val="20"/>
              </w:rPr>
              <w:t>Selvejende institutioner og øvrige</w:t>
            </w:r>
          </w:p>
        </w:tc>
        <w:tc>
          <w:tcPr>
            <w:tcW w:w="1721" w:type="dxa"/>
          </w:tcPr>
          <w:p>
            <w:pPr>
              <w:pStyle w:val="TableParagraph"/>
              <w:rPr>
                <w:rFonts w:ascii="Times New Roman"/>
                <w:sz w:val="18"/>
              </w:rPr>
            </w:pPr>
          </w:p>
        </w:tc>
        <w:tc>
          <w:tcPr>
            <w:tcW w:w="2371" w:type="dxa"/>
          </w:tcPr>
          <w:p>
            <w:pPr>
              <w:pStyle w:val="TableParagraph"/>
              <w:spacing w:before="71"/>
              <w:ind w:right="325"/>
              <w:jc w:val="right"/>
              <w:rPr>
                <w:sz w:val="20"/>
              </w:rPr>
            </w:pPr>
            <w:r>
              <w:rPr>
                <w:w w:val="99"/>
                <w:sz w:val="20"/>
              </w:rPr>
              <w:t>2</w:t>
            </w:r>
          </w:p>
        </w:tc>
      </w:tr>
      <w:tr>
        <w:trPr>
          <w:trHeight w:val="299" w:hRule="atLeast"/>
        </w:trPr>
        <w:tc>
          <w:tcPr>
            <w:tcW w:w="6157" w:type="dxa"/>
            <w:tcBorders>
              <w:bottom w:val="single" w:sz="4" w:space="0" w:color="000000"/>
            </w:tcBorders>
          </w:tcPr>
          <w:p>
            <w:pPr>
              <w:pStyle w:val="TableParagraph"/>
              <w:spacing w:line="209" w:lineRule="exact" w:before="71"/>
              <w:ind w:left="14"/>
              <w:rPr>
                <w:b/>
                <w:sz w:val="20"/>
              </w:rPr>
            </w:pPr>
            <w:r>
              <w:rPr>
                <w:b/>
                <w:sz w:val="20"/>
              </w:rPr>
              <w:t>Total samfundsøkonomisk værdi af de frie geodata</w:t>
            </w:r>
          </w:p>
        </w:tc>
        <w:tc>
          <w:tcPr>
            <w:tcW w:w="1721" w:type="dxa"/>
            <w:tcBorders>
              <w:bottom w:val="single" w:sz="4" w:space="0" w:color="000000"/>
            </w:tcBorders>
          </w:tcPr>
          <w:p>
            <w:pPr>
              <w:pStyle w:val="TableParagraph"/>
              <w:spacing w:line="209" w:lineRule="exact" w:before="71"/>
              <w:ind w:right="219"/>
              <w:jc w:val="right"/>
              <w:rPr>
                <w:b/>
                <w:sz w:val="20"/>
              </w:rPr>
            </w:pPr>
            <w:r>
              <w:rPr>
                <w:b/>
                <w:sz w:val="20"/>
              </w:rPr>
              <w:t>1.592</w:t>
            </w:r>
          </w:p>
        </w:tc>
        <w:tc>
          <w:tcPr>
            <w:tcW w:w="2371" w:type="dxa"/>
            <w:tcBorders>
              <w:bottom w:val="single" w:sz="4" w:space="0" w:color="000000"/>
            </w:tcBorders>
          </w:tcPr>
          <w:p>
            <w:pPr>
              <w:pStyle w:val="TableParagraph"/>
              <w:spacing w:line="209" w:lineRule="exact" w:before="71"/>
              <w:ind w:right="324"/>
              <w:jc w:val="right"/>
              <w:rPr>
                <w:b/>
                <w:sz w:val="20"/>
              </w:rPr>
            </w:pPr>
            <w:r>
              <w:rPr>
                <w:b/>
                <w:w w:val="95"/>
                <w:sz w:val="20"/>
              </w:rPr>
              <w:t>3.541</w:t>
            </w:r>
          </w:p>
        </w:tc>
      </w:tr>
    </w:tbl>
    <w:p>
      <w:pPr>
        <w:spacing w:before="0"/>
        <w:ind w:left="278" w:right="2038" w:firstLine="0"/>
        <w:jc w:val="left"/>
        <w:rPr>
          <w:i/>
          <w:sz w:val="18"/>
        </w:rPr>
      </w:pPr>
      <w:r>
        <w:rPr/>
        <w:pict>
          <v:rect style="position:absolute;margin-left:433pt;margin-top:-86.527084pt;width:31.5pt;height:64.5pt;mso-position-horizontal-relative:page;mso-position-vertical-relative:paragraph;z-index:-180736" filled="true" fillcolor="#f1f1f1" stroked="false">
            <v:fill type="solid"/>
            <w10:wrap type="none"/>
          </v:rect>
        </w:pict>
      </w:r>
      <w:r>
        <w:rPr>
          <w:b/>
          <w:i/>
          <w:color w:val="A21F1F"/>
          <w:sz w:val="18"/>
        </w:rPr>
        <w:t>Kilde</w:t>
      </w:r>
      <w:r>
        <w:rPr>
          <w:i/>
          <w:color w:val="A21F1F"/>
          <w:sz w:val="18"/>
        </w:rPr>
        <w:t>: Spørgeskemaundersøgelse udført blandt private virksomheder, forsyningsselskaber og offentlige </w:t>
      </w:r>
      <w:r>
        <w:rPr>
          <w:i/>
          <w:color w:val="A21F1F"/>
          <w:sz w:val="18"/>
        </w:rPr>
        <w:t>myndigheder og før-måling</w:t>
      </w:r>
    </w:p>
    <w:p>
      <w:pPr>
        <w:pStyle w:val="BodyText"/>
        <w:rPr>
          <w:i/>
        </w:rPr>
      </w:pPr>
    </w:p>
    <w:p>
      <w:pPr>
        <w:pStyle w:val="BodyText"/>
        <w:spacing w:before="6"/>
        <w:rPr>
          <w:i/>
        </w:rPr>
      </w:pPr>
    </w:p>
    <w:p>
      <w:pPr>
        <w:pStyle w:val="BodyText"/>
        <w:spacing w:line="360" w:lineRule="auto"/>
        <w:ind w:left="278" w:right="1092"/>
      </w:pPr>
      <w:r>
        <w:rPr/>
        <w:t>Beregningen af den samfundsøkonomiske værdi af de frie geodata er baseret på, at de frie geodata genererer en markeds- og en effektiviseringseffekt. Produktionseffekten fremkommer ved, at der i både private virksomheder og offentlige myndigheder foregår en produktion, der er baseret på adgang til de frie geodata. For offentlige myndigheder opgøres produktionen i form af det medgåede personaleforbrug. For de private virksomheder er markedseffekten baseret på den omsætning, der kan relateres til de frie geodata. Punktmålingen viser, at markedsaktørerne skønner at kunne tilbyde ydelser og produkter, som kan omsættes på markedet som konsekvens af frisætningen.</w:t>
      </w:r>
    </w:p>
    <w:p>
      <w:pPr>
        <w:pStyle w:val="BodyText"/>
        <w:spacing w:before="4"/>
        <w:rPr>
          <w:sz w:val="21"/>
        </w:rPr>
      </w:pPr>
    </w:p>
    <w:p>
      <w:pPr>
        <w:pStyle w:val="BodyText"/>
        <w:spacing w:line="360" w:lineRule="auto"/>
        <w:ind w:left="278" w:right="1284"/>
      </w:pPr>
      <w:r>
        <w:rPr/>
        <w:t>Ud over at indgå i produktion bidrager de frie geodata også til besparelser på såvel som effektivisering af forskellige arbejdsprocesser i både private virksomheder og blandt offentlige myndigheder.</w:t>
      </w:r>
    </w:p>
    <w:p>
      <w:pPr>
        <w:pStyle w:val="BodyText"/>
        <w:ind w:left="278"/>
      </w:pPr>
      <w:r>
        <w:rPr/>
        <w:t>Effektiviseringseffekten er således udtryk for de omkostningsbesparelser, som de frie geodata har medført i</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private virksomheder, forsyningsselskaber og offentlige myndigheder. Effektiviseringseffekten er således</w:t>
      </w:r>
    </w:p>
    <w:p>
      <w:pPr>
        <w:pStyle w:val="BodyText"/>
        <w:spacing w:before="114"/>
        <w:ind w:left="278"/>
      </w:pPr>
      <w:r>
        <w:rPr/>
        <w:t>værdien af den sparede tid, som kan disponeres på andre opgaver.</w:t>
      </w:r>
    </w:p>
    <w:p>
      <w:pPr>
        <w:pStyle w:val="BodyText"/>
        <w:spacing w:before="1"/>
        <w:rPr>
          <w:sz w:val="31"/>
        </w:rPr>
      </w:pPr>
    </w:p>
    <w:p>
      <w:pPr>
        <w:pStyle w:val="BodyText"/>
        <w:spacing w:line="360" w:lineRule="auto"/>
        <w:ind w:left="278" w:right="1206"/>
      </w:pPr>
      <w:r>
        <w:rPr/>
        <w:t>Ud over den samfundsøkonomiske værdi, der kan opgøres med produktionsværdi i samfundsøkonomien, medfører de frie geodata også i mindre grad velfærdseffekter, der ikke kan omsættes på et marked.</w:t>
      </w:r>
    </w:p>
    <w:p>
      <w:pPr>
        <w:pStyle w:val="BodyText"/>
        <w:ind w:left="278"/>
      </w:pPr>
      <w:r>
        <w:rPr/>
        <w:t>Velfærdseffekterne kunne fx være forbedret miljø, tidsbesparelser for borgere og mere sundhed.</w:t>
      </w:r>
    </w:p>
    <w:p>
      <w:pPr>
        <w:pStyle w:val="BodyText"/>
        <w:spacing w:before="1"/>
        <w:rPr>
          <w:sz w:val="31"/>
        </w:rPr>
      </w:pPr>
    </w:p>
    <w:p>
      <w:pPr>
        <w:pStyle w:val="BodyText"/>
        <w:spacing w:line="360" w:lineRule="auto"/>
        <w:ind w:left="278" w:right="1243"/>
      </w:pPr>
      <w:r>
        <w:rPr/>
        <w:t>Det skal bemærkes, at analysens resultater er behæftet med en vis usikkerhed. Det skyldes særligt, at estimaterne beror på skønsmæssige betragtninger fra respondenterne, og at det fx kan være vanskeligt at skønne, præcis hvor stort effektiviseringsbidraget fra de frie geodata har været i en virksomhed eller en myndighed. Det er dog vurderingen, at der vil være en nogenlunde ligevægt mellem skøn, der er henholdsvis over og under det reelle niveau.</w:t>
      </w:r>
    </w:p>
    <w:p>
      <w:pPr>
        <w:pStyle w:val="BodyText"/>
        <w:rPr>
          <w:sz w:val="21"/>
        </w:rPr>
      </w:pPr>
    </w:p>
    <w:p>
      <w:pPr>
        <w:pStyle w:val="Heading3"/>
        <w:numPr>
          <w:ilvl w:val="2"/>
          <w:numId w:val="3"/>
        </w:numPr>
        <w:tabs>
          <w:tab w:pos="999" w:val="left" w:leader="none"/>
        </w:tabs>
        <w:spacing w:line="240" w:lineRule="auto" w:before="0" w:after="0"/>
        <w:ind w:left="998" w:right="0" w:hanging="720"/>
        <w:jc w:val="left"/>
        <w:rPr>
          <w:i/>
        </w:rPr>
      </w:pPr>
      <w:bookmarkStart w:name="_bookmark4" w:id="7"/>
      <w:bookmarkEnd w:id="7"/>
      <w:r>
        <w:rPr>
          <w:i w:val="0"/>
        </w:rPr>
      </w:r>
      <w:bookmarkStart w:name="_bookmark4" w:id="8"/>
      <w:bookmarkEnd w:id="8"/>
      <w:r>
        <w:rPr>
          <w:i/>
          <w:color w:val="A21F1F"/>
        </w:rPr>
        <w:t>A</w:t>
      </w:r>
      <w:r>
        <w:rPr>
          <w:i/>
          <w:color w:val="A21F1F"/>
        </w:rPr>
        <w:t>nalysens relation til før-målingen fra</w:t>
      </w:r>
      <w:r>
        <w:rPr>
          <w:i/>
          <w:color w:val="A21F1F"/>
          <w:spacing w:val="-4"/>
        </w:rPr>
        <w:t> </w:t>
      </w:r>
      <w:r>
        <w:rPr>
          <w:i/>
          <w:color w:val="A21F1F"/>
        </w:rPr>
        <w:t>2013</w:t>
      </w:r>
    </w:p>
    <w:p>
      <w:pPr>
        <w:pStyle w:val="BodyText"/>
        <w:spacing w:line="360" w:lineRule="auto" w:before="243"/>
        <w:ind w:left="278" w:right="1158"/>
      </w:pPr>
      <w:r>
        <w:rPr/>
        <w:t>I 2013 gennemførte Geodatastyrelsen (GST) en såkaldt før-måling</w:t>
      </w:r>
      <w:r>
        <w:rPr>
          <w:position w:val="5"/>
          <w:sz w:val="13"/>
        </w:rPr>
        <w:t>2</w:t>
      </w:r>
      <w:r>
        <w:rPr/>
        <w:t>, som opgjorde værdien af de frie geodata før frisættelsen. Denne før-måling repræsenterer et referencepunkt og sammenligningsgrundlag for den samfundsøkonomiske værdi af de frie geodata, og værdien blev i før-målingen estimeret til ca. 1,6 mia. kr. Hovedparten af denne værdi kunne henføres til øget produktivitet i den offentlige og private sektor. Før-målingens resultater viser også, at geodata indgår i udviklingen af nye produkter og tjenester, og at geodata giver besparelsesmuligheder i en række interne processer. Før-målingen peger endvidere på flere barrierer for udnyttelsen af de frie geodata.</w:t>
      </w:r>
    </w:p>
    <w:p>
      <w:pPr>
        <w:pStyle w:val="BodyText"/>
        <w:spacing w:before="1"/>
        <w:rPr>
          <w:sz w:val="21"/>
        </w:rPr>
      </w:pPr>
    </w:p>
    <w:p>
      <w:pPr>
        <w:pStyle w:val="BodyText"/>
        <w:spacing w:line="360" w:lineRule="auto"/>
        <w:ind w:left="278" w:right="1542"/>
      </w:pPr>
      <w:r>
        <w:rPr/>
        <w:t>Den nærværende analyse bygger videre på de resultater, der kom ud af før-målingen. Analysen er dog designet således, at den kan håndtere en tredelt ambition, der er som følger:</w:t>
      </w:r>
    </w:p>
    <w:p>
      <w:pPr>
        <w:pStyle w:val="BodyText"/>
        <w:spacing w:before="1"/>
        <w:rPr>
          <w:sz w:val="21"/>
        </w:rPr>
      </w:pPr>
    </w:p>
    <w:p>
      <w:pPr>
        <w:pStyle w:val="ListParagraph"/>
        <w:numPr>
          <w:ilvl w:val="0"/>
          <w:numId w:val="4"/>
        </w:numPr>
        <w:tabs>
          <w:tab w:pos="998" w:val="left" w:leader="none"/>
          <w:tab w:pos="999" w:val="left" w:leader="none"/>
        </w:tabs>
        <w:spacing w:line="352" w:lineRule="auto" w:before="0" w:after="0"/>
        <w:ind w:left="998" w:right="1400" w:hanging="360"/>
        <w:jc w:val="left"/>
        <w:rPr>
          <w:sz w:val="20"/>
        </w:rPr>
      </w:pPr>
      <w:r>
        <w:rPr>
          <w:i/>
          <w:sz w:val="20"/>
        </w:rPr>
        <w:t>For det første </w:t>
      </w:r>
      <w:r>
        <w:rPr>
          <w:sz w:val="20"/>
        </w:rPr>
        <w:t>vil analysen estimere den samfundsøkonomiske værdi af de frie geodata pr. 2016 samt pege på udviklingen i anvendelsen af de frie geodata siden</w:t>
      </w:r>
      <w:r>
        <w:rPr>
          <w:spacing w:val="-8"/>
          <w:sz w:val="20"/>
        </w:rPr>
        <w:t> </w:t>
      </w:r>
      <w:r>
        <w:rPr>
          <w:sz w:val="20"/>
        </w:rPr>
        <w:t>før-målingen.</w:t>
      </w:r>
    </w:p>
    <w:p>
      <w:pPr>
        <w:pStyle w:val="BodyText"/>
        <w:spacing w:before="7"/>
        <w:rPr>
          <w:sz w:val="21"/>
        </w:rPr>
      </w:pPr>
    </w:p>
    <w:p>
      <w:pPr>
        <w:pStyle w:val="ListParagraph"/>
        <w:numPr>
          <w:ilvl w:val="0"/>
          <w:numId w:val="4"/>
        </w:numPr>
        <w:tabs>
          <w:tab w:pos="998" w:val="left" w:leader="none"/>
          <w:tab w:pos="999" w:val="left" w:leader="none"/>
        </w:tabs>
        <w:spacing w:line="350" w:lineRule="auto" w:before="1" w:after="0"/>
        <w:ind w:left="998" w:right="1666" w:hanging="360"/>
        <w:jc w:val="left"/>
        <w:rPr>
          <w:sz w:val="20"/>
        </w:rPr>
      </w:pPr>
      <w:r>
        <w:rPr>
          <w:i/>
          <w:sz w:val="20"/>
        </w:rPr>
        <w:t>For</w:t>
      </w:r>
      <w:r>
        <w:rPr>
          <w:i/>
          <w:spacing w:val="-4"/>
          <w:sz w:val="20"/>
        </w:rPr>
        <w:t> </w:t>
      </w:r>
      <w:r>
        <w:rPr>
          <w:i/>
          <w:sz w:val="20"/>
        </w:rPr>
        <w:t>det</w:t>
      </w:r>
      <w:r>
        <w:rPr>
          <w:i/>
          <w:spacing w:val="-4"/>
          <w:sz w:val="20"/>
        </w:rPr>
        <w:t> </w:t>
      </w:r>
      <w:r>
        <w:rPr>
          <w:i/>
          <w:sz w:val="20"/>
        </w:rPr>
        <w:t>andet</w:t>
      </w:r>
      <w:r>
        <w:rPr>
          <w:i/>
          <w:spacing w:val="-3"/>
          <w:sz w:val="20"/>
        </w:rPr>
        <w:t> </w:t>
      </w:r>
      <w:r>
        <w:rPr>
          <w:sz w:val="20"/>
        </w:rPr>
        <w:t>vil</w:t>
      </w:r>
      <w:r>
        <w:rPr>
          <w:spacing w:val="-3"/>
          <w:sz w:val="20"/>
        </w:rPr>
        <w:t> </w:t>
      </w:r>
      <w:r>
        <w:rPr>
          <w:sz w:val="20"/>
        </w:rPr>
        <w:t>analysen</w:t>
      </w:r>
      <w:r>
        <w:rPr>
          <w:spacing w:val="-1"/>
          <w:sz w:val="20"/>
        </w:rPr>
        <w:t> </w:t>
      </w:r>
      <w:r>
        <w:rPr>
          <w:sz w:val="20"/>
        </w:rPr>
        <w:t>komme</w:t>
      </w:r>
      <w:r>
        <w:rPr>
          <w:spacing w:val="-1"/>
          <w:sz w:val="20"/>
        </w:rPr>
        <w:t> </w:t>
      </w:r>
      <w:r>
        <w:rPr>
          <w:sz w:val="20"/>
        </w:rPr>
        <w:t>med</w:t>
      </w:r>
      <w:r>
        <w:rPr>
          <w:spacing w:val="-4"/>
          <w:sz w:val="20"/>
        </w:rPr>
        <w:t> </w:t>
      </w:r>
      <w:r>
        <w:rPr>
          <w:sz w:val="20"/>
        </w:rPr>
        <w:t>konkrete</w:t>
      </w:r>
      <w:r>
        <w:rPr>
          <w:spacing w:val="-4"/>
          <w:sz w:val="20"/>
        </w:rPr>
        <w:t> </w:t>
      </w:r>
      <w:r>
        <w:rPr>
          <w:sz w:val="20"/>
        </w:rPr>
        <w:t>eksempler</w:t>
      </w:r>
      <w:r>
        <w:rPr>
          <w:spacing w:val="-2"/>
          <w:sz w:val="20"/>
        </w:rPr>
        <w:t> </w:t>
      </w:r>
      <w:r>
        <w:rPr>
          <w:sz w:val="20"/>
        </w:rPr>
        <w:t>på,</w:t>
      </w:r>
      <w:r>
        <w:rPr>
          <w:spacing w:val="-2"/>
          <w:sz w:val="20"/>
        </w:rPr>
        <w:t> </w:t>
      </w:r>
      <w:r>
        <w:rPr>
          <w:sz w:val="20"/>
        </w:rPr>
        <w:t>hvordan</w:t>
      </w:r>
      <w:r>
        <w:rPr>
          <w:spacing w:val="-1"/>
          <w:sz w:val="20"/>
        </w:rPr>
        <w:t> </w:t>
      </w:r>
      <w:r>
        <w:rPr>
          <w:sz w:val="20"/>
        </w:rPr>
        <w:t>geodata</w:t>
      </w:r>
      <w:r>
        <w:rPr>
          <w:spacing w:val="-3"/>
          <w:sz w:val="20"/>
        </w:rPr>
        <w:t> </w:t>
      </w:r>
      <w:r>
        <w:rPr>
          <w:sz w:val="20"/>
        </w:rPr>
        <w:t>i</w:t>
      </w:r>
      <w:r>
        <w:rPr>
          <w:spacing w:val="-2"/>
          <w:sz w:val="20"/>
        </w:rPr>
        <w:t> </w:t>
      </w:r>
      <w:r>
        <w:rPr>
          <w:sz w:val="20"/>
        </w:rPr>
        <w:t>dag</w:t>
      </w:r>
      <w:r>
        <w:rPr>
          <w:spacing w:val="-4"/>
          <w:sz w:val="20"/>
        </w:rPr>
        <w:t> </w:t>
      </w:r>
      <w:r>
        <w:rPr>
          <w:sz w:val="20"/>
        </w:rPr>
        <w:t>bliver anvendt i private virksomheder, forsyningsselskaber og offentlige</w:t>
      </w:r>
      <w:r>
        <w:rPr>
          <w:spacing w:val="-13"/>
          <w:sz w:val="20"/>
        </w:rPr>
        <w:t> </w:t>
      </w:r>
      <w:r>
        <w:rPr>
          <w:sz w:val="20"/>
        </w:rPr>
        <w:t>myndigheder.</w:t>
      </w:r>
    </w:p>
    <w:p>
      <w:pPr>
        <w:pStyle w:val="BodyText"/>
        <w:spacing w:before="10"/>
        <w:rPr>
          <w:sz w:val="21"/>
        </w:rPr>
      </w:pPr>
    </w:p>
    <w:p>
      <w:pPr>
        <w:pStyle w:val="ListParagraph"/>
        <w:numPr>
          <w:ilvl w:val="0"/>
          <w:numId w:val="4"/>
        </w:numPr>
        <w:tabs>
          <w:tab w:pos="998" w:val="left" w:leader="none"/>
          <w:tab w:pos="999" w:val="left" w:leader="none"/>
        </w:tabs>
        <w:spacing w:line="355" w:lineRule="auto" w:before="0" w:after="0"/>
        <w:ind w:left="998" w:right="1139" w:hanging="360"/>
        <w:jc w:val="left"/>
        <w:rPr>
          <w:sz w:val="20"/>
        </w:rPr>
      </w:pPr>
      <w:r>
        <w:rPr>
          <w:i/>
          <w:sz w:val="20"/>
        </w:rPr>
        <w:t>For det tredje </w:t>
      </w:r>
      <w:r>
        <w:rPr>
          <w:sz w:val="20"/>
        </w:rPr>
        <w:t>vil analysen identificere potentialer for fremadrettet anvendelse af de frie geodata – men også de barrierer, som forskellige brugergrupper oplever i forhold til at realisere de frie geodatas</w:t>
      </w:r>
      <w:r>
        <w:rPr>
          <w:spacing w:val="-1"/>
          <w:sz w:val="20"/>
        </w:rPr>
        <w:t> </w:t>
      </w:r>
      <w:r>
        <w:rPr>
          <w:sz w:val="20"/>
        </w:rPr>
        <w:t>potentiale.</w:t>
      </w:r>
    </w:p>
    <w:p>
      <w:pPr>
        <w:pStyle w:val="BodyText"/>
        <w:spacing w:before="8"/>
        <w:rPr>
          <w:sz w:val="21"/>
        </w:rPr>
      </w:pPr>
    </w:p>
    <w:p>
      <w:pPr>
        <w:pStyle w:val="BodyText"/>
        <w:spacing w:line="360" w:lineRule="auto" w:before="1"/>
        <w:ind w:left="278" w:right="1161"/>
      </w:pPr>
      <w:r>
        <w:rPr/>
        <w:t>For at komme i mål med analysens første del genanvender PwC i store træk den metode til at beregne geodatas samfundsøkonomiske værdi, der blev udviklet og anvendt i før-målingen. Det har været et ønske fra SDFE, at nærværende eftermåling udføres efter stort set samme metode og analysedesign, som blev udviklet og anvendt i før-målingen, for at gøre det muligt at foretage en overordnet sammenligning.</w:t>
      </w:r>
    </w:p>
    <w:p>
      <w:pPr>
        <w:pStyle w:val="BodyText"/>
        <w:ind w:left="278"/>
      </w:pPr>
      <w:r>
        <w:rPr/>
        <w:t>Metoden til opgørelse af værdien af geodata, der blev formuleret i før-målingen, er udviklet med henblik på</w:t>
      </w:r>
    </w:p>
    <w:p>
      <w:pPr>
        <w:pStyle w:val="BodyText"/>
        <w:spacing w:before="1"/>
        <w:rPr>
          <w:sz w:val="23"/>
        </w:rPr>
      </w:pPr>
      <w:r>
        <w:rPr/>
        <w:pict>
          <v:line style="position:absolute;mso-position-horizontal-relative:page;mso-position-vertical-relative:paragraph;z-index:-232;mso-wrap-distance-left:0;mso-wrap-distance-right:0" from="70.944pt,15.335404pt" to="214.964pt,15.335404pt" stroked="true" strokeweight=".48004pt" strokecolor="#000000">
            <v:stroke dashstyle="solid"/>
            <w10:wrap type="topAndBottom"/>
          </v:line>
        </w:pict>
      </w:r>
    </w:p>
    <w:p>
      <w:pPr>
        <w:pStyle w:val="BodyText"/>
        <w:spacing w:before="61"/>
        <w:ind w:left="278" w:right="1243"/>
      </w:pPr>
      <w:r>
        <w:rPr>
          <w:position w:val="5"/>
          <w:sz w:val="13"/>
        </w:rPr>
        <w:t>2 </w:t>
      </w:r>
      <w:r>
        <w:rPr/>
        <w:t>”Effekten af de frie geografiske grunddata”, 2014, Deloitte. Referencer til før-målingen vil i nærværende rapport blive betegnet ”før-målingen”.</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at opfange forskellige aktørers brug og forædling af geodata, og den tager højde for forskellige effekter af</w:t>
      </w:r>
    </w:p>
    <w:p>
      <w:pPr>
        <w:pStyle w:val="BodyText"/>
        <w:spacing w:before="114"/>
        <w:ind w:left="278"/>
      </w:pPr>
      <w:r>
        <w:rPr/>
        <w:t>geodata.</w:t>
      </w:r>
    </w:p>
    <w:p>
      <w:pPr>
        <w:pStyle w:val="BodyText"/>
        <w:spacing w:before="1"/>
        <w:rPr>
          <w:sz w:val="31"/>
        </w:rPr>
      </w:pPr>
    </w:p>
    <w:p>
      <w:pPr>
        <w:pStyle w:val="BodyText"/>
        <w:spacing w:line="360" w:lineRule="auto"/>
        <w:ind w:left="278" w:right="1095"/>
      </w:pPr>
      <w:r>
        <w:rPr/>
        <w:t>Nedenstående </w:t>
      </w:r>
      <w:hyperlink w:history="true" w:anchor="_bookmark5">
        <w:r>
          <w:rPr>
            <w:sz w:val="18"/>
          </w:rPr>
          <w:t>Figur 1 </w:t>
        </w:r>
      </w:hyperlink>
      <w:r>
        <w:rPr/>
        <w:t>udgør fundamentet for beregningen. Modellen gennemgås i kapitel 2 og vil ikke blive beskrevet yderligere her.</w:t>
      </w:r>
    </w:p>
    <w:p>
      <w:pPr>
        <w:spacing w:before="119"/>
        <w:ind w:left="278" w:right="0" w:firstLine="0"/>
        <w:jc w:val="left"/>
        <w:rPr>
          <w:i/>
          <w:sz w:val="18"/>
        </w:rPr>
      </w:pPr>
      <w:r>
        <w:rPr/>
        <w:pict>
          <v:group style="position:absolute;margin-left:71.300003pt;margin-top:22.342955pt;width:472.65pt;height:233.7pt;mso-position-horizontal-relative:page;mso-position-vertical-relative:paragraph;z-index:-184;mso-wrap-distance-left:0;mso-wrap-distance-right:0" coordorigin="1426,447" coordsize="9453,4674">
            <v:rect style="position:absolute;left:1426;top:447;width:9453;height:4674" filled="true" fillcolor="#f1f1f1" stroked="false">
              <v:fill type="solid"/>
            </v:rect>
            <v:shape style="position:absolute;left:1426;top:446;width:9420;height:4544" type="#_x0000_t75" stroked="false">
              <v:imagedata r:id="rId11" o:title=""/>
            </v:shape>
            <w10:wrap type="topAndBottom"/>
          </v:group>
        </w:pict>
      </w:r>
      <w:bookmarkStart w:name="_bookmark5" w:id="9"/>
      <w:bookmarkEnd w:id="9"/>
      <w:r>
        <w:rPr/>
      </w:r>
      <w:r>
        <w:rPr>
          <w:i/>
          <w:color w:val="A21F1F"/>
          <w:sz w:val="18"/>
        </w:rPr>
        <w:t>Figur 1: Oversigt over analysedesign, der genanvendes fra før-målingen</w:t>
      </w:r>
    </w:p>
    <w:p>
      <w:pPr>
        <w:spacing w:line="174" w:lineRule="exact" w:before="0"/>
        <w:ind w:left="278" w:right="0" w:firstLine="0"/>
        <w:jc w:val="left"/>
        <w:rPr>
          <w:i/>
          <w:sz w:val="18"/>
        </w:rPr>
      </w:pPr>
      <w:r>
        <w:rPr>
          <w:b/>
          <w:i/>
          <w:color w:val="A21F1F"/>
          <w:sz w:val="18"/>
        </w:rPr>
        <w:t>Kilde: </w:t>
      </w:r>
      <w:r>
        <w:rPr>
          <w:i/>
          <w:color w:val="A21F1F"/>
          <w:sz w:val="18"/>
        </w:rPr>
        <w:t>Før-måling</w:t>
      </w:r>
    </w:p>
    <w:p>
      <w:pPr>
        <w:pStyle w:val="BodyText"/>
        <w:rPr>
          <w:i/>
        </w:rPr>
      </w:pPr>
    </w:p>
    <w:p>
      <w:pPr>
        <w:pStyle w:val="BodyText"/>
        <w:spacing w:before="6"/>
        <w:rPr>
          <w:i/>
        </w:rPr>
      </w:pPr>
    </w:p>
    <w:p>
      <w:pPr>
        <w:pStyle w:val="BodyText"/>
        <w:spacing w:line="360" w:lineRule="auto"/>
        <w:ind w:left="278" w:right="1042"/>
      </w:pPr>
      <w:r>
        <w:rPr/>
        <w:t>Med hensyn til analysens andet ben har PwC gennemført en række case-undersøgelser, hvor virksomheder, forsyningsselskaber og offentlige myndigheder, der anvender de frie geodata, er blevet interviewet om deres anvendelse af de frie geodata samt den værdi, de</w:t>
      </w:r>
      <w:r>
        <w:rPr>
          <w:spacing w:val="-4"/>
        </w:rPr>
        <w:t> </w:t>
      </w:r>
      <w:r>
        <w:rPr/>
        <w:t>skaber.</w:t>
      </w:r>
    </w:p>
    <w:p>
      <w:pPr>
        <w:pStyle w:val="BodyText"/>
        <w:spacing w:before="2"/>
        <w:rPr>
          <w:sz w:val="22"/>
        </w:rPr>
      </w:pPr>
    </w:p>
    <w:p>
      <w:pPr>
        <w:pStyle w:val="BodyText"/>
        <w:spacing w:line="254" w:lineRule="auto" w:before="1"/>
        <w:ind w:left="278" w:right="1096"/>
        <w:jc w:val="both"/>
      </w:pPr>
      <w:r>
        <w:rPr/>
        <w:t>Både spørgeskemaanalysen og case-undersøgelserne udgør fundamentet for analysens tredje ben, der også vil pege på en række forslag, der kan understøtte øget anvendelse af de frie geodata. Nedenstående </w:t>
      </w:r>
      <w:hyperlink w:history="true" w:anchor="_bookmark6">
        <w:r>
          <w:rPr/>
          <w:t>Figur 2</w:t>
        </w:r>
      </w:hyperlink>
      <w:r>
        <w:rPr/>
        <w:t> opsummerer analysens fire skridt samt analysens datamæssige fundament.</w:t>
      </w:r>
    </w:p>
    <w:p>
      <w:pPr>
        <w:spacing w:after="0" w:line="254" w:lineRule="auto"/>
        <w:jc w:val="both"/>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944pt;margin-top:14.096pt;width:474.95pt;height:178.5pt;mso-position-horizontal-relative:page;mso-position-vertical-relative:paragraph;z-index:-136;mso-wrap-distance-left:0;mso-wrap-distance-right:0" coordorigin="1419,282" coordsize="9499,3570">
            <v:rect style="position:absolute;left:1418;top:452;width:9499;height:3228" filled="true" fillcolor="#f1f1f1" stroked="false">
              <v:fill type="solid"/>
            </v:rect>
            <v:rect style="position:absolute;left:1589;top:3452;width:9158;height:228" filled="true" fillcolor="#f1f1f1" stroked="false">
              <v:fill type="solid"/>
            </v:rect>
            <v:rect style="position:absolute;left:1418;top:281;width:9499;height:171" filled="true" fillcolor="#f1f1f1" stroked="false">
              <v:fill type="solid"/>
            </v:rect>
            <v:rect style="position:absolute;left:1418;top:3680;width:9499;height:171" filled="true" fillcolor="#f1f1f1" stroked="false">
              <v:fill type="solid"/>
            </v:rect>
            <v:shape style="position:absolute;left:1420;top:453;width:9200;height:2997" type="#_x0000_t75" stroked="false">
              <v:imagedata r:id="rId12" o:title=""/>
            </v:shape>
            <w10:wrap type="topAndBottom"/>
          </v:group>
        </w:pict>
      </w:r>
      <w:bookmarkStart w:name="_bookmark6" w:id="10"/>
      <w:bookmarkEnd w:id="10"/>
      <w:r>
        <w:rPr/>
      </w:r>
      <w:r>
        <w:rPr>
          <w:i/>
          <w:color w:val="A21F1F"/>
          <w:sz w:val="18"/>
        </w:rPr>
        <w:t>Figur 2: Opsummering af analysens dele og datagrundlag</w:t>
      </w:r>
    </w:p>
    <w:p>
      <w:pPr>
        <w:pStyle w:val="BodyText"/>
        <w:spacing w:before="7"/>
        <w:rPr>
          <w:i/>
          <w:sz w:val="18"/>
        </w:rPr>
      </w:pPr>
    </w:p>
    <w:p>
      <w:pPr>
        <w:pStyle w:val="BodyText"/>
        <w:spacing w:line="360" w:lineRule="auto" w:before="100"/>
        <w:ind w:left="278" w:right="1332"/>
      </w:pPr>
      <w:r>
        <w:rPr/>
        <w:t>Med gennemførelsen af nærværende eftermåling følges op på anvendelsen af de frie geodata anno 2016, samtidigt med at der bliver trukket tråde tilbage til før-målingen. Nedenfor opsummeres analysens resultater i hovedtræk.</w:t>
      </w:r>
    </w:p>
    <w:p>
      <w:pPr>
        <w:pStyle w:val="BodyText"/>
        <w:spacing w:before="10"/>
      </w:pPr>
    </w:p>
    <w:p>
      <w:pPr>
        <w:pStyle w:val="Heading3"/>
        <w:numPr>
          <w:ilvl w:val="2"/>
          <w:numId w:val="3"/>
        </w:numPr>
        <w:tabs>
          <w:tab w:pos="999" w:val="left" w:leader="none"/>
        </w:tabs>
        <w:spacing w:line="240" w:lineRule="auto" w:before="0" w:after="0"/>
        <w:ind w:left="998" w:right="3405" w:hanging="720"/>
        <w:jc w:val="left"/>
      </w:pPr>
      <w:bookmarkStart w:name="_bookmark7" w:id="11"/>
      <w:bookmarkEnd w:id="11"/>
      <w:r>
        <w:rPr>
          <w:i w:val="0"/>
        </w:rPr>
      </w:r>
      <w:bookmarkStart w:name="_bookmark7" w:id="12"/>
      <w:bookmarkEnd w:id="12"/>
      <w:r>
        <w:rPr>
          <w:i/>
          <w:color w:val="A21F1F"/>
        </w:rPr>
        <w:t>De</w:t>
      </w:r>
      <w:r>
        <w:rPr>
          <w:i/>
          <w:color w:val="A21F1F"/>
        </w:rPr>
        <w:t> frie geodata anvendes fx til klimasikring, </w:t>
      </w:r>
      <w:r>
        <w:rPr>
          <w:color w:val="A21F1F"/>
        </w:rPr>
        <w:t>brancheanalyser og facility</w:t>
      </w:r>
      <w:r>
        <w:rPr>
          <w:color w:val="A21F1F"/>
          <w:spacing w:val="-5"/>
        </w:rPr>
        <w:t> </w:t>
      </w:r>
      <w:r>
        <w:rPr>
          <w:color w:val="A21F1F"/>
        </w:rPr>
        <w:t>management</w:t>
      </w:r>
    </w:p>
    <w:p>
      <w:pPr>
        <w:pStyle w:val="BodyText"/>
        <w:spacing w:line="360" w:lineRule="auto" w:before="242"/>
        <w:ind w:left="278" w:right="995"/>
      </w:pPr>
      <w:r>
        <w:rPr/>
        <w:t>I case-undersøgelserne har vi gennem interviews med medarbejdere i en række private virksomheder, forsyningsselskaber og offentlige myndigheder fået belyst en række af de anvendelsesområder, hvor de frie geodata er med til at skabe værdi for anvenderne. Den første case viser, hvordan virksomheden Scalgo anvender de frie geodata, især højdemodellen, til at skabe et produkt, som anvendes af forsyningsselskaber, kommuner og rådgivende ingeniørvirksomheder i arbejdet med klimasikring. Den anden case viser, hvordan virksomheden Bisbase kobler de frie geodata til Erhvervsstyrelsens frie regnskabsdata og herved kan skabe et produkt, der blandt andet gør Nordea i stand til at tilbyde deres erhvervskunder målrettede, relevante brancheanalyser. Den tredje case illustrerer, hvordan virksomheden Dalux anvender og kobler de frie geodata med informationer om ejendomme i deres facility management-løsning, så deres kunder får et bedre overblik over deres samlede ejendomsportefølje.</w:t>
      </w:r>
    </w:p>
    <w:p>
      <w:pPr>
        <w:pStyle w:val="BodyText"/>
        <w:spacing w:before="10"/>
      </w:pPr>
    </w:p>
    <w:p>
      <w:pPr>
        <w:pStyle w:val="Heading3"/>
        <w:numPr>
          <w:ilvl w:val="2"/>
          <w:numId w:val="3"/>
        </w:numPr>
        <w:tabs>
          <w:tab w:pos="999" w:val="left" w:leader="none"/>
        </w:tabs>
        <w:spacing w:line="240" w:lineRule="auto" w:before="1" w:after="0"/>
        <w:ind w:left="998" w:right="1550" w:hanging="720"/>
        <w:jc w:val="left"/>
      </w:pPr>
      <w:bookmarkStart w:name="_bookmark8" w:id="13"/>
      <w:bookmarkEnd w:id="13"/>
      <w:r>
        <w:rPr>
          <w:i w:val="0"/>
        </w:rPr>
      </w:r>
      <w:bookmarkStart w:name="_bookmark8" w:id="14"/>
      <w:bookmarkEnd w:id="14"/>
      <w:r>
        <w:rPr>
          <w:i/>
          <w:color w:val="A21F1F"/>
        </w:rPr>
        <w:t>D</w:t>
      </w:r>
      <w:r>
        <w:rPr>
          <w:i/>
          <w:color w:val="A21F1F"/>
        </w:rPr>
        <w:t>er er potentialer ved øget anvendelse af de frie geodata, </w:t>
      </w:r>
      <w:r>
        <w:rPr>
          <w:color w:val="A21F1F"/>
        </w:rPr>
        <w:t>men der er også barrierer, der bør</w:t>
      </w:r>
      <w:r>
        <w:rPr>
          <w:color w:val="A21F1F"/>
          <w:spacing w:val="-8"/>
        </w:rPr>
        <w:t> </w:t>
      </w:r>
      <w:r>
        <w:rPr>
          <w:color w:val="A21F1F"/>
        </w:rPr>
        <w:t>nedbrydes</w:t>
      </w:r>
    </w:p>
    <w:p>
      <w:pPr>
        <w:pStyle w:val="BodyText"/>
        <w:spacing w:line="360" w:lineRule="auto" w:before="242"/>
        <w:ind w:left="278" w:right="1006"/>
      </w:pPr>
      <w:r>
        <w:rPr/>
        <w:t>Både spørgeskemaundersøgelsen og case-undersøgelserne peger på, at de frie geodata sætter gang i innovationen i de private virksomheder, der beskæftiger sig med geodata. Case-undersøgelserne viser, at de frie geodata har medvirket til, at nye virksomheder er opstået, og at etablerede virksomheder har videreudviklet eksisterende produkter eller udviklet helt nye produkter. De deltagende virksomheder har ligeledes peget på, at der fremadrettet vil være et potentiale i at øge deres anvendelse af de frie geodata.</w:t>
      </w:r>
    </w:p>
    <w:p>
      <w:pPr>
        <w:pStyle w:val="BodyText"/>
        <w:spacing w:before="1"/>
        <w:rPr>
          <w:sz w:val="21"/>
        </w:rPr>
      </w:pPr>
    </w:p>
    <w:p>
      <w:pPr>
        <w:pStyle w:val="BodyText"/>
        <w:spacing w:line="360" w:lineRule="auto"/>
        <w:ind w:left="278" w:right="1229"/>
      </w:pPr>
      <w:r>
        <w:rPr/>
        <w:t>Optimismen vedrørende det fremtidige markedspotentiale, der følger af de frie geodata, kan bunde i, at omkring 20 pct. af virksomhederne angiver, at de har iværksat udvikling af et eller flere nye produkter og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ydelser, som de forventer at gå i markedet med inden for en overskuelig fremtid, jf. </w:t>
      </w:r>
      <w:hyperlink w:history="true" w:anchor="_bookmark9">
        <w:r>
          <w:rPr/>
          <w:t>Figur 3 </w:t>
        </w:r>
      </w:hyperlink>
      <w:r>
        <w:rPr/>
        <w:t>herunder.</w:t>
      </w:r>
    </w:p>
    <w:p>
      <w:pPr>
        <w:pStyle w:val="BodyText"/>
        <w:spacing w:line="360" w:lineRule="auto" w:before="114"/>
        <w:ind w:left="278" w:right="1141"/>
      </w:pPr>
      <w:r>
        <w:rPr/>
        <w:t>Samtidigt angiver omkring 35 pct., at de har videreudviklet et eller flere af deres produkter og ydelser som følge af adgangen til de frie geodata.</w:t>
      </w:r>
    </w:p>
    <w:p>
      <w:pPr>
        <w:pStyle w:val="BodyText"/>
        <w:rPr>
          <w:sz w:val="21"/>
        </w:rPr>
      </w:pPr>
    </w:p>
    <w:p>
      <w:pPr>
        <w:spacing w:before="0"/>
        <w:ind w:left="278" w:right="1132" w:firstLine="0"/>
        <w:jc w:val="left"/>
        <w:rPr>
          <w:i/>
          <w:sz w:val="18"/>
        </w:rPr>
      </w:pPr>
      <w:r>
        <w:rPr/>
        <w:pict>
          <v:group style="position:absolute;margin-left:70.525002pt;margin-top:26.177933pt;width:468.75pt;height:185.55pt;mso-position-horizontal-relative:page;mso-position-vertical-relative:paragraph;z-index:-64;mso-wrap-distance-left:0;mso-wrap-distance-right:0" coordorigin="1411,524" coordsize="9375,3711">
            <v:rect style="position:absolute;left:1418;top:531;width:9360;height:3696" filled="true" fillcolor="#f1f1f1" stroked="false">
              <v:fill type="solid"/>
            </v:rect>
            <v:line style="position:absolute" from="6538,751" to="6538,957" stroked="true" strokeweight=".75pt" strokecolor="#d9d9d9">
              <v:stroke dashstyle="solid"/>
            </v:line>
            <v:line style="position:absolute" from="6538,1408" to="6538,1821" stroked="true" strokeweight=".75pt" strokecolor="#d9d9d9">
              <v:stroke dashstyle="solid"/>
            </v:line>
            <v:line style="position:absolute" from="6538,2272" to="6538,2682" stroked="true" strokeweight=".75pt" strokecolor="#d9d9d9">
              <v:stroke dashstyle="solid"/>
            </v:line>
            <v:line style="position:absolute" from="6538,3133" to="6538,3340" stroked="true" strokeweight=".75pt" strokecolor="#d9d9d9">
              <v:stroke dashstyle="solid"/>
            </v:line>
            <v:line style="position:absolute" from="7087,751" to="7087,957" stroked="true" strokeweight=".75pt" strokecolor="#d9d9d9">
              <v:stroke dashstyle="solid"/>
            </v:line>
            <v:line style="position:absolute" from="7087,1408" to="7087,1821" stroked="true" strokeweight=".75pt" strokecolor="#d9d9d9">
              <v:stroke dashstyle="solid"/>
            </v:line>
            <v:line style="position:absolute" from="7087,2272" to="7087,2682" stroked="true" strokeweight=".75pt" strokecolor="#d9d9d9">
              <v:stroke dashstyle="solid"/>
            </v:line>
            <v:line style="position:absolute" from="7087,3133" to="7087,3340" stroked="true" strokeweight=".75pt" strokecolor="#d9d9d9">
              <v:stroke dashstyle="solid"/>
            </v:line>
            <v:line style="position:absolute" from="7634,751" to="7634,957" stroked="true" strokeweight=".75pt" strokecolor="#d9d9d9">
              <v:stroke dashstyle="solid"/>
            </v:line>
            <v:line style="position:absolute" from="7634,1408" to="7634,2046" stroked="true" strokeweight=".75pt" strokecolor="#d9d9d9">
              <v:stroke dashstyle="solid"/>
            </v:line>
            <v:line style="position:absolute" from="7634,2272" to="7634,2908" stroked="true" strokeweight=".75pt" strokecolor="#d9d9d9">
              <v:stroke dashstyle="solid"/>
            </v:line>
            <v:line style="position:absolute" from="7634,3133" to="7634,3340" stroked="true" strokeweight=".75pt" strokecolor="#d9d9d9">
              <v:stroke dashstyle="solid"/>
            </v:line>
            <v:line style="position:absolute" from="8184,751" to="8184,957" stroked="true" strokeweight=".75pt" strokecolor="#d9d9d9">
              <v:stroke dashstyle="solid"/>
            </v:line>
            <v:line style="position:absolute" from="8184,1408" to="8184,2046" stroked="true" strokeweight=".75pt" strokecolor="#d9d9d9">
              <v:stroke dashstyle="solid"/>
            </v:line>
            <v:line style="position:absolute" from="8184,2272" to="8184,3340" stroked="true" strokeweight=".75pt" strokecolor="#d9d9d9">
              <v:stroke dashstyle="solid"/>
            </v:line>
            <v:line style="position:absolute" from="8734,751" to="8734,957" stroked="true" strokeweight=".75pt" strokecolor="#d9d9d9">
              <v:stroke dashstyle="solid"/>
            </v:line>
            <v:line style="position:absolute" from="8734,1408" to="8734,3340" stroked="true" strokeweight=".75pt" strokecolor="#d9d9d9">
              <v:stroke dashstyle="solid"/>
            </v:line>
            <v:line style="position:absolute" from="9281,751" to="9281,957" stroked="true" strokeweight=".75pt" strokecolor="#d9d9d9">
              <v:stroke dashstyle="solid"/>
            </v:line>
            <v:line style="position:absolute" from="9281,1408" to="9281,3340" stroked="true" strokeweight=".75pt" strokecolor="#d9d9d9">
              <v:stroke dashstyle="solid"/>
            </v:line>
            <v:line style="position:absolute" from="9830,751" to="9830,1182" stroked="true" strokeweight=".75pt" strokecolor="#d9d9d9">
              <v:stroke dashstyle="solid"/>
            </v:line>
            <v:line style="position:absolute" from="9830,1408" to="9830,3340" stroked="true" strokeweight=".75pt" strokecolor="#d9d9d9">
              <v:stroke dashstyle="solid"/>
            </v:line>
            <v:line style="position:absolute" from="10378,751" to="10378,3340" stroked="true" strokeweight=".75pt" strokecolor="#d9d9d9">
              <v:stroke dashstyle="solid"/>
            </v:line>
            <v:rect style="position:absolute;left:5989;top:2907;width:2017;height:226" filled="true" fillcolor="#901b1b" stroked="false">
              <v:fill type="solid"/>
            </v:rect>
            <v:rect style="position:absolute;left:5989;top:2046;width:2396;height:226" filled="true" fillcolor="#901b1b" stroked="false">
              <v:fill type="solid"/>
            </v:rect>
            <v:rect style="position:absolute;left:5989;top:1182;width:4036;height:226" filled="true" fillcolor="#901b1b" stroked="false">
              <v:fill type="solid"/>
            </v:rect>
            <v:rect style="position:absolute;left:5989;top:2682;width:1645;height:226" filled="true" fillcolor="#bd8686" stroked="false">
              <v:fill type="solid"/>
            </v:rect>
            <v:rect style="position:absolute;left:5989;top:1820;width:1645;height:226" filled="true" fillcolor="#bd8686" stroked="false">
              <v:fill type="solid"/>
            </v:rect>
            <v:rect style="position:absolute;left:5989;top:956;width:3841;height:226" filled="true" fillcolor="#bd8686" stroked="false">
              <v:fill type="solid"/>
            </v:rect>
            <v:line style="position:absolute" from="5990,3340" to="5990,751" stroked="true" strokeweight=".75pt" strokecolor="#d9d9d9">
              <v:stroke dashstyle="solid"/>
            </v:line>
            <v:rect style="position:absolute;left:5547;top:3899;width:93;height:93" filled="true" fillcolor="#bd8686" stroked="false">
              <v:fill type="solid"/>
            </v:rect>
            <v:rect style="position:absolute;left:6196;top:3899;width:93;height:93" filled="true" fillcolor="#901b1b" stroked="false">
              <v:fill type="solid"/>
            </v:rect>
            <v:rect style="position:absolute;left:1418;top:531;width:9360;height:3696" filled="false" stroked="true" strokeweight=".75pt" strokecolor="#d9d9d9">
              <v:stroke dashstyle="solid"/>
            </v:rect>
            <v:shape style="position:absolute;left:1425;top:531;width:9345;height:3689" type="#_x0000_t202" filled="false" stroked="false">
              <v:textbox inset="0,0,0,0">
                <w:txbxContent>
                  <w:p>
                    <w:pPr>
                      <w:spacing w:line="240" w:lineRule="auto" w:before="0"/>
                      <w:rPr>
                        <w:i/>
                        <w:sz w:val="20"/>
                      </w:rPr>
                    </w:pPr>
                  </w:p>
                  <w:p>
                    <w:pPr>
                      <w:spacing w:line="240" w:lineRule="auto" w:before="10"/>
                      <w:rPr>
                        <w:i/>
                        <w:sz w:val="18"/>
                      </w:rPr>
                    </w:pPr>
                  </w:p>
                  <w:p>
                    <w:pPr>
                      <w:spacing w:before="0"/>
                      <w:ind w:left="201" w:right="4896" w:firstLine="0"/>
                      <w:jc w:val="center"/>
                      <w:rPr>
                        <w:sz w:val="18"/>
                      </w:rPr>
                    </w:pPr>
                    <w:r>
                      <w:rPr>
                        <w:color w:val="585858"/>
                        <w:sz w:val="18"/>
                      </w:rPr>
                      <w:t>Ja, virksomheden har videreudviklet egne produkter og ydelser.</w:t>
                    </w:r>
                  </w:p>
                  <w:p>
                    <w:pPr>
                      <w:spacing w:line="240" w:lineRule="auto" w:before="0"/>
                      <w:rPr>
                        <w:i/>
                        <w:sz w:val="20"/>
                      </w:rPr>
                    </w:pPr>
                  </w:p>
                  <w:p>
                    <w:pPr>
                      <w:spacing w:before="124"/>
                      <w:ind w:left="153" w:right="4936" w:hanging="2"/>
                      <w:jc w:val="center"/>
                      <w:rPr>
                        <w:sz w:val="18"/>
                      </w:rPr>
                    </w:pPr>
                    <w:r>
                      <w:rPr>
                        <w:color w:val="585858"/>
                        <w:sz w:val="18"/>
                      </w:rPr>
                      <w:t>Ja, virksomheden har udviklet et eller flere nye produkter og ydelser, som på nuværende tidspunkt er lanceret på markedet.</w:t>
                    </w:r>
                  </w:p>
                  <w:p>
                    <w:pPr>
                      <w:spacing w:line="240" w:lineRule="auto" w:before="0"/>
                      <w:rPr>
                        <w:i/>
                        <w:sz w:val="22"/>
                      </w:rPr>
                    </w:pPr>
                  </w:p>
                  <w:p>
                    <w:pPr>
                      <w:spacing w:before="0"/>
                      <w:ind w:left="122" w:right="4936" w:hanging="1"/>
                      <w:jc w:val="center"/>
                      <w:rPr>
                        <w:sz w:val="18"/>
                      </w:rPr>
                    </w:pPr>
                    <w:r>
                      <w:rPr>
                        <w:color w:val="585858"/>
                        <w:sz w:val="18"/>
                      </w:rPr>
                      <w:t>Ja, virksomheden har iværksat udvikling af et eller flere nye produkter og ydelser, som forventes at komme på markedet inden for en overskuelig fremtid.</w:t>
                    </w:r>
                  </w:p>
                  <w:p>
                    <w:pPr>
                      <w:spacing w:line="240" w:lineRule="auto" w:before="2"/>
                      <w:rPr>
                        <w:i/>
                        <w:sz w:val="21"/>
                      </w:rPr>
                    </w:pPr>
                  </w:p>
                  <w:p>
                    <w:pPr>
                      <w:tabs>
                        <w:tab w:pos="4992" w:val="left" w:leader="none"/>
                        <w:tab w:pos="5495" w:val="left" w:leader="none"/>
                        <w:tab w:pos="6051" w:val="left" w:leader="none"/>
                        <w:tab w:pos="6580" w:val="left" w:leader="none"/>
                        <w:tab w:pos="8235" w:val="left" w:leader="none"/>
                      </w:tabs>
                      <w:spacing w:before="0"/>
                      <w:ind w:left="4436" w:right="0" w:firstLine="0"/>
                      <w:jc w:val="left"/>
                      <w:rPr>
                        <w:sz w:val="18"/>
                      </w:rPr>
                    </w:pPr>
                    <w:r>
                      <w:rPr>
                        <w:color w:val="585858"/>
                        <w:sz w:val="18"/>
                      </w:rPr>
                      <w:t>0%</w:t>
                      <w:tab/>
                      <w:t>5%</w:t>
                      <w:tab/>
                      <w:t>10%</w:t>
                      <w:tab/>
                      <w:t>15%</w:t>
                      <w:tab/>
                      <w:t>20%   </w:t>
                    </w:r>
                    <w:r>
                      <w:rPr>
                        <w:color w:val="585858"/>
                        <w:spacing w:val="24"/>
                        <w:sz w:val="18"/>
                      </w:rPr>
                      <w:t> </w:t>
                    </w:r>
                    <w:r>
                      <w:rPr>
                        <w:color w:val="585858"/>
                        <w:sz w:val="18"/>
                      </w:rPr>
                      <w:t>25%   </w:t>
                    </w:r>
                    <w:r>
                      <w:rPr>
                        <w:color w:val="585858"/>
                        <w:spacing w:val="23"/>
                        <w:sz w:val="18"/>
                      </w:rPr>
                      <w:t> </w:t>
                    </w:r>
                    <w:r>
                      <w:rPr>
                        <w:color w:val="585858"/>
                        <w:sz w:val="18"/>
                      </w:rPr>
                      <w:t>30%</w:t>
                      <w:tab/>
                      <w:t>35%</w:t>
                    </w:r>
                    <w:r>
                      <w:rPr>
                        <w:color w:val="585858"/>
                        <w:spacing w:val="22"/>
                        <w:sz w:val="18"/>
                      </w:rPr>
                      <w:t> </w:t>
                    </w:r>
                    <w:r>
                      <w:rPr>
                        <w:color w:val="585858"/>
                        <w:sz w:val="18"/>
                      </w:rPr>
                      <w:t>40%</w:t>
                    </w:r>
                  </w:p>
                  <w:p>
                    <w:pPr>
                      <w:spacing w:line="240" w:lineRule="auto" w:before="1"/>
                      <w:rPr>
                        <w:i/>
                        <w:sz w:val="16"/>
                      </w:rPr>
                    </w:pPr>
                  </w:p>
                  <w:p>
                    <w:pPr>
                      <w:tabs>
                        <w:tab w:pos="850" w:val="left" w:leader="none"/>
                      </w:tabs>
                      <w:spacing w:before="0"/>
                      <w:ind w:left="201" w:right="0" w:firstLine="0"/>
                      <w:jc w:val="center"/>
                      <w:rPr>
                        <w:sz w:val="18"/>
                      </w:rPr>
                    </w:pPr>
                    <w:r>
                      <w:rPr>
                        <w:color w:val="585858"/>
                        <w:sz w:val="18"/>
                      </w:rPr>
                      <w:t>2012</w:t>
                      <w:tab/>
                      <w:t>2016</w:t>
                    </w:r>
                  </w:p>
                </w:txbxContent>
              </v:textbox>
              <w10:wrap type="none"/>
            </v:shape>
            <w10:wrap type="topAndBottom"/>
          </v:group>
        </w:pict>
      </w:r>
      <w:bookmarkStart w:name="_bookmark9" w:id="15"/>
      <w:bookmarkEnd w:id="15"/>
      <w:r>
        <w:rPr/>
      </w:r>
      <w:r>
        <w:rPr>
          <w:i/>
          <w:color w:val="A21F1F"/>
          <w:sz w:val="18"/>
        </w:rPr>
        <w:t>Figur 3: Andel af private virksomheder, der angiver, at virksomheden har videreudviklet egne produkter og ydelser </w:t>
      </w:r>
      <w:r>
        <w:rPr>
          <w:i/>
          <w:color w:val="A21F1F"/>
          <w:sz w:val="18"/>
        </w:rPr>
        <w:t>eller igangsat udvikling af nye produkter og ydelser</w:t>
      </w:r>
    </w:p>
    <w:p>
      <w:pPr>
        <w:spacing w:before="99"/>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20"/>
        <w:ind w:left="278" w:right="0" w:firstLine="0"/>
        <w:jc w:val="left"/>
        <w:rPr>
          <w:i/>
          <w:sz w:val="18"/>
        </w:rPr>
      </w:pPr>
      <w:r>
        <w:rPr>
          <w:b/>
          <w:i/>
          <w:color w:val="A21F1F"/>
          <w:sz w:val="18"/>
        </w:rPr>
        <w:t>N: </w:t>
      </w:r>
      <w:r>
        <w:rPr>
          <w:i/>
          <w:color w:val="A21F1F"/>
          <w:sz w:val="18"/>
        </w:rPr>
        <w:t>2016: 87 og 2012: 71</w:t>
      </w:r>
    </w:p>
    <w:p>
      <w:pPr>
        <w:spacing w:before="119"/>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rPr>
          <w:i/>
        </w:rPr>
      </w:pPr>
    </w:p>
    <w:p>
      <w:pPr>
        <w:pStyle w:val="BodyText"/>
        <w:spacing w:before="9"/>
        <w:rPr>
          <w:i/>
        </w:rPr>
      </w:pPr>
    </w:p>
    <w:p>
      <w:pPr>
        <w:pStyle w:val="BodyText"/>
        <w:spacing w:line="360" w:lineRule="auto"/>
        <w:ind w:left="278" w:right="1118"/>
      </w:pPr>
      <w:r>
        <w:rPr/>
        <w:t>Der er dog også identificeret en række barrierer, som SDFE og øvrige offentlige aktører bør overveje at arbejde videre med at nedbryde. I forhold til de private virksomheder udkrystalliserer barriererne sig i fire overordnede typer, nemlig:</w:t>
      </w:r>
    </w:p>
    <w:p>
      <w:pPr>
        <w:pStyle w:val="BodyText"/>
        <w:spacing w:before="2"/>
        <w:rPr>
          <w:sz w:val="21"/>
        </w:rPr>
      </w:pPr>
    </w:p>
    <w:p>
      <w:pPr>
        <w:pStyle w:val="ListParagraph"/>
        <w:numPr>
          <w:ilvl w:val="3"/>
          <w:numId w:val="3"/>
        </w:numPr>
        <w:tabs>
          <w:tab w:pos="999" w:val="left" w:leader="none"/>
        </w:tabs>
        <w:spacing w:line="240" w:lineRule="auto" w:before="0" w:after="0"/>
        <w:ind w:left="998" w:right="0" w:hanging="360"/>
        <w:jc w:val="left"/>
        <w:rPr>
          <w:sz w:val="20"/>
        </w:rPr>
      </w:pPr>
      <w:r>
        <w:rPr>
          <w:sz w:val="20"/>
        </w:rPr>
        <w:t>Tekniske</w:t>
      </w:r>
      <w:r>
        <w:rPr>
          <w:spacing w:val="-2"/>
          <w:sz w:val="20"/>
        </w:rPr>
        <w:t> </w:t>
      </w:r>
      <w:r>
        <w:rPr>
          <w:sz w:val="20"/>
        </w:rPr>
        <w:t>udfordringer</w:t>
      </w:r>
    </w:p>
    <w:p>
      <w:pPr>
        <w:pStyle w:val="ListParagraph"/>
        <w:numPr>
          <w:ilvl w:val="3"/>
          <w:numId w:val="3"/>
        </w:numPr>
        <w:tabs>
          <w:tab w:pos="999" w:val="left" w:leader="none"/>
        </w:tabs>
        <w:spacing w:line="240" w:lineRule="auto" w:before="114" w:after="0"/>
        <w:ind w:left="998" w:right="0" w:hanging="360"/>
        <w:jc w:val="left"/>
        <w:rPr>
          <w:sz w:val="20"/>
        </w:rPr>
      </w:pPr>
      <w:r>
        <w:rPr>
          <w:sz w:val="20"/>
        </w:rPr>
        <w:t>Usikkerhed vedrørende det fremadrettede</w:t>
      </w:r>
      <w:r>
        <w:rPr>
          <w:spacing w:val="-1"/>
          <w:sz w:val="20"/>
        </w:rPr>
        <w:t> </w:t>
      </w:r>
      <w:r>
        <w:rPr>
          <w:sz w:val="20"/>
        </w:rPr>
        <w:t>markedspotentiale</w:t>
      </w:r>
    </w:p>
    <w:p>
      <w:pPr>
        <w:pStyle w:val="ListParagraph"/>
        <w:numPr>
          <w:ilvl w:val="3"/>
          <w:numId w:val="3"/>
        </w:numPr>
        <w:tabs>
          <w:tab w:pos="999" w:val="left" w:leader="none"/>
        </w:tabs>
        <w:spacing w:line="240" w:lineRule="auto" w:before="113" w:after="0"/>
        <w:ind w:left="998" w:right="0" w:hanging="360"/>
        <w:jc w:val="left"/>
        <w:rPr>
          <w:sz w:val="20"/>
        </w:rPr>
      </w:pPr>
      <w:r>
        <w:rPr>
          <w:sz w:val="20"/>
        </w:rPr>
        <w:t>De frie geodatas kvalitet og geografiske</w:t>
      </w:r>
      <w:r>
        <w:rPr>
          <w:spacing w:val="-4"/>
          <w:sz w:val="20"/>
        </w:rPr>
        <w:t> </w:t>
      </w:r>
      <w:r>
        <w:rPr>
          <w:sz w:val="20"/>
        </w:rPr>
        <w:t>rækkevidde</w:t>
      </w:r>
    </w:p>
    <w:p>
      <w:pPr>
        <w:pStyle w:val="ListParagraph"/>
        <w:numPr>
          <w:ilvl w:val="3"/>
          <w:numId w:val="3"/>
        </w:numPr>
        <w:tabs>
          <w:tab w:pos="999" w:val="left" w:leader="none"/>
        </w:tabs>
        <w:spacing w:line="240" w:lineRule="auto" w:before="114" w:after="0"/>
        <w:ind w:left="998" w:right="0" w:hanging="360"/>
        <w:jc w:val="left"/>
        <w:rPr>
          <w:sz w:val="20"/>
        </w:rPr>
      </w:pPr>
      <w:r>
        <w:rPr>
          <w:sz w:val="20"/>
        </w:rPr>
        <w:t>Usikkerhed vedrørende rækkevidden af offentlige myndigheders</w:t>
      </w:r>
      <w:r>
        <w:rPr>
          <w:spacing w:val="-2"/>
          <w:sz w:val="20"/>
        </w:rPr>
        <w:t> </w:t>
      </w:r>
      <w:r>
        <w:rPr>
          <w:sz w:val="20"/>
        </w:rPr>
        <w:t>rolle.</w:t>
      </w:r>
    </w:p>
    <w:p>
      <w:pPr>
        <w:pStyle w:val="BodyText"/>
        <w:spacing w:before="5"/>
        <w:rPr>
          <w:sz w:val="27"/>
        </w:rPr>
      </w:pPr>
    </w:p>
    <w:p>
      <w:pPr>
        <w:pStyle w:val="BodyText"/>
        <w:spacing w:line="360" w:lineRule="auto" w:before="1"/>
        <w:ind w:left="278" w:right="1169"/>
      </w:pPr>
      <w:r>
        <w:rPr/>
        <w:t>I den offentlige sektor har de deltagende myndigheder ligeledes givet udtryk for, at der fremadrettet vil være et potentiale for at øge anvendelsen af geodata. Forklaringen på, at de offentlige myndigheder forventer, at de frie geodata kan få betydning for effektiviteten i opgaveløsningen, skal formentlig findes i, at de offentlige myndigheder fortsat ser mange muligheder for at forberede kvaliteten i deres opgavevaretagelse og også realisere et effektiviseringspotentiale i form af mere effektive arbejdsgange ved brug af geodata. Ligeledes er det vurderingen, at de frie geodata fortsat spiller en stor rolle i traditionelle geodatatunge områder, såsom i kommunernes teknik- og miljøforvaltninger samt i beredskaberne. Der er dog vist et spirende potentiale for, at de frie geodata spreder sig til nye forvaltningsområder og til nye arbejdsopgaver, såsom økonomistyring og ledelsesinformation.</w:t>
      </w:r>
    </w:p>
    <w:p>
      <w:pPr>
        <w:pStyle w:val="BodyText"/>
        <w:spacing w:before="3"/>
        <w:rPr>
          <w:sz w:val="21"/>
        </w:rPr>
      </w:pPr>
    </w:p>
    <w:p>
      <w:pPr>
        <w:pStyle w:val="BodyText"/>
        <w:spacing w:line="360" w:lineRule="auto"/>
        <w:ind w:left="278" w:right="1430"/>
      </w:pPr>
      <w:r>
        <w:rPr/>
        <w:t>Fx har PwC i spørgeskemaundersøgelsen blandt de offentlige myndigheder spurgt ind til, hvilken betydning de frie geodata får for effektiviteten i opgaveløsningen over de kommende 3-4 år. Her svarer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næsten 80 pct., at de frie geodata vil få nogen eller stor betydning for effektiviteten i opgaveløsningen i</w:t>
      </w:r>
    </w:p>
    <w:p>
      <w:pPr>
        <w:pStyle w:val="BodyText"/>
        <w:spacing w:before="114"/>
        <w:ind w:left="278"/>
      </w:pPr>
      <w:r>
        <w:rPr/>
        <w:t>myndigheden jf. nedenstående </w:t>
      </w:r>
      <w:hyperlink w:history="true" w:anchor="_bookmark10">
        <w:r>
          <w:rPr/>
          <w:t>Figur 4.</w:t>
        </w:r>
      </w:hyperlink>
    </w:p>
    <w:p>
      <w:pPr>
        <w:pStyle w:val="BodyText"/>
        <w:rPr>
          <w:sz w:val="31"/>
        </w:rPr>
      </w:pPr>
    </w:p>
    <w:p>
      <w:pPr>
        <w:spacing w:before="0"/>
        <w:ind w:left="278" w:right="1798" w:firstLine="0"/>
        <w:jc w:val="left"/>
        <w:rPr>
          <w:i/>
          <w:sz w:val="18"/>
        </w:rPr>
      </w:pPr>
      <w:r>
        <w:rPr/>
        <w:pict>
          <v:group style="position:absolute;margin-left:70.525002pt;margin-top:26.17791pt;width:497.55pt;height:153.75pt;mso-position-horizontal-relative:page;mso-position-vertical-relative:paragraph;z-index:104;mso-wrap-distance-left:0;mso-wrap-distance-right:0" coordorigin="1411,524" coordsize="9951,3075">
            <v:rect style="position:absolute;left:1418;top:531;width:9936;height:3060" filled="true" fillcolor="#f1f1f1" stroked="false">
              <v:fill type="solid"/>
            </v:rect>
            <v:line style="position:absolute" from="10646,2505" to="11134,2505" stroked="true" strokeweight=".75pt" strokecolor="#d9d9d9">
              <v:stroke dashstyle="solid"/>
            </v:line>
            <v:line style="position:absolute" from="9134,2505" to="10111,2505" stroked="true" strokeweight=".75pt" strokecolor="#d9d9d9">
              <v:stroke dashstyle="solid"/>
            </v:line>
            <v:line style="position:absolute" from="7622,2505" to="8599,2505" stroked="true" strokeweight=".75pt" strokecolor="#d9d9d9">
              <v:stroke dashstyle="solid"/>
            </v:line>
            <v:line style="position:absolute" from="2065,2505" to="7087,2505" stroked="true" strokeweight=".75pt" strokecolor="#d9d9d9">
              <v:stroke dashstyle="solid"/>
            </v:line>
            <v:line style="position:absolute" from="10646,2065" to="11134,2065" stroked="true" strokeweight=".75pt" strokecolor="#d9d9d9">
              <v:stroke dashstyle="solid"/>
            </v:line>
            <v:line style="position:absolute" from="9134,2065" to="10111,2065" stroked="true" strokeweight=".75pt" strokecolor="#d9d9d9">
              <v:stroke dashstyle="solid"/>
            </v:line>
            <v:line style="position:absolute" from="2065,2065" to="8599,2065" stroked="true" strokeweight=".75pt" strokecolor="#d9d9d9">
              <v:stroke dashstyle="solid"/>
            </v:line>
            <v:line style="position:absolute" from="10646,1626" to="11134,1626" stroked="true" strokeweight=".75pt" strokecolor="#d9d9d9">
              <v:stroke dashstyle="solid"/>
            </v:line>
            <v:line style="position:absolute" from="9134,1626" to="10111,1626" stroked="true" strokeweight=".75pt" strokecolor="#d9d9d9">
              <v:stroke dashstyle="solid"/>
            </v:line>
            <v:line style="position:absolute" from="2065,1626" to="8599,1626" stroked="true" strokeweight=".75pt" strokecolor="#d9d9d9">
              <v:stroke dashstyle="solid"/>
            </v:line>
            <v:line style="position:absolute" from="9134,1189" to="11134,1189" stroked="true" strokeweight=".75pt" strokecolor="#d9d9d9">
              <v:stroke dashstyle="solid"/>
            </v:line>
            <v:line style="position:absolute" from="2065,1189" to="8599,1189" stroked="true" strokeweight=".75pt" strokecolor="#d9d9d9">
              <v:stroke dashstyle="solid"/>
            </v:line>
            <v:line style="position:absolute" from="2065,751" to="11134,751" stroked="true" strokeweight=".75pt" strokecolor="#d9d9d9">
              <v:stroke dashstyle="solid"/>
            </v:line>
            <v:line style="position:absolute" from="2554,2913" to="3089,2913" stroked="true" strokeweight="2.9pt" strokecolor="#901b1b">
              <v:stroke dashstyle="solid"/>
            </v:line>
            <v:line style="position:absolute" from="4063,2883" to="4601,2883" stroked="true" strokeweight="5.9pt" strokecolor="#901b1b">
              <v:stroke dashstyle="solid"/>
            </v:line>
            <v:rect style="position:absolute;left:5575;top:2591;width:536;height:351" filled="true" fillcolor="#901b1b" stroked="false">
              <v:fill type="solid"/>
            </v:rect>
            <v:rect style="position:absolute;left:7087;top:2473;width:536;height:469" filled="true" fillcolor="#901b1b" stroked="false">
              <v:fill type="solid"/>
            </v:rect>
            <v:rect style="position:absolute;left:8599;top:896;width:536;height:2046" filled="true" fillcolor="#901b1b" stroked="false">
              <v:fill type="solid"/>
            </v:rect>
            <v:rect style="position:absolute;left:10111;top:1597;width:536;height:1345" filled="true" fillcolor="#901b1b" stroked="false">
              <v:fill type="solid"/>
            </v:rect>
            <v:line style="position:absolute" from="2065,2942" to="11134,2942" stroked="true" strokeweight=".75pt" strokecolor="#d9d9d9">
              <v:stroke dashstyle="solid"/>
            </v:line>
            <v:rect style="position:absolute;left:1418;top:531;width:9936;height:3060" filled="false" stroked="true" strokeweight=".75pt" strokecolor="#d9d9d9">
              <v:stroke dashstyle="solid"/>
            </v:rect>
            <v:shape style="position:absolute;left:9955;top:3052;width:869;height:410" type="#_x0000_t202" filled="false" stroked="false">
              <v:textbox inset="0,0,0,0">
                <w:txbxContent>
                  <w:p>
                    <w:pPr>
                      <w:spacing w:before="0"/>
                      <w:ind w:left="25" w:right="0" w:hanging="25"/>
                      <w:jc w:val="left"/>
                      <w:rPr>
                        <w:sz w:val="18"/>
                      </w:rPr>
                    </w:pPr>
                    <w:r>
                      <w:rPr>
                        <w:color w:val="585858"/>
                        <w:sz w:val="18"/>
                      </w:rPr>
                      <w:t>Meget stor betydning</w:t>
                    </w:r>
                  </w:p>
                </w:txbxContent>
              </v:textbox>
              <w10:wrap type="none"/>
            </v:shape>
            <v:shape style="position:absolute;left:5426;top:3052;width:4142;height:410" type="#_x0000_t202" filled="false" stroked="false">
              <v:textbox inset="0,0,0,0">
                <w:txbxContent>
                  <w:p>
                    <w:pPr>
                      <w:tabs>
                        <w:tab w:pos="1213" w:val="left" w:leader="none"/>
                      </w:tabs>
                      <w:spacing w:before="0"/>
                      <w:ind w:left="18" w:right="18" w:hanging="19"/>
                      <w:jc w:val="left"/>
                      <w:rPr>
                        <w:sz w:val="18"/>
                      </w:rPr>
                    </w:pPr>
                    <w:r>
                      <w:rPr>
                        <w:color w:val="585858"/>
                        <w:sz w:val="18"/>
                      </w:rPr>
                      <w:t>Begrænset</w:t>
                      <w:tab/>
                      <w:t>Mindre betydning Nogen betydning betydning</w:t>
                    </w:r>
                  </w:p>
                </w:txbxContent>
              </v:textbox>
              <w10:wrap type="none"/>
            </v:shape>
            <v:shape style="position:absolute;left:3680;top:3052;width:1324;height:205" type="#_x0000_t202" filled="false" stroked="false">
              <v:textbox inset="0,0,0,0">
                <w:txbxContent>
                  <w:p>
                    <w:pPr>
                      <w:spacing w:before="0"/>
                      <w:ind w:left="0" w:right="0" w:firstLine="0"/>
                      <w:jc w:val="left"/>
                      <w:rPr>
                        <w:sz w:val="18"/>
                      </w:rPr>
                    </w:pPr>
                    <w:r>
                      <w:rPr>
                        <w:color w:val="585858"/>
                        <w:sz w:val="18"/>
                      </w:rPr>
                      <w:t>Ingen betydning</w:t>
                    </w:r>
                  </w:p>
                </w:txbxContent>
              </v:textbox>
              <w10:wrap type="none"/>
            </v:shape>
            <v:shape style="position:absolute;left:2456;top:3052;width:708;height:205" type="#_x0000_t202" filled="false" stroked="false">
              <v:textbox inset="0,0,0,0">
                <w:txbxContent>
                  <w:p>
                    <w:pPr>
                      <w:spacing w:before="0"/>
                      <w:ind w:left="0" w:right="0" w:firstLine="0"/>
                      <w:jc w:val="left"/>
                      <w:rPr>
                        <w:sz w:val="18"/>
                      </w:rPr>
                    </w:pPr>
                    <w:r>
                      <w:rPr>
                        <w:color w:val="585858"/>
                        <w:sz w:val="18"/>
                      </w:rPr>
                      <w:t>Ved ikke</w:t>
                    </w:r>
                  </w:p>
                </w:txbxContent>
              </v:textbox>
              <w10:wrap type="none"/>
            </v:shape>
            <v:shape style="position:absolute;left:1548;top:643;width:380;height:2396" type="#_x0000_t202" filled="false" stroked="false">
              <v:textbox inset="0,0,0,0">
                <w:txbxContent>
                  <w:p>
                    <w:pPr>
                      <w:spacing w:before="0"/>
                      <w:ind w:left="6" w:right="0" w:firstLine="0"/>
                      <w:jc w:val="left"/>
                      <w:rPr>
                        <w:sz w:val="18"/>
                      </w:rPr>
                    </w:pPr>
                    <w:r>
                      <w:rPr>
                        <w:color w:val="585858"/>
                        <w:sz w:val="18"/>
                      </w:rPr>
                      <w:t>50%</w:t>
                    </w:r>
                  </w:p>
                  <w:p>
                    <w:pPr>
                      <w:spacing w:line="240" w:lineRule="auto" w:before="6"/>
                      <w:rPr>
                        <w:i/>
                        <w:sz w:val="20"/>
                      </w:rPr>
                    </w:pPr>
                  </w:p>
                  <w:p>
                    <w:pPr>
                      <w:spacing w:before="0"/>
                      <w:ind w:left="-1" w:right="19" w:firstLine="0"/>
                      <w:jc w:val="center"/>
                      <w:rPr>
                        <w:sz w:val="18"/>
                      </w:rPr>
                    </w:pPr>
                    <w:r>
                      <w:rPr>
                        <w:color w:val="585858"/>
                        <w:sz w:val="18"/>
                      </w:rPr>
                      <w:t>40%</w:t>
                    </w:r>
                  </w:p>
                  <w:p>
                    <w:pPr>
                      <w:spacing w:line="240" w:lineRule="auto" w:before="6"/>
                      <w:rPr>
                        <w:i/>
                        <w:sz w:val="20"/>
                      </w:rPr>
                    </w:pPr>
                  </w:p>
                  <w:p>
                    <w:pPr>
                      <w:spacing w:before="0"/>
                      <w:ind w:left="2" w:right="0" w:firstLine="0"/>
                      <w:jc w:val="left"/>
                      <w:rPr>
                        <w:sz w:val="18"/>
                      </w:rPr>
                    </w:pPr>
                    <w:r>
                      <w:rPr>
                        <w:color w:val="585858"/>
                        <w:sz w:val="18"/>
                      </w:rPr>
                      <w:t>30%</w:t>
                    </w:r>
                  </w:p>
                  <w:p>
                    <w:pPr>
                      <w:spacing w:line="240" w:lineRule="auto" w:before="6"/>
                      <w:rPr>
                        <w:i/>
                        <w:sz w:val="20"/>
                      </w:rPr>
                    </w:pPr>
                  </w:p>
                  <w:p>
                    <w:pPr>
                      <w:spacing w:before="1"/>
                      <w:ind w:left="0" w:right="17" w:firstLine="0"/>
                      <w:jc w:val="center"/>
                      <w:rPr>
                        <w:sz w:val="18"/>
                      </w:rPr>
                    </w:pPr>
                    <w:r>
                      <w:rPr>
                        <w:color w:val="585858"/>
                        <w:sz w:val="18"/>
                      </w:rPr>
                      <w:t>20%</w:t>
                    </w:r>
                  </w:p>
                  <w:p>
                    <w:pPr>
                      <w:spacing w:line="240" w:lineRule="auto" w:before="6"/>
                      <w:rPr>
                        <w:i/>
                        <w:sz w:val="20"/>
                      </w:rPr>
                    </w:pPr>
                  </w:p>
                  <w:p>
                    <w:pPr>
                      <w:spacing w:before="0"/>
                      <w:ind w:left="23" w:right="0" w:firstLine="0"/>
                      <w:jc w:val="left"/>
                      <w:rPr>
                        <w:sz w:val="18"/>
                      </w:rPr>
                    </w:pPr>
                    <w:r>
                      <w:rPr>
                        <w:color w:val="585858"/>
                        <w:sz w:val="18"/>
                      </w:rPr>
                      <w:t>10%</w:t>
                    </w:r>
                  </w:p>
                  <w:p>
                    <w:pPr>
                      <w:spacing w:line="240" w:lineRule="auto" w:before="6"/>
                      <w:rPr>
                        <w:i/>
                        <w:sz w:val="20"/>
                      </w:rPr>
                    </w:pPr>
                  </w:p>
                  <w:p>
                    <w:pPr>
                      <w:spacing w:before="0"/>
                      <w:ind w:left="81" w:right="0" w:firstLine="0"/>
                      <w:jc w:val="center"/>
                      <w:rPr>
                        <w:sz w:val="18"/>
                      </w:rPr>
                    </w:pPr>
                    <w:r>
                      <w:rPr>
                        <w:color w:val="585858"/>
                        <w:sz w:val="18"/>
                      </w:rPr>
                      <w:t>0%</w:t>
                    </w:r>
                  </w:p>
                </w:txbxContent>
              </v:textbox>
              <w10:wrap type="none"/>
            </v:shape>
            <w10:wrap type="topAndBottom"/>
          </v:group>
        </w:pict>
      </w:r>
      <w:bookmarkStart w:name="_bookmark10" w:id="16"/>
      <w:bookmarkEnd w:id="16"/>
      <w:r>
        <w:rPr/>
      </w:r>
      <w:r>
        <w:rPr>
          <w:i/>
          <w:color w:val="A21F1F"/>
          <w:sz w:val="18"/>
        </w:rPr>
        <w:t>Figur 4: Offentlige myndigheders vurdering af de frie geodatas betydning for effektiviteten i myndighedens </w:t>
      </w:r>
      <w:r>
        <w:rPr>
          <w:i/>
          <w:color w:val="A21F1F"/>
          <w:sz w:val="18"/>
        </w:rPr>
        <w:t>opgaveløsning på 3-4 års sigt</w:t>
      </w:r>
    </w:p>
    <w:p>
      <w:pPr>
        <w:spacing w:before="76"/>
        <w:ind w:left="278" w:right="0" w:firstLine="0"/>
        <w:jc w:val="left"/>
        <w:rPr>
          <w:i/>
          <w:sz w:val="20"/>
        </w:rPr>
      </w:pPr>
      <w:r>
        <w:rPr>
          <w:b/>
          <w:i/>
          <w:color w:val="A21F1F"/>
          <w:sz w:val="20"/>
        </w:rPr>
        <w:t>Kilde: </w:t>
      </w:r>
      <w:r>
        <w:rPr>
          <w:i/>
          <w:color w:val="A21F1F"/>
          <w:sz w:val="20"/>
        </w:rPr>
        <w:t>Spørgeskemaundersøgelse udført blandt offentlige myndigheder</w:t>
      </w:r>
    </w:p>
    <w:p>
      <w:pPr>
        <w:spacing w:before="114"/>
        <w:ind w:left="278" w:right="0" w:firstLine="0"/>
        <w:jc w:val="left"/>
        <w:rPr>
          <w:sz w:val="20"/>
        </w:rPr>
      </w:pPr>
      <w:r>
        <w:rPr>
          <w:b/>
          <w:sz w:val="20"/>
        </w:rPr>
        <w:t>N: </w:t>
      </w:r>
      <w:r>
        <w:rPr>
          <w:sz w:val="20"/>
        </w:rPr>
        <w:t>75</w:t>
      </w:r>
    </w:p>
    <w:p>
      <w:pPr>
        <w:pStyle w:val="BodyText"/>
        <w:spacing w:before="1"/>
        <w:rPr>
          <w:sz w:val="31"/>
        </w:rPr>
      </w:pPr>
    </w:p>
    <w:p>
      <w:pPr>
        <w:pStyle w:val="BodyText"/>
        <w:spacing w:line="360" w:lineRule="auto"/>
        <w:ind w:left="278" w:right="1166"/>
      </w:pPr>
      <w:r>
        <w:rPr/>
        <w:t>Blandt de offentlige myndigheder er der også identificeret barrierer, der kan hindre øget anvendelse af geodata. Det være sig både i forhold til manglende kompetencer/erfaring blandt medarbejderne i myndighederne og i forhold til mangel på fælles temaer i kortene, fx vedrørende vandløb, veje og bygninger.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1"/>
        <w:numPr>
          <w:ilvl w:val="0"/>
          <w:numId w:val="2"/>
        </w:numPr>
        <w:tabs>
          <w:tab w:pos="711" w:val="left" w:leader="none"/>
        </w:tabs>
        <w:spacing w:line="595" w:lineRule="exact" w:before="0" w:after="0"/>
        <w:ind w:left="710" w:right="0" w:hanging="432"/>
        <w:jc w:val="left"/>
        <w:rPr>
          <w:i/>
        </w:rPr>
      </w:pPr>
      <w:bookmarkStart w:name="_bookmark11" w:id="17"/>
      <w:bookmarkEnd w:id="17"/>
      <w:r>
        <w:rPr>
          <w:b w:val="0"/>
          <w:i w:val="0"/>
        </w:rPr>
      </w:r>
      <w:bookmarkStart w:name="_bookmark11" w:id="18"/>
      <w:bookmarkEnd w:id="18"/>
      <w:r>
        <w:rPr>
          <w:i/>
        </w:rPr>
        <w:t>Metod</w:t>
      </w:r>
      <w:r>
        <w:rPr>
          <w:i/>
        </w:rPr>
        <w:t>eanvendelse</w:t>
      </w:r>
    </w:p>
    <w:p>
      <w:pPr>
        <w:pStyle w:val="BodyText"/>
        <w:spacing w:line="360" w:lineRule="auto" w:before="238"/>
        <w:ind w:left="278" w:right="1174"/>
      </w:pPr>
      <w:r>
        <w:rPr/>
        <w:t>Geodata anvendes i dag til en lang række formål og spreder sig i stigende grad til forskellige sektorer. Geodata bidrager til effektivisering af arbejdsopgaver i den offentlige sektor såvel som forsyningssektoren og giver mulighed for at udvikle nye, innovative løsninger i den private sektor. Eksemplerne på anvendelsen af geodata spænder vidt, fra simple illustrationsopgaver til komplekse analyse- og planlægningsopgaver. I nedenstående Boks 1 er der oplistet tre eksempler på anvendelsen af geodata.</w:t>
      </w:r>
    </w:p>
    <w:p>
      <w:pPr>
        <w:pStyle w:val="BodyText"/>
        <w:rPr>
          <w:sz w:val="21"/>
        </w:rPr>
      </w:pPr>
    </w:p>
    <w:p>
      <w:pPr>
        <w:spacing w:before="1"/>
        <w:ind w:left="278" w:right="0" w:firstLine="0"/>
        <w:jc w:val="left"/>
        <w:rPr>
          <w:i/>
          <w:sz w:val="18"/>
        </w:rPr>
      </w:pPr>
      <w:r>
        <w:rPr/>
        <w:pict>
          <v:shape style="position:absolute;margin-left:70.944pt;margin-top:16.342928pt;width:472.4pt;height:308.850pt;mso-position-horizontal-relative:page;mso-position-vertical-relative:paragraph;z-index:152;mso-wrap-distance-left:0;mso-wrap-distance-right:0" type="#_x0000_t202" filled="true" fillcolor="#f1f1f1" stroked="false">
            <v:textbox inset="0,0,0,0">
              <w:txbxContent>
                <w:p>
                  <w:pPr>
                    <w:spacing w:before="169"/>
                    <w:ind w:left="170" w:right="0" w:firstLine="0"/>
                    <w:jc w:val="left"/>
                    <w:rPr>
                      <w:b/>
                      <w:i/>
                      <w:sz w:val="20"/>
                    </w:rPr>
                  </w:pPr>
                  <w:r>
                    <w:rPr>
                      <w:b/>
                      <w:i/>
                      <w:sz w:val="20"/>
                    </w:rPr>
                    <w:t>Bedre klimasikring</w:t>
                  </w:r>
                </w:p>
                <w:p>
                  <w:pPr>
                    <w:pStyle w:val="BodyText"/>
                    <w:spacing w:line="360" w:lineRule="auto" w:before="116"/>
                    <w:ind w:left="170" w:right="224"/>
                  </w:pPr>
                  <w:r>
                    <w:rPr/>
                    <w:t>Et eksempel er fra klimasikringsområdet, hvor kommuner og forsyningsselskaber anvender geodata til at forudsige, hvor vandet løber hen ved skybrud. Geodata giver dermed grundlag for bedre planlægning, drift og administration i forbindelse med klimasikring af fx byområder, kyster og vandløb. Geodata er dermed med til at give et bedre grundlag for at vurdere, hvor beredskab skal sættes ind.</w:t>
                  </w:r>
                </w:p>
                <w:p>
                  <w:pPr>
                    <w:pStyle w:val="BodyText"/>
                    <w:spacing w:before="2"/>
                    <w:rPr>
                      <w:i/>
                      <w:sz w:val="21"/>
                    </w:rPr>
                  </w:pPr>
                </w:p>
                <w:p>
                  <w:pPr>
                    <w:spacing w:before="0"/>
                    <w:ind w:left="170" w:right="0" w:firstLine="0"/>
                    <w:jc w:val="left"/>
                    <w:rPr>
                      <w:b/>
                      <w:i/>
                      <w:sz w:val="20"/>
                    </w:rPr>
                  </w:pPr>
                  <w:r>
                    <w:rPr>
                      <w:b/>
                      <w:i/>
                      <w:sz w:val="20"/>
                    </w:rPr>
                    <w:t>Hurtigere og mere præcis udrykning</w:t>
                  </w:r>
                </w:p>
                <w:p>
                  <w:pPr>
                    <w:pStyle w:val="BodyText"/>
                    <w:spacing w:line="360" w:lineRule="auto" w:before="113"/>
                    <w:ind w:left="170" w:right="462"/>
                    <w:jc w:val="both"/>
                  </w:pPr>
                  <w:r>
                    <w:rPr/>
                    <w:t>Et</w:t>
                  </w:r>
                  <w:r>
                    <w:rPr>
                      <w:spacing w:val="-5"/>
                    </w:rPr>
                    <w:t> </w:t>
                  </w:r>
                  <w:r>
                    <w:rPr/>
                    <w:t>andet</w:t>
                  </w:r>
                  <w:r>
                    <w:rPr>
                      <w:spacing w:val="-3"/>
                    </w:rPr>
                    <w:t> </w:t>
                  </w:r>
                  <w:r>
                    <w:rPr/>
                    <w:t>eksempel</w:t>
                  </w:r>
                  <w:r>
                    <w:rPr>
                      <w:spacing w:val="-4"/>
                    </w:rPr>
                    <w:t> </w:t>
                  </w:r>
                  <w:r>
                    <w:rPr/>
                    <w:t>er</w:t>
                  </w:r>
                  <w:r>
                    <w:rPr>
                      <w:spacing w:val="-1"/>
                    </w:rPr>
                    <w:t> </w:t>
                  </w:r>
                  <w:r>
                    <w:rPr/>
                    <w:t>fra</w:t>
                  </w:r>
                  <w:r>
                    <w:rPr>
                      <w:spacing w:val="-1"/>
                    </w:rPr>
                    <w:t> </w:t>
                  </w:r>
                  <w:r>
                    <w:rPr/>
                    <w:t>beredskabssektoren,</w:t>
                  </w:r>
                  <w:r>
                    <w:rPr>
                      <w:spacing w:val="-4"/>
                    </w:rPr>
                    <w:t> </w:t>
                  </w:r>
                  <w:r>
                    <w:rPr/>
                    <w:t>hvor</w:t>
                  </w:r>
                  <w:r>
                    <w:rPr>
                      <w:spacing w:val="-1"/>
                    </w:rPr>
                    <w:t> </w:t>
                  </w:r>
                  <w:r>
                    <w:rPr/>
                    <w:t>en</w:t>
                  </w:r>
                  <w:r>
                    <w:rPr>
                      <w:spacing w:val="-2"/>
                    </w:rPr>
                    <w:t> </w:t>
                  </w:r>
                  <w:r>
                    <w:rPr/>
                    <w:t>app,</w:t>
                  </w:r>
                  <w:r>
                    <w:rPr>
                      <w:spacing w:val="-5"/>
                    </w:rPr>
                    <w:t> </w:t>
                  </w:r>
                  <w:r>
                    <w:rPr/>
                    <w:t>der</w:t>
                  </w:r>
                  <w:r>
                    <w:rPr>
                      <w:spacing w:val="-2"/>
                    </w:rPr>
                    <w:t> </w:t>
                  </w:r>
                  <w:r>
                    <w:rPr/>
                    <w:t>gør</w:t>
                  </w:r>
                  <w:r>
                    <w:rPr>
                      <w:spacing w:val="-4"/>
                    </w:rPr>
                    <w:t> </w:t>
                  </w:r>
                  <w:r>
                    <w:rPr/>
                    <w:t>brug</w:t>
                  </w:r>
                  <w:r>
                    <w:rPr>
                      <w:spacing w:val="-4"/>
                    </w:rPr>
                    <w:t> </w:t>
                  </w:r>
                  <w:r>
                    <w:rPr/>
                    <w:t>af</w:t>
                  </w:r>
                  <w:r>
                    <w:rPr>
                      <w:spacing w:val="-2"/>
                    </w:rPr>
                    <w:t> </w:t>
                  </w:r>
                  <w:r>
                    <w:rPr/>
                    <w:t>geodata,</w:t>
                  </w:r>
                  <w:r>
                    <w:rPr>
                      <w:spacing w:val="-4"/>
                    </w:rPr>
                    <w:t> </w:t>
                  </w:r>
                  <w:r>
                    <w:rPr/>
                    <w:t>gør</w:t>
                  </w:r>
                  <w:r>
                    <w:rPr>
                      <w:spacing w:val="-4"/>
                    </w:rPr>
                    <w:t> </w:t>
                  </w:r>
                  <w:r>
                    <w:rPr/>
                    <w:t>det</w:t>
                  </w:r>
                  <w:r>
                    <w:rPr>
                      <w:spacing w:val="-1"/>
                    </w:rPr>
                    <w:t> </w:t>
                  </w:r>
                  <w:r>
                    <w:rPr/>
                    <w:t>muligt</w:t>
                  </w:r>
                  <w:r>
                    <w:rPr>
                      <w:spacing w:val="-4"/>
                    </w:rPr>
                    <w:t> </w:t>
                  </w:r>
                  <w:r>
                    <w:rPr/>
                    <w:t>at foretage</w:t>
                  </w:r>
                  <w:r>
                    <w:rPr>
                      <w:spacing w:val="-6"/>
                    </w:rPr>
                    <w:t> </w:t>
                  </w:r>
                  <w:r>
                    <w:rPr/>
                    <w:t>opkald</w:t>
                  </w:r>
                  <w:r>
                    <w:rPr>
                      <w:spacing w:val="-3"/>
                    </w:rPr>
                    <w:t> </w:t>
                  </w:r>
                  <w:r>
                    <w:rPr/>
                    <w:t>til</w:t>
                  </w:r>
                  <w:r>
                    <w:rPr>
                      <w:spacing w:val="-3"/>
                    </w:rPr>
                    <w:t> </w:t>
                  </w:r>
                  <w:r>
                    <w:rPr/>
                    <w:t>alarmcentralen</w:t>
                  </w:r>
                  <w:r>
                    <w:rPr>
                      <w:spacing w:val="-4"/>
                    </w:rPr>
                    <w:t> </w:t>
                  </w:r>
                  <w:r>
                    <w:rPr/>
                    <w:t>og</w:t>
                  </w:r>
                  <w:r>
                    <w:rPr>
                      <w:spacing w:val="-4"/>
                    </w:rPr>
                    <w:t> </w:t>
                  </w:r>
                  <w:r>
                    <w:rPr/>
                    <w:t>samtidigt</w:t>
                  </w:r>
                  <w:r>
                    <w:rPr>
                      <w:spacing w:val="-4"/>
                    </w:rPr>
                    <w:t> </w:t>
                  </w:r>
                  <w:r>
                    <w:rPr/>
                    <w:t>sende</w:t>
                  </w:r>
                  <w:r>
                    <w:rPr>
                      <w:spacing w:val="-2"/>
                    </w:rPr>
                    <w:t> </w:t>
                  </w:r>
                  <w:r>
                    <w:rPr/>
                    <w:t>mobilens</w:t>
                  </w:r>
                  <w:r>
                    <w:rPr>
                      <w:spacing w:val="-4"/>
                    </w:rPr>
                    <w:t> </w:t>
                  </w:r>
                  <w:r>
                    <w:rPr/>
                    <w:t>GPS-koordinater.</w:t>
                  </w:r>
                  <w:r>
                    <w:rPr>
                      <w:spacing w:val="-2"/>
                    </w:rPr>
                    <w:t> </w:t>
                  </w:r>
                  <w:r>
                    <w:rPr/>
                    <w:t>Med</w:t>
                  </w:r>
                  <w:r>
                    <w:rPr>
                      <w:spacing w:val="-3"/>
                    </w:rPr>
                    <w:t> </w:t>
                  </w:r>
                  <w:r>
                    <w:rPr/>
                    <w:t>app’en</w:t>
                  </w:r>
                  <w:r>
                    <w:rPr>
                      <w:spacing w:val="-1"/>
                    </w:rPr>
                    <w:t> </w:t>
                  </w:r>
                  <w:r>
                    <w:rPr/>
                    <w:t>er</w:t>
                  </w:r>
                  <w:r>
                    <w:rPr>
                      <w:spacing w:val="-4"/>
                    </w:rPr>
                    <w:t> </w:t>
                  </w:r>
                  <w:r>
                    <w:rPr/>
                    <w:t>der således mulighed for hurtigere og bedre respons fra alarmcentralen til</w:t>
                  </w:r>
                  <w:r>
                    <w:rPr>
                      <w:spacing w:val="-5"/>
                    </w:rPr>
                    <w:t> </w:t>
                  </w:r>
                  <w:r>
                    <w:rPr/>
                    <w:t>udrykning.</w:t>
                  </w:r>
                </w:p>
                <w:p>
                  <w:pPr>
                    <w:pStyle w:val="BodyText"/>
                    <w:spacing w:before="1"/>
                    <w:rPr>
                      <w:i/>
                      <w:sz w:val="21"/>
                    </w:rPr>
                  </w:pPr>
                </w:p>
                <w:p>
                  <w:pPr>
                    <w:spacing w:before="0"/>
                    <w:ind w:left="170" w:right="0" w:firstLine="0"/>
                    <w:jc w:val="left"/>
                    <w:rPr>
                      <w:b/>
                      <w:i/>
                      <w:sz w:val="20"/>
                    </w:rPr>
                  </w:pPr>
                  <w:r>
                    <w:rPr>
                      <w:b/>
                      <w:i/>
                      <w:sz w:val="20"/>
                    </w:rPr>
                    <w:t>Mere effektiv projektering</w:t>
                  </w:r>
                </w:p>
                <w:p>
                  <w:pPr>
                    <w:pStyle w:val="BodyText"/>
                    <w:spacing w:line="360" w:lineRule="auto" w:before="114"/>
                    <w:ind w:left="170" w:right="224"/>
                  </w:pPr>
                  <w:r>
                    <w:rPr/>
                    <w:t>En tredje anvendelse trækker forskellige geodata fra infrastrukturen og visualiserer, hvordan nye strukturer i landskabet – fra vindmøller til gylletanke – ville se ud. Dermed kan løsninger, der baserer sig på geodata, anvendes som et redskab for bygherrer, rådgivere og lånmålere i projekteringen af nye fysiske anlæg.</w:t>
                  </w:r>
                </w:p>
              </w:txbxContent>
            </v:textbox>
            <v:fill type="solid"/>
            <w10:wrap type="topAndBottom"/>
          </v:shape>
        </w:pict>
      </w:r>
      <w:r>
        <w:rPr>
          <w:i/>
          <w:color w:val="A21F1F"/>
          <w:sz w:val="18"/>
        </w:rPr>
        <w:t>Boks 1: Eksempler på anvendelse af geodata</w:t>
      </w:r>
    </w:p>
    <w:p>
      <w:pPr>
        <w:pStyle w:val="BodyText"/>
        <w:spacing w:before="2"/>
        <w:rPr>
          <w:i/>
          <w:sz w:val="18"/>
        </w:rPr>
      </w:pPr>
    </w:p>
    <w:p>
      <w:pPr>
        <w:pStyle w:val="Heading2"/>
        <w:numPr>
          <w:ilvl w:val="1"/>
          <w:numId w:val="2"/>
        </w:numPr>
        <w:tabs>
          <w:tab w:pos="855" w:val="left" w:leader="none"/>
        </w:tabs>
        <w:spacing w:line="240" w:lineRule="auto" w:before="99" w:after="0"/>
        <w:ind w:left="854" w:right="0" w:hanging="576"/>
        <w:jc w:val="left"/>
        <w:rPr>
          <w:i/>
        </w:rPr>
      </w:pPr>
      <w:bookmarkStart w:name="_bookmark12" w:id="19"/>
      <w:bookmarkEnd w:id="19"/>
      <w:r>
        <w:rPr>
          <w:b w:val="0"/>
          <w:i w:val="0"/>
        </w:rPr>
      </w:r>
      <w:bookmarkStart w:name="_bookmark12" w:id="20"/>
      <w:bookmarkEnd w:id="20"/>
      <w:r>
        <w:rPr>
          <w:i/>
          <w:color w:val="A21F1F"/>
        </w:rPr>
        <w:t>Def</w:t>
      </w:r>
      <w:r>
        <w:rPr>
          <w:i/>
          <w:color w:val="A21F1F"/>
        </w:rPr>
        <w:t>inition og afgrænsning af</w:t>
      </w:r>
      <w:r>
        <w:rPr>
          <w:i/>
          <w:color w:val="A21F1F"/>
          <w:spacing w:val="-4"/>
        </w:rPr>
        <w:t> </w:t>
      </w:r>
      <w:r>
        <w:rPr>
          <w:i/>
          <w:color w:val="A21F1F"/>
        </w:rPr>
        <w:t>geodata</w:t>
      </w:r>
    </w:p>
    <w:p>
      <w:pPr>
        <w:pStyle w:val="BodyText"/>
        <w:spacing w:line="360" w:lineRule="auto" w:before="241"/>
        <w:ind w:left="278" w:right="1079"/>
      </w:pPr>
      <w:r>
        <w:rPr/>
        <w:t>Geodata er en generel betegnelse for information om geografiske objekter. Begrebet bruges primært om geografisk information, der er tilgængeligt elektronisk. Geografiske Informations Systemer (GIS) anvendes typisk som et softwareredskab til at foretage visualiseringer og analyser baseret på geodata, som fx GeoDanmark-data. I princippet kan mange typer data have en geografisk opmærkning knyttet til sig, fx virksomheds- og ejendomsdata.</w:t>
      </w:r>
    </w:p>
    <w:p>
      <w:pPr>
        <w:pStyle w:val="BodyText"/>
        <w:spacing w:before="4"/>
        <w:rPr>
          <w:sz w:val="21"/>
        </w:rPr>
      </w:pPr>
    </w:p>
    <w:p>
      <w:pPr>
        <w:pStyle w:val="BodyText"/>
        <w:spacing w:line="360" w:lineRule="auto"/>
        <w:ind w:left="278" w:right="1025"/>
      </w:pPr>
      <w:r>
        <w:rPr/>
        <w:t>Omdrejningspunktet for denne analyse er de geodata, der blev stillet frit til rådighed 1. januar 2013 som led i realiseringen af det fællesoffentlige grunddataprogram. Når der fremadrettet i rapporten henvises til de frie geodata, er det i betydningen geodata, som vedligeholdes og distribueres af Styrelsen for Dataforsyning og Effektivisering (SDFE) samt Geodatastyrelsen (GST), eksklusive de betalingspålagte geodata. De to styrelser var før 1. januar 2016 én og samme styrelse under navnet Geodatastyrelsen.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De frie geodata udstilles via Kortforsyningen, der drives af SDFE, og det drejer sig fx om de topografiske</w:t>
      </w:r>
    </w:p>
    <w:p>
      <w:pPr>
        <w:pStyle w:val="BodyText"/>
        <w:spacing w:line="360" w:lineRule="auto" w:before="114"/>
        <w:ind w:left="278" w:right="1165"/>
      </w:pPr>
      <w:r>
        <w:rPr/>
        <w:t>kort, Matrikelkortet, Danmarks Højdemodel og GeoDanmark-data. I nedenstående </w:t>
      </w:r>
      <w:hyperlink w:history="true" w:anchor="_bookmark13">
        <w:r>
          <w:rPr/>
          <w:t>Tabel 2 </w:t>
        </w:r>
      </w:hyperlink>
      <w:r>
        <w:rPr/>
        <w:t>er gengivet en nærmere beskrivelse af udvalgte geodata, der indgår i denne analyse.</w:t>
      </w:r>
    </w:p>
    <w:p>
      <w:pPr>
        <w:pStyle w:val="BodyText"/>
        <w:rPr>
          <w:sz w:val="21"/>
        </w:rPr>
      </w:pPr>
    </w:p>
    <w:p>
      <w:pPr>
        <w:spacing w:before="0"/>
        <w:ind w:left="278" w:right="0" w:firstLine="0"/>
        <w:jc w:val="left"/>
        <w:rPr>
          <w:i/>
          <w:sz w:val="18"/>
        </w:rPr>
      </w:pPr>
      <w:bookmarkStart w:name="_bookmark13" w:id="21"/>
      <w:bookmarkEnd w:id="21"/>
      <w:r>
        <w:rPr/>
      </w:r>
      <w:r>
        <w:rPr>
          <w:i/>
          <w:color w:val="A21F1F"/>
          <w:sz w:val="18"/>
        </w:rPr>
        <w:t>Tabel 2: Oversigt over udvalgte frikøbte geodata, der indgår i undersøgelsen</w:t>
      </w:r>
    </w:p>
    <w:p>
      <w:pPr>
        <w:pStyle w:val="BodyText"/>
        <w:spacing w:before="8"/>
        <w:rPr>
          <w:i/>
          <w:sz w:val="10"/>
        </w:rPr>
      </w:pPr>
    </w:p>
    <w:tbl>
      <w:tblPr>
        <w:tblW w:w="0" w:type="auto"/>
        <w:jc w:val="left"/>
        <w:tblInd w:w="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3"/>
        <w:gridCol w:w="4876"/>
      </w:tblGrid>
      <w:tr>
        <w:trPr>
          <w:trHeight w:val="478" w:hRule="atLeast"/>
        </w:trPr>
        <w:tc>
          <w:tcPr>
            <w:tcW w:w="4593" w:type="dxa"/>
            <w:shd w:val="clear" w:color="auto" w:fill="F1F1F1"/>
          </w:tcPr>
          <w:p>
            <w:pPr>
              <w:pStyle w:val="TableParagraph"/>
              <w:spacing w:before="34"/>
              <w:ind w:left="293"/>
              <w:rPr>
                <w:b/>
                <w:sz w:val="18"/>
              </w:rPr>
            </w:pPr>
            <w:r>
              <w:rPr>
                <w:b/>
                <w:sz w:val="18"/>
              </w:rPr>
              <w:t>Type</w:t>
            </w:r>
          </w:p>
        </w:tc>
        <w:tc>
          <w:tcPr>
            <w:tcW w:w="4876" w:type="dxa"/>
            <w:shd w:val="clear" w:color="auto" w:fill="F1F1F1"/>
          </w:tcPr>
          <w:p>
            <w:pPr>
              <w:pStyle w:val="TableParagraph"/>
              <w:spacing w:before="34"/>
              <w:ind w:left="434"/>
              <w:rPr>
                <w:b/>
                <w:sz w:val="18"/>
              </w:rPr>
            </w:pPr>
            <w:r>
              <w:rPr>
                <w:b/>
                <w:sz w:val="18"/>
              </w:rPr>
              <w:t>Kort beskrivelse</w:t>
            </w:r>
          </w:p>
        </w:tc>
      </w:tr>
      <w:tr>
        <w:trPr>
          <w:trHeight w:val="840" w:hRule="atLeast"/>
        </w:trPr>
        <w:tc>
          <w:tcPr>
            <w:tcW w:w="4593" w:type="dxa"/>
          </w:tcPr>
          <w:p>
            <w:pPr>
              <w:pStyle w:val="TableParagraph"/>
              <w:spacing w:line="203" w:lineRule="exact"/>
              <w:ind w:left="293"/>
              <w:rPr>
                <w:sz w:val="18"/>
              </w:rPr>
            </w:pPr>
            <w:r>
              <w:rPr>
                <w:sz w:val="18"/>
              </w:rPr>
              <w:t>Skærmkort</w:t>
            </w:r>
          </w:p>
        </w:tc>
        <w:tc>
          <w:tcPr>
            <w:tcW w:w="4876" w:type="dxa"/>
          </w:tcPr>
          <w:p>
            <w:pPr>
              <w:pStyle w:val="TableParagraph"/>
              <w:spacing w:line="280" w:lineRule="auto" w:before="34"/>
              <w:ind w:left="434" w:right="429"/>
              <w:rPr>
                <w:sz w:val="18"/>
              </w:rPr>
            </w:pPr>
            <w:r>
              <w:rPr>
                <w:sz w:val="18"/>
              </w:rPr>
              <w:t>Et topografisk kort over Danmark, som er skabt til visning på skærm. Kortet har zoomfunktion, som ”sømløst” går på tværs af målestoksforhold.</w:t>
            </w:r>
          </w:p>
        </w:tc>
      </w:tr>
      <w:tr>
        <w:trPr>
          <w:trHeight w:val="1680" w:hRule="atLeast"/>
        </w:trPr>
        <w:tc>
          <w:tcPr>
            <w:tcW w:w="4593" w:type="dxa"/>
          </w:tcPr>
          <w:p>
            <w:pPr>
              <w:pStyle w:val="TableParagraph"/>
              <w:spacing w:before="119"/>
              <w:ind w:left="293"/>
              <w:rPr>
                <w:sz w:val="18"/>
              </w:rPr>
            </w:pPr>
            <w:r>
              <w:rPr>
                <w:sz w:val="18"/>
              </w:rPr>
              <w:t>Ortofoto, forår</w:t>
            </w:r>
          </w:p>
        </w:tc>
        <w:tc>
          <w:tcPr>
            <w:tcW w:w="4876" w:type="dxa"/>
          </w:tcPr>
          <w:p>
            <w:pPr>
              <w:pStyle w:val="TableParagraph"/>
              <w:spacing w:line="280" w:lineRule="auto" w:before="155"/>
              <w:ind w:left="434" w:right="48"/>
              <w:rPr>
                <w:sz w:val="18"/>
              </w:rPr>
            </w:pPr>
            <w:r>
              <w:rPr>
                <w:sz w:val="18"/>
              </w:rPr>
              <w:t>Flyfotos optaget i forbindelse med FOT-kortlægningen. Hvert år dækkes mellem 1/3 og 2/3 af landet.</w:t>
            </w:r>
          </w:p>
          <w:p>
            <w:pPr>
              <w:pStyle w:val="TableParagraph"/>
              <w:spacing w:line="280" w:lineRule="auto" w:before="2"/>
              <w:ind w:left="434" w:right="-6"/>
              <w:rPr>
                <w:sz w:val="18"/>
              </w:rPr>
            </w:pPr>
            <w:r>
              <w:rPr>
                <w:sz w:val="18"/>
              </w:rPr>
              <w:t>Billederne bliver taget om foråret fra midten af marts til starten af maj og bliver efterfølgende geometrisk oprettede og sat sammen, inden de benyttes til kortudtegning.</w:t>
            </w:r>
          </w:p>
        </w:tc>
      </w:tr>
      <w:tr>
        <w:trPr>
          <w:trHeight w:val="1199" w:hRule="atLeast"/>
        </w:trPr>
        <w:tc>
          <w:tcPr>
            <w:tcW w:w="4593" w:type="dxa"/>
          </w:tcPr>
          <w:p>
            <w:pPr>
              <w:pStyle w:val="TableParagraph"/>
              <w:spacing w:before="119"/>
              <w:ind w:left="293"/>
              <w:rPr>
                <w:sz w:val="18"/>
              </w:rPr>
            </w:pPr>
            <w:r>
              <w:rPr>
                <w:sz w:val="18"/>
              </w:rPr>
              <w:t>GeoDanmark-data</w:t>
            </w:r>
          </w:p>
        </w:tc>
        <w:tc>
          <w:tcPr>
            <w:tcW w:w="4876" w:type="dxa"/>
          </w:tcPr>
          <w:p>
            <w:pPr>
              <w:pStyle w:val="TableParagraph"/>
              <w:spacing w:line="280" w:lineRule="auto" w:before="155"/>
              <w:ind w:left="434" w:right="261"/>
              <w:rPr>
                <w:sz w:val="18"/>
              </w:rPr>
            </w:pPr>
            <w:r>
              <w:rPr>
                <w:sz w:val="18"/>
              </w:rPr>
              <w:t>Et topografisk datasæt, som ligger til grund for de kortprodukter, som er beskrevet under Topografiske kort (produceret af kommunerne og staten i fællesskab).</w:t>
            </w:r>
          </w:p>
        </w:tc>
      </w:tr>
      <w:tr>
        <w:trPr>
          <w:trHeight w:val="720" w:hRule="atLeast"/>
        </w:trPr>
        <w:tc>
          <w:tcPr>
            <w:tcW w:w="4593" w:type="dxa"/>
          </w:tcPr>
          <w:p>
            <w:pPr>
              <w:pStyle w:val="TableParagraph"/>
              <w:spacing w:before="119"/>
              <w:ind w:left="293"/>
              <w:rPr>
                <w:sz w:val="18"/>
              </w:rPr>
            </w:pPr>
            <w:r>
              <w:rPr>
                <w:sz w:val="18"/>
              </w:rPr>
              <w:t>Danmarks Højdemodel</w:t>
            </w:r>
          </w:p>
        </w:tc>
        <w:tc>
          <w:tcPr>
            <w:tcW w:w="4876" w:type="dxa"/>
          </w:tcPr>
          <w:p>
            <w:pPr>
              <w:pStyle w:val="TableParagraph"/>
              <w:spacing w:line="280" w:lineRule="auto" w:before="155"/>
              <w:ind w:left="434"/>
              <w:rPr>
                <w:sz w:val="18"/>
              </w:rPr>
            </w:pPr>
            <w:r>
              <w:rPr>
                <w:sz w:val="18"/>
              </w:rPr>
              <w:t>En samlet betegnelse for en række datasæt, der beskriver højden af Danmarks landskab.</w:t>
            </w:r>
          </w:p>
        </w:tc>
      </w:tr>
      <w:tr>
        <w:trPr>
          <w:trHeight w:val="720" w:hRule="atLeast"/>
        </w:trPr>
        <w:tc>
          <w:tcPr>
            <w:tcW w:w="4593" w:type="dxa"/>
          </w:tcPr>
          <w:p>
            <w:pPr>
              <w:pStyle w:val="TableParagraph"/>
              <w:spacing w:before="119"/>
              <w:ind w:left="293"/>
              <w:rPr>
                <w:sz w:val="18"/>
              </w:rPr>
            </w:pPr>
            <w:r>
              <w:rPr>
                <w:sz w:val="18"/>
              </w:rPr>
              <w:t>Danmarks Topografiske Kortværk</w:t>
            </w:r>
          </w:p>
        </w:tc>
        <w:tc>
          <w:tcPr>
            <w:tcW w:w="4876" w:type="dxa"/>
          </w:tcPr>
          <w:p>
            <w:pPr>
              <w:pStyle w:val="TableParagraph"/>
              <w:spacing w:line="280" w:lineRule="auto" w:before="155"/>
              <w:ind w:left="434"/>
              <w:rPr>
                <w:sz w:val="18"/>
              </w:rPr>
            </w:pPr>
            <w:r>
              <w:rPr>
                <w:sz w:val="18"/>
              </w:rPr>
              <w:t>Topografiske kort er en forenklet gengivelse af virkeligheden, inklusive veje, vandløb, skove og stier.</w:t>
            </w:r>
          </w:p>
        </w:tc>
      </w:tr>
      <w:tr>
        <w:trPr>
          <w:trHeight w:val="720" w:hRule="atLeast"/>
        </w:trPr>
        <w:tc>
          <w:tcPr>
            <w:tcW w:w="4593" w:type="dxa"/>
          </w:tcPr>
          <w:p>
            <w:pPr>
              <w:pStyle w:val="TableParagraph"/>
              <w:spacing w:before="119"/>
              <w:ind w:left="293"/>
              <w:rPr>
                <w:sz w:val="18"/>
              </w:rPr>
            </w:pPr>
            <w:r>
              <w:rPr>
                <w:sz w:val="18"/>
              </w:rPr>
              <w:t>Matrikeldata, herunder matrikelkortet</w:t>
            </w:r>
          </w:p>
        </w:tc>
        <w:tc>
          <w:tcPr>
            <w:tcW w:w="4876" w:type="dxa"/>
          </w:tcPr>
          <w:p>
            <w:pPr>
              <w:pStyle w:val="TableParagraph"/>
              <w:spacing w:line="280" w:lineRule="auto" w:before="155"/>
              <w:ind w:left="434"/>
              <w:rPr>
                <w:sz w:val="18"/>
              </w:rPr>
            </w:pPr>
            <w:r>
              <w:rPr>
                <w:sz w:val="18"/>
              </w:rPr>
              <w:t>Det matrikulære system, også kaldet Matriklen, er grundlaget for ejendomsregistreringen i Danmark.</w:t>
            </w:r>
          </w:p>
        </w:tc>
      </w:tr>
      <w:tr>
        <w:trPr>
          <w:trHeight w:val="720" w:hRule="atLeast"/>
        </w:trPr>
        <w:tc>
          <w:tcPr>
            <w:tcW w:w="4593" w:type="dxa"/>
          </w:tcPr>
          <w:p>
            <w:pPr>
              <w:pStyle w:val="TableParagraph"/>
              <w:spacing w:before="120"/>
              <w:ind w:left="293"/>
              <w:rPr>
                <w:sz w:val="18"/>
              </w:rPr>
            </w:pPr>
            <w:r>
              <w:rPr>
                <w:sz w:val="18"/>
              </w:rPr>
              <w:t>Danmarks Administrative Geografiske Inddeling</w:t>
            </w:r>
          </w:p>
        </w:tc>
        <w:tc>
          <w:tcPr>
            <w:tcW w:w="4876" w:type="dxa"/>
          </w:tcPr>
          <w:p>
            <w:pPr>
              <w:pStyle w:val="TableParagraph"/>
              <w:spacing w:line="280" w:lineRule="auto" w:before="156"/>
              <w:ind w:left="434" w:right="261"/>
              <w:rPr>
                <w:sz w:val="18"/>
              </w:rPr>
            </w:pPr>
            <w:r>
              <w:rPr>
                <w:sz w:val="18"/>
              </w:rPr>
              <w:t>Standardiseret referencedatasæt, som beskriver og viser landets administrative geografiske inddeling.</w:t>
            </w:r>
          </w:p>
        </w:tc>
      </w:tr>
      <w:tr>
        <w:trPr>
          <w:trHeight w:val="480" w:hRule="atLeast"/>
        </w:trPr>
        <w:tc>
          <w:tcPr>
            <w:tcW w:w="4593" w:type="dxa"/>
          </w:tcPr>
          <w:p>
            <w:pPr>
              <w:pStyle w:val="TableParagraph"/>
              <w:spacing w:before="119"/>
              <w:ind w:left="293"/>
              <w:rPr>
                <w:sz w:val="18"/>
              </w:rPr>
            </w:pPr>
            <w:r>
              <w:rPr>
                <w:sz w:val="18"/>
              </w:rPr>
              <w:t>Danske Stednavne</w:t>
            </w:r>
          </w:p>
        </w:tc>
        <w:tc>
          <w:tcPr>
            <w:tcW w:w="4876" w:type="dxa"/>
          </w:tcPr>
          <w:p>
            <w:pPr>
              <w:pStyle w:val="TableParagraph"/>
              <w:spacing w:before="155"/>
              <w:ind w:left="434"/>
              <w:rPr>
                <w:sz w:val="18"/>
              </w:rPr>
            </w:pPr>
            <w:r>
              <w:rPr>
                <w:sz w:val="18"/>
              </w:rPr>
              <w:t>Det officielle register over stednavne i Danmark.</w:t>
            </w:r>
          </w:p>
        </w:tc>
      </w:tr>
      <w:tr>
        <w:trPr>
          <w:trHeight w:val="960" w:hRule="atLeast"/>
        </w:trPr>
        <w:tc>
          <w:tcPr>
            <w:tcW w:w="4593" w:type="dxa"/>
          </w:tcPr>
          <w:p>
            <w:pPr>
              <w:pStyle w:val="TableParagraph"/>
              <w:spacing w:before="119"/>
              <w:ind w:left="293"/>
              <w:rPr>
                <w:sz w:val="18"/>
              </w:rPr>
            </w:pPr>
            <w:r>
              <w:rPr>
                <w:sz w:val="18"/>
              </w:rPr>
              <w:t>Historiske kort – georefererede</w:t>
            </w:r>
          </w:p>
        </w:tc>
        <w:tc>
          <w:tcPr>
            <w:tcW w:w="4876" w:type="dxa"/>
          </w:tcPr>
          <w:p>
            <w:pPr>
              <w:pStyle w:val="TableParagraph"/>
              <w:spacing w:line="280" w:lineRule="auto" w:before="155"/>
              <w:ind w:left="434" w:right="512"/>
              <w:rPr>
                <w:sz w:val="18"/>
              </w:rPr>
            </w:pPr>
            <w:r>
              <w:rPr>
                <w:sz w:val="18"/>
              </w:rPr>
              <w:t>Indholdet i georefererede (indscannede) kort kan stedfæstes geografisk ud fra kortbladets hjørnekoordinater.</w:t>
            </w:r>
          </w:p>
        </w:tc>
      </w:tr>
      <w:tr>
        <w:trPr>
          <w:trHeight w:val="719" w:hRule="atLeast"/>
        </w:trPr>
        <w:tc>
          <w:tcPr>
            <w:tcW w:w="4593" w:type="dxa"/>
          </w:tcPr>
          <w:p>
            <w:pPr>
              <w:pStyle w:val="TableParagraph"/>
              <w:spacing w:before="119"/>
              <w:ind w:left="293"/>
              <w:rPr>
                <w:sz w:val="18"/>
              </w:rPr>
            </w:pPr>
            <w:r>
              <w:rPr>
                <w:sz w:val="18"/>
              </w:rPr>
              <w:t>Kort til print (fx regions- og kommunekort)</w:t>
            </w:r>
          </w:p>
        </w:tc>
        <w:tc>
          <w:tcPr>
            <w:tcW w:w="4876" w:type="dxa"/>
          </w:tcPr>
          <w:p>
            <w:pPr>
              <w:pStyle w:val="TableParagraph"/>
              <w:spacing w:line="280" w:lineRule="auto" w:before="155"/>
              <w:ind w:left="434" w:right="419"/>
              <w:rPr>
                <w:sz w:val="18"/>
              </w:rPr>
            </w:pPr>
            <w:r>
              <w:rPr>
                <w:sz w:val="18"/>
              </w:rPr>
              <w:t>Data, som udstilles i pdf-format, der er velegnet til print.</w:t>
            </w:r>
          </w:p>
        </w:tc>
      </w:tr>
      <w:tr>
        <w:trPr>
          <w:trHeight w:val="843" w:hRule="atLeast"/>
        </w:trPr>
        <w:tc>
          <w:tcPr>
            <w:tcW w:w="4593" w:type="dxa"/>
            <w:tcBorders>
              <w:bottom w:val="single" w:sz="4" w:space="0" w:color="000000"/>
            </w:tcBorders>
          </w:tcPr>
          <w:p>
            <w:pPr>
              <w:pStyle w:val="TableParagraph"/>
              <w:spacing w:before="119"/>
              <w:ind w:left="293"/>
              <w:rPr>
                <w:sz w:val="18"/>
              </w:rPr>
            </w:pPr>
            <w:r>
              <w:rPr>
                <w:sz w:val="18"/>
              </w:rPr>
              <w:t>INSPIRE-tjenester</w:t>
            </w:r>
          </w:p>
        </w:tc>
        <w:tc>
          <w:tcPr>
            <w:tcW w:w="4876" w:type="dxa"/>
            <w:tcBorders>
              <w:bottom w:val="single" w:sz="4" w:space="0" w:color="000000"/>
            </w:tcBorders>
          </w:tcPr>
          <w:p>
            <w:pPr>
              <w:pStyle w:val="TableParagraph"/>
              <w:spacing w:line="280" w:lineRule="auto" w:before="155"/>
              <w:ind w:left="434" w:right="83"/>
              <w:rPr>
                <w:sz w:val="18"/>
              </w:rPr>
            </w:pPr>
            <w:r>
              <w:rPr>
                <w:sz w:val="18"/>
              </w:rPr>
              <w:t>Samlet betegnelse for tjenester, som udstiller geodata i henhold til EU's INSPIRE-direktiv.</w:t>
            </w:r>
          </w:p>
        </w:tc>
      </w:tr>
    </w:tbl>
    <w:p>
      <w:pPr>
        <w:spacing w:before="0"/>
        <w:ind w:left="278" w:right="0" w:firstLine="0"/>
        <w:jc w:val="left"/>
        <w:rPr>
          <w:i/>
          <w:sz w:val="18"/>
        </w:rPr>
      </w:pPr>
      <w:r>
        <w:rPr>
          <w:b/>
          <w:i/>
          <w:color w:val="A21F1F"/>
          <w:sz w:val="20"/>
        </w:rPr>
        <w:t>Kilde: </w:t>
      </w:r>
      <w:hyperlink r:id="rId13">
        <w:r>
          <w:rPr>
            <w:i/>
            <w:color w:val="A21F1F"/>
            <w:sz w:val="18"/>
          </w:rPr>
          <w:t>http://gst.dk/media/gst/2153759/det%20fulde%20overblik%20over%20frie%20data.pdf</w:t>
        </w:r>
      </w:hyperlink>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Undersøgelsen omfatter således ikke søkort eller de geodata, der fremstilles og stilles til rådighed eller</w:t>
      </w:r>
    </w:p>
    <w:p>
      <w:pPr>
        <w:pStyle w:val="BodyText"/>
        <w:spacing w:before="114"/>
        <w:ind w:left="278"/>
      </w:pPr>
      <w:r>
        <w:rPr/>
        <w:t>sælges af andre offentlige aktører. Det være sig fx:</w:t>
      </w:r>
    </w:p>
    <w:p>
      <w:pPr>
        <w:pStyle w:val="BodyText"/>
        <w:rPr>
          <w:sz w:val="31"/>
        </w:rPr>
      </w:pPr>
    </w:p>
    <w:p>
      <w:pPr>
        <w:pStyle w:val="ListParagraph"/>
        <w:numPr>
          <w:ilvl w:val="2"/>
          <w:numId w:val="2"/>
        </w:numPr>
        <w:tabs>
          <w:tab w:pos="1049" w:val="left" w:leader="none"/>
          <w:tab w:pos="1050" w:val="left" w:leader="none"/>
        </w:tabs>
        <w:spacing w:line="240" w:lineRule="auto" w:before="0" w:after="0"/>
        <w:ind w:left="1049" w:right="0" w:hanging="360"/>
        <w:jc w:val="left"/>
        <w:rPr>
          <w:sz w:val="20"/>
        </w:rPr>
      </w:pPr>
      <w:r>
        <w:rPr>
          <w:sz w:val="20"/>
        </w:rPr>
        <w:t>Kommunale geodata, som kommunerne producerer på eget</w:t>
      </w:r>
      <w:r>
        <w:rPr>
          <w:spacing w:val="1"/>
          <w:sz w:val="20"/>
        </w:rPr>
        <w:t> </w:t>
      </w:r>
      <w:r>
        <w:rPr>
          <w:sz w:val="20"/>
        </w:rPr>
        <w:t>initiativ</w:t>
      </w:r>
    </w:p>
    <w:p>
      <w:pPr>
        <w:pStyle w:val="BodyText"/>
        <w:spacing w:before="3"/>
        <w:rPr>
          <w:sz w:val="31"/>
        </w:rPr>
      </w:pPr>
    </w:p>
    <w:p>
      <w:pPr>
        <w:pStyle w:val="ListParagraph"/>
        <w:numPr>
          <w:ilvl w:val="2"/>
          <w:numId w:val="2"/>
        </w:numPr>
        <w:tabs>
          <w:tab w:pos="1049" w:val="left" w:leader="none"/>
          <w:tab w:pos="1050" w:val="left" w:leader="none"/>
        </w:tabs>
        <w:spacing w:line="355" w:lineRule="auto" w:before="0" w:after="0"/>
        <w:ind w:left="1049" w:right="1084" w:hanging="360"/>
        <w:jc w:val="left"/>
        <w:rPr>
          <w:sz w:val="20"/>
        </w:rPr>
      </w:pPr>
      <w:r>
        <w:rPr>
          <w:sz w:val="20"/>
        </w:rPr>
        <w:t>Geodata produceret af andre statslige styrelser, fx NaturErhvervstyrelsens Markblokkort, der er et kort med samtlige markblokke eller geografisk sammenhængende enheder bestående af landbrugsarealer i hele</w:t>
      </w:r>
      <w:r>
        <w:rPr>
          <w:spacing w:val="-3"/>
          <w:sz w:val="20"/>
        </w:rPr>
        <w:t> </w:t>
      </w:r>
      <w:r>
        <w:rPr>
          <w:sz w:val="20"/>
        </w:rPr>
        <w:t>landet</w:t>
      </w:r>
    </w:p>
    <w:p>
      <w:pPr>
        <w:pStyle w:val="BodyText"/>
        <w:spacing w:before="5"/>
        <w:rPr>
          <w:sz w:val="21"/>
        </w:rPr>
      </w:pPr>
    </w:p>
    <w:p>
      <w:pPr>
        <w:pStyle w:val="ListParagraph"/>
        <w:numPr>
          <w:ilvl w:val="2"/>
          <w:numId w:val="2"/>
        </w:numPr>
        <w:tabs>
          <w:tab w:pos="1049" w:val="left" w:leader="none"/>
          <w:tab w:pos="1050" w:val="left" w:leader="none"/>
        </w:tabs>
        <w:spacing w:line="350" w:lineRule="auto" w:before="0" w:after="0"/>
        <w:ind w:left="1049" w:right="1469" w:hanging="360"/>
        <w:jc w:val="left"/>
        <w:rPr>
          <w:sz w:val="20"/>
        </w:rPr>
      </w:pPr>
      <w:r>
        <w:rPr>
          <w:sz w:val="20"/>
        </w:rPr>
        <w:t>Geodata produceret og udstillet af private leverandører, som fx COWI, Google, Microsoft eller OpenStreetMap.</w:t>
      </w:r>
    </w:p>
    <w:p>
      <w:pPr>
        <w:pStyle w:val="BodyText"/>
        <w:rPr>
          <w:sz w:val="22"/>
        </w:rPr>
      </w:pPr>
    </w:p>
    <w:p>
      <w:pPr>
        <w:pStyle w:val="BodyText"/>
        <w:spacing w:line="362" w:lineRule="auto"/>
        <w:ind w:left="278" w:right="1155"/>
      </w:pPr>
      <w:r>
        <w:rPr/>
        <w:t>Der vil dog perifært blive draget konklusioner om relationen mellem de frie geodata og øvrige geodata, for så vidt angår brugen af de frie geodata.</w:t>
      </w:r>
    </w:p>
    <w:p>
      <w:pPr>
        <w:pStyle w:val="BodyText"/>
        <w:spacing w:before="9"/>
      </w:pPr>
    </w:p>
    <w:p>
      <w:pPr>
        <w:pStyle w:val="Heading2"/>
        <w:numPr>
          <w:ilvl w:val="1"/>
          <w:numId w:val="2"/>
        </w:numPr>
        <w:tabs>
          <w:tab w:pos="855" w:val="left" w:leader="none"/>
        </w:tabs>
        <w:spacing w:line="240" w:lineRule="auto" w:before="0" w:after="0"/>
        <w:ind w:left="854" w:right="0" w:hanging="576"/>
        <w:jc w:val="left"/>
        <w:rPr>
          <w:i/>
        </w:rPr>
      </w:pPr>
      <w:bookmarkStart w:name="_bookmark14" w:id="22"/>
      <w:bookmarkEnd w:id="22"/>
      <w:r>
        <w:rPr>
          <w:b w:val="0"/>
          <w:i w:val="0"/>
        </w:rPr>
      </w:r>
      <w:bookmarkStart w:name="_bookmark14" w:id="23"/>
      <w:bookmarkEnd w:id="23"/>
      <w:r>
        <w:rPr>
          <w:i/>
          <w:color w:val="A21F1F"/>
        </w:rPr>
        <w:t>A</w:t>
      </w:r>
      <w:r>
        <w:rPr>
          <w:i/>
          <w:color w:val="A21F1F"/>
        </w:rPr>
        <w:t>nalysedesign</w:t>
      </w:r>
    </w:p>
    <w:p>
      <w:pPr>
        <w:pStyle w:val="BodyText"/>
        <w:spacing w:line="360" w:lineRule="auto" w:before="241"/>
        <w:ind w:left="278" w:right="1379"/>
      </w:pPr>
      <w:r>
        <w:rPr/>
        <w:t>I forbindelse med frisættelsen af geodata i 2013 gennemførte GST en før-måling, der opgjorde den samfundsøkonomiske værdi af deres geodata i år 2012 til godt 1,6 mia. kr. Den gennemførte før-måling udgør en baseline-måling for nærværende analyse. I nedenstående Boks 2 er den samfundsøkonomiske værdi beskrevet nærmere.</w:t>
      </w:r>
    </w:p>
    <w:p>
      <w:pPr>
        <w:pStyle w:val="BodyText"/>
        <w:rPr>
          <w:sz w:val="21"/>
        </w:rPr>
      </w:pPr>
    </w:p>
    <w:p>
      <w:pPr>
        <w:spacing w:before="0"/>
        <w:ind w:left="278" w:right="0" w:firstLine="0"/>
        <w:jc w:val="left"/>
        <w:rPr>
          <w:i/>
          <w:sz w:val="18"/>
        </w:rPr>
      </w:pPr>
      <w:r>
        <w:rPr/>
        <w:pict>
          <v:shape style="position:absolute;margin-left:70.944pt;margin-top:16.292927pt;width:472.4pt;height:202.25pt;mso-position-horizontal-relative:page;mso-position-vertical-relative:paragraph;z-index:224;mso-wrap-distance-left:0;mso-wrap-distance-right:0" type="#_x0000_t202" filled="true" fillcolor="#f1f1f1" stroked="false">
            <v:textbox inset="0,0,0,0">
              <w:txbxContent>
                <w:p>
                  <w:pPr>
                    <w:spacing w:before="169"/>
                    <w:ind w:left="170" w:right="0" w:firstLine="0"/>
                    <w:jc w:val="left"/>
                    <w:rPr>
                      <w:b/>
                      <w:i/>
                      <w:sz w:val="20"/>
                    </w:rPr>
                  </w:pPr>
                  <w:r>
                    <w:rPr>
                      <w:b/>
                      <w:i/>
                      <w:sz w:val="20"/>
                    </w:rPr>
                    <w:t>Samfundsøkonomisk værdi af geodata</w:t>
                  </w:r>
                </w:p>
                <w:p>
                  <w:pPr>
                    <w:pStyle w:val="BodyText"/>
                    <w:spacing w:line="360" w:lineRule="auto" w:before="114"/>
                    <w:ind w:left="170"/>
                  </w:pPr>
                  <w:r>
                    <w:rPr/>
                    <w:t>Med samfundsøkonomisk værdi forstås betydningen for samfundet af geodata i form af bidrag til samfundsmæssig aktivitet eller produktion (BNP), som bidrager til velstandsniveauet i Danmark. Den samfundsøkonomiske værdi genereres fx af:</w:t>
                  </w:r>
                </w:p>
                <w:p>
                  <w:pPr>
                    <w:pStyle w:val="BodyText"/>
                    <w:rPr>
                      <w:i/>
                      <w:sz w:val="21"/>
                    </w:rPr>
                  </w:pPr>
                </w:p>
                <w:p>
                  <w:pPr>
                    <w:pStyle w:val="BodyText"/>
                    <w:numPr>
                      <w:ilvl w:val="0"/>
                      <w:numId w:val="5"/>
                    </w:numPr>
                    <w:tabs>
                      <w:tab w:pos="1096" w:val="left" w:leader="none"/>
                      <w:tab w:pos="1097" w:val="left" w:leader="none"/>
                    </w:tabs>
                    <w:spacing w:line="240" w:lineRule="auto" w:before="0" w:after="0"/>
                    <w:ind w:left="1096" w:right="0" w:hanging="360"/>
                    <w:jc w:val="left"/>
                  </w:pPr>
                  <w:r>
                    <w:rPr/>
                    <w:t>Øget innovation, der kan bidrage til nye løsninger og højere</w:t>
                  </w:r>
                  <w:r>
                    <w:rPr>
                      <w:spacing w:val="-8"/>
                    </w:rPr>
                    <w:t> </w:t>
                  </w:r>
                  <w:r>
                    <w:rPr/>
                    <w:t>produktivitet</w:t>
                  </w:r>
                </w:p>
                <w:p>
                  <w:pPr>
                    <w:pStyle w:val="BodyText"/>
                    <w:numPr>
                      <w:ilvl w:val="0"/>
                      <w:numId w:val="5"/>
                    </w:numPr>
                    <w:tabs>
                      <w:tab w:pos="1096" w:val="left" w:leader="none"/>
                      <w:tab w:pos="1097" w:val="left" w:leader="none"/>
                    </w:tabs>
                    <w:spacing w:line="350" w:lineRule="auto" w:before="115" w:after="0"/>
                    <w:ind w:left="1096" w:right="575" w:hanging="360"/>
                    <w:jc w:val="left"/>
                  </w:pPr>
                  <w:r>
                    <w:rPr/>
                    <w:t>Større</w:t>
                  </w:r>
                  <w:r>
                    <w:rPr>
                      <w:spacing w:val="-5"/>
                    </w:rPr>
                    <w:t> </w:t>
                  </w:r>
                  <w:r>
                    <w:rPr/>
                    <w:t>konkurrence,</w:t>
                  </w:r>
                  <w:r>
                    <w:rPr>
                      <w:spacing w:val="-5"/>
                    </w:rPr>
                    <w:t> </w:t>
                  </w:r>
                  <w:r>
                    <w:rPr/>
                    <w:t>der</w:t>
                  </w:r>
                  <w:r>
                    <w:rPr>
                      <w:spacing w:val="-3"/>
                    </w:rPr>
                    <w:t> </w:t>
                  </w:r>
                  <w:r>
                    <w:rPr/>
                    <w:t>kan</w:t>
                  </w:r>
                  <w:r>
                    <w:rPr>
                      <w:spacing w:val="-4"/>
                    </w:rPr>
                    <w:t> </w:t>
                  </w:r>
                  <w:r>
                    <w:rPr/>
                    <w:t>reducere</w:t>
                  </w:r>
                  <w:r>
                    <w:rPr>
                      <w:spacing w:val="-2"/>
                    </w:rPr>
                    <w:t> </w:t>
                  </w:r>
                  <w:r>
                    <w:rPr/>
                    <w:t>priserne</w:t>
                  </w:r>
                  <w:r>
                    <w:rPr>
                      <w:spacing w:val="-5"/>
                    </w:rPr>
                    <w:t> </w:t>
                  </w:r>
                  <w:r>
                    <w:rPr/>
                    <w:t>og</w:t>
                  </w:r>
                  <w:r>
                    <w:rPr>
                      <w:spacing w:val="-4"/>
                    </w:rPr>
                    <w:t> </w:t>
                  </w:r>
                  <w:r>
                    <w:rPr/>
                    <w:t>derigennem</w:t>
                  </w:r>
                  <w:r>
                    <w:rPr>
                      <w:spacing w:val="-4"/>
                    </w:rPr>
                    <w:t> </w:t>
                  </w:r>
                  <w:r>
                    <w:rPr/>
                    <w:t>øge</w:t>
                  </w:r>
                  <w:r>
                    <w:rPr>
                      <w:spacing w:val="-5"/>
                    </w:rPr>
                    <w:t> </w:t>
                  </w:r>
                  <w:r>
                    <w:rPr/>
                    <w:t>realindkomst</w:t>
                  </w:r>
                  <w:r>
                    <w:rPr>
                      <w:spacing w:val="-3"/>
                    </w:rPr>
                    <w:t> </w:t>
                  </w:r>
                  <w:r>
                    <w:rPr/>
                    <w:t>og/eller konkurrenceevne</w:t>
                  </w:r>
                </w:p>
                <w:p>
                  <w:pPr>
                    <w:pStyle w:val="BodyText"/>
                    <w:numPr>
                      <w:ilvl w:val="0"/>
                      <w:numId w:val="5"/>
                    </w:numPr>
                    <w:tabs>
                      <w:tab w:pos="1096" w:val="left" w:leader="none"/>
                      <w:tab w:pos="1097" w:val="left" w:leader="none"/>
                    </w:tabs>
                    <w:spacing w:line="357" w:lineRule="auto" w:before="9" w:after="0"/>
                    <w:ind w:left="1096" w:right="594" w:hanging="360"/>
                    <w:jc w:val="left"/>
                  </w:pPr>
                  <w:r>
                    <w:rPr/>
                    <w:t>Velfærdsøkonomiske effekter, som anvendelsen af løsninger eller serviceydelser, der involverer</w:t>
                  </w:r>
                  <w:r>
                    <w:rPr>
                      <w:spacing w:val="-2"/>
                    </w:rPr>
                    <w:t> </w:t>
                  </w:r>
                  <w:r>
                    <w:rPr/>
                    <w:t>geodata,</w:t>
                  </w:r>
                  <w:r>
                    <w:rPr>
                      <w:spacing w:val="-4"/>
                    </w:rPr>
                    <w:t> </w:t>
                  </w:r>
                  <w:r>
                    <w:rPr/>
                    <w:t>giver</w:t>
                  </w:r>
                  <w:r>
                    <w:rPr>
                      <w:spacing w:val="-4"/>
                    </w:rPr>
                    <w:t> </w:t>
                  </w:r>
                  <w:r>
                    <w:rPr/>
                    <w:t>slutbrugeren,</w:t>
                  </w:r>
                  <w:r>
                    <w:rPr>
                      <w:spacing w:val="-2"/>
                    </w:rPr>
                    <w:t> </w:t>
                  </w:r>
                  <w:r>
                    <w:rPr/>
                    <w:t>fx</w:t>
                  </w:r>
                  <w:r>
                    <w:rPr>
                      <w:spacing w:val="-4"/>
                    </w:rPr>
                    <w:t> </w:t>
                  </w:r>
                  <w:r>
                    <w:rPr/>
                    <w:t>i</w:t>
                  </w:r>
                  <w:r>
                    <w:rPr>
                      <w:spacing w:val="-4"/>
                    </w:rPr>
                    <w:t> </w:t>
                  </w:r>
                  <w:r>
                    <w:rPr/>
                    <w:t>form</w:t>
                  </w:r>
                  <w:r>
                    <w:rPr>
                      <w:spacing w:val="-3"/>
                    </w:rPr>
                    <w:t> </w:t>
                  </w:r>
                  <w:r>
                    <w:rPr/>
                    <w:t>af</w:t>
                  </w:r>
                  <w:r>
                    <w:rPr>
                      <w:spacing w:val="-4"/>
                    </w:rPr>
                    <w:t> </w:t>
                  </w:r>
                  <w:r>
                    <w:rPr/>
                    <w:t>forbedret</w:t>
                  </w:r>
                  <w:r>
                    <w:rPr>
                      <w:spacing w:val="-1"/>
                    </w:rPr>
                    <w:t> </w:t>
                  </w:r>
                  <w:r>
                    <w:rPr/>
                    <w:t>miljø</w:t>
                  </w:r>
                  <w:r>
                    <w:rPr>
                      <w:spacing w:val="-4"/>
                    </w:rPr>
                    <w:t> </w:t>
                  </w:r>
                  <w:r>
                    <w:rPr/>
                    <w:t>og</w:t>
                  </w:r>
                  <w:r>
                    <w:rPr>
                      <w:spacing w:val="-4"/>
                    </w:rPr>
                    <w:t> </w:t>
                  </w:r>
                  <w:r>
                    <w:rPr/>
                    <w:t>tidsbesparelser</w:t>
                  </w:r>
                  <w:r>
                    <w:rPr>
                      <w:spacing w:val="-4"/>
                    </w:rPr>
                    <w:t> </w:t>
                  </w:r>
                  <w:r>
                    <w:rPr/>
                    <w:t>for borgere og</w:t>
                  </w:r>
                  <w:r>
                    <w:rPr>
                      <w:spacing w:val="-1"/>
                    </w:rPr>
                    <w:t> </w:t>
                  </w:r>
                  <w:r>
                    <w:rPr/>
                    <w:t>virksomheder.</w:t>
                  </w:r>
                </w:p>
              </w:txbxContent>
            </v:textbox>
            <v:fill type="solid"/>
            <w10:wrap type="topAndBottom"/>
          </v:shape>
        </w:pict>
      </w:r>
      <w:r>
        <w:rPr>
          <w:i/>
          <w:color w:val="A21F1F"/>
          <w:sz w:val="18"/>
        </w:rPr>
        <w:t>Boks 2: Betydning af samfundsøkonomisk værdi af geodata</w:t>
      </w:r>
    </w:p>
    <w:p>
      <w:pPr>
        <w:pStyle w:val="BodyText"/>
        <w:rPr>
          <w:i/>
        </w:rPr>
      </w:pPr>
    </w:p>
    <w:p>
      <w:pPr>
        <w:pStyle w:val="BodyText"/>
        <w:spacing w:before="9"/>
        <w:rPr>
          <w:i/>
        </w:rPr>
      </w:pPr>
    </w:p>
    <w:p>
      <w:pPr>
        <w:pStyle w:val="BodyText"/>
        <w:spacing w:line="360" w:lineRule="auto" w:before="99"/>
        <w:ind w:left="278" w:right="1779"/>
      </w:pPr>
      <w:r>
        <w:rPr/>
        <w:t>Den nærværende analyse baserer sig på de resultater, der kom ud af før-målingen. Analysen er dog designet således, at den kan håndtere en tredelt ambition, der er som følger:</w:t>
      </w:r>
    </w:p>
    <w:p>
      <w:pPr>
        <w:pStyle w:val="BodyText"/>
        <w:spacing w:before="3"/>
        <w:rPr>
          <w:sz w:val="21"/>
        </w:rPr>
      </w:pPr>
    </w:p>
    <w:p>
      <w:pPr>
        <w:pStyle w:val="ListParagraph"/>
        <w:numPr>
          <w:ilvl w:val="0"/>
          <w:numId w:val="6"/>
        </w:numPr>
        <w:tabs>
          <w:tab w:pos="998" w:val="left" w:leader="none"/>
          <w:tab w:pos="999" w:val="left" w:leader="none"/>
        </w:tabs>
        <w:spacing w:line="350" w:lineRule="auto" w:before="0" w:after="0"/>
        <w:ind w:left="998" w:right="1407" w:hanging="360"/>
        <w:jc w:val="left"/>
        <w:rPr>
          <w:sz w:val="20"/>
        </w:rPr>
      </w:pPr>
      <w:r>
        <w:rPr>
          <w:i/>
          <w:sz w:val="20"/>
        </w:rPr>
        <w:t>For</w:t>
      </w:r>
      <w:r>
        <w:rPr>
          <w:i/>
          <w:spacing w:val="-4"/>
          <w:sz w:val="20"/>
        </w:rPr>
        <w:t> </w:t>
      </w:r>
      <w:r>
        <w:rPr>
          <w:i/>
          <w:sz w:val="20"/>
        </w:rPr>
        <w:t>det</w:t>
      </w:r>
      <w:r>
        <w:rPr>
          <w:i/>
          <w:spacing w:val="-4"/>
          <w:sz w:val="20"/>
        </w:rPr>
        <w:t> </w:t>
      </w:r>
      <w:r>
        <w:rPr>
          <w:i/>
          <w:sz w:val="20"/>
        </w:rPr>
        <w:t>første</w:t>
      </w:r>
      <w:r>
        <w:rPr>
          <w:i/>
          <w:spacing w:val="-1"/>
          <w:sz w:val="20"/>
        </w:rPr>
        <w:t> </w:t>
      </w:r>
      <w:r>
        <w:rPr>
          <w:sz w:val="20"/>
        </w:rPr>
        <w:t>vil</w:t>
      </w:r>
      <w:r>
        <w:rPr>
          <w:spacing w:val="-3"/>
          <w:sz w:val="20"/>
        </w:rPr>
        <w:t> </w:t>
      </w:r>
      <w:r>
        <w:rPr>
          <w:sz w:val="20"/>
        </w:rPr>
        <w:t>analysen</w:t>
      </w:r>
      <w:r>
        <w:rPr>
          <w:spacing w:val="-4"/>
          <w:sz w:val="20"/>
        </w:rPr>
        <w:t> </w:t>
      </w:r>
      <w:r>
        <w:rPr>
          <w:sz w:val="20"/>
        </w:rPr>
        <w:t>estimere</w:t>
      </w:r>
      <w:r>
        <w:rPr>
          <w:spacing w:val="-4"/>
          <w:sz w:val="20"/>
        </w:rPr>
        <w:t> </w:t>
      </w:r>
      <w:r>
        <w:rPr>
          <w:sz w:val="20"/>
        </w:rPr>
        <w:t>den</w:t>
      </w:r>
      <w:r>
        <w:rPr>
          <w:spacing w:val="-4"/>
          <w:sz w:val="20"/>
        </w:rPr>
        <w:t> </w:t>
      </w:r>
      <w:r>
        <w:rPr>
          <w:sz w:val="20"/>
        </w:rPr>
        <w:t>samfundsøkonomiske</w:t>
      </w:r>
      <w:r>
        <w:rPr>
          <w:spacing w:val="-4"/>
          <w:sz w:val="20"/>
        </w:rPr>
        <w:t> </w:t>
      </w:r>
      <w:r>
        <w:rPr>
          <w:sz w:val="20"/>
        </w:rPr>
        <w:t>værdi</w:t>
      </w:r>
      <w:r>
        <w:rPr>
          <w:spacing w:val="-4"/>
          <w:sz w:val="20"/>
        </w:rPr>
        <w:t> </w:t>
      </w:r>
      <w:r>
        <w:rPr>
          <w:sz w:val="20"/>
        </w:rPr>
        <w:t>af</w:t>
      </w:r>
      <w:r>
        <w:rPr>
          <w:spacing w:val="-4"/>
          <w:sz w:val="20"/>
        </w:rPr>
        <w:t> </w:t>
      </w:r>
      <w:r>
        <w:rPr>
          <w:sz w:val="20"/>
        </w:rPr>
        <w:t>de</w:t>
      </w:r>
      <w:r>
        <w:rPr>
          <w:spacing w:val="-2"/>
          <w:sz w:val="20"/>
        </w:rPr>
        <w:t> </w:t>
      </w:r>
      <w:r>
        <w:rPr>
          <w:sz w:val="20"/>
        </w:rPr>
        <w:t>frie</w:t>
      </w:r>
      <w:r>
        <w:rPr>
          <w:spacing w:val="-2"/>
          <w:sz w:val="20"/>
        </w:rPr>
        <w:t> </w:t>
      </w:r>
      <w:r>
        <w:rPr>
          <w:sz w:val="20"/>
        </w:rPr>
        <w:t>geodata</w:t>
      </w:r>
      <w:r>
        <w:rPr>
          <w:spacing w:val="-3"/>
          <w:sz w:val="20"/>
        </w:rPr>
        <w:t> </w:t>
      </w:r>
      <w:r>
        <w:rPr>
          <w:sz w:val="20"/>
        </w:rPr>
        <w:t>pr.</w:t>
      </w:r>
      <w:r>
        <w:rPr>
          <w:spacing w:val="-2"/>
          <w:sz w:val="20"/>
        </w:rPr>
        <w:t> </w:t>
      </w:r>
      <w:r>
        <w:rPr>
          <w:sz w:val="20"/>
        </w:rPr>
        <w:t>2016 (punktmåling) samt pege på udviklingen i anvendelse af de frie geodata siden</w:t>
      </w:r>
      <w:r>
        <w:rPr>
          <w:spacing w:val="-27"/>
          <w:sz w:val="20"/>
        </w:rPr>
        <w:t> </w:t>
      </w:r>
      <w:r>
        <w:rPr>
          <w:sz w:val="20"/>
        </w:rPr>
        <w:t>før-målingen.</w:t>
      </w:r>
    </w:p>
    <w:p>
      <w:pPr>
        <w:spacing w:after="0" w:line="350" w:lineRule="auto"/>
        <w:jc w:val="left"/>
        <w:rPr>
          <w:sz w:val="20"/>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6"/>
        </w:numPr>
        <w:tabs>
          <w:tab w:pos="998" w:val="left" w:leader="none"/>
          <w:tab w:pos="999" w:val="left" w:leader="none"/>
        </w:tabs>
        <w:spacing w:line="201" w:lineRule="exact" w:before="0" w:after="0"/>
        <w:ind w:left="998" w:right="0" w:hanging="360"/>
        <w:jc w:val="left"/>
        <w:rPr>
          <w:sz w:val="20"/>
        </w:rPr>
      </w:pPr>
      <w:r>
        <w:rPr>
          <w:i/>
          <w:sz w:val="20"/>
        </w:rPr>
        <w:t>For det andet </w:t>
      </w:r>
      <w:r>
        <w:rPr>
          <w:sz w:val="20"/>
        </w:rPr>
        <w:t>vil analyse komme med konkrete eksempler på, hvordan geodata i dag</w:t>
      </w:r>
      <w:r>
        <w:rPr>
          <w:spacing w:val="-12"/>
          <w:sz w:val="20"/>
        </w:rPr>
        <w:t> </w:t>
      </w:r>
      <w:r>
        <w:rPr>
          <w:sz w:val="20"/>
        </w:rPr>
        <w:t>bliver</w:t>
      </w:r>
    </w:p>
    <w:p>
      <w:pPr>
        <w:pStyle w:val="BodyText"/>
        <w:spacing w:before="116"/>
        <w:ind w:left="998"/>
      </w:pPr>
      <w:r>
        <w:rPr/>
        <w:t>anvendt i private virksomheder, forsyningsselskaber og offentlige myndigheder.</w:t>
      </w:r>
    </w:p>
    <w:p>
      <w:pPr>
        <w:pStyle w:val="BodyText"/>
        <w:rPr>
          <w:sz w:val="31"/>
        </w:rPr>
      </w:pPr>
    </w:p>
    <w:p>
      <w:pPr>
        <w:pStyle w:val="ListParagraph"/>
        <w:numPr>
          <w:ilvl w:val="0"/>
          <w:numId w:val="6"/>
        </w:numPr>
        <w:tabs>
          <w:tab w:pos="998" w:val="left" w:leader="none"/>
          <w:tab w:pos="999" w:val="left" w:leader="none"/>
        </w:tabs>
        <w:spacing w:line="355" w:lineRule="auto" w:before="0" w:after="0"/>
        <w:ind w:left="998" w:right="1262" w:hanging="360"/>
        <w:jc w:val="left"/>
        <w:rPr>
          <w:sz w:val="20"/>
        </w:rPr>
      </w:pPr>
      <w:r>
        <w:rPr>
          <w:i/>
          <w:sz w:val="20"/>
        </w:rPr>
        <w:t>For det tredje </w:t>
      </w:r>
      <w:r>
        <w:rPr>
          <w:sz w:val="20"/>
        </w:rPr>
        <w:t>vil analyse identificere potentialer for fremadrettet anvendelse af de frie geodata – men også de barrierer, som forskellige brugergrupper oplever i forhold til at realisere de frie geodatas</w:t>
      </w:r>
      <w:r>
        <w:rPr>
          <w:spacing w:val="-1"/>
          <w:sz w:val="20"/>
        </w:rPr>
        <w:t> </w:t>
      </w:r>
      <w:r>
        <w:rPr>
          <w:sz w:val="20"/>
        </w:rPr>
        <w:t>potentiale.</w:t>
      </w:r>
    </w:p>
    <w:p>
      <w:pPr>
        <w:pStyle w:val="BodyText"/>
        <w:spacing w:before="6"/>
        <w:rPr>
          <w:sz w:val="21"/>
        </w:rPr>
      </w:pPr>
    </w:p>
    <w:p>
      <w:pPr>
        <w:pStyle w:val="BodyText"/>
        <w:spacing w:line="360" w:lineRule="auto" w:before="1"/>
        <w:ind w:left="278" w:right="1290"/>
      </w:pPr>
      <w:r>
        <w:rPr/>
        <w:t>For at komme i mål med analysens første del genanvender PwC i store træk den metode til at beregne geodatas samfundsøkonomiske værdi, der blev udviklet og anvendt i før-målingen. Metoden gennemgås dybere i næste afsnit, men består overordnet af en beregning, der hviler på data, der er indsamlet via en spørgeskemaundersøgelse blandt anvendere af de frie geodata. Ved at genanvende før-målingens beregningsmetode kan den nærværende analyse bidrage til at belyse udviklingen i anvendelsen af de frie geodata siden 2013.</w:t>
      </w:r>
    </w:p>
    <w:p>
      <w:pPr>
        <w:pStyle w:val="BodyText"/>
        <w:spacing w:before="1"/>
        <w:rPr>
          <w:sz w:val="21"/>
        </w:rPr>
      </w:pPr>
    </w:p>
    <w:p>
      <w:pPr>
        <w:pStyle w:val="BodyText"/>
        <w:spacing w:line="360" w:lineRule="auto"/>
        <w:ind w:left="278" w:right="1042"/>
      </w:pPr>
      <w:r>
        <w:rPr/>
        <w:t>Med hensyn til analysens andet ben har PwC gennemført en række case-undersøgelser, hvor virksomheder, forsyningsselskaber og offentlige myndigheder, der anvender de frie geodata, er blevet interviewet om deres arbejde med de frie geodata. Både spørgeskemaundersøgelsen og case-undersøgelserne udgør fundamentet for analysens tredje</w:t>
      </w:r>
      <w:r>
        <w:rPr>
          <w:spacing w:val="1"/>
        </w:rPr>
        <w:t> </w:t>
      </w:r>
      <w:r>
        <w:rPr/>
        <w:t>ben.</w:t>
      </w:r>
    </w:p>
    <w:p>
      <w:pPr>
        <w:pStyle w:val="BodyText"/>
        <w:spacing w:before="1"/>
        <w:rPr>
          <w:sz w:val="21"/>
        </w:rPr>
      </w:pPr>
    </w:p>
    <w:p>
      <w:pPr>
        <w:pStyle w:val="BodyText"/>
        <w:spacing w:line="360" w:lineRule="auto"/>
        <w:ind w:left="278" w:right="1894"/>
        <w:jc w:val="both"/>
      </w:pPr>
      <w:r>
        <w:rPr/>
        <w:t>Med gennemførelsen af nærværende eftermåling bliver der dermed taget en temperaturmåling på anvendelsen af de frie geodata anno 2016 samtidigt med, at der bliver trukket tråde tilbage til før- målingen.</w:t>
      </w:r>
    </w:p>
    <w:p>
      <w:pPr>
        <w:pStyle w:val="BodyText"/>
        <w:spacing w:before="11"/>
      </w:pPr>
    </w:p>
    <w:p>
      <w:pPr>
        <w:pStyle w:val="Heading2"/>
        <w:numPr>
          <w:ilvl w:val="1"/>
          <w:numId w:val="2"/>
        </w:numPr>
        <w:tabs>
          <w:tab w:pos="855" w:val="left" w:leader="none"/>
        </w:tabs>
        <w:spacing w:line="240" w:lineRule="auto" w:before="0" w:after="0"/>
        <w:ind w:left="854" w:right="1286" w:hanging="576"/>
        <w:jc w:val="left"/>
      </w:pPr>
      <w:bookmarkStart w:name="_bookmark15" w:id="24"/>
      <w:bookmarkEnd w:id="24"/>
      <w:r>
        <w:rPr>
          <w:b w:val="0"/>
          <w:i w:val="0"/>
        </w:rPr>
      </w:r>
      <w:bookmarkStart w:name="_bookmark15" w:id="25"/>
      <w:bookmarkEnd w:id="25"/>
      <w:r>
        <w:rPr>
          <w:i/>
          <w:color w:val="A21F1F"/>
        </w:rPr>
        <w:t>M</w:t>
      </w:r>
      <w:r>
        <w:rPr>
          <w:i/>
          <w:color w:val="A21F1F"/>
        </w:rPr>
        <w:t>etode til opgørelse og beregning af værdien af frie </w:t>
      </w:r>
      <w:r>
        <w:rPr>
          <w:color w:val="A21F1F"/>
        </w:rPr>
        <w:t>geodata</w:t>
      </w:r>
    </w:p>
    <w:p>
      <w:pPr>
        <w:pStyle w:val="BodyText"/>
        <w:spacing w:line="360" w:lineRule="auto" w:before="242"/>
        <w:ind w:left="278" w:right="1433"/>
      </w:pPr>
      <w:r>
        <w:rPr/>
        <w:t>Nærværende eftermåling bygger på resultaterne af før-målingen, og for at sikre et sammenligneligt grundlag genanvendes derfor i store træk samme metode som fra den tidligere måling. Det oprindelige analysedesign bestod af en forandringsteori, et metodegrundlag og en datastrategi. I det følgende gennemgås forandringsteorien og metodegrundlaget. I næste kapitel redegøres for datastrategien i nærværende analyse.</w:t>
      </w:r>
    </w:p>
    <w:p>
      <w:pPr>
        <w:pStyle w:val="BodyText"/>
        <w:spacing w:before="1"/>
        <w:rPr>
          <w:sz w:val="21"/>
        </w:rPr>
      </w:pPr>
    </w:p>
    <w:p>
      <w:pPr>
        <w:pStyle w:val="Heading3"/>
        <w:numPr>
          <w:ilvl w:val="2"/>
          <w:numId w:val="7"/>
        </w:numPr>
        <w:tabs>
          <w:tab w:pos="999" w:val="left" w:leader="none"/>
        </w:tabs>
        <w:spacing w:line="240" w:lineRule="auto" w:before="1" w:after="0"/>
        <w:ind w:left="998" w:right="1614" w:hanging="720"/>
        <w:jc w:val="left"/>
      </w:pPr>
      <w:bookmarkStart w:name="_bookmark16" w:id="26"/>
      <w:bookmarkEnd w:id="26"/>
      <w:r>
        <w:rPr>
          <w:i w:val="0"/>
        </w:rPr>
      </w:r>
      <w:bookmarkStart w:name="_bookmark16" w:id="27"/>
      <w:bookmarkEnd w:id="27"/>
      <w:r>
        <w:rPr>
          <w:i/>
          <w:color w:val="A21F1F"/>
        </w:rPr>
        <w:t>For</w:t>
      </w:r>
      <w:r>
        <w:rPr>
          <w:i/>
          <w:color w:val="A21F1F"/>
        </w:rPr>
        <w:t>andringsteori – fra frisættelse af geodata til effekt på </w:t>
      </w:r>
      <w:r>
        <w:rPr>
          <w:color w:val="A21F1F"/>
        </w:rPr>
        <w:t>samfundsøkonomisk</w:t>
      </w:r>
      <w:r>
        <w:rPr>
          <w:color w:val="A21F1F"/>
          <w:spacing w:val="-1"/>
        </w:rPr>
        <w:t> </w:t>
      </w:r>
      <w:r>
        <w:rPr>
          <w:color w:val="A21F1F"/>
        </w:rPr>
        <w:t>niveau</w:t>
      </w:r>
    </w:p>
    <w:p>
      <w:pPr>
        <w:pStyle w:val="BodyText"/>
        <w:spacing w:line="360" w:lineRule="auto" w:before="242"/>
        <w:ind w:left="278" w:right="1060"/>
      </w:pPr>
      <w:r>
        <w:rPr/>
        <w:t>Den grundlæggende idé bag analysedesignet til opgørelse og beregning af værdien af frie geodata er en forandringsteori. Forandringsteorien beskriver den forventede effektkæde, der går fra frisættelsen af geodata til en effekt på samfundsøkonomisk niveau, jf. </w:t>
      </w:r>
      <w:hyperlink w:history="true" w:anchor="_bookmark17">
        <w:r>
          <w:rPr/>
          <w:t>Figur 5 </w:t>
        </w:r>
      </w:hyperlink>
      <w:r>
        <w:rPr/>
        <w:t>herunder. Effekten af de frie geodata på samfundsmæssigt</w:t>
      </w:r>
      <w:r>
        <w:rPr>
          <w:spacing w:val="-4"/>
        </w:rPr>
        <w:t> </w:t>
      </w:r>
      <w:r>
        <w:rPr/>
        <w:t>niveau</w:t>
      </w:r>
      <w:r>
        <w:rPr>
          <w:spacing w:val="-1"/>
        </w:rPr>
        <w:t> </w:t>
      </w:r>
      <w:r>
        <w:rPr/>
        <w:t>kan</w:t>
      </w:r>
      <w:r>
        <w:rPr>
          <w:spacing w:val="-4"/>
        </w:rPr>
        <w:t> </w:t>
      </w:r>
      <w:r>
        <w:rPr/>
        <w:t>fx</w:t>
      </w:r>
      <w:r>
        <w:rPr>
          <w:spacing w:val="-4"/>
        </w:rPr>
        <w:t> </w:t>
      </w:r>
      <w:r>
        <w:rPr/>
        <w:t>være</w:t>
      </w:r>
      <w:r>
        <w:rPr>
          <w:spacing w:val="-4"/>
        </w:rPr>
        <w:t> </w:t>
      </w:r>
      <w:r>
        <w:rPr/>
        <w:t>øget</w:t>
      </w:r>
      <w:r>
        <w:rPr>
          <w:spacing w:val="-3"/>
        </w:rPr>
        <w:t> </w:t>
      </w:r>
      <w:r>
        <w:rPr/>
        <w:t>produktion</w:t>
      </w:r>
      <w:r>
        <w:rPr>
          <w:spacing w:val="-2"/>
        </w:rPr>
        <w:t> </w:t>
      </w:r>
      <w:r>
        <w:rPr/>
        <w:t>og</w:t>
      </w:r>
      <w:r>
        <w:rPr>
          <w:spacing w:val="-4"/>
        </w:rPr>
        <w:t> </w:t>
      </w:r>
      <w:r>
        <w:rPr/>
        <w:t>lavere</w:t>
      </w:r>
      <w:r>
        <w:rPr>
          <w:spacing w:val="-2"/>
        </w:rPr>
        <w:t> </w:t>
      </w:r>
      <w:r>
        <w:rPr/>
        <w:t>priser</w:t>
      </w:r>
      <w:r>
        <w:rPr>
          <w:spacing w:val="-2"/>
        </w:rPr>
        <w:t> </w:t>
      </w:r>
      <w:r>
        <w:rPr/>
        <w:t>i</w:t>
      </w:r>
      <w:r>
        <w:rPr>
          <w:spacing w:val="-4"/>
        </w:rPr>
        <w:t> </w:t>
      </w:r>
      <w:r>
        <w:rPr/>
        <w:t>den</w:t>
      </w:r>
      <w:r>
        <w:rPr>
          <w:spacing w:val="-2"/>
        </w:rPr>
        <w:t> </w:t>
      </w:r>
      <w:r>
        <w:rPr/>
        <w:t>private</w:t>
      </w:r>
      <w:r>
        <w:rPr>
          <w:spacing w:val="-4"/>
        </w:rPr>
        <w:t> </w:t>
      </w:r>
      <w:r>
        <w:rPr/>
        <w:t>sektor,</w:t>
      </w:r>
      <w:r>
        <w:rPr>
          <w:spacing w:val="-5"/>
        </w:rPr>
        <w:t> </w:t>
      </w:r>
      <w:r>
        <w:rPr/>
        <w:t>der</w:t>
      </w:r>
      <w:r>
        <w:rPr>
          <w:spacing w:val="-4"/>
        </w:rPr>
        <w:t> </w:t>
      </w:r>
      <w:r>
        <w:rPr/>
        <w:t>fører</w:t>
      </w:r>
      <w:r>
        <w:rPr>
          <w:spacing w:val="-4"/>
        </w:rPr>
        <w:t> </w:t>
      </w:r>
      <w:r>
        <w:rPr/>
        <w:t>til</w:t>
      </w:r>
      <w:r>
        <w:rPr>
          <w:spacing w:val="-3"/>
        </w:rPr>
        <w:t> </w:t>
      </w:r>
      <w:r>
        <w:rPr/>
        <w:t>øget købekraft for forbrugerne. For den offentlige sektor kan effekterne af de frie geodata potentielt give sig udslag i tidsbesparelser gennem mere effektive arbejdsprocesser samt bedre miljø og sundhed for borgerne. Senere i rapporten beskrives, hvilke mekanismer der ligger bag de effekter, som geodata afstedkommer.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Forandringsteorien bruges til at anvise, hvilke indikatorer der er relevante at medtage i en måling af</w:t>
      </w:r>
    </w:p>
    <w:p>
      <w:pPr>
        <w:pStyle w:val="BodyText"/>
        <w:spacing w:line="360" w:lineRule="auto" w:before="114"/>
        <w:ind w:left="278" w:right="1019"/>
      </w:pPr>
      <w:r>
        <w:rPr/>
        <w:t>effekten af de frie geodata på samfundsmæssigt niveau, og anvendes derfor som analytisk rygrad i både før- og eftermålingen af effekterne af de frie geodata.</w:t>
      </w:r>
    </w:p>
    <w:p>
      <w:pPr>
        <w:pStyle w:val="BodyText"/>
        <w:rPr>
          <w:sz w:val="21"/>
        </w:rPr>
      </w:pPr>
    </w:p>
    <w:p>
      <w:pPr>
        <w:spacing w:before="0"/>
        <w:ind w:left="278" w:right="0" w:firstLine="0"/>
        <w:jc w:val="left"/>
        <w:rPr>
          <w:i/>
          <w:sz w:val="18"/>
        </w:rPr>
      </w:pPr>
      <w:r>
        <w:rPr/>
        <w:pict>
          <v:group style="position:absolute;margin-left:71.300003pt;margin-top:16.302933pt;width:471.1pt;height:257.8pt;mso-position-horizontal-relative:page;mso-position-vertical-relative:paragraph;z-index:296;mso-wrap-distance-left:0;mso-wrap-distance-right:0" coordorigin="1426,326" coordsize="9422,5156">
            <v:rect style="position:absolute;left:1426;top:326;width:9422;height:5156" filled="true" fillcolor="#f1f1f1" stroked="false">
              <v:fill type="solid"/>
            </v:rect>
            <v:shape style="position:absolute;left:1426;top:326;width:9379;height:5035" type="#_x0000_t75" stroked="false">
              <v:imagedata r:id="rId14" o:title=""/>
            </v:shape>
            <w10:wrap type="topAndBottom"/>
          </v:group>
        </w:pict>
      </w:r>
      <w:bookmarkStart w:name="_bookmark17" w:id="28"/>
      <w:bookmarkEnd w:id="28"/>
      <w:r>
        <w:rPr/>
      </w:r>
      <w:r>
        <w:rPr>
          <w:i/>
          <w:color w:val="A21F1F"/>
          <w:sz w:val="18"/>
        </w:rPr>
        <w:t>Figur 5: Forandringsteorien bag analysedesignet</w:t>
      </w:r>
    </w:p>
    <w:p>
      <w:pPr>
        <w:spacing w:line="195" w:lineRule="exact" w:before="0"/>
        <w:ind w:left="278" w:right="0" w:firstLine="0"/>
        <w:jc w:val="left"/>
        <w:rPr>
          <w:i/>
          <w:sz w:val="18"/>
        </w:rPr>
      </w:pPr>
      <w:r>
        <w:rPr>
          <w:b/>
          <w:i/>
          <w:color w:val="A21F1F"/>
          <w:sz w:val="20"/>
        </w:rPr>
        <w:t>Kilde: </w:t>
      </w:r>
      <w:r>
        <w:rPr>
          <w:i/>
          <w:color w:val="A21F1F"/>
          <w:sz w:val="18"/>
        </w:rPr>
        <w:t>Før-måling</w:t>
      </w:r>
    </w:p>
    <w:p>
      <w:pPr>
        <w:pStyle w:val="BodyText"/>
        <w:rPr>
          <w:i/>
          <w:sz w:val="22"/>
        </w:rPr>
      </w:pPr>
    </w:p>
    <w:p>
      <w:pPr>
        <w:pStyle w:val="BodyText"/>
        <w:spacing w:before="9"/>
        <w:rPr>
          <w:i/>
          <w:sz w:val="18"/>
        </w:rPr>
      </w:pPr>
    </w:p>
    <w:p>
      <w:pPr>
        <w:pStyle w:val="BodyText"/>
        <w:spacing w:line="360" w:lineRule="auto"/>
        <w:ind w:left="278" w:right="995"/>
      </w:pPr>
      <w:r>
        <w:rPr/>
        <w:t>Det første led i forandringsteorien tager udgangspunkt i, at frisættelsen af geodata medfører en reduktion i prisen på geodata, der så i andet led forventes at medføre en stigning i efterspørgslen efter geodata. Den øgede efterspørgsel forventes at føre til, at geodata anvendes i højere grad og til nye formål i forhold til før prisreduktionen, hvilket er modellens tredje led. Det kan være for både private virksomheder, forsyningsselskaber og offentlige myndigheder.</w:t>
      </w:r>
    </w:p>
    <w:p>
      <w:pPr>
        <w:pStyle w:val="BodyText"/>
        <w:spacing w:before="1"/>
        <w:rPr>
          <w:sz w:val="21"/>
        </w:rPr>
      </w:pPr>
    </w:p>
    <w:p>
      <w:pPr>
        <w:pStyle w:val="BodyText"/>
        <w:spacing w:line="360" w:lineRule="auto" w:before="1"/>
        <w:ind w:left="278" w:right="1102"/>
      </w:pPr>
      <w:r>
        <w:rPr/>
        <w:t>For private virksomheder betyder det, at de frie geodata kan integreres i eksisterende produkter og ydelser eller indgå i nye produkter eller ydelser, der udvikles. Denne effekt af frie geodata kaldes markedseffekten. Foruden at indgå i produktionen af produkter eller ydelser kan de frie geodata også anvendes som løftestang til at effektivisere interne arbejdsgange og opgaver, hvilket benævnes effektviseringseffekten af frie geodata. Effekten af frisættelsen af geodata for de private virksomheder er således, at der er mulighed for øget omsætning og effektivitet i opgavevaretagelsen, hvilket er et resultat af forbedrede eller nye produkter, ydelser og processer, hvori de frie geodata indgår, hvilket er modellens fjerde led.</w:t>
      </w:r>
    </w:p>
    <w:p>
      <w:pPr>
        <w:pStyle w:val="BodyText"/>
        <w:spacing w:before="1"/>
        <w:rPr>
          <w:sz w:val="21"/>
        </w:rPr>
      </w:pPr>
    </w:p>
    <w:p>
      <w:pPr>
        <w:pStyle w:val="BodyText"/>
        <w:spacing w:line="360" w:lineRule="auto"/>
        <w:ind w:left="278" w:right="1149"/>
      </w:pPr>
      <w:r>
        <w:rPr/>
        <w:t>I fjerde led er der ligeledes for offentlige myndigheder en forventning om, at de frie geodata kan anvendes til nye formål og bidrage til at effektivisere arbejdsgange. Potentielt kan de frie geodata derfor give bedre service for borgere og virksomheder. Det kan fx både være i form af hurtigere og mere korrekte afgørelser, der træffes på et mere komplet datagrundlag, eller bedre og mere forståelig kommunikation om fx risiko for oversvømmelser.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Effekterne på virksomheds- og myndighedsniveau, altså markeds- og effektiviseringseffekterne af de frie</w:t>
      </w:r>
    </w:p>
    <w:p>
      <w:pPr>
        <w:pStyle w:val="BodyText"/>
        <w:spacing w:line="360" w:lineRule="auto" w:before="114"/>
        <w:ind w:left="278" w:right="1092"/>
      </w:pPr>
      <w:r>
        <w:rPr/>
        <w:t>geodata, forventes at føre til effekter på samfundsmæssigt niveau. Det kan som anført ovenfor resultere i øget produktion, lavere priser og øget købekraft samt velfærdsgevinster i form af en mere effektiv offentlig sektor. Det ses i modellens femte led. For udbygning af mekanismerne i modellen, herunder transaktionsmekanismer, henvises til før-målingen.</w:t>
      </w:r>
    </w:p>
    <w:p>
      <w:pPr>
        <w:pStyle w:val="BodyText"/>
        <w:spacing w:before="10"/>
      </w:pPr>
    </w:p>
    <w:p>
      <w:pPr>
        <w:pStyle w:val="Heading3"/>
        <w:numPr>
          <w:ilvl w:val="2"/>
          <w:numId w:val="7"/>
        </w:numPr>
        <w:tabs>
          <w:tab w:pos="1076" w:val="left" w:leader="none"/>
        </w:tabs>
        <w:spacing w:line="240" w:lineRule="auto" w:before="0" w:after="0"/>
        <w:ind w:left="1075" w:right="0" w:hanging="797"/>
        <w:jc w:val="left"/>
        <w:rPr>
          <w:i/>
        </w:rPr>
      </w:pPr>
      <w:bookmarkStart w:name="_bookmark18" w:id="29"/>
      <w:bookmarkEnd w:id="29"/>
      <w:r>
        <w:rPr>
          <w:i/>
          <w:color w:val="A21F1F"/>
        </w:rPr>
        <w:t>Me</w:t>
      </w:r>
      <w:r>
        <w:rPr>
          <w:i/>
          <w:color w:val="A21F1F"/>
        </w:rPr>
        <w:t>tode til opgørelse og beregning af værdien af</w:t>
      </w:r>
      <w:r>
        <w:rPr>
          <w:i/>
          <w:color w:val="A21F1F"/>
          <w:spacing w:val="-12"/>
        </w:rPr>
        <w:t> </w:t>
      </w:r>
      <w:r>
        <w:rPr>
          <w:i/>
          <w:color w:val="A21F1F"/>
        </w:rPr>
        <w:t>geodata</w:t>
      </w:r>
    </w:p>
    <w:p>
      <w:pPr>
        <w:pStyle w:val="BodyText"/>
        <w:spacing w:line="360" w:lineRule="auto" w:before="243"/>
        <w:ind w:left="278" w:right="1238"/>
      </w:pPr>
      <w:r>
        <w:rPr/>
        <w:t>Som anført tidligere vil nærværende eftermåling gøre brug af den beregningsmetode, der blev udviklet til beregningen af geodatas samfundsmæssige værdi i før-målingen. Metoden genanvendes for at sikre et sammenligneligt grundlag til at kortlægge, opgøre og beregne værdien af geodata i de to målinger.</w:t>
      </w:r>
    </w:p>
    <w:p>
      <w:pPr>
        <w:pStyle w:val="BodyText"/>
        <w:spacing w:line="360" w:lineRule="auto"/>
        <w:ind w:left="278" w:right="1578"/>
      </w:pPr>
      <w:r>
        <w:rPr/>
        <w:t>Nedenfor gennemgås modellen i hovedtræk, men for en mere detaljeret gennemgang henvises til før- målingen.</w:t>
      </w:r>
    </w:p>
    <w:p>
      <w:pPr>
        <w:pStyle w:val="BodyText"/>
        <w:spacing w:before="2"/>
        <w:rPr>
          <w:sz w:val="21"/>
        </w:rPr>
      </w:pPr>
    </w:p>
    <w:p>
      <w:pPr>
        <w:pStyle w:val="BodyText"/>
        <w:spacing w:line="360" w:lineRule="auto"/>
        <w:ind w:left="278" w:right="1092"/>
      </w:pPr>
      <w:r>
        <w:rPr/>
        <w:t>Grundlæggende for metoden til opgørelse af den samfundsmæssige værdi af geodata er, at den baserer sig på mikrodata om brugen af de frie geodata fra en stikprøve af populationen af alle brugerne af de frie geodata. På baggrund af stikprøven opregnes der så til hele populationen. Vi vender tilbage til population og stikprøve nedenfor.</w:t>
      </w:r>
    </w:p>
    <w:p>
      <w:pPr>
        <w:pStyle w:val="BodyText"/>
        <w:spacing w:before="1"/>
        <w:rPr>
          <w:sz w:val="21"/>
        </w:rPr>
      </w:pPr>
    </w:p>
    <w:p>
      <w:pPr>
        <w:pStyle w:val="BodyText"/>
        <w:spacing w:line="360" w:lineRule="auto"/>
        <w:ind w:left="278" w:right="1575"/>
      </w:pPr>
      <w:r>
        <w:rPr/>
        <w:t>I metoden til beregning af værdien af geodata indgår en kortlægning, en opgørelse og en beregning af effekterne af tre centrale brugergruppers anvendelse og udnyttelse af de frie geodata, jf. </w:t>
      </w:r>
      <w:hyperlink w:history="true" w:anchor="_bookmark19">
        <w:r>
          <w:rPr/>
          <w:t>Figur 6.</w:t>
        </w:r>
      </w:hyperlink>
    </w:p>
    <w:p>
      <w:pPr>
        <w:pStyle w:val="BodyText"/>
        <w:spacing w:line="360" w:lineRule="auto"/>
        <w:ind w:left="278" w:right="995"/>
      </w:pPr>
      <w:r>
        <w:rPr/>
        <w:t>Beregningen foretages i to led, hvor det første led indeholder kortlægning og opgørelse, mens det andet led vedrører effektberegningen på samfundsmæssigt niveau. Effekterne af de frie geodata er i modellen overordnet delt mellem følgende tre centrale brugergrupper:</w:t>
      </w:r>
    </w:p>
    <w:p>
      <w:pPr>
        <w:pStyle w:val="BodyText"/>
        <w:spacing w:before="1"/>
        <w:rPr>
          <w:sz w:val="21"/>
        </w:rPr>
      </w:pPr>
    </w:p>
    <w:p>
      <w:pPr>
        <w:pStyle w:val="ListParagraph"/>
        <w:numPr>
          <w:ilvl w:val="0"/>
          <w:numId w:val="8"/>
        </w:numPr>
        <w:tabs>
          <w:tab w:pos="999" w:val="left" w:leader="none"/>
        </w:tabs>
        <w:spacing w:line="360" w:lineRule="auto" w:before="1" w:after="0"/>
        <w:ind w:left="998" w:right="1071" w:hanging="360"/>
        <w:jc w:val="left"/>
        <w:rPr>
          <w:sz w:val="20"/>
        </w:rPr>
      </w:pPr>
      <w:r>
        <w:rPr>
          <w:b/>
          <w:sz w:val="20"/>
        </w:rPr>
        <w:t>Private</w:t>
      </w:r>
      <w:r>
        <w:rPr>
          <w:b/>
          <w:spacing w:val="-6"/>
          <w:sz w:val="20"/>
        </w:rPr>
        <w:t> </w:t>
      </w:r>
      <w:r>
        <w:rPr>
          <w:b/>
          <w:sz w:val="20"/>
        </w:rPr>
        <w:t>virksomheder:</w:t>
      </w:r>
      <w:r>
        <w:rPr>
          <w:b/>
          <w:spacing w:val="-2"/>
          <w:sz w:val="20"/>
        </w:rPr>
        <w:t> </w:t>
      </w:r>
      <w:r>
        <w:rPr>
          <w:sz w:val="20"/>
        </w:rPr>
        <w:t>Effekten</w:t>
      </w:r>
      <w:r>
        <w:rPr>
          <w:spacing w:val="-5"/>
          <w:sz w:val="20"/>
        </w:rPr>
        <w:t> </w:t>
      </w:r>
      <w:r>
        <w:rPr>
          <w:sz w:val="20"/>
        </w:rPr>
        <w:t>af</w:t>
      </w:r>
      <w:r>
        <w:rPr>
          <w:spacing w:val="-5"/>
          <w:sz w:val="20"/>
        </w:rPr>
        <w:t> </w:t>
      </w:r>
      <w:r>
        <w:rPr>
          <w:sz w:val="20"/>
        </w:rPr>
        <w:t>de</w:t>
      </w:r>
      <w:r>
        <w:rPr>
          <w:spacing w:val="-2"/>
          <w:sz w:val="20"/>
        </w:rPr>
        <w:t> </w:t>
      </w:r>
      <w:r>
        <w:rPr>
          <w:sz w:val="20"/>
        </w:rPr>
        <w:t>frie</w:t>
      </w:r>
      <w:r>
        <w:rPr>
          <w:spacing w:val="-3"/>
          <w:sz w:val="20"/>
        </w:rPr>
        <w:t> </w:t>
      </w:r>
      <w:r>
        <w:rPr>
          <w:sz w:val="20"/>
        </w:rPr>
        <w:t>geodata</w:t>
      </w:r>
      <w:r>
        <w:rPr>
          <w:spacing w:val="-5"/>
          <w:sz w:val="20"/>
        </w:rPr>
        <w:t> </w:t>
      </w:r>
      <w:r>
        <w:rPr>
          <w:sz w:val="20"/>
        </w:rPr>
        <w:t>for</w:t>
      </w:r>
      <w:r>
        <w:rPr>
          <w:spacing w:val="-4"/>
          <w:sz w:val="20"/>
        </w:rPr>
        <w:t> </w:t>
      </w:r>
      <w:r>
        <w:rPr>
          <w:sz w:val="20"/>
        </w:rPr>
        <w:t>de</w:t>
      </w:r>
      <w:r>
        <w:rPr>
          <w:spacing w:val="-5"/>
          <w:sz w:val="20"/>
        </w:rPr>
        <w:t> </w:t>
      </w:r>
      <w:r>
        <w:rPr>
          <w:sz w:val="20"/>
        </w:rPr>
        <w:t>private</w:t>
      </w:r>
      <w:r>
        <w:rPr>
          <w:spacing w:val="-3"/>
          <w:sz w:val="20"/>
        </w:rPr>
        <w:t> </w:t>
      </w:r>
      <w:r>
        <w:rPr>
          <w:sz w:val="20"/>
        </w:rPr>
        <w:t>virksomheder</w:t>
      </w:r>
      <w:r>
        <w:rPr>
          <w:spacing w:val="-3"/>
          <w:sz w:val="20"/>
        </w:rPr>
        <w:t> </w:t>
      </w:r>
      <w:r>
        <w:rPr>
          <w:sz w:val="20"/>
        </w:rPr>
        <w:t>fremkommer</w:t>
      </w:r>
      <w:r>
        <w:rPr>
          <w:spacing w:val="-4"/>
          <w:sz w:val="20"/>
        </w:rPr>
        <w:t> </w:t>
      </w:r>
      <w:r>
        <w:rPr>
          <w:sz w:val="20"/>
        </w:rPr>
        <w:t>via deres forædling af geodata i produkter og ydelser samt gennem effektivisering af interne arbejdsgange i</w:t>
      </w:r>
      <w:r>
        <w:rPr>
          <w:spacing w:val="-2"/>
          <w:sz w:val="20"/>
        </w:rPr>
        <w:t> </w:t>
      </w:r>
      <w:r>
        <w:rPr>
          <w:sz w:val="20"/>
        </w:rPr>
        <w:t>virksomhederne.</w:t>
      </w:r>
    </w:p>
    <w:p>
      <w:pPr>
        <w:pStyle w:val="BodyText"/>
        <w:spacing w:before="1"/>
        <w:rPr>
          <w:sz w:val="21"/>
        </w:rPr>
      </w:pPr>
    </w:p>
    <w:p>
      <w:pPr>
        <w:pStyle w:val="ListParagraph"/>
        <w:numPr>
          <w:ilvl w:val="0"/>
          <w:numId w:val="8"/>
        </w:numPr>
        <w:tabs>
          <w:tab w:pos="999" w:val="left" w:leader="none"/>
        </w:tabs>
        <w:spacing w:line="360" w:lineRule="auto" w:before="0" w:after="0"/>
        <w:ind w:left="998" w:right="1680" w:hanging="360"/>
        <w:jc w:val="left"/>
        <w:rPr>
          <w:sz w:val="20"/>
        </w:rPr>
      </w:pPr>
      <w:r>
        <w:rPr>
          <w:b/>
          <w:sz w:val="20"/>
        </w:rPr>
        <w:t>Forsyningsselskaber:</w:t>
      </w:r>
      <w:r>
        <w:rPr>
          <w:b/>
          <w:spacing w:val="-5"/>
          <w:sz w:val="20"/>
        </w:rPr>
        <w:t> </w:t>
      </w:r>
      <w:r>
        <w:rPr>
          <w:sz w:val="20"/>
        </w:rPr>
        <w:t>Effekten</w:t>
      </w:r>
      <w:r>
        <w:rPr>
          <w:spacing w:val="-6"/>
          <w:sz w:val="20"/>
        </w:rPr>
        <w:t> </w:t>
      </w:r>
      <w:r>
        <w:rPr>
          <w:sz w:val="20"/>
        </w:rPr>
        <w:t>af</w:t>
      </w:r>
      <w:r>
        <w:rPr>
          <w:spacing w:val="-6"/>
          <w:sz w:val="20"/>
        </w:rPr>
        <w:t> </w:t>
      </w:r>
      <w:r>
        <w:rPr>
          <w:sz w:val="20"/>
        </w:rPr>
        <w:t>de</w:t>
      </w:r>
      <w:r>
        <w:rPr>
          <w:spacing w:val="-5"/>
          <w:sz w:val="20"/>
        </w:rPr>
        <w:t> </w:t>
      </w:r>
      <w:r>
        <w:rPr>
          <w:sz w:val="20"/>
        </w:rPr>
        <w:t>frie</w:t>
      </w:r>
      <w:r>
        <w:rPr>
          <w:spacing w:val="-6"/>
          <w:sz w:val="20"/>
        </w:rPr>
        <w:t> </w:t>
      </w:r>
      <w:r>
        <w:rPr>
          <w:sz w:val="20"/>
        </w:rPr>
        <w:t>geodata</w:t>
      </w:r>
      <w:r>
        <w:rPr>
          <w:spacing w:val="-5"/>
          <w:sz w:val="20"/>
        </w:rPr>
        <w:t> </w:t>
      </w:r>
      <w:r>
        <w:rPr>
          <w:sz w:val="20"/>
        </w:rPr>
        <w:t>for</w:t>
      </w:r>
      <w:r>
        <w:rPr>
          <w:spacing w:val="-6"/>
          <w:sz w:val="20"/>
        </w:rPr>
        <w:t> </w:t>
      </w:r>
      <w:r>
        <w:rPr>
          <w:sz w:val="20"/>
        </w:rPr>
        <w:t>forsyningsselskaberne</w:t>
      </w:r>
      <w:r>
        <w:rPr>
          <w:spacing w:val="-6"/>
          <w:sz w:val="20"/>
        </w:rPr>
        <w:t> </w:t>
      </w:r>
      <w:r>
        <w:rPr>
          <w:sz w:val="20"/>
        </w:rPr>
        <w:t>fremkommer gennem effektivisering af de interne arbejdsgange i</w:t>
      </w:r>
      <w:r>
        <w:rPr>
          <w:spacing w:val="-15"/>
          <w:sz w:val="20"/>
        </w:rPr>
        <w:t> </w:t>
      </w:r>
      <w:r>
        <w:rPr>
          <w:sz w:val="20"/>
        </w:rPr>
        <w:t>forsyningsselskaberne.</w:t>
      </w:r>
    </w:p>
    <w:p>
      <w:pPr>
        <w:pStyle w:val="BodyText"/>
        <w:spacing w:before="1"/>
        <w:rPr>
          <w:sz w:val="21"/>
        </w:rPr>
      </w:pPr>
    </w:p>
    <w:p>
      <w:pPr>
        <w:pStyle w:val="ListParagraph"/>
        <w:numPr>
          <w:ilvl w:val="0"/>
          <w:numId w:val="8"/>
        </w:numPr>
        <w:tabs>
          <w:tab w:pos="999" w:val="left" w:leader="none"/>
        </w:tabs>
        <w:spacing w:line="360" w:lineRule="auto" w:before="0" w:after="0"/>
        <w:ind w:left="998" w:right="1907" w:hanging="360"/>
        <w:jc w:val="both"/>
        <w:rPr>
          <w:sz w:val="20"/>
        </w:rPr>
      </w:pPr>
      <w:r>
        <w:rPr>
          <w:b/>
          <w:sz w:val="20"/>
        </w:rPr>
        <w:t>Offentlige myndigheder: </w:t>
      </w:r>
      <w:r>
        <w:rPr>
          <w:sz w:val="20"/>
        </w:rPr>
        <w:t>Effekten af de frie geodata for de offentlige myndigheder og institutioner</w:t>
      </w:r>
      <w:r>
        <w:rPr>
          <w:spacing w:val="-2"/>
          <w:sz w:val="20"/>
        </w:rPr>
        <w:t> </w:t>
      </w:r>
      <w:r>
        <w:rPr>
          <w:sz w:val="20"/>
        </w:rPr>
        <w:t>fremkommer</w:t>
      </w:r>
      <w:r>
        <w:rPr>
          <w:spacing w:val="-4"/>
          <w:sz w:val="20"/>
        </w:rPr>
        <w:t> </w:t>
      </w:r>
      <w:r>
        <w:rPr>
          <w:sz w:val="20"/>
        </w:rPr>
        <w:t>via</w:t>
      </w:r>
      <w:r>
        <w:rPr>
          <w:spacing w:val="-5"/>
          <w:sz w:val="20"/>
        </w:rPr>
        <w:t> </w:t>
      </w:r>
      <w:r>
        <w:rPr>
          <w:sz w:val="20"/>
        </w:rPr>
        <w:t>myndighedernes</w:t>
      </w:r>
      <w:r>
        <w:rPr>
          <w:spacing w:val="-5"/>
          <w:sz w:val="20"/>
        </w:rPr>
        <w:t> </w:t>
      </w:r>
      <w:r>
        <w:rPr>
          <w:sz w:val="20"/>
        </w:rPr>
        <w:t>anvendelse</w:t>
      </w:r>
      <w:r>
        <w:rPr>
          <w:spacing w:val="-5"/>
          <w:sz w:val="20"/>
        </w:rPr>
        <w:t> </w:t>
      </w:r>
      <w:r>
        <w:rPr>
          <w:sz w:val="20"/>
        </w:rPr>
        <w:t>af</w:t>
      </w:r>
      <w:r>
        <w:rPr>
          <w:spacing w:val="-6"/>
          <w:sz w:val="20"/>
        </w:rPr>
        <w:t> </w:t>
      </w:r>
      <w:r>
        <w:rPr>
          <w:sz w:val="20"/>
        </w:rPr>
        <w:t>geodata</w:t>
      </w:r>
      <w:r>
        <w:rPr>
          <w:spacing w:val="-5"/>
          <w:sz w:val="20"/>
        </w:rPr>
        <w:t> </w:t>
      </w:r>
      <w:r>
        <w:rPr>
          <w:sz w:val="20"/>
        </w:rPr>
        <w:t>i</w:t>
      </w:r>
      <w:r>
        <w:rPr>
          <w:spacing w:val="-3"/>
          <w:sz w:val="20"/>
        </w:rPr>
        <w:t> </w:t>
      </w:r>
      <w:r>
        <w:rPr>
          <w:sz w:val="20"/>
        </w:rPr>
        <w:t>forhold</w:t>
      </w:r>
      <w:r>
        <w:rPr>
          <w:spacing w:val="-5"/>
          <w:sz w:val="20"/>
        </w:rPr>
        <w:t> </w:t>
      </w:r>
      <w:r>
        <w:rPr>
          <w:sz w:val="20"/>
        </w:rPr>
        <w:t>til</w:t>
      </w:r>
      <w:r>
        <w:rPr>
          <w:spacing w:val="-2"/>
          <w:sz w:val="20"/>
        </w:rPr>
        <w:t> </w:t>
      </w:r>
      <w:r>
        <w:rPr>
          <w:sz w:val="20"/>
        </w:rPr>
        <w:t>interne arbejdsprocesser.</w:t>
      </w:r>
    </w:p>
    <w:p>
      <w:pPr>
        <w:spacing w:after="0" w:line="360" w:lineRule="auto"/>
        <w:jc w:val="both"/>
        <w:rPr>
          <w:sz w:val="20"/>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1.300003pt;margin-top:14.1pt;width:472.65pt;height:233.85pt;mso-position-horizontal-relative:page;mso-position-vertical-relative:paragraph;z-index:368;mso-wrap-distance-left:0;mso-wrap-distance-right:0" coordorigin="1426,282" coordsize="9453,4677">
            <v:rect style="position:absolute;left:1426;top:282;width:9453;height:4677" filled="true" fillcolor="#f1f1f1" stroked="false">
              <v:fill type="solid"/>
            </v:rect>
            <v:shape style="position:absolute;left:1426;top:283;width:9420;height:4545" type="#_x0000_t75" stroked="false">
              <v:imagedata r:id="rId11" o:title=""/>
            </v:shape>
            <w10:wrap type="topAndBottom"/>
          </v:group>
        </w:pict>
      </w:r>
      <w:bookmarkStart w:name="_bookmark19" w:id="30"/>
      <w:bookmarkEnd w:id="30"/>
      <w:r>
        <w:rPr/>
      </w:r>
      <w:r>
        <w:rPr>
          <w:i/>
          <w:color w:val="A21F1F"/>
          <w:sz w:val="18"/>
        </w:rPr>
        <w:t>Figur 6: Metode til beregning af den samfundsøkonomiske værdi af geodata</w:t>
      </w:r>
    </w:p>
    <w:p>
      <w:pPr>
        <w:spacing w:line="195" w:lineRule="exact" w:before="0"/>
        <w:ind w:left="278" w:right="0" w:firstLine="0"/>
        <w:jc w:val="left"/>
        <w:rPr>
          <w:i/>
          <w:sz w:val="18"/>
        </w:rPr>
      </w:pPr>
      <w:r>
        <w:rPr>
          <w:b/>
          <w:i/>
          <w:color w:val="A21F1F"/>
          <w:sz w:val="20"/>
        </w:rPr>
        <w:t>Kilde: </w:t>
      </w:r>
      <w:r>
        <w:rPr>
          <w:i/>
          <w:color w:val="A21F1F"/>
          <w:sz w:val="18"/>
        </w:rPr>
        <w:t>Før-måling</w:t>
      </w:r>
    </w:p>
    <w:p>
      <w:pPr>
        <w:pStyle w:val="BodyText"/>
        <w:spacing w:before="2"/>
        <w:rPr>
          <w:i/>
          <w:sz w:val="21"/>
        </w:rPr>
      </w:pPr>
    </w:p>
    <w:p>
      <w:pPr>
        <w:pStyle w:val="BodyText"/>
        <w:spacing w:line="360" w:lineRule="auto"/>
        <w:ind w:left="278" w:right="1024"/>
      </w:pPr>
      <w:r>
        <w:rPr/>
        <w:t>I det første led, jf. ovenstående </w:t>
      </w:r>
      <w:hyperlink w:history="true" w:anchor="_bookmark19">
        <w:r>
          <w:rPr/>
          <w:t>Figur 6, </w:t>
        </w:r>
      </w:hyperlink>
      <w:r>
        <w:rPr/>
        <w:t>kortlægges og opgøres, hvor meget de frie geodata betyder for effektiviseringsgevinsterne for henholdsvis de private virksomheder, forsyningsselskaberne og de offentlige myndigheder.</w:t>
      </w:r>
    </w:p>
    <w:p>
      <w:pPr>
        <w:pStyle w:val="BodyText"/>
        <w:spacing w:before="3"/>
        <w:rPr>
          <w:sz w:val="21"/>
        </w:rPr>
      </w:pPr>
    </w:p>
    <w:p>
      <w:pPr>
        <w:pStyle w:val="BodyText"/>
        <w:spacing w:line="360" w:lineRule="auto"/>
        <w:ind w:left="278" w:right="1030"/>
      </w:pPr>
      <w:r>
        <w:rPr/>
        <w:t>Foruden at skabe effektiviseringsgevinster kan de frie geodata skabe øget omsætning for de private virksomheder. Omsætningen i de private virksomheder, der genereres ud fra produkter og ydelser, hvori der indgår frie geodata, er et udtryk for størrelsen på det marked, som de frie geodata skaber. Derfor bliver omsætningen i private virksomheder i modellen betegnet en markedseffekt. For de offentlige myndigheder er der foruden effektiviseringsgevinsten medtaget en såkaldt produktionseffekt. Produktionseffekten er et udtryk for den produktion, der foregår i den offentlige sektor, hvori der indgår geodata. I modellen anvendes det antal medarbejdere i de offentlige myndigheder, der er kritisk afhængige af geodata i udførelsen af deres arbejdsopgaver, som en indikator for produktionsomfanget. Det er tilfældet, da det ikke er muligt at identificere en markedspris eller omsætning for offentlige ydelser, der baserer sig på de frie geodata. Beregningen af effekterne for de forskellige brugergrupper i beregningsmodellens første led foretages således på forskellige måder.</w:t>
      </w:r>
    </w:p>
    <w:p>
      <w:pPr>
        <w:pStyle w:val="BodyText"/>
        <w:spacing w:before="1"/>
        <w:rPr>
          <w:sz w:val="21"/>
        </w:rPr>
      </w:pPr>
    </w:p>
    <w:p>
      <w:pPr>
        <w:pStyle w:val="BodyText"/>
        <w:spacing w:line="360" w:lineRule="auto"/>
        <w:ind w:left="278" w:right="1052"/>
      </w:pPr>
      <w:r>
        <w:rPr/>
        <w:t>I modellens andet led, jf. </w:t>
      </w:r>
      <w:hyperlink w:history="true" w:anchor="_bookmark19">
        <w:r>
          <w:rPr/>
          <w:t>Figur 6 </w:t>
        </w:r>
      </w:hyperlink>
      <w:r>
        <w:rPr/>
        <w:t>foretages opregning til en samfundsmæssig produktionseffekt af de frie geodata, der kan udtrykkes ved en bruttoværditilvækst for hver af de tre segmenter; private virksomheder, forsyningsselskaber og offentlige myndigheder. I modellens andet led arbejdes der desuden med tre typer effekter - effektiviserings-, markeds- og produktionseffekt. Med de tre effekter antages det, at der er besparelser forbundet med frisættelsen, og til at estimere besparelserne anvendes effektiviseringseffekten. Desuden antages det, at de frie geodata også medfører en værditilvækst i både den private og den offentlige sektor. Til at estimere størrelsen på værditilvæksten anvendes henholdsvis markedseffekten og produktionseffekten.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9"/>
        </w:numPr>
        <w:tabs>
          <w:tab w:pos="998" w:val="left" w:leader="none"/>
          <w:tab w:pos="999" w:val="left" w:leader="none"/>
        </w:tabs>
        <w:spacing w:line="201" w:lineRule="exact" w:before="0" w:after="0"/>
        <w:ind w:left="998" w:right="0" w:hanging="360"/>
        <w:jc w:val="left"/>
        <w:rPr>
          <w:sz w:val="20"/>
        </w:rPr>
      </w:pPr>
      <w:r>
        <w:rPr>
          <w:b/>
          <w:sz w:val="20"/>
        </w:rPr>
        <w:t>Effektiviseringseffekten </w:t>
      </w:r>
      <w:r>
        <w:rPr>
          <w:sz w:val="20"/>
        </w:rPr>
        <w:t>er et udtryk for de besparelser på interne arbejdsprocesser og</w:t>
      </w:r>
      <w:r>
        <w:rPr>
          <w:spacing w:val="-23"/>
          <w:sz w:val="20"/>
        </w:rPr>
        <w:t> </w:t>
      </w:r>
      <w:r>
        <w:rPr>
          <w:sz w:val="20"/>
        </w:rPr>
        <w:t>opgaver,</w:t>
      </w:r>
    </w:p>
    <w:p>
      <w:pPr>
        <w:pStyle w:val="BodyText"/>
        <w:spacing w:line="360" w:lineRule="auto" w:before="116"/>
        <w:ind w:left="998" w:right="1060"/>
      </w:pPr>
      <w:r>
        <w:rPr/>
        <w:t>som private virksomheder, forsyningsselskaber og offentlige myndigheder kan opnå som følge af de frie geodata. Alt andet lige er det antagelsen, at effektiviseringseffekten vil medføre en produktionseffekt i både den private og den offentlige sektor. For de private virksomheder og forsyningsvirksomhederne antages det, at de opnåede gevinster ved besparelserne vil medføre lavere priser på produkter og ydelser. De lavere priser vil bidrage til højere indkomster, medføre øget efterspørgsel og dermed give større produktion. Og for de offentlige myndigheder antages det, at effektiviseringsgevinsterne vil kunne frigive midler, der enten kan udmøntes til andre offentlige opgaver eller øge privatforbruget og produktionen gennem skattereduktion.</w:t>
      </w:r>
    </w:p>
    <w:p>
      <w:pPr>
        <w:pStyle w:val="BodyText"/>
        <w:spacing w:before="10"/>
        <w:rPr>
          <w:sz w:val="29"/>
        </w:rPr>
      </w:pPr>
    </w:p>
    <w:p>
      <w:pPr>
        <w:pStyle w:val="ListParagraph"/>
        <w:numPr>
          <w:ilvl w:val="0"/>
          <w:numId w:val="9"/>
        </w:numPr>
        <w:tabs>
          <w:tab w:pos="998" w:val="left" w:leader="none"/>
          <w:tab w:pos="999" w:val="left" w:leader="none"/>
        </w:tabs>
        <w:spacing w:line="357" w:lineRule="auto" w:before="0" w:after="0"/>
        <w:ind w:left="998" w:right="1121" w:hanging="360"/>
        <w:jc w:val="left"/>
        <w:rPr>
          <w:sz w:val="20"/>
        </w:rPr>
      </w:pPr>
      <w:r>
        <w:rPr>
          <w:b/>
          <w:sz w:val="20"/>
        </w:rPr>
        <w:t>Markedseffekten </w:t>
      </w:r>
      <w:r>
        <w:rPr>
          <w:sz w:val="20"/>
        </w:rPr>
        <w:t>er udtryk for værditilvæksten i den private sektor, der skyldes de frie geodata. Værditilvæksten kan være opstået som følge af udvikling og salg af nye produkter og ydelser, hvori de frie geodata indgår. Til at beregne værditilvæksten bruges forholdet mellem produktionsværdien, der kan tilskrives de frie geodata, og bruttoværditilvæksten i nationalregnskabet.</w:t>
      </w:r>
    </w:p>
    <w:p>
      <w:pPr>
        <w:pStyle w:val="BodyText"/>
        <w:spacing w:before="1"/>
        <w:rPr>
          <w:sz w:val="30"/>
        </w:rPr>
      </w:pPr>
    </w:p>
    <w:p>
      <w:pPr>
        <w:pStyle w:val="ListParagraph"/>
        <w:numPr>
          <w:ilvl w:val="0"/>
          <w:numId w:val="9"/>
        </w:numPr>
        <w:tabs>
          <w:tab w:pos="998" w:val="left" w:leader="none"/>
          <w:tab w:pos="999" w:val="left" w:leader="none"/>
        </w:tabs>
        <w:spacing w:line="357" w:lineRule="auto" w:before="1" w:after="0"/>
        <w:ind w:left="998" w:right="1540" w:hanging="360"/>
        <w:jc w:val="left"/>
        <w:rPr>
          <w:sz w:val="20"/>
        </w:rPr>
      </w:pPr>
      <w:r>
        <w:rPr>
          <w:b/>
          <w:sz w:val="20"/>
        </w:rPr>
        <w:t>Produktionseffekten </w:t>
      </w:r>
      <w:r>
        <w:rPr>
          <w:sz w:val="20"/>
        </w:rPr>
        <w:t>af geodata i offentlige myndigheder kan ligeledes omregnes til en samfundsmæssig produktionseffekt ud fra den gennemsnitlige værditilvækst pr. medarbejder (udtrykt i</w:t>
      </w:r>
      <w:r>
        <w:rPr>
          <w:spacing w:val="-3"/>
          <w:sz w:val="20"/>
        </w:rPr>
        <w:t> </w:t>
      </w:r>
      <w:r>
        <w:rPr>
          <w:sz w:val="20"/>
        </w:rPr>
        <w:t>årsværk).</w:t>
      </w:r>
    </w:p>
    <w:p>
      <w:pPr>
        <w:pStyle w:val="BodyText"/>
        <w:rPr>
          <w:sz w:val="30"/>
        </w:rPr>
      </w:pPr>
    </w:p>
    <w:p>
      <w:pPr>
        <w:pStyle w:val="BodyText"/>
        <w:spacing w:line="360" w:lineRule="auto"/>
        <w:ind w:left="278" w:right="1313"/>
      </w:pPr>
      <w:r>
        <w:rPr/>
        <w:t>Gennem de ovenstående mekanismer opnås der et samlet estimat af den samfundsmæssige produktionseffekt af geodata opgjort i bruttoværditilvækst. Produktionseffekten indgår som et element i den samfundsøkonomiske værdi af geodata.</w:t>
      </w:r>
    </w:p>
    <w:p>
      <w:pPr>
        <w:pStyle w:val="BodyText"/>
        <w:spacing w:before="1"/>
        <w:rPr>
          <w:sz w:val="21"/>
        </w:rPr>
      </w:pPr>
    </w:p>
    <w:p>
      <w:pPr>
        <w:pStyle w:val="BodyText"/>
        <w:spacing w:line="360" w:lineRule="auto"/>
        <w:ind w:left="278" w:right="1126"/>
      </w:pPr>
      <w:r>
        <w:rPr/>
        <w:t>Det andet element, som frisættelsen af geodata giver på samfundsøkonomisk niveau, er velfærdsgevinster. Velfærdsgevinsterne kan fx være bedre miljø eller bedre sundhed for borgerne. De velfærdsmæssige gevinster er dog vanskelige at sætte tal på i en geodata-kontekst, hvorfor der i analysen ikke vil være særskilt fokus på disse. Dog er det væsentligt at bemærke, at de dokumenterede produktionseffekter i denne analyse bliver et udtryk for et minimumsniveau af gevinster, som de frie geodata bibringer på det samfundsøkonomiske plan.</w:t>
      </w:r>
    </w:p>
    <w:p>
      <w:pPr>
        <w:pStyle w:val="BodyText"/>
        <w:spacing w:before="1"/>
        <w:rPr>
          <w:sz w:val="21"/>
        </w:rPr>
      </w:pPr>
    </w:p>
    <w:p>
      <w:pPr>
        <w:pStyle w:val="BodyText"/>
        <w:spacing w:line="360" w:lineRule="auto"/>
        <w:ind w:left="278" w:right="1174"/>
      </w:pPr>
      <w:r>
        <w:rPr/>
        <w:t>Ved at genanvende forandringsteorien og beregningsmodellen kan nærværende eftermåling belyse de umiddelbare effekter af frisættelsen af geodata. Effekterne bliver belyst ud fra de forandringer, som frisættelsen af geodata har betydet, i form af øget omsætning i de private virksomheder samt effektivitets- og priseffekter for slutbrugerne af geodata.</w:t>
      </w:r>
    </w:p>
    <w:p>
      <w:pPr>
        <w:pStyle w:val="BodyText"/>
        <w:rPr>
          <w:sz w:val="21"/>
        </w:rPr>
      </w:pPr>
    </w:p>
    <w:p>
      <w:pPr>
        <w:pStyle w:val="Heading3"/>
        <w:numPr>
          <w:ilvl w:val="2"/>
          <w:numId w:val="7"/>
        </w:numPr>
        <w:tabs>
          <w:tab w:pos="999" w:val="left" w:leader="none"/>
        </w:tabs>
        <w:spacing w:line="240" w:lineRule="auto" w:before="0" w:after="0"/>
        <w:ind w:left="998" w:right="0" w:hanging="720"/>
        <w:jc w:val="left"/>
        <w:rPr>
          <w:i/>
        </w:rPr>
      </w:pPr>
      <w:bookmarkStart w:name="_bookmark20" w:id="31"/>
      <w:bookmarkEnd w:id="31"/>
      <w:r>
        <w:rPr>
          <w:i w:val="0"/>
        </w:rPr>
      </w:r>
      <w:bookmarkStart w:name="_bookmark20" w:id="32"/>
      <w:bookmarkEnd w:id="32"/>
      <w:r>
        <w:rPr>
          <w:i/>
          <w:color w:val="A21F1F"/>
        </w:rPr>
        <w:t>V</w:t>
      </w:r>
      <w:r>
        <w:rPr>
          <w:i/>
          <w:color w:val="A21F1F"/>
        </w:rPr>
        <w:t>ærdikædebetragtning – værdiskabende effekt af</w:t>
      </w:r>
      <w:r>
        <w:rPr>
          <w:i/>
          <w:color w:val="A21F1F"/>
          <w:spacing w:val="-7"/>
        </w:rPr>
        <w:t> </w:t>
      </w:r>
      <w:r>
        <w:rPr>
          <w:i/>
          <w:color w:val="A21F1F"/>
        </w:rPr>
        <w:t>geodata</w:t>
      </w:r>
    </w:p>
    <w:p>
      <w:pPr>
        <w:pStyle w:val="BodyText"/>
        <w:spacing w:line="360" w:lineRule="auto" w:before="243"/>
        <w:ind w:left="278" w:right="1108"/>
      </w:pPr>
      <w:r>
        <w:rPr/>
        <w:t>For at støtte op om resultaterne af de kvantitative effektberegninger, gennemføres i alt tre forskellige case- undersøgelser, som kvalitativt uddyber markedseffekterne og effektiviseringseffekterne ud fra en værdikædebetragtning. Værdikædebetragtningen tager udgangspunkt i en værdikæde, der illustrerer en virksomheds aktiviteter som en kæde, hvor hvert led tillægger produktet eller serviceydelsen værdi for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kunden. Værdikæden er oprindeligt tænkt til produktionsvirksomheder, men kan godt anvendes til at</w:t>
      </w:r>
    </w:p>
    <w:p>
      <w:pPr>
        <w:pStyle w:val="BodyText"/>
        <w:spacing w:line="360" w:lineRule="auto" w:before="114"/>
        <w:ind w:left="278" w:right="1190"/>
      </w:pPr>
      <w:r>
        <w:rPr/>
        <w:t>vurdere værdiskabelsen af de frie geodata i hvert led fra indhentningen af data frem mod slutbrugernes anvendelse af de frie geodata i forskellige løsninger. Alle tre case-undersøgelser belyser anvendelsen af de frie geodata og værdiskabelsen på baggrund heraf i de forskellige led i værdikæden.</w:t>
      </w:r>
    </w:p>
    <w:p>
      <w:pPr>
        <w:pStyle w:val="BodyText"/>
        <w:spacing w:before="1"/>
        <w:rPr>
          <w:sz w:val="21"/>
        </w:rPr>
      </w:pPr>
    </w:p>
    <w:p>
      <w:pPr>
        <w:pStyle w:val="BodyText"/>
        <w:spacing w:line="360" w:lineRule="auto"/>
        <w:ind w:left="278" w:right="1105"/>
      </w:pPr>
      <w:r>
        <w:rPr/>
        <w:t>I case-undersøgelserne indgår for hver af de tre konkrete værdikæder én direkte bruger af de frie geodata via Kortforsyningen (1.-leds-bruger) samt en eller flere af deres aftagere/kunder (mellemleds- og slutbrugere). Målet er at belyse og spore, hvordan geodata forøger sin værdi gennem værdikæderne, hvor data analyseres, kobles til data fra andre domæner eller anvendes i nye, avancerede sammenhænge. Der er skitseret en generisk værdikæde for geodata i nedenstående </w:t>
      </w:r>
      <w:hyperlink w:history="true" w:anchor="_bookmark21">
        <w:r>
          <w:rPr/>
          <w:t>Figur 7.</w:t>
        </w:r>
      </w:hyperlink>
    </w:p>
    <w:p>
      <w:pPr>
        <w:pStyle w:val="BodyText"/>
        <w:rPr>
          <w:sz w:val="21"/>
        </w:rPr>
      </w:pPr>
    </w:p>
    <w:p>
      <w:pPr>
        <w:spacing w:before="0"/>
        <w:ind w:left="278" w:right="0" w:firstLine="0"/>
        <w:jc w:val="left"/>
        <w:rPr>
          <w:i/>
          <w:sz w:val="18"/>
        </w:rPr>
      </w:pPr>
      <w:r>
        <w:rPr/>
        <w:pict>
          <v:group style="position:absolute;margin-left:70.944pt;margin-top:16.422941pt;width:473.35pt;height:127.6pt;mso-position-horizontal-relative:page;mso-position-vertical-relative:paragraph;z-index:440;mso-wrap-distance-left:0;mso-wrap-distance-right:0" coordorigin="1419,328" coordsize="9467,2552">
            <v:rect style="position:absolute;left:1418;top:328;width:9467;height:293" filled="true" fillcolor="#f1f1f1" stroked="false">
              <v:fill type="solid"/>
            </v:rect>
            <v:rect style="position:absolute;left:1426;top:621;width:9453;height:2259" filled="true" fillcolor="#f1f1f1" stroked="false">
              <v:fill type="solid"/>
            </v:rect>
            <v:shape style="position:absolute;left:1441;top:620;width:9416;height:1905" type="#_x0000_t75" stroked="false">
              <v:imagedata r:id="rId15" o:title=""/>
            </v:shape>
            <w10:wrap type="topAndBottom"/>
          </v:group>
        </w:pict>
      </w:r>
      <w:bookmarkStart w:name="_bookmark21" w:id="33"/>
      <w:bookmarkEnd w:id="33"/>
      <w:r>
        <w:rPr/>
      </w:r>
      <w:r>
        <w:rPr>
          <w:i/>
          <w:color w:val="A21F1F"/>
          <w:sz w:val="18"/>
        </w:rPr>
        <w:t>Figur 7: Generisk værdikæde med geodata</w:t>
      </w:r>
    </w:p>
    <w:p>
      <w:pPr>
        <w:pStyle w:val="BodyText"/>
        <w:spacing w:before="7"/>
        <w:rPr>
          <w:i/>
          <w:sz w:val="18"/>
        </w:rPr>
      </w:pPr>
    </w:p>
    <w:p>
      <w:pPr>
        <w:pStyle w:val="BodyText"/>
        <w:spacing w:line="360" w:lineRule="auto" w:before="99"/>
        <w:ind w:left="278" w:right="1724"/>
      </w:pPr>
      <w:r>
        <w:rPr/>
        <w:t>Case-undersøgelserne rapporteres særskilt i form af konkrete værdikæder med angivelse af konkret opnåede effekter for hvert af de enkelte led i værdikæden.</w:t>
      </w:r>
    </w:p>
    <w:p>
      <w:pPr>
        <w:pStyle w:val="BodyText"/>
        <w:spacing w:before="1"/>
        <w:rPr>
          <w:sz w:val="21"/>
        </w:rPr>
      </w:pPr>
    </w:p>
    <w:p>
      <w:pPr>
        <w:pStyle w:val="BodyText"/>
        <w:spacing w:line="360" w:lineRule="auto"/>
        <w:ind w:left="278" w:right="1216"/>
      </w:pPr>
      <w:r>
        <w:rPr/>
        <w:t>Med afsæt i case-udvælgelsen gennemføres interviews med brugere i hele værdikæden. Således suppleres det empiriske grundlag for eftermålingen med data indsamlet fra andre led end 1.-leds-brugere og giver mulighed for at afstive og underbygge resultaterne i den kvantitative analyse.</w:t>
      </w:r>
    </w:p>
    <w:p>
      <w:pPr>
        <w:pStyle w:val="BodyText"/>
        <w:spacing w:before="2"/>
        <w:rPr>
          <w:sz w:val="21"/>
        </w:rPr>
      </w:pPr>
    </w:p>
    <w:p>
      <w:pPr>
        <w:pStyle w:val="BodyText"/>
        <w:spacing w:line="360" w:lineRule="auto"/>
        <w:ind w:left="278" w:right="1307"/>
      </w:pPr>
      <w:r>
        <w:rPr/>
        <w:t>Yderligere metodiske overvejelser om, hvilke data der indgår i analysen, vil blive gennemgået i kapitel 3. Her vil vi stille skarpt på, hvordan data er indsamlet, og på kvaliteten af de indsamlede data.</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2"/>
        </w:numPr>
        <w:tabs>
          <w:tab w:pos="711" w:val="left" w:leader="none"/>
        </w:tabs>
        <w:spacing w:line="595" w:lineRule="exact" w:before="0" w:after="0"/>
        <w:ind w:left="710" w:right="0" w:hanging="432"/>
        <w:jc w:val="left"/>
        <w:rPr>
          <w:b/>
          <w:i/>
          <w:sz w:val="56"/>
        </w:rPr>
      </w:pPr>
      <w:bookmarkStart w:name="_bookmark22" w:id="34"/>
      <w:bookmarkEnd w:id="34"/>
      <w:r>
        <w:rPr/>
      </w:r>
      <w:bookmarkStart w:name="_bookmark22" w:id="35"/>
      <w:bookmarkEnd w:id="35"/>
      <w:r>
        <w:rPr>
          <w:b/>
          <w:i/>
          <w:sz w:val="56"/>
        </w:rPr>
        <w:t>Datai</w:t>
      </w:r>
      <w:r>
        <w:rPr>
          <w:b/>
          <w:i/>
          <w:sz w:val="56"/>
        </w:rPr>
        <w:t>ndsamling og</w:t>
      </w:r>
    </w:p>
    <w:p>
      <w:pPr>
        <w:spacing w:before="0"/>
        <w:ind w:left="710" w:right="0" w:firstLine="0"/>
        <w:jc w:val="left"/>
        <w:rPr>
          <w:b/>
          <w:i/>
          <w:sz w:val="56"/>
        </w:rPr>
      </w:pPr>
      <w:r>
        <w:rPr>
          <w:b/>
          <w:i/>
          <w:sz w:val="56"/>
        </w:rPr>
        <w:t>datakvalitet</w:t>
      </w:r>
    </w:p>
    <w:p>
      <w:pPr>
        <w:pStyle w:val="BodyText"/>
        <w:spacing w:line="360" w:lineRule="auto" w:before="238"/>
        <w:ind w:left="278" w:right="2236"/>
      </w:pPr>
      <w:r>
        <w:rPr/>
        <w:t>Som gennemgået i det foregående kapitel, beror analysen på data indsamlet via en kvantitativ spørgeskemaundersøgelse og en række kvalitative interviews i case-undersøgelserne.</w:t>
      </w:r>
    </w:p>
    <w:p>
      <w:pPr>
        <w:pStyle w:val="BodyText"/>
        <w:spacing w:line="360" w:lineRule="auto"/>
        <w:ind w:left="278" w:right="1182"/>
      </w:pPr>
      <w:r>
        <w:rPr/>
        <w:t>Spørgeskemaundersøgelsen er gennemført pr. 24. oktober 2016, og de kvalitative data er indsamlet ved at gennemføre otte interviews med udvalgte anvendere af geodata, offentlige såvel som private, i perioden oktober-november 2016.</w:t>
      </w:r>
    </w:p>
    <w:p>
      <w:pPr>
        <w:pStyle w:val="BodyText"/>
        <w:spacing w:before="3"/>
        <w:rPr>
          <w:sz w:val="21"/>
        </w:rPr>
      </w:pPr>
    </w:p>
    <w:p>
      <w:pPr>
        <w:pStyle w:val="BodyText"/>
        <w:spacing w:line="360" w:lineRule="auto" w:before="1"/>
        <w:ind w:left="278" w:right="1065"/>
      </w:pPr>
      <w:r>
        <w:rPr/>
        <w:t>Nedenfor vil dataindsamlingsprocessen blive gennemgået, og der vil blive redegjort for datagrundlaget for brugerne af geodata i henholdsvis de private virksomheder og de offentlige myndigheder. Datakvaliteten af de indsamlede data vil ligeledes blive gennemgået og sammenholdt med før-målingens datagrundlag.</w:t>
      </w:r>
    </w:p>
    <w:p>
      <w:pPr>
        <w:pStyle w:val="BodyText"/>
        <w:spacing w:before="11"/>
      </w:pPr>
    </w:p>
    <w:p>
      <w:pPr>
        <w:pStyle w:val="Heading2"/>
        <w:numPr>
          <w:ilvl w:val="1"/>
          <w:numId w:val="2"/>
        </w:numPr>
        <w:tabs>
          <w:tab w:pos="855" w:val="left" w:leader="none"/>
        </w:tabs>
        <w:spacing w:line="240" w:lineRule="auto" w:before="0" w:after="0"/>
        <w:ind w:left="854" w:right="0" w:hanging="576"/>
        <w:jc w:val="left"/>
        <w:rPr>
          <w:i/>
        </w:rPr>
      </w:pPr>
      <w:bookmarkStart w:name="_bookmark23" w:id="36"/>
      <w:bookmarkEnd w:id="36"/>
      <w:r>
        <w:rPr>
          <w:b w:val="0"/>
          <w:i w:val="0"/>
        </w:rPr>
      </w:r>
      <w:bookmarkStart w:name="_bookmark23" w:id="37"/>
      <w:bookmarkEnd w:id="37"/>
      <w:r>
        <w:rPr>
          <w:i/>
          <w:color w:val="A21F1F"/>
        </w:rPr>
        <w:t>K</w:t>
      </w:r>
      <w:r>
        <w:rPr>
          <w:i/>
          <w:color w:val="A21F1F"/>
        </w:rPr>
        <w:t>vantitativ</w:t>
      </w:r>
      <w:r>
        <w:rPr>
          <w:i/>
          <w:color w:val="A21F1F"/>
          <w:spacing w:val="-2"/>
        </w:rPr>
        <w:t> </w:t>
      </w:r>
      <w:r>
        <w:rPr>
          <w:i/>
          <w:color w:val="A21F1F"/>
        </w:rPr>
        <w:t>dataindsamling</w:t>
      </w:r>
    </w:p>
    <w:p>
      <w:pPr>
        <w:pStyle w:val="BodyText"/>
        <w:spacing w:line="360" w:lineRule="auto" w:before="241"/>
        <w:ind w:left="278" w:right="1032"/>
      </w:pPr>
      <w:r>
        <w:rPr/>
        <w:t>Vi har til brug for den kvantitative dataindsamling udarbejdet to forskellige spørgeskemaer – ét til offentlige myndigheder og ét til private virksomheder (inklusive forsyningsselskaber). Undersøgelsen har afdækket respondenternes effekter af de frie data i 2016 (de seneste 12 måneder, dvs. fra november 2015 til oktober 2016). Spørgsmålene i spørgeskemaerne har spurgt eksplicit ind til respondentens oplevede effekter som følge af de frie geodata, men vi kan ikke med sikkerhed sige, at respondenterne ikke også har inkluderet</w:t>
      </w:r>
      <w:r>
        <w:rPr>
          <w:spacing w:val="-5"/>
        </w:rPr>
        <w:t> </w:t>
      </w:r>
      <w:r>
        <w:rPr/>
        <w:t>afledte</w:t>
      </w:r>
      <w:r>
        <w:rPr>
          <w:spacing w:val="-5"/>
        </w:rPr>
        <w:t> </w:t>
      </w:r>
      <w:r>
        <w:rPr/>
        <w:t>effekter</w:t>
      </w:r>
      <w:r>
        <w:rPr>
          <w:spacing w:val="-3"/>
        </w:rPr>
        <w:t> </w:t>
      </w:r>
      <w:r>
        <w:rPr/>
        <w:t>i</w:t>
      </w:r>
      <w:r>
        <w:rPr>
          <w:spacing w:val="-4"/>
        </w:rPr>
        <w:t> </w:t>
      </w:r>
      <w:r>
        <w:rPr/>
        <w:t>deres</w:t>
      </w:r>
      <w:r>
        <w:rPr>
          <w:spacing w:val="-5"/>
        </w:rPr>
        <w:t> </w:t>
      </w:r>
      <w:r>
        <w:rPr/>
        <w:t>besvarelser</w:t>
      </w:r>
      <w:r>
        <w:rPr>
          <w:spacing w:val="-5"/>
        </w:rPr>
        <w:t> </w:t>
      </w:r>
      <w:r>
        <w:rPr/>
        <w:t>som</w:t>
      </w:r>
      <w:r>
        <w:rPr>
          <w:spacing w:val="-3"/>
        </w:rPr>
        <w:t> </w:t>
      </w:r>
      <w:r>
        <w:rPr/>
        <w:t>eks.</w:t>
      </w:r>
      <w:r>
        <w:rPr>
          <w:spacing w:val="-4"/>
        </w:rPr>
        <w:t> </w:t>
      </w:r>
      <w:r>
        <w:rPr/>
        <w:t>gevinster</w:t>
      </w:r>
      <w:r>
        <w:rPr>
          <w:spacing w:val="-5"/>
        </w:rPr>
        <w:t> </w:t>
      </w:r>
      <w:r>
        <w:rPr/>
        <w:t>som</w:t>
      </w:r>
      <w:r>
        <w:rPr>
          <w:spacing w:val="-3"/>
        </w:rPr>
        <w:t> </w:t>
      </w:r>
      <w:r>
        <w:rPr/>
        <w:t>følge</w:t>
      </w:r>
      <w:r>
        <w:rPr>
          <w:spacing w:val="-6"/>
        </w:rPr>
        <w:t> </w:t>
      </w:r>
      <w:r>
        <w:rPr/>
        <w:t>af</w:t>
      </w:r>
      <w:r>
        <w:rPr>
          <w:spacing w:val="-3"/>
        </w:rPr>
        <w:t> </w:t>
      </w:r>
      <w:r>
        <w:rPr/>
        <w:t>mere</w:t>
      </w:r>
      <w:r>
        <w:rPr>
          <w:spacing w:val="-3"/>
        </w:rPr>
        <w:t> </w:t>
      </w:r>
      <w:r>
        <w:rPr/>
        <w:t>målrettede</w:t>
      </w:r>
      <w:r>
        <w:rPr>
          <w:spacing w:val="-5"/>
        </w:rPr>
        <w:t> </w:t>
      </w:r>
      <w:r>
        <w:rPr/>
        <w:t>investeringer i klimatilpasning på baggrund af de frie</w:t>
      </w:r>
      <w:r>
        <w:rPr>
          <w:spacing w:val="-7"/>
        </w:rPr>
        <w:t> </w:t>
      </w:r>
      <w:r>
        <w:rPr/>
        <w:t>geodata.</w:t>
      </w:r>
    </w:p>
    <w:p>
      <w:pPr>
        <w:pStyle w:val="BodyText"/>
        <w:spacing w:before="1"/>
        <w:rPr>
          <w:sz w:val="21"/>
        </w:rPr>
      </w:pPr>
    </w:p>
    <w:p>
      <w:pPr>
        <w:pStyle w:val="BodyText"/>
        <w:spacing w:line="360" w:lineRule="auto"/>
        <w:ind w:left="278" w:right="1055"/>
      </w:pPr>
      <w:r>
        <w:rPr/>
        <w:t>Spørgeskemaerne er i alt blevet distribueret til 1.105 reelle brugere af de frie geodata, hvoraf 691 er brugere fra private virksomheder, og 414 er bruge fra offentlige myndigheder. En ”reel bruger” er defineret som en bruger, der har benyttet adgangen til de frie geodata minimum én gang inden for det seneste år fra undersøgelsestidspunktet. Desuden antages det, at de medtagne brugere bidrager til produktionseffekten, hvorfor brugere, der har oprettet sig som privatpersoner, ikke er medtaget. Brugerne i populationen er identificeret via følgende to kilder:</w:t>
      </w:r>
    </w:p>
    <w:p>
      <w:pPr>
        <w:pStyle w:val="BodyText"/>
        <w:spacing w:before="2"/>
        <w:rPr>
          <w:sz w:val="21"/>
        </w:rPr>
      </w:pPr>
    </w:p>
    <w:p>
      <w:pPr>
        <w:pStyle w:val="ListParagraph"/>
        <w:numPr>
          <w:ilvl w:val="2"/>
          <w:numId w:val="2"/>
        </w:numPr>
        <w:tabs>
          <w:tab w:pos="991" w:val="left" w:leader="none"/>
          <w:tab w:pos="992" w:val="left" w:leader="none"/>
        </w:tabs>
        <w:spacing w:line="240" w:lineRule="auto" w:before="0" w:after="0"/>
        <w:ind w:left="991" w:right="0" w:hanging="355"/>
        <w:jc w:val="left"/>
        <w:rPr>
          <w:sz w:val="20"/>
        </w:rPr>
      </w:pPr>
      <w:r>
        <w:rPr>
          <w:sz w:val="20"/>
        </w:rPr>
        <w:t>Dataudtræk over alle registrerede virksomhedsbrugere og offentlige brugere af kortforsyningen</w:t>
      </w:r>
      <w:r>
        <w:rPr>
          <w:spacing w:val="-15"/>
          <w:sz w:val="20"/>
        </w:rPr>
        <w:t> </w:t>
      </w:r>
      <w:r>
        <w:rPr>
          <w:sz w:val="20"/>
        </w:rPr>
        <w:t>pr.</w:t>
      </w:r>
    </w:p>
    <w:p>
      <w:pPr>
        <w:pStyle w:val="BodyText"/>
        <w:spacing w:before="114"/>
        <w:ind w:left="991"/>
      </w:pPr>
      <w:r>
        <w:rPr/>
        <w:t>1. september 2016</w:t>
      </w:r>
    </w:p>
    <w:p>
      <w:pPr>
        <w:pStyle w:val="ListParagraph"/>
        <w:numPr>
          <w:ilvl w:val="2"/>
          <w:numId w:val="2"/>
        </w:numPr>
        <w:tabs>
          <w:tab w:pos="998" w:val="left" w:leader="none"/>
          <w:tab w:pos="999" w:val="left" w:leader="none"/>
        </w:tabs>
        <w:spacing w:line="240" w:lineRule="auto" w:before="113" w:after="0"/>
        <w:ind w:left="998" w:right="0" w:hanging="360"/>
        <w:jc w:val="left"/>
        <w:rPr>
          <w:sz w:val="20"/>
        </w:rPr>
      </w:pPr>
      <w:r>
        <w:rPr>
          <w:sz w:val="20"/>
        </w:rPr>
        <w:t>Geoforums</w:t>
      </w:r>
      <w:r>
        <w:rPr>
          <w:spacing w:val="1"/>
          <w:sz w:val="20"/>
        </w:rPr>
        <w:t> </w:t>
      </w:r>
      <w:r>
        <w:rPr>
          <w:sz w:val="20"/>
        </w:rPr>
        <w:t>medlemsliste.</w:t>
      </w:r>
    </w:p>
    <w:p>
      <w:pPr>
        <w:pStyle w:val="BodyText"/>
        <w:spacing w:before="1"/>
        <w:rPr>
          <w:sz w:val="31"/>
        </w:rPr>
      </w:pPr>
    </w:p>
    <w:p>
      <w:pPr>
        <w:pStyle w:val="BodyText"/>
        <w:spacing w:line="360" w:lineRule="auto"/>
        <w:ind w:left="278" w:right="1790"/>
      </w:pPr>
      <w:r>
        <w:rPr/>
        <w:t>I dannelsen af populationen har PwC samlet de to datakilder og efterfølgende renset datasættet for dubletter og ikke-reelle brugere.</w:t>
      </w:r>
    </w:p>
    <w:p>
      <w:pPr>
        <w:pStyle w:val="BodyText"/>
        <w:spacing w:before="1"/>
        <w:rPr>
          <w:sz w:val="21"/>
        </w:rPr>
      </w:pPr>
    </w:p>
    <w:p>
      <w:pPr>
        <w:pStyle w:val="BodyText"/>
        <w:spacing w:line="360" w:lineRule="auto" w:before="1"/>
        <w:ind w:left="278" w:right="1195"/>
      </w:pPr>
      <w:r>
        <w:rPr/>
        <w:t>Til at distribuere spørgeskemaerne har vi anvendt dataindsamlingsværktøjet Qualtrics. Spørgeskemaerne til henholdsvis de private og de offentlige brugere er blevet distribueret gennem Qualtrics’ distribueringsværktøj via et personligt link, der er sendt til brugernes e-mailadresser.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 at sikre en høj svarprocent er der i løbet af svarperioden blevet sendt to påmindelsesmails ud til de</w:t>
      </w:r>
    </w:p>
    <w:p>
      <w:pPr>
        <w:pStyle w:val="BodyText"/>
        <w:spacing w:line="360" w:lineRule="auto" w:before="114"/>
        <w:ind w:left="278" w:right="1344"/>
      </w:pPr>
      <w:r>
        <w:rPr/>
        <w:t>respondenter, der endnu ikke havde deltaget i spørgeskemaundersøgelsen. Ligeledes er der foretaget en telefonisk opfølgning i slutningen af svarperioden, hvor fokus har været at kontakte de anvendere, der løbende og i høj grad henter de frie geodata, med henblik på at sikre deres deltagelse i spørgeskemaundersøgelsen.</w:t>
      </w:r>
    </w:p>
    <w:p>
      <w:pPr>
        <w:pStyle w:val="BodyText"/>
        <w:spacing w:before="1"/>
        <w:rPr>
          <w:sz w:val="21"/>
        </w:rPr>
      </w:pPr>
    </w:p>
    <w:p>
      <w:pPr>
        <w:pStyle w:val="BodyText"/>
        <w:spacing w:line="360" w:lineRule="auto"/>
        <w:ind w:left="278" w:right="1151"/>
      </w:pPr>
      <w:r>
        <w:rPr/>
        <w:t>Alle gennemførte besvarelser er som udgangspunkt blevet medtaget som brugbare besvarelser i undersøgelsen og indgår derfor i den videre analyse. Der er også modtaget besvarede spørgeskemaer, som ikke nødvendigvis er komplette. De besvarelser, som ikke er komplette, er medtaget i analysen, såfremt mindst ét af de spørgsmål i spørgeskemaundersøgelsen, der indgår i beregningsmodellen, er besvaret.</w:t>
      </w:r>
    </w:p>
    <w:p>
      <w:pPr>
        <w:pStyle w:val="BodyText"/>
        <w:spacing w:before="1"/>
        <w:rPr>
          <w:sz w:val="21"/>
        </w:rPr>
      </w:pPr>
    </w:p>
    <w:p>
      <w:pPr>
        <w:pStyle w:val="BodyText"/>
        <w:spacing w:line="360" w:lineRule="auto"/>
        <w:ind w:left="278" w:right="1232"/>
      </w:pPr>
      <w:r>
        <w:rPr/>
        <w:t>Endelig er besvarelserne fra offentlige myndigheder blevet logisk valideret i den henseende, at der kun er medtaget besvarelser i den videre analyse, der overholder følgende:</w:t>
      </w:r>
    </w:p>
    <w:p>
      <w:pPr>
        <w:pStyle w:val="BodyText"/>
        <w:spacing w:before="1"/>
        <w:rPr>
          <w:sz w:val="21"/>
        </w:rPr>
      </w:pPr>
    </w:p>
    <w:p>
      <w:pPr>
        <w:pStyle w:val="ListParagraph"/>
        <w:numPr>
          <w:ilvl w:val="0"/>
          <w:numId w:val="10"/>
        </w:numPr>
        <w:tabs>
          <w:tab w:pos="998" w:val="left" w:leader="none"/>
          <w:tab w:pos="999" w:val="left" w:leader="none"/>
        </w:tabs>
        <w:spacing w:line="357" w:lineRule="auto" w:before="0" w:after="0"/>
        <w:ind w:left="998" w:right="1410" w:hanging="360"/>
        <w:jc w:val="left"/>
        <w:rPr>
          <w:sz w:val="20"/>
        </w:rPr>
      </w:pPr>
      <w:r>
        <w:rPr>
          <w:sz w:val="20"/>
        </w:rPr>
        <w:t>Det</w:t>
      </w:r>
      <w:r>
        <w:rPr>
          <w:spacing w:val="-3"/>
          <w:sz w:val="20"/>
        </w:rPr>
        <w:t> </w:t>
      </w:r>
      <w:r>
        <w:rPr>
          <w:sz w:val="20"/>
        </w:rPr>
        <w:t>angivne</w:t>
      </w:r>
      <w:r>
        <w:rPr>
          <w:spacing w:val="-3"/>
          <w:sz w:val="20"/>
        </w:rPr>
        <w:t> </w:t>
      </w:r>
      <w:r>
        <w:rPr>
          <w:sz w:val="20"/>
        </w:rPr>
        <w:t>antal</w:t>
      </w:r>
      <w:r>
        <w:rPr>
          <w:spacing w:val="-2"/>
          <w:sz w:val="20"/>
        </w:rPr>
        <w:t> </w:t>
      </w:r>
      <w:r>
        <w:rPr>
          <w:sz w:val="20"/>
        </w:rPr>
        <w:t>årsværk</w:t>
      </w:r>
      <w:r>
        <w:rPr>
          <w:spacing w:val="-2"/>
          <w:sz w:val="20"/>
        </w:rPr>
        <w:t> </w:t>
      </w:r>
      <w:r>
        <w:rPr>
          <w:sz w:val="20"/>
        </w:rPr>
        <w:t>i</w:t>
      </w:r>
      <w:r>
        <w:rPr>
          <w:spacing w:val="-2"/>
          <w:sz w:val="20"/>
        </w:rPr>
        <w:t> </w:t>
      </w:r>
      <w:r>
        <w:rPr>
          <w:sz w:val="20"/>
        </w:rPr>
        <w:t>myndigheden</w:t>
      </w:r>
      <w:r>
        <w:rPr>
          <w:spacing w:val="-3"/>
          <w:sz w:val="20"/>
        </w:rPr>
        <w:t> </w:t>
      </w:r>
      <w:r>
        <w:rPr>
          <w:sz w:val="20"/>
        </w:rPr>
        <w:t>&gt;</w:t>
      </w:r>
      <w:r>
        <w:rPr>
          <w:spacing w:val="-4"/>
          <w:sz w:val="20"/>
        </w:rPr>
        <w:t> </w:t>
      </w:r>
      <w:r>
        <w:rPr>
          <w:sz w:val="20"/>
        </w:rPr>
        <w:t>det</w:t>
      </w:r>
      <w:r>
        <w:rPr>
          <w:spacing w:val="-2"/>
          <w:sz w:val="20"/>
        </w:rPr>
        <w:t> </w:t>
      </w:r>
      <w:r>
        <w:rPr>
          <w:sz w:val="20"/>
        </w:rPr>
        <w:t>angivne</w:t>
      </w:r>
      <w:r>
        <w:rPr>
          <w:spacing w:val="-3"/>
          <w:sz w:val="20"/>
        </w:rPr>
        <w:t> </w:t>
      </w:r>
      <w:r>
        <w:rPr>
          <w:sz w:val="20"/>
        </w:rPr>
        <w:t>antal</w:t>
      </w:r>
      <w:r>
        <w:rPr>
          <w:spacing w:val="-3"/>
          <w:sz w:val="20"/>
        </w:rPr>
        <w:t> </w:t>
      </w:r>
      <w:r>
        <w:rPr>
          <w:sz w:val="20"/>
        </w:rPr>
        <w:t>årsværk,</w:t>
      </w:r>
      <w:r>
        <w:rPr>
          <w:spacing w:val="-4"/>
          <w:sz w:val="20"/>
        </w:rPr>
        <w:t> </w:t>
      </w:r>
      <w:r>
        <w:rPr>
          <w:sz w:val="20"/>
        </w:rPr>
        <w:t>der</w:t>
      </w:r>
      <w:r>
        <w:rPr>
          <w:spacing w:val="-1"/>
          <w:sz w:val="20"/>
        </w:rPr>
        <w:t> </w:t>
      </w:r>
      <w:r>
        <w:rPr>
          <w:sz w:val="20"/>
        </w:rPr>
        <w:t>beskæftiger</w:t>
      </w:r>
      <w:r>
        <w:rPr>
          <w:spacing w:val="-3"/>
          <w:sz w:val="20"/>
        </w:rPr>
        <w:t> </w:t>
      </w:r>
      <w:r>
        <w:rPr>
          <w:sz w:val="20"/>
        </w:rPr>
        <w:t>sig</w:t>
      </w:r>
      <w:r>
        <w:rPr>
          <w:spacing w:val="-2"/>
          <w:sz w:val="20"/>
        </w:rPr>
        <w:t> </w:t>
      </w:r>
      <w:r>
        <w:rPr>
          <w:sz w:val="20"/>
        </w:rPr>
        <w:t>med geodata &gt; det angivne antal årsværk, der er kritisk afhængige af geodata i deres daglige opgavevaretagelse.</w:t>
      </w:r>
    </w:p>
    <w:p>
      <w:pPr>
        <w:pStyle w:val="BodyText"/>
        <w:spacing w:before="1"/>
        <w:rPr>
          <w:sz w:val="21"/>
        </w:rPr>
      </w:pPr>
    </w:p>
    <w:p>
      <w:pPr>
        <w:pStyle w:val="BodyText"/>
        <w:spacing w:line="360" w:lineRule="auto"/>
        <w:ind w:left="278" w:right="1446"/>
      </w:pPr>
      <w:r>
        <w:rPr/>
        <w:t>Den logiske validering bevirker altså, at besvarelser, der ikke overholder ovenstående, er frasorteret og derfor ikke indgår i den videre analyse.</w:t>
      </w:r>
    </w:p>
    <w:p>
      <w:pPr>
        <w:pStyle w:val="BodyText"/>
        <w:spacing w:before="11"/>
      </w:pPr>
    </w:p>
    <w:p>
      <w:pPr>
        <w:pStyle w:val="Heading3"/>
        <w:numPr>
          <w:ilvl w:val="2"/>
          <w:numId w:val="11"/>
        </w:numPr>
        <w:tabs>
          <w:tab w:pos="999" w:val="left" w:leader="none"/>
        </w:tabs>
        <w:spacing w:line="240" w:lineRule="auto" w:before="0" w:after="0"/>
        <w:ind w:left="998" w:right="3286" w:hanging="720"/>
        <w:jc w:val="left"/>
      </w:pPr>
      <w:bookmarkStart w:name="_bookmark24" w:id="38"/>
      <w:bookmarkEnd w:id="38"/>
      <w:r>
        <w:rPr>
          <w:i w:val="0"/>
        </w:rPr>
      </w:r>
      <w:bookmarkStart w:name="_bookmark24" w:id="39"/>
      <w:bookmarkEnd w:id="39"/>
      <w:r>
        <w:rPr>
          <w:i/>
          <w:color w:val="A21F1F"/>
        </w:rPr>
        <w:t>Dataind</w:t>
      </w:r>
      <w:r>
        <w:rPr>
          <w:i/>
          <w:color w:val="A21F1F"/>
        </w:rPr>
        <w:t>samling fra private virksomheder og </w:t>
      </w:r>
      <w:r>
        <w:rPr>
          <w:color w:val="A21F1F"/>
        </w:rPr>
        <w:t>forsyningsselskaber</w:t>
      </w:r>
    </w:p>
    <w:p>
      <w:pPr>
        <w:pStyle w:val="BodyText"/>
        <w:spacing w:line="360" w:lineRule="auto" w:before="242"/>
        <w:ind w:left="278" w:right="1022"/>
      </w:pPr>
      <w:r>
        <w:rPr/>
        <w:t>Der er udsendt identiske spørgeskemaer til de private virksomheder og forsyningsselskaberne. I alt har 338 private virksomheder, inklusive forsyningsselskaber, valgt at deltaget i spørgeskemaundersøgelsen. Af de 338 modtagne besvarelser betragtes 155 som brugbare, hvorfor de indgår i den videre analyse, og stikprøvestørrelsen udgør således en svarprocent på 22 procent for de private virksomheder, inklusive forsyningsselskaberne.</w:t>
      </w:r>
    </w:p>
    <w:p>
      <w:pPr>
        <w:pStyle w:val="BodyText"/>
        <w:spacing w:before="1"/>
        <w:rPr>
          <w:sz w:val="21"/>
        </w:rPr>
      </w:pPr>
    </w:p>
    <w:p>
      <w:pPr>
        <w:pStyle w:val="BodyText"/>
        <w:spacing w:line="360" w:lineRule="auto" w:before="1"/>
        <w:ind w:left="278" w:right="1373"/>
      </w:pPr>
      <w:r>
        <w:rPr/>
        <w:t>I </w:t>
      </w:r>
      <w:hyperlink w:history="true" w:anchor="_bookmark25">
        <w:r>
          <w:rPr/>
          <w:t>Figur 8 </w:t>
        </w:r>
      </w:hyperlink>
      <w:r>
        <w:rPr/>
        <w:t>nedenfor vises antallet af reelle brugere i populationen sammenholdt med antal besvarelser i stikprøven. De er begge opdelt på de datakilder, Geoforum og Kortforsyningens medlemsdatabase, som brugerne er identificeret ud fra.</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900002pt;margin-top:14.15pt;width:473.1pt;height:248.4pt;mso-position-horizontal-relative:page;mso-position-vertical-relative:paragraph;z-index:3088" coordorigin="1418,283" coordsize="9462,4968">
            <v:rect style="position:absolute;left:1418;top:283;width:9462;height:4968" filled="true" fillcolor="#f1f1f1" stroked="false">
              <v:fill type="solid"/>
            </v:rect>
            <v:rect style="position:absolute;left:3674;top:3848;width:1644;height:516" filled="true" fillcolor="#901b1b" stroked="false">
              <v:fill type="solid"/>
            </v:rect>
            <v:rect style="position:absolute;left:7783;top:4256;width:1644;height:108" filled="true" fillcolor="#901b1b" stroked="false">
              <v:fill type="solid"/>
            </v:rect>
            <v:shape style="position:absolute;left:3674;top:1028;width:5753;height:3228" coordorigin="3674,1028" coordsize="5753,3228" path="m5318,1028l3674,1028,3674,3848,5318,3848,5318,1028m9427,3616l7783,3616,7783,4256,9427,4256,9427,3616e" filled="true" fillcolor="#bd8686" stroked="false">
              <v:path arrowok="t"/>
              <v:fill type="solid"/>
            </v:shape>
            <v:line style="position:absolute" from="2441,4364" to="2441,503" stroked="true" strokeweight=".75pt" strokecolor="#bebebe">
              <v:stroke dashstyle="solid"/>
            </v:line>
            <v:line style="position:absolute" from="2441,4364" to="10660,4364" stroked="true" strokeweight=".75pt" strokecolor="#d9d9d9">
              <v:stroke dashstyle="solid"/>
            </v:line>
            <v:rect style="position:absolute;left:3821;top:4923;width:93;height:93" filled="true" fillcolor="#901b1b" stroked="false">
              <v:fill type="solid"/>
            </v:rect>
            <v:rect style="position:absolute;left:5756;top:4923;width:93;height:93" filled="true" fillcolor="#bd8686" stroked="false">
              <v:fill type="solid"/>
            </v:rect>
            <v:shape style="position:absolute;left:5887;top:4862;width:2679;height:205" type="#_x0000_t202" filled="false" stroked="false">
              <v:textbox inset="0,0,0,0">
                <w:txbxContent>
                  <w:p>
                    <w:pPr>
                      <w:spacing w:before="0"/>
                      <w:ind w:left="0" w:right="0" w:firstLine="0"/>
                      <w:jc w:val="left"/>
                      <w:rPr>
                        <w:sz w:val="18"/>
                      </w:rPr>
                    </w:pPr>
                    <w:r>
                      <w:rPr>
                        <w:color w:val="585858"/>
                        <w:sz w:val="18"/>
                      </w:rPr>
                      <w:t>Kortforsynings medlemsdatabase</w:t>
                    </w:r>
                  </w:p>
                </w:txbxContent>
              </v:textbox>
              <w10:wrap type="none"/>
            </v:shape>
            <v:shape style="position:absolute;left:3952;top:4862;width:1472;height:205" type="#_x0000_t202" filled="false" stroked="false">
              <v:textbox inset="0,0,0,0">
                <w:txbxContent>
                  <w:p>
                    <w:pPr>
                      <w:spacing w:before="0"/>
                      <w:ind w:left="0" w:right="0" w:firstLine="0"/>
                      <w:jc w:val="left"/>
                      <w:rPr>
                        <w:sz w:val="18"/>
                      </w:rPr>
                    </w:pPr>
                    <w:r>
                      <w:rPr>
                        <w:color w:val="585858"/>
                        <w:sz w:val="18"/>
                      </w:rPr>
                      <w:t>Geoforummedlem</w:t>
                    </w:r>
                  </w:p>
                </w:txbxContent>
              </v:textbox>
              <w10:wrap type="none"/>
            </v:shape>
            <v:shape style="position:absolute;left:8225;top:3835;width:782;height:845" type="#_x0000_t202" filled="false" stroked="false">
              <v:textbox inset="0,0,0,0">
                <w:txbxContent>
                  <w:p>
                    <w:pPr>
                      <w:spacing w:before="0"/>
                      <w:ind w:left="1" w:right="18" w:firstLine="0"/>
                      <w:jc w:val="center"/>
                      <w:rPr>
                        <w:sz w:val="18"/>
                      </w:rPr>
                    </w:pPr>
                    <w:r>
                      <w:rPr>
                        <w:color w:val="FFFFFF"/>
                        <w:sz w:val="18"/>
                      </w:rPr>
                      <w:t>86%</w:t>
                    </w:r>
                  </w:p>
                  <w:p>
                    <w:pPr>
                      <w:spacing w:before="137"/>
                      <w:ind w:left="25" w:right="18" w:firstLine="0"/>
                      <w:jc w:val="center"/>
                      <w:rPr>
                        <w:sz w:val="18"/>
                      </w:rPr>
                    </w:pPr>
                    <w:r>
                      <w:rPr>
                        <w:color w:val="FFFFFF"/>
                        <w:sz w:val="18"/>
                      </w:rPr>
                      <w:t>14%</w:t>
                    </w:r>
                  </w:p>
                  <w:p>
                    <w:pPr>
                      <w:spacing w:before="93"/>
                      <w:ind w:left="0" w:right="18" w:firstLine="0"/>
                      <w:jc w:val="center"/>
                      <w:rPr>
                        <w:sz w:val="18"/>
                      </w:rPr>
                    </w:pPr>
                    <w:r>
                      <w:rPr>
                        <w:color w:val="585858"/>
                        <w:sz w:val="18"/>
                      </w:rPr>
                      <w:t>Stikprøve</w:t>
                    </w:r>
                  </w:p>
                </w:txbxContent>
              </v:textbox>
              <w10:wrap type="none"/>
            </v:shape>
            <v:shape style="position:absolute;left:4059;top:4475;width:894;height:205" type="#_x0000_t202" filled="false" stroked="false">
              <v:textbox inset="0,0,0,0">
                <w:txbxContent>
                  <w:p>
                    <w:pPr>
                      <w:spacing w:before="0"/>
                      <w:ind w:left="0" w:right="0" w:firstLine="0"/>
                      <w:jc w:val="left"/>
                      <w:rPr>
                        <w:sz w:val="18"/>
                      </w:rPr>
                    </w:pPr>
                    <w:r>
                      <w:rPr>
                        <w:color w:val="585858"/>
                        <w:sz w:val="18"/>
                      </w:rPr>
                      <w:t>Population</w:t>
                    </w:r>
                  </w:p>
                </w:txbxContent>
              </v:textbox>
              <w10:wrap type="none"/>
            </v:shape>
            <v:shape style="position:absolute;left:2173;top:4256;width:131;height:205" type="#_x0000_t202" filled="false" stroked="false">
              <v:textbox inset="0,0,0,0">
                <w:txbxContent>
                  <w:p>
                    <w:pPr>
                      <w:spacing w:before="0"/>
                      <w:ind w:left="0" w:right="0" w:firstLine="0"/>
                      <w:jc w:val="left"/>
                      <w:rPr>
                        <w:sz w:val="18"/>
                      </w:rPr>
                    </w:pPr>
                    <w:r>
                      <w:rPr>
                        <w:color w:val="585858"/>
                        <w:sz w:val="18"/>
                        <w:shd w:fill="FFFFFF" w:color="auto" w:val="clear"/>
                      </w:rPr>
                      <w:t>0</w:t>
                    </w:r>
                  </w:p>
                </w:txbxContent>
              </v:textbox>
              <w10:wrap type="none"/>
            </v:shape>
            <v:shape style="position:absolute;left:4337;top:4004;width:340;height:205" type="#_x0000_t202" filled="false" stroked="false">
              <v:textbox inset="0,0,0,0">
                <w:txbxContent>
                  <w:p>
                    <w:pPr>
                      <w:spacing w:before="0"/>
                      <w:ind w:left="0" w:right="0" w:firstLine="0"/>
                      <w:jc w:val="left"/>
                      <w:rPr>
                        <w:sz w:val="18"/>
                      </w:rPr>
                    </w:pPr>
                    <w:r>
                      <w:rPr>
                        <w:color w:val="FFFFFF"/>
                        <w:sz w:val="18"/>
                      </w:rPr>
                      <w:t>15%</w:t>
                    </w:r>
                  </w:p>
                </w:txbxContent>
              </v:textbox>
              <w10:wrap type="none"/>
            </v:shape>
            <v:shape style="position:absolute;left:1962;top:2808;width:342;height:1170" type="#_x0000_t202" filled="false" stroked="false">
              <v:textbox inset="0,0,0,0">
                <w:txbxContent>
                  <w:p>
                    <w:pPr>
                      <w:spacing w:before="0"/>
                      <w:ind w:left="1" w:right="0" w:firstLine="0"/>
                      <w:jc w:val="left"/>
                      <w:rPr>
                        <w:sz w:val="18"/>
                      </w:rPr>
                    </w:pPr>
                    <w:r>
                      <w:rPr>
                        <w:color w:val="585858"/>
                        <w:sz w:val="18"/>
                        <w:shd w:fill="FFFFFF" w:color="auto" w:val="clear"/>
                      </w:rPr>
                      <w:t>300</w:t>
                    </w:r>
                  </w:p>
                  <w:p>
                    <w:pPr>
                      <w:spacing w:line="240" w:lineRule="auto" w:before="5"/>
                      <w:rPr>
                        <w:sz w:val="24"/>
                      </w:rPr>
                    </w:pPr>
                  </w:p>
                  <w:p>
                    <w:pPr>
                      <w:spacing w:before="0"/>
                      <w:ind w:left="0" w:right="0" w:firstLine="0"/>
                      <w:jc w:val="left"/>
                      <w:rPr>
                        <w:sz w:val="18"/>
                      </w:rPr>
                    </w:pPr>
                    <w:r>
                      <w:rPr>
                        <w:color w:val="585858"/>
                        <w:sz w:val="18"/>
                        <w:shd w:fill="FFFFFF" w:color="auto" w:val="clear"/>
                      </w:rPr>
                      <w:t>200</w:t>
                    </w:r>
                  </w:p>
                  <w:p>
                    <w:pPr>
                      <w:spacing w:line="240" w:lineRule="auto" w:before="5"/>
                      <w:rPr>
                        <w:sz w:val="24"/>
                      </w:rPr>
                    </w:pPr>
                  </w:p>
                  <w:p>
                    <w:pPr>
                      <w:spacing w:before="1"/>
                      <w:ind w:left="23" w:right="0" w:firstLine="0"/>
                      <w:jc w:val="left"/>
                      <w:rPr>
                        <w:sz w:val="18"/>
                      </w:rPr>
                    </w:pPr>
                    <w:r>
                      <w:rPr>
                        <w:color w:val="585858"/>
                        <w:sz w:val="18"/>
                        <w:shd w:fill="FFFFFF" w:color="auto" w:val="clear"/>
                      </w:rPr>
                      <w:t>100</w:t>
                    </w:r>
                  </w:p>
                </w:txbxContent>
              </v:textbox>
              <w10:wrap type="none"/>
            </v:shape>
            <v:shape style="position:absolute;left:4320;top:2336;width:371;height:205" type="#_x0000_t202" filled="false" stroked="false">
              <v:textbox inset="0,0,0,0">
                <w:txbxContent>
                  <w:p>
                    <w:pPr>
                      <w:spacing w:before="0"/>
                      <w:ind w:left="0" w:right="0" w:firstLine="0"/>
                      <w:jc w:val="left"/>
                      <w:rPr>
                        <w:sz w:val="18"/>
                      </w:rPr>
                    </w:pPr>
                    <w:r>
                      <w:rPr>
                        <w:color w:val="FFFFFF"/>
                        <w:sz w:val="18"/>
                      </w:rPr>
                      <w:t>85%</w:t>
                    </w:r>
                  </w:p>
                </w:txbxContent>
              </v:textbox>
              <w10:wrap type="none"/>
            </v:shape>
            <v:shape style="position:absolute;left:1955;top:395;width:350;height:2136" type="#_x0000_t202" filled="false" stroked="false">
              <v:textbox inset="0,0,0,0">
                <w:txbxContent>
                  <w:p>
                    <w:pPr>
                      <w:spacing w:before="0"/>
                      <w:ind w:left="0" w:right="0" w:firstLine="0"/>
                      <w:jc w:val="left"/>
                      <w:rPr>
                        <w:sz w:val="18"/>
                      </w:rPr>
                    </w:pPr>
                    <w:r>
                      <w:rPr>
                        <w:color w:val="585858"/>
                        <w:sz w:val="18"/>
                        <w:shd w:fill="FFFFFF" w:color="auto" w:val="clear"/>
                      </w:rPr>
                      <w:t>800</w:t>
                    </w:r>
                  </w:p>
                  <w:p>
                    <w:pPr>
                      <w:spacing w:line="240" w:lineRule="auto" w:before="5"/>
                      <w:rPr>
                        <w:sz w:val="24"/>
                      </w:rPr>
                    </w:pPr>
                  </w:p>
                  <w:p>
                    <w:pPr>
                      <w:spacing w:before="0"/>
                      <w:ind w:left="16" w:right="0" w:firstLine="0"/>
                      <w:jc w:val="left"/>
                      <w:rPr>
                        <w:sz w:val="18"/>
                      </w:rPr>
                    </w:pPr>
                    <w:r>
                      <w:rPr>
                        <w:color w:val="585858"/>
                        <w:sz w:val="18"/>
                        <w:shd w:fill="FFFFFF" w:color="auto" w:val="clear"/>
                      </w:rPr>
                      <w:t>700</w:t>
                    </w:r>
                  </w:p>
                  <w:p>
                    <w:pPr>
                      <w:spacing w:line="240" w:lineRule="auto" w:before="5"/>
                      <w:rPr>
                        <w:sz w:val="24"/>
                      </w:rPr>
                    </w:pPr>
                  </w:p>
                  <w:p>
                    <w:pPr>
                      <w:spacing w:before="0"/>
                      <w:ind w:left="5" w:right="0" w:firstLine="0"/>
                      <w:jc w:val="left"/>
                      <w:rPr>
                        <w:sz w:val="18"/>
                      </w:rPr>
                    </w:pPr>
                    <w:r>
                      <w:rPr>
                        <w:color w:val="585858"/>
                        <w:sz w:val="18"/>
                        <w:shd w:fill="FFFFFF" w:color="auto" w:val="clear"/>
                      </w:rPr>
                      <w:t>600</w:t>
                    </w:r>
                  </w:p>
                  <w:p>
                    <w:pPr>
                      <w:spacing w:line="240" w:lineRule="auto" w:before="6"/>
                      <w:rPr>
                        <w:sz w:val="24"/>
                      </w:rPr>
                    </w:pPr>
                  </w:p>
                  <w:p>
                    <w:pPr>
                      <w:spacing w:before="0"/>
                      <w:ind w:left="12" w:right="0" w:firstLine="0"/>
                      <w:jc w:val="left"/>
                      <w:rPr>
                        <w:sz w:val="18"/>
                      </w:rPr>
                    </w:pPr>
                    <w:r>
                      <w:rPr>
                        <w:color w:val="585858"/>
                        <w:sz w:val="18"/>
                        <w:shd w:fill="FFFFFF" w:color="auto" w:val="clear"/>
                      </w:rPr>
                      <w:t>500</w:t>
                    </w:r>
                  </w:p>
                  <w:p>
                    <w:pPr>
                      <w:spacing w:line="240" w:lineRule="auto" w:before="5"/>
                      <w:rPr>
                        <w:sz w:val="24"/>
                      </w:rPr>
                    </w:pPr>
                  </w:p>
                  <w:p>
                    <w:pPr>
                      <w:spacing w:before="0"/>
                      <w:ind w:left="5" w:right="0" w:firstLine="0"/>
                      <w:jc w:val="left"/>
                      <w:rPr>
                        <w:sz w:val="18"/>
                      </w:rPr>
                    </w:pPr>
                    <w:r>
                      <w:rPr>
                        <w:color w:val="585858"/>
                        <w:sz w:val="18"/>
                        <w:shd w:fill="FFFFFF" w:color="auto" w:val="clear"/>
                      </w:rPr>
                      <w:t>400</w:t>
                    </w:r>
                  </w:p>
                </w:txbxContent>
              </v:textbox>
              <w10:wrap type="none"/>
            </v:shape>
            <w10:wrap type="none"/>
          </v:group>
        </w:pict>
      </w:r>
      <w:r>
        <w:rPr/>
        <w:pict>
          <v:shape style="position:absolute;margin-left:82.410751pt;margin-top:90.420815pt;width:13.35pt;height:62.55pt;mso-position-horizontal-relative:page;mso-position-vertical-relative:paragraph;z-index:3112" type="#_x0000_t202" filled="false" stroked="false">
            <v:textbox inset="0,0,0,0" style="layout-flow:vertical;mso-layout-flow-alt:bottom-to-top">
              <w:txbxContent>
                <w:p>
                  <w:pPr>
                    <w:pStyle w:val="BodyText"/>
                    <w:spacing w:before="19"/>
                    <w:ind w:left="20"/>
                  </w:pPr>
                  <w:r>
                    <w:rPr>
                      <w:color w:val="585858"/>
                    </w:rPr>
                    <w:t>Antal brugere</w:t>
                  </w:r>
                </w:p>
              </w:txbxContent>
            </v:textbox>
            <w10:wrap type="none"/>
          </v:shape>
        </w:pict>
      </w:r>
      <w:bookmarkStart w:name="_bookmark25" w:id="40"/>
      <w:bookmarkEnd w:id="40"/>
      <w:r>
        <w:rPr/>
      </w:r>
      <w:r>
        <w:rPr>
          <w:i/>
          <w:color w:val="A21F1F"/>
          <w:sz w:val="18"/>
        </w:rPr>
        <w:t>Figur 8: Antal private brugere i populationen og stikprøven med angivelse af datakilden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28"/>
        </w:rPr>
      </w:pPr>
    </w:p>
    <w:p>
      <w:pPr>
        <w:spacing w:before="0"/>
        <w:ind w:left="278" w:right="0" w:firstLine="0"/>
        <w:jc w:val="left"/>
        <w:rPr>
          <w:i/>
          <w:sz w:val="18"/>
        </w:rPr>
      </w:pPr>
      <w:r>
        <w:rPr>
          <w:b/>
          <w:i/>
          <w:color w:val="A21F1F"/>
          <w:sz w:val="18"/>
        </w:rPr>
        <w:t>Kilde: </w:t>
      </w:r>
      <w:r>
        <w:rPr>
          <w:i/>
          <w:color w:val="A21F1F"/>
          <w:sz w:val="18"/>
        </w:rPr>
        <w:t>Spørgeskemaundersøgelse udført blandt private virksomheder, herunder forsyningsselskaber</w:t>
      </w:r>
    </w:p>
    <w:p>
      <w:pPr>
        <w:pStyle w:val="BodyText"/>
        <w:rPr>
          <w:i/>
        </w:rPr>
      </w:pPr>
    </w:p>
    <w:p>
      <w:pPr>
        <w:pStyle w:val="BodyText"/>
        <w:spacing w:before="9"/>
        <w:rPr>
          <w:i/>
        </w:rPr>
      </w:pPr>
    </w:p>
    <w:p>
      <w:pPr>
        <w:pStyle w:val="BodyText"/>
        <w:ind w:left="278"/>
      </w:pPr>
      <w:r>
        <w:rPr/>
        <w:t>I </w:t>
      </w:r>
      <w:hyperlink w:history="true" w:anchor="_bookmark26">
        <w:r>
          <w:rPr/>
          <w:t>Figur 9 </w:t>
        </w:r>
      </w:hyperlink>
      <w:r>
        <w:rPr/>
        <w:t>nedenfor vises de 155 private virksomheder, der indgår i stikprøven, fordelt på brancher.</w:t>
      </w:r>
    </w:p>
    <w:p>
      <w:pPr>
        <w:pStyle w:val="BodyText"/>
        <w:rPr>
          <w:sz w:val="31"/>
        </w:rPr>
      </w:pPr>
    </w:p>
    <w:p>
      <w:pPr>
        <w:spacing w:before="0"/>
        <w:ind w:left="278" w:right="0" w:firstLine="0"/>
        <w:jc w:val="left"/>
        <w:rPr>
          <w:i/>
          <w:sz w:val="18"/>
        </w:rPr>
      </w:pPr>
      <w:r>
        <w:rPr/>
        <w:pict>
          <v:group style="position:absolute;margin-left:70.900002pt;margin-top:16.232922pt;width:469.25pt;height:237pt;mso-position-horizontal-relative:page;mso-position-vertical-relative:paragraph;z-index:800;mso-wrap-distance-left:0;mso-wrap-distance-right:0" coordorigin="1418,325" coordsize="9385,4740">
            <v:rect style="position:absolute;left:1418;top:324;width:9385;height:4740" filled="true" fillcolor="#f1f1f1" stroked="false">
              <v:fill type="solid"/>
            </v:rect>
            <v:line style="position:absolute" from="5597,545" to="5597,627" stroked="true" strokeweight=".75pt" strokecolor="#d9d9d9">
              <v:stroke dashstyle="solid"/>
            </v:line>
            <v:line style="position:absolute" from="5597,716" to="5597,882" stroked="true" strokeweight=".75pt" strokecolor="#d9d9d9">
              <v:stroke dashstyle="solid"/>
            </v:line>
            <v:line style="position:absolute" from="5597,973" to="5597,1136" stroked="true" strokeweight=".75pt" strokecolor="#d9d9d9">
              <v:stroke dashstyle="solid"/>
            </v:line>
            <v:line style="position:absolute" from="5597,1227" to="5597,1390" stroked="true" strokeweight=".75pt" strokecolor="#d9d9d9">
              <v:stroke dashstyle="solid"/>
            </v:line>
            <v:line style="position:absolute" from="5597,1482" to="5597,2156" stroked="true" strokeweight=".75pt" strokecolor="#d9d9d9">
              <v:stroke dashstyle="solid"/>
            </v:line>
            <v:line style="position:absolute" from="5597,2245" to="5597,4194" stroked="true" strokeweight=".75pt" strokecolor="#d9d9d9">
              <v:stroke dashstyle="solid"/>
            </v:line>
            <v:line style="position:absolute" from="5597,4282" to="5597,4448" stroked="true" strokeweight=".75pt" strokecolor="#d9d9d9">
              <v:stroke dashstyle="solid"/>
            </v:line>
            <v:line style="position:absolute" from="5597,4537" to="5597,4620" stroked="true" strokeweight=".75pt" strokecolor="#d9d9d9">
              <v:stroke dashstyle="solid"/>
            </v:line>
            <v:line style="position:absolute" from="6206,545" to="6206,882" stroked="true" strokeweight=".75pt" strokecolor="#d9d9d9">
              <v:stroke dashstyle="solid"/>
            </v:line>
            <v:line style="position:absolute" from="6206,973" to="6206,1136" stroked="true" strokeweight=".75pt" strokecolor="#d9d9d9">
              <v:stroke dashstyle="solid"/>
            </v:line>
            <v:line style="position:absolute" from="6206,1227" to="6206,1390" stroked="true" strokeweight=".75pt" strokecolor="#d9d9d9">
              <v:stroke dashstyle="solid"/>
            </v:line>
            <v:line style="position:absolute" from="6206,1482" to="6206,2156" stroked="true" strokeweight=".75pt" strokecolor="#d9d9d9">
              <v:stroke dashstyle="solid"/>
            </v:line>
            <v:line style="position:absolute" from="6206,2245" to="6206,4194" stroked="true" strokeweight=".75pt" strokecolor="#d9d9d9">
              <v:stroke dashstyle="solid"/>
            </v:line>
            <v:line style="position:absolute" from="6206,4282" to="6206,4620" stroked="true" strokeweight=".75pt" strokecolor="#d9d9d9">
              <v:stroke dashstyle="solid"/>
            </v:line>
            <v:line style="position:absolute" from="6818,545" to="6818,1390" stroked="true" strokeweight=".75pt" strokecolor="#d9d9d9">
              <v:stroke dashstyle="solid"/>
            </v:line>
            <v:line style="position:absolute" from="6818,1482" to="6818,2156" stroked="true" strokeweight=".75pt" strokecolor="#d9d9d9">
              <v:stroke dashstyle="solid"/>
            </v:line>
            <v:line style="position:absolute" from="6818,2245" to="6818,4194" stroked="true" strokeweight=".75pt" strokecolor="#d9d9d9">
              <v:stroke dashstyle="solid"/>
            </v:line>
            <v:line style="position:absolute" from="6818,4282" to="6818,4620" stroked="true" strokeweight=".75pt" strokecolor="#d9d9d9">
              <v:stroke dashstyle="solid"/>
            </v:line>
            <v:line style="position:absolute" from="7428,545" to="7428,1390" stroked="true" strokeweight=".75pt" strokecolor="#d9d9d9">
              <v:stroke dashstyle="solid"/>
            </v:line>
            <v:line style="position:absolute" from="7428,1482" to="7428,2156" stroked="true" strokeweight=".75pt" strokecolor="#d9d9d9">
              <v:stroke dashstyle="solid"/>
            </v:line>
            <v:line style="position:absolute" from="7428,2245" to="7428,4194" stroked="true" strokeweight=".75pt" strokecolor="#d9d9d9">
              <v:stroke dashstyle="solid"/>
            </v:line>
            <v:line style="position:absolute" from="7428,4282" to="7428,4620" stroked="true" strokeweight=".75pt" strokecolor="#d9d9d9">
              <v:stroke dashstyle="solid"/>
            </v:line>
            <v:line style="position:absolute" from="8040,545" to="8040,1390" stroked="true" strokeweight=".75pt" strokecolor="#d9d9d9">
              <v:stroke dashstyle="solid"/>
            </v:line>
            <v:line style="position:absolute" from="8040,1482" to="8040,2156" stroked="true" strokeweight=".75pt" strokecolor="#d9d9d9">
              <v:stroke dashstyle="solid"/>
            </v:line>
            <v:line style="position:absolute" from="8040,2245" to="8040,4194" stroked="true" strokeweight=".75pt" strokecolor="#d9d9d9">
              <v:stroke dashstyle="solid"/>
            </v:line>
            <v:line style="position:absolute" from="8040,4282" to="8040,4620" stroked="true" strokeweight=".75pt" strokecolor="#d9d9d9">
              <v:stroke dashstyle="solid"/>
            </v:line>
            <v:line style="position:absolute" from="8652,545" to="8652,4194" stroked="true" strokeweight=".75pt" strokecolor="#d9d9d9">
              <v:stroke dashstyle="solid"/>
            </v:line>
            <v:line style="position:absolute" from="8652,4282" to="8652,4620" stroked="true" strokeweight=".75pt" strokecolor="#d9d9d9">
              <v:stroke dashstyle="solid"/>
            </v:line>
            <v:line style="position:absolute" from="9262,545" to="9262,4194" stroked="true" strokeweight=".75pt" strokecolor="#d9d9d9">
              <v:stroke dashstyle="solid"/>
            </v:line>
            <v:line style="position:absolute" from="9262,4282" to="9262,4620" stroked="true" strokeweight=".75pt" strokecolor="#d9d9d9">
              <v:stroke dashstyle="solid"/>
            </v:line>
            <v:line style="position:absolute" from="9874,545" to="9874,4620" stroked="true" strokeweight=".75pt" strokecolor="#d9d9d9">
              <v:stroke dashstyle="solid"/>
            </v:line>
            <v:line style="position:absolute" from="10485,545" to="10485,4620" stroked="true" strokeweight=".75pt" strokecolor="#d9d9d9">
              <v:stroke dashstyle="solid"/>
            </v:line>
            <v:line style="position:absolute" from="4985,4492" to="5719,4492" stroked="true" strokeweight="4.440pt" strokecolor="#a21f1f">
              <v:stroke dashstyle="solid"/>
            </v:line>
            <v:line style="position:absolute" from="4985,4238" to="9751,4238" stroked="true" strokeweight="4.440pt" strokecolor="#a21f1f">
              <v:stroke dashstyle="solid"/>
            </v:line>
            <v:line style="position:absolute" from="4985,3982" to="5352,3982" stroked="true" strokeweight="4.560pt" strokecolor="#a21f1f">
              <v:stroke dashstyle="solid"/>
            </v:line>
            <v:rect style="position:absolute;left:4984;top:3682;width:123;height:92" filled="true" fillcolor="#a21f1f" stroked="false">
              <v:fill type="solid"/>
            </v:rect>
            <v:line style="position:absolute" from="4985,3474" to="5352,3474" stroked="true" strokeweight="4.560pt" strokecolor="#a21f1f">
              <v:stroke dashstyle="solid"/>
            </v:line>
            <v:line style="position:absolute" from="4985,3219" to="5352,3219" stroked="true" strokeweight="4.560pt" strokecolor="#a21f1f">
              <v:stroke dashstyle="solid"/>
            </v:line>
            <v:rect style="position:absolute;left:4984;top:2919;width:123;height:92" filled="true" fillcolor="#a21f1f" stroked="false">
              <v:fill type="solid"/>
            </v:rect>
            <v:line style="position:absolute" from="4985,2709" to="5352,2709" stroked="true" strokeweight="4.440pt" strokecolor="#a21f1f">
              <v:stroke dashstyle="solid"/>
            </v:line>
            <v:line style="position:absolute" from="4985,2455" to="5474,2455" stroked="true" strokeweight="4.440pt" strokecolor="#a21f1f">
              <v:stroke dashstyle="solid"/>
            </v:line>
            <v:line style="position:absolute" from="4985,2200" to="8530,2200" stroked="true" strokeweight="4.440pt" strokecolor="#a21f1f">
              <v:stroke dashstyle="solid"/>
            </v:line>
            <v:rect style="position:absolute;left:4984;top:1899;width:123;height:92" filled="true" fillcolor="#a21f1f" stroked="false">
              <v:fill type="solid"/>
            </v:rect>
            <v:line style="position:absolute" from="4985,1690" to="5352,1690" stroked="true" strokeweight="4.560pt" strokecolor="#a21f1f">
              <v:stroke dashstyle="solid"/>
            </v:line>
            <v:line style="position:absolute" from="4985,1436" to="8162,1436" stroked="true" strokeweight="4.560pt" strokecolor="#a21f1f">
              <v:stroke dashstyle="solid"/>
            </v:line>
            <v:line style="position:absolute" from="4985,1182" to="6329,1182" stroked="true" strokeweight="4.560pt" strokecolor="#a21f1f">
              <v:stroke dashstyle="solid"/>
            </v:line>
            <v:line style="position:absolute" from="4985,927" to="6451,927" stroked="true" strokeweight="4.560pt" strokecolor="#a21f1f">
              <v:stroke dashstyle="solid"/>
            </v:line>
            <v:line style="position:absolute" from="4985,672" to="6206,672" stroked="true" strokeweight="4.440pt" strokecolor="#a21f1f">
              <v:stroke dashstyle="solid"/>
            </v:line>
            <v:line style="position:absolute" from="4985,4620" to="4985,545" stroked="true" strokeweight=".75pt" strokecolor="#d9d9d9">
              <v:stroke dashstyle="solid"/>
            </v:line>
            <v:shape style="position:absolute;left:10388;top:4732;width:215;height:205" type="#_x0000_t202" filled="false" stroked="false">
              <v:textbox inset="0,0,0,0">
                <w:txbxContent>
                  <w:p>
                    <w:pPr>
                      <w:spacing w:before="0"/>
                      <w:ind w:left="0" w:right="0" w:firstLine="0"/>
                      <w:jc w:val="left"/>
                      <w:rPr>
                        <w:sz w:val="18"/>
                      </w:rPr>
                    </w:pPr>
                    <w:r>
                      <w:rPr>
                        <w:color w:val="585858"/>
                        <w:sz w:val="18"/>
                      </w:rPr>
                      <w:t>45</w:t>
                    </w:r>
                  </w:p>
                </w:txbxContent>
              </v:textbox>
              <w10:wrap type="none"/>
            </v:shape>
            <v:shape style="position:absolute;left:9769;top:4732;width:231;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9167;top:4732;width:213;height:205" type="#_x0000_t202" filled="false" stroked="false">
              <v:textbox inset="0,0,0,0">
                <w:txbxContent>
                  <w:p>
                    <w:pPr>
                      <w:spacing w:before="0"/>
                      <w:ind w:left="0" w:right="0" w:firstLine="0"/>
                      <w:jc w:val="left"/>
                      <w:rPr>
                        <w:sz w:val="18"/>
                      </w:rPr>
                    </w:pPr>
                    <w:r>
                      <w:rPr>
                        <w:color w:val="585858"/>
                        <w:sz w:val="18"/>
                      </w:rPr>
                      <w:t>35</w:t>
                    </w:r>
                  </w:p>
                </w:txbxContent>
              </v:textbox>
              <w10:wrap type="none"/>
            </v:shape>
            <v:shape style="position:absolute;left:8547;top:4732;width:228;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7944;top:4732;width:217;height:205" type="#_x0000_t202" filled="false" stroked="false">
              <v:textbox inset="0,0,0,0">
                <w:txbxContent>
                  <w:p>
                    <w:pPr>
                      <w:spacing w:before="0"/>
                      <w:ind w:left="0" w:right="0" w:firstLine="0"/>
                      <w:jc w:val="left"/>
                      <w:rPr>
                        <w:sz w:val="18"/>
                      </w:rPr>
                    </w:pPr>
                    <w:r>
                      <w:rPr>
                        <w:color w:val="585858"/>
                        <w:sz w:val="18"/>
                      </w:rPr>
                      <w:t>25</w:t>
                    </w:r>
                  </w:p>
                </w:txbxContent>
              </v:textbox>
              <w10:wrap type="none"/>
            </v:shape>
            <v:shape style="position:absolute;left:7324;top:4732;width:232;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6733;top:4732;width:192;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6114;top:4732;width:207;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5549;top:4732;width:116;height:205" type="#_x0000_t202" filled="false" stroked="false">
              <v:textbox inset="0,0,0,0">
                <w:txbxContent>
                  <w:p>
                    <w:pPr>
                      <w:spacing w:before="0"/>
                      <w:ind w:left="0" w:right="0" w:firstLine="0"/>
                      <w:jc w:val="left"/>
                      <w:rPr>
                        <w:sz w:val="18"/>
                      </w:rPr>
                    </w:pPr>
                    <w:r>
                      <w:rPr>
                        <w:color w:val="585858"/>
                        <w:sz w:val="18"/>
                      </w:rPr>
                      <w:t>5</w:t>
                    </w:r>
                  </w:p>
                </w:txbxContent>
              </v:textbox>
              <w10:wrap type="none"/>
            </v:shape>
            <v:shape style="position:absolute;left:4930;top:4732;width:131;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565;width:3301;height:4026" type="#_x0000_t202" filled="false" stroked="false">
              <v:textbox inset="0,0,0,0">
                <w:txbxContent>
                  <w:p>
                    <w:pPr>
                      <w:spacing w:before="0"/>
                      <w:ind w:left="904" w:right="0" w:firstLine="0"/>
                      <w:jc w:val="left"/>
                      <w:rPr>
                        <w:sz w:val="18"/>
                      </w:rPr>
                    </w:pPr>
                    <w:r>
                      <w:rPr>
                        <w:color w:val="585858"/>
                        <w:sz w:val="18"/>
                      </w:rPr>
                      <w:t>Landbrug, skovbrug og</w:t>
                    </w:r>
                    <w:r>
                      <w:rPr>
                        <w:color w:val="585858"/>
                        <w:spacing w:val="-9"/>
                        <w:sz w:val="18"/>
                      </w:rPr>
                      <w:t> </w:t>
                    </w:r>
                    <w:r>
                      <w:rPr>
                        <w:color w:val="585858"/>
                        <w:sz w:val="18"/>
                      </w:rPr>
                      <w:t>fiskeri</w:t>
                    </w:r>
                  </w:p>
                  <w:p>
                    <w:pPr>
                      <w:spacing w:line="300" w:lineRule="auto" w:before="50"/>
                      <w:ind w:left="968" w:right="19" w:firstLine="1029"/>
                      <w:jc w:val="right"/>
                      <w:rPr>
                        <w:sz w:val="18"/>
                      </w:rPr>
                    </w:pPr>
                    <w:r>
                      <w:rPr>
                        <w:color w:val="585858"/>
                        <w:spacing w:val="-1"/>
                        <w:sz w:val="18"/>
                      </w:rPr>
                      <w:t>Energiforsyning </w:t>
                    </w:r>
                    <w:r>
                      <w:rPr>
                        <w:color w:val="585858"/>
                        <w:sz w:val="18"/>
                      </w:rPr>
                      <w:t>Vandforsyning og</w:t>
                    </w:r>
                    <w:r>
                      <w:rPr>
                        <w:color w:val="585858"/>
                        <w:spacing w:val="-10"/>
                        <w:sz w:val="18"/>
                      </w:rPr>
                      <w:t> </w:t>
                    </w:r>
                    <w:r>
                      <w:rPr>
                        <w:color w:val="585858"/>
                        <w:sz w:val="18"/>
                      </w:rPr>
                      <w:t>renovation</w:t>
                    </w:r>
                  </w:p>
                  <w:p>
                    <w:pPr>
                      <w:spacing w:line="203" w:lineRule="exact" w:before="0"/>
                      <w:ind w:left="2054" w:right="0" w:firstLine="0"/>
                      <w:jc w:val="left"/>
                      <w:rPr>
                        <w:sz w:val="18"/>
                      </w:rPr>
                    </w:pPr>
                    <w:r>
                      <w:rPr>
                        <w:color w:val="585858"/>
                        <w:sz w:val="18"/>
                      </w:rPr>
                      <w:t>Bygge og</w:t>
                    </w:r>
                    <w:r>
                      <w:rPr>
                        <w:color w:val="585858"/>
                        <w:spacing w:val="-4"/>
                        <w:sz w:val="18"/>
                      </w:rPr>
                      <w:t> </w:t>
                    </w:r>
                    <w:r>
                      <w:rPr>
                        <w:color w:val="585858"/>
                        <w:sz w:val="18"/>
                      </w:rPr>
                      <w:t>anlæg</w:t>
                    </w:r>
                  </w:p>
                  <w:p>
                    <w:pPr>
                      <w:spacing w:line="300" w:lineRule="auto" w:before="49"/>
                      <w:ind w:left="1972" w:right="18" w:firstLine="721"/>
                      <w:jc w:val="right"/>
                      <w:rPr>
                        <w:sz w:val="18"/>
                      </w:rPr>
                    </w:pPr>
                    <w:r>
                      <w:rPr>
                        <w:color w:val="585858"/>
                        <w:spacing w:val="-1"/>
                        <w:sz w:val="18"/>
                      </w:rPr>
                      <w:t>Handel Transport Information/It Kommunikation</w:t>
                    </w:r>
                  </w:p>
                  <w:p>
                    <w:pPr>
                      <w:spacing w:line="300" w:lineRule="auto" w:before="0"/>
                      <w:ind w:left="904" w:right="19" w:firstLine="313"/>
                      <w:jc w:val="right"/>
                      <w:rPr>
                        <w:sz w:val="18"/>
                      </w:rPr>
                    </w:pPr>
                    <w:r>
                      <w:rPr>
                        <w:color w:val="585858"/>
                        <w:sz w:val="18"/>
                      </w:rPr>
                      <w:t>Finansiering</w:t>
                    </w:r>
                    <w:r>
                      <w:rPr>
                        <w:color w:val="585858"/>
                        <w:spacing w:val="5"/>
                        <w:sz w:val="18"/>
                      </w:rPr>
                      <w:t> </w:t>
                    </w:r>
                    <w:r>
                      <w:rPr>
                        <w:color w:val="585858"/>
                        <w:sz w:val="18"/>
                      </w:rPr>
                      <w:t>og</w:t>
                    </w:r>
                    <w:r>
                      <w:rPr>
                        <w:color w:val="585858"/>
                        <w:spacing w:val="6"/>
                        <w:sz w:val="18"/>
                      </w:rPr>
                      <w:t> </w:t>
                    </w:r>
                    <w:r>
                      <w:rPr>
                        <w:color w:val="585858"/>
                        <w:spacing w:val="-3"/>
                        <w:sz w:val="18"/>
                      </w:rPr>
                      <w:t>forsikring</w:t>
                    </w:r>
                    <w:r>
                      <w:rPr>
                        <w:color w:val="585858"/>
                        <w:sz w:val="18"/>
                      </w:rPr>
                      <w:t> Ejendomshandel og</w:t>
                    </w:r>
                    <w:r>
                      <w:rPr>
                        <w:color w:val="585858"/>
                        <w:spacing w:val="-13"/>
                        <w:sz w:val="18"/>
                      </w:rPr>
                      <w:t> </w:t>
                    </w:r>
                    <w:r>
                      <w:rPr>
                        <w:color w:val="585858"/>
                        <w:sz w:val="18"/>
                      </w:rPr>
                      <w:t>udlejning</w:t>
                    </w:r>
                  </w:p>
                  <w:p>
                    <w:pPr>
                      <w:spacing w:line="297" w:lineRule="auto" w:before="0"/>
                      <w:ind w:left="0" w:right="20" w:firstLine="2260"/>
                      <w:jc w:val="right"/>
                      <w:rPr>
                        <w:sz w:val="18"/>
                      </w:rPr>
                    </w:pPr>
                    <w:r>
                      <w:rPr>
                        <w:color w:val="585858"/>
                        <w:spacing w:val="-1"/>
                        <w:sz w:val="18"/>
                      </w:rPr>
                      <w:t>Videnservice </w:t>
                    </w:r>
                    <w:r>
                      <w:rPr>
                        <w:color w:val="585858"/>
                        <w:sz w:val="18"/>
                      </w:rPr>
                      <w:t>Offentlig administration, forsvar og</w:t>
                    </w:r>
                    <w:r>
                      <w:rPr>
                        <w:color w:val="585858"/>
                        <w:spacing w:val="-19"/>
                        <w:sz w:val="18"/>
                      </w:rPr>
                      <w:t> </w:t>
                    </w:r>
                    <w:r>
                      <w:rPr>
                        <w:color w:val="585858"/>
                        <w:sz w:val="18"/>
                      </w:rPr>
                      <w:t>politi</w:t>
                    </w:r>
                  </w:p>
                  <w:p>
                    <w:pPr>
                      <w:spacing w:line="300" w:lineRule="auto" w:before="0"/>
                      <w:ind w:left="2067" w:right="19" w:firstLine="128"/>
                      <w:jc w:val="both"/>
                      <w:rPr>
                        <w:sz w:val="18"/>
                      </w:rPr>
                    </w:pPr>
                    <w:r>
                      <w:rPr>
                        <w:color w:val="585858"/>
                        <w:sz w:val="18"/>
                      </w:rPr>
                      <w:t>Undervisning Kultur og fritid Anden</w:t>
                    </w:r>
                    <w:r>
                      <w:rPr>
                        <w:color w:val="585858"/>
                        <w:spacing w:val="3"/>
                        <w:sz w:val="18"/>
                      </w:rPr>
                      <w:t> </w:t>
                    </w:r>
                    <w:r>
                      <w:rPr>
                        <w:color w:val="585858"/>
                        <w:spacing w:val="-3"/>
                        <w:sz w:val="18"/>
                      </w:rPr>
                      <w:t>branche</w:t>
                    </w:r>
                  </w:p>
                  <w:p>
                    <w:pPr>
                      <w:spacing w:line="202" w:lineRule="exact" w:before="0"/>
                      <w:ind w:left="0" w:right="20" w:firstLine="0"/>
                      <w:jc w:val="right"/>
                      <w:rPr>
                        <w:sz w:val="18"/>
                      </w:rPr>
                    </w:pPr>
                    <w:r>
                      <w:rPr>
                        <w:color w:val="585858"/>
                        <w:sz w:val="18"/>
                      </w:rPr>
                      <w:t>Andre serviceydelser</w:t>
                    </w:r>
                    <w:r>
                      <w:rPr>
                        <w:color w:val="585858"/>
                        <w:spacing w:val="-13"/>
                        <w:sz w:val="18"/>
                      </w:rPr>
                      <w:t> </w:t>
                    </w:r>
                    <w:r>
                      <w:rPr>
                        <w:color w:val="585858"/>
                        <w:sz w:val="18"/>
                      </w:rPr>
                      <w:t>mv.</w:t>
                    </w:r>
                  </w:p>
                </w:txbxContent>
              </v:textbox>
              <w10:wrap type="none"/>
            </v:shape>
            <w10:wrap type="topAndBottom"/>
          </v:group>
        </w:pict>
      </w:r>
      <w:bookmarkStart w:name="_bookmark26" w:id="41"/>
      <w:bookmarkEnd w:id="41"/>
      <w:r>
        <w:rPr/>
      </w:r>
      <w:r>
        <w:rPr>
          <w:i/>
          <w:color w:val="A21F1F"/>
          <w:sz w:val="18"/>
        </w:rPr>
        <w:t>Figur 9: Antal virksomhedsbesvarelser fordelt på branche</w:t>
      </w:r>
    </w:p>
    <w:p>
      <w:pPr>
        <w:spacing w:before="0"/>
        <w:ind w:left="278" w:right="0" w:firstLine="0"/>
        <w:jc w:val="left"/>
        <w:rPr>
          <w:i/>
          <w:sz w:val="18"/>
        </w:rPr>
      </w:pPr>
      <w:r>
        <w:rPr>
          <w:b/>
          <w:i/>
          <w:color w:val="A21F1F"/>
          <w:sz w:val="18"/>
        </w:rPr>
        <w:t>Kilde: </w:t>
      </w:r>
      <w:r>
        <w:rPr>
          <w:i/>
          <w:color w:val="A21F1F"/>
          <w:sz w:val="18"/>
        </w:rPr>
        <w:t>Spørgeskemaundersøgelse udført blandt private virksomheder, herunder forsyningsselskaber</w:t>
      </w:r>
    </w:p>
    <w:p>
      <w:pPr>
        <w:spacing w:before="119"/>
        <w:ind w:left="278" w:right="0" w:firstLine="0"/>
        <w:jc w:val="left"/>
        <w:rPr>
          <w:i/>
          <w:sz w:val="18"/>
        </w:rPr>
      </w:pPr>
      <w:r>
        <w:rPr>
          <w:b/>
          <w:i/>
          <w:color w:val="A21F1F"/>
          <w:sz w:val="18"/>
        </w:rPr>
        <w:t>N: </w:t>
      </w:r>
      <w:r>
        <w:rPr>
          <w:i/>
          <w:color w:val="A21F1F"/>
          <w:sz w:val="18"/>
        </w:rPr>
        <w:t>155</w:t>
      </w:r>
    </w:p>
    <w:p>
      <w:pPr>
        <w:pStyle w:val="BodyText"/>
        <w:rPr>
          <w:i/>
        </w:rPr>
      </w:pPr>
    </w:p>
    <w:p>
      <w:pPr>
        <w:pStyle w:val="BodyText"/>
        <w:spacing w:before="7"/>
        <w:rPr>
          <w:i/>
        </w:rPr>
      </w:pPr>
    </w:p>
    <w:p>
      <w:pPr>
        <w:pStyle w:val="BodyText"/>
        <w:spacing w:line="360" w:lineRule="auto"/>
        <w:ind w:left="278" w:right="1035"/>
      </w:pPr>
      <w:r>
        <w:rPr/>
        <w:t>Ud af de 155 besvarelser, der betragtes som brugbare, stammer 32 af besvarelserne fra forsyningsselskaber. Forsyningsselskaberne fordeler sig på følgende af ovenstående brancher:</w:t>
      </w:r>
    </w:p>
    <w:p>
      <w:pPr>
        <w:pStyle w:val="BodyText"/>
        <w:rPr>
          <w:sz w:val="21"/>
        </w:rPr>
      </w:pPr>
    </w:p>
    <w:p>
      <w:pPr>
        <w:pStyle w:val="ListParagraph"/>
        <w:numPr>
          <w:ilvl w:val="0"/>
          <w:numId w:val="12"/>
        </w:numPr>
        <w:tabs>
          <w:tab w:pos="991" w:val="left" w:leader="none"/>
          <w:tab w:pos="992" w:val="left" w:leader="none"/>
        </w:tabs>
        <w:spacing w:line="240" w:lineRule="auto" w:before="0" w:after="0"/>
        <w:ind w:left="991" w:right="0" w:hanging="355"/>
        <w:jc w:val="left"/>
        <w:rPr>
          <w:sz w:val="20"/>
        </w:rPr>
      </w:pPr>
      <w:r>
        <w:rPr>
          <w:sz w:val="20"/>
        </w:rPr>
        <w:t>Energiforsyning</w:t>
      </w:r>
    </w:p>
    <w:p>
      <w:pPr>
        <w:spacing w:after="0" w:line="240" w:lineRule="auto"/>
        <w:jc w:val="left"/>
        <w:rPr>
          <w:sz w:val="20"/>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12"/>
        </w:numPr>
        <w:tabs>
          <w:tab w:pos="991" w:val="left" w:leader="none"/>
          <w:tab w:pos="992" w:val="left" w:leader="none"/>
        </w:tabs>
        <w:spacing w:line="201" w:lineRule="exact" w:before="0" w:after="0"/>
        <w:ind w:left="991" w:right="0" w:hanging="355"/>
        <w:jc w:val="left"/>
        <w:rPr>
          <w:sz w:val="20"/>
        </w:rPr>
      </w:pPr>
      <w:r>
        <w:rPr>
          <w:sz w:val="20"/>
        </w:rPr>
        <w:t>Vandforsyning og</w:t>
      </w:r>
      <w:r>
        <w:rPr>
          <w:spacing w:val="-3"/>
          <w:sz w:val="20"/>
        </w:rPr>
        <w:t> </w:t>
      </w:r>
      <w:r>
        <w:rPr>
          <w:sz w:val="20"/>
        </w:rPr>
        <w:t>renovation</w:t>
      </w:r>
    </w:p>
    <w:p>
      <w:pPr>
        <w:pStyle w:val="ListParagraph"/>
        <w:numPr>
          <w:ilvl w:val="0"/>
          <w:numId w:val="12"/>
        </w:numPr>
        <w:tabs>
          <w:tab w:pos="998" w:val="left" w:leader="none"/>
          <w:tab w:pos="999" w:val="left" w:leader="none"/>
        </w:tabs>
        <w:spacing w:line="240" w:lineRule="auto" w:before="115" w:after="0"/>
        <w:ind w:left="998" w:right="0" w:hanging="360"/>
        <w:jc w:val="left"/>
        <w:rPr>
          <w:sz w:val="13"/>
        </w:rPr>
      </w:pPr>
      <w:r>
        <w:rPr>
          <w:sz w:val="20"/>
        </w:rPr>
        <w:t>Anden</w:t>
      </w:r>
      <w:r>
        <w:rPr>
          <w:spacing w:val="-2"/>
          <w:sz w:val="20"/>
        </w:rPr>
        <w:t> </w:t>
      </w:r>
      <w:r>
        <w:rPr>
          <w:sz w:val="20"/>
        </w:rPr>
        <w:t>branche.</w:t>
      </w:r>
      <w:r>
        <w:rPr>
          <w:position w:val="5"/>
          <w:sz w:val="13"/>
        </w:rPr>
        <w:t>3</w:t>
      </w:r>
    </w:p>
    <w:p>
      <w:pPr>
        <w:pStyle w:val="BodyText"/>
        <w:spacing w:before="1"/>
        <w:rPr>
          <w:sz w:val="31"/>
        </w:rPr>
      </w:pPr>
    </w:p>
    <w:p>
      <w:pPr>
        <w:pStyle w:val="BodyText"/>
        <w:spacing w:line="360" w:lineRule="auto"/>
        <w:ind w:left="278" w:right="1220"/>
      </w:pPr>
      <w:r>
        <w:rPr/>
        <w:t>De øvrige private virksomheder udgør således de resterende 123 besvarelser, hvor særligt information/it- samt bygge- og anlægsbranchen er stærkt repræsenteret.</w:t>
      </w:r>
    </w:p>
    <w:p>
      <w:pPr>
        <w:pStyle w:val="BodyText"/>
        <w:spacing w:before="11"/>
      </w:pPr>
    </w:p>
    <w:p>
      <w:pPr>
        <w:pStyle w:val="Heading3"/>
        <w:numPr>
          <w:ilvl w:val="2"/>
          <w:numId w:val="11"/>
        </w:numPr>
        <w:tabs>
          <w:tab w:pos="999" w:val="left" w:leader="none"/>
        </w:tabs>
        <w:spacing w:line="240" w:lineRule="auto" w:before="0" w:after="0"/>
        <w:ind w:left="998" w:right="0" w:hanging="720"/>
        <w:jc w:val="left"/>
        <w:rPr>
          <w:i/>
        </w:rPr>
      </w:pPr>
      <w:bookmarkStart w:name="_bookmark27" w:id="42"/>
      <w:bookmarkEnd w:id="42"/>
      <w:r>
        <w:rPr>
          <w:i w:val="0"/>
        </w:rPr>
      </w:r>
      <w:bookmarkStart w:name="_bookmark27" w:id="43"/>
      <w:bookmarkEnd w:id="43"/>
      <w:r>
        <w:rPr>
          <w:i/>
          <w:color w:val="A21F1F"/>
        </w:rPr>
        <w:t>Dataind</w:t>
      </w:r>
      <w:r>
        <w:rPr>
          <w:i/>
          <w:color w:val="A21F1F"/>
        </w:rPr>
        <w:t>samling fra offentlige myndigheder</w:t>
      </w:r>
    </w:p>
    <w:p>
      <w:pPr>
        <w:pStyle w:val="BodyText"/>
        <w:spacing w:line="360" w:lineRule="auto" w:before="243"/>
        <w:ind w:left="278" w:right="1083"/>
      </w:pPr>
      <w:r>
        <w:rPr/>
        <w:t>Inden for de offentlige myndigheder har 217 brugere af geodata valgt at deltage i spørgeskemaundersøgelsen. Af de 217 modtagne besvarelser betragtes 80 som brugbare, hvorfor de indgår som stikprøve i de videre analyser. Det svarer til en svarprocent på 19 pct. for de offentlige myndigheder.</w:t>
      </w:r>
    </w:p>
    <w:p>
      <w:pPr>
        <w:pStyle w:val="BodyText"/>
        <w:spacing w:before="1"/>
        <w:rPr>
          <w:sz w:val="21"/>
        </w:rPr>
      </w:pPr>
    </w:p>
    <w:p>
      <w:pPr>
        <w:pStyle w:val="BodyText"/>
        <w:spacing w:line="360" w:lineRule="auto"/>
        <w:ind w:left="278" w:right="1398"/>
      </w:pPr>
      <w:r>
        <w:rPr/>
        <w:t>I </w:t>
      </w:r>
      <w:hyperlink w:history="true" w:anchor="_bookmark28">
        <w:r>
          <w:rPr/>
          <w:t>Figur 10 </w:t>
        </w:r>
      </w:hyperlink>
      <w:r>
        <w:rPr/>
        <w:t>nedenfor vises antallet af reelle brugere i populationen sammenhold med antal besvarelser i striprøven. De er begge opdelt på de datakilder, Geoforum og Kortforsyningens medlemsdatabase, som brugerne er identificeret ud fra.</w:t>
      </w:r>
    </w:p>
    <w:p>
      <w:pPr>
        <w:pStyle w:val="BodyText"/>
        <w:spacing w:before="1"/>
        <w:rPr>
          <w:sz w:val="21"/>
        </w:rPr>
      </w:pPr>
    </w:p>
    <w:p>
      <w:pPr>
        <w:spacing w:before="0"/>
        <w:ind w:left="278" w:right="0" w:firstLine="0"/>
        <w:jc w:val="left"/>
        <w:rPr>
          <w:i/>
          <w:sz w:val="18"/>
        </w:rPr>
      </w:pPr>
      <w:r>
        <w:rPr/>
        <w:pict>
          <v:group style="position:absolute;margin-left:70.900002pt;margin-top:10.232926pt;width:469.7pt;height:252.6pt;mso-position-horizontal-relative:page;mso-position-vertical-relative:paragraph;z-index:-179200" coordorigin="1418,205" coordsize="9394,5052">
            <v:rect style="position:absolute;left:1418;top:204;width:9394;height:5052" filled="true" fillcolor="#f1f1f1" stroked="false">
              <v:fill type="solid"/>
            </v:rect>
            <v:rect style="position:absolute;left:3826;top:4929;width:93;height:93" filled="true" fillcolor="#901b1b" stroked="false">
              <v:fill type="solid"/>
            </v:rect>
            <v:rect style="position:absolute;left:5756;top:4929;width:93;height:93" filled="true" fillcolor="#bd8686" stroked="false">
              <v:fill type="solid"/>
            </v:rect>
            <v:rect style="position:absolute;left:5893;top:4819;width:3415;height:234" filled="true" fillcolor="#f1f1f1" stroked="false">
              <v:fill type="solid"/>
            </v:rect>
            <v:shape style="position:absolute;left:1955;top:317;width:345;height:4150" type="#_x0000_t202" filled="false" stroked="false">
              <v:textbox inset="0,0,0,0">
                <w:txbxContent>
                  <w:p>
                    <w:pPr>
                      <w:spacing w:before="0"/>
                      <w:ind w:left="0" w:right="4" w:firstLine="0"/>
                      <w:jc w:val="center"/>
                      <w:rPr>
                        <w:sz w:val="18"/>
                      </w:rPr>
                    </w:pPr>
                    <w:r>
                      <w:rPr>
                        <w:color w:val="585858"/>
                        <w:sz w:val="18"/>
                      </w:rPr>
                      <w:t>450</w:t>
                    </w:r>
                  </w:p>
                  <w:p>
                    <w:pPr>
                      <w:spacing w:line="240" w:lineRule="auto" w:before="6"/>
                      <w:rPr>
                        <w:sz w:val="20"/>
                      </w:rPr>
                    </w:pPr>
                  </w:p>
                  <w:p>
                    <w:pPr>
                      <w:spacing w:before="0"/>
                      <w:ind w:left="0" w:right="20" w:firstLine="0"/>
                      <w:jc w:val="center"/>
                      <w:rPr>
                        <w:sz w:val="18"/>
                      </w:rPr>
                    </w:pPr>
                    <w:r>
                      <w:rPr>
                        <w:color w:val="585858"/>
                        <w:sz w:val="18"/>
                      </w:rPr>
                      <w:t>400</w:t>
                    </w:r>
                  </w:p>
                  <w:p>
                    <w:pPr>
                      <w:spacing w:line="240" w:lineRule="auto" w:before="6"/>
                      <w:rPr>
                        <w:sz w:val="20"/>
                      </w:rPr>
                    </w:pPr>
                  </w:p>
                  <w:p>
                    <w:pPr>
                      <w:spacing w:before="1"/>
                      <w:ind w:left="0" w:right="2" w:firstLine="0"/>
                      <w:jc w:val="center"/>
                      <w:rPr>
                        <w:sz w:val="18"/>
                      </w:rPr>
                    </w:pPr>
                    <w:r>
                      <w:rPr>
                        <w:color w:val="585858"/>
                        <w:sz w:val="18"/>
                      </w:rPr>
                      <w:t>350</w:t>
                    </w:r>
                  </w:p>
                  <w:p>
                    <w:pPr>
                      <w:spacing w:line="240" w:lineRule="auto" w:before="6"/>
                      <w:rPr>
                        <w:sz w:val="20"/>
                      </w:rPr>
                    </w:pPr>
                  </w:p>
                  <w:p>
                    <w:pPr>
                      <w:spacing w:before="1"/>
                      <w:ind w:left="0" w:right="18" w:firstLine="0"/>
                      <w:jc w:val="center"/>
                      <w:rPr>
                        <w:sz w:val="18"/>
                      </w:rPr>
                    </w:pPr>
                    <w:r>
                      <w:rPr>
                        <w:color w:val="585858"/>
                        <w:sz w:val="18"/>
                      </w:rPr>
                      <w:t>300</w:t>
                    </w:r>
                  </w:p>
                  <w:p>
                    <w:pPr>
                      <w:spacing w:line="240" w:lineRule="auto" w:before="6"/>
                      <w:rPr>
                        <w:sz w:val="20"/>
                      </w:rPr>
                    </w:pPr>
                  </w:p>
                  <w:p>
                    <w:pPr>
                      <w:spacing w:before="0"/>
                      <w:ind w:left="0" w:right="1" w:firstLine="0"/>
                      <w:jc w:val="center"/>
                      <w:rPr>
                        <w:sz w:val="18"/>
                      </w:rPr>
                    </w:pPr>
                    <w:r>
                      <w:rPr>
                        <w:color w:val="585858"/>
                        <w:sz w:val="18"/>
                      </w:rPr>
                      <w:t>250</w:t>
                    </w:r>
                  </w:p>
                  <w:p>
                    <w:pPr>
                      <w:spacing w:line="240" w:lineRule="auto" w:before="6"/>
                      <w:rPr>
                        <w:sz w:val="20"/>
                      </w:rPr>
                    </w:pPr>
                  </w:p>
                  <w:p>
                    <w:pPr>
                      <w:spacing w:before="0"/>
                      <w:ind w:left="0" w:right="17" w:firstLine="0"/>
                      <w:jc w:val="center"/>
                      <w:rPr>
                        <w:sz w:val="18"/>
                      </w:rPr>
                    </w:pPr>
                    <w:r>
                      <w:rPr>
                        <w:color w:val="585858"/>
                        <w:sz w:val="18"/>
                      </w:rPr>
                      <w:t>200</w:t>
                    </w:r>
                  </w:p>
                  <w:p>
                    <w:pPr>
                      <w:spacing w:line="240" w:lineRule="auto" w:before="7"/>
                      <w:rPr>
                        <w:sz w:val="20"/>
                      </w:rPr>
                    </w:pPr>
                  </w:p>
                  <w:p>
                    <w:pPr>
                      <w:spacing w:before="0"/>
                      <w:ind w:left="20" w:right="2" w:firstLine="0"/>
                      <w:jc w:val="center"/>
                      <w:rPr>
                        <w:sz w:val="18"/>
                      </w:rPr>
                    </w:pPr>
                    <w:r>
                      <w:rPr>
                        <w:color w:val="585858"/>
                        <w:sz w:val="18"/>
                      </w:rPr>
                      <w:t>150</w:t>
                    </w:r>
                  </w:p>
                  <w:p>
                    <w:pPr>
                      <w:spacing w:line="240" w:lineRule="auto" w:before="7"/>
                      <w:rPr>
                        <w:sz w:val="20"/>
                      </w:rPr>
                    </w:pPr>
                  </w:p>
                  <w:p>
                    <w:pPr>
                      <w:spacing w:before="0"/>
                      <w:ind w:left="4" w:right="2" w:firstLine="0"/>
                      <w:jc w:val="center"/>
                      <w:rPr>
                        <w:sz w:val="18"/>
                      </w:rPr>
                    </w:pPr>
                    <w:r>
                      <w:rPr>
                        <w:color w:val="585858"/>
                        <w:sz w:val="18"/>
                      </w:rPr>
                      <w:t>100</w:t>
                    </w:r>
                  </w:p>
                  <w:p>
                    <w:pPr>
                      <w:spacing w:line="240" w:lineRule="auto" w:before="6"/>
                      <w:rPr>
                        <w:sz w:val="20"/>
                      </w:rPr>
                    </w:pPr>
                  </w:p>
                  <w:p>
                    <w:pPr>
                      <w:spacing w:before="0"/>
                      <w:ind w:left="98" w:right="1" w:firstLine="0"/>
                      <w:jc w:val="center"/>
                      <w:rPr>
                        <w:sz w:val="18"/>
                      </w:rPr>
                    </w:pPr>
                    <w:r>
                      <w:rPr>
                        <w:color w:val="585858"/>
                        <w:sz w:val="18"/>
                      </w:rPr>
                      <w:t>50</w:t>
                    </w:r>
                  </w:p>
                  <w:p>
                    <w:pPr>
                      <w:spacing w:line="240" w:lineRule="auto" w:before="7"/>
                      <w:rPr>
                        <w:sz w:val="20"/>
                      </w:rPr>
                    </w:pPr>
                  </w:p>
                  <w:p>
                    <w:pPr>
                      <w:spacing w:before="0"/>
                      <w:ind w:left="190" w:right="0" w:firstLine="0"/>
                      <w:jc w:val="center"/>
                      <w:rPr>
                        <w:sz w:val="18"/>
                      </w:rPr>
                    </w:pPr>
                    <w:r>
                      <w:rPr>
                        <w:color w:val="585858"/>
                        <w:sz w:val="18"/>
                      </w:rPr>
                      <w:t>0</w:t>
                    </w:r>
                  </w:p>
                </w:txbxContent>
              </v:textbox>
              <w10:wrap type="none"/>
            </v:shape>
            <v:shape style="position:absolute;left:3958;top:4481;width:1472;height:593" type="#_x0000_t202" filled="false" stroked="false">
              <v:textbox inset="0,0,0,0">
                <w:txbxContent>
                  <w:p>
                    <w:pPr>
                      <w:spacing w:before="0"/>
                      <w:ind w:left="80" w:right="0" w:firstLine="0"/>
                      <w:jc w:val="left"/>
                      <w:rPr>
                        <w:sz w:val="18"/>
                      </w:rPr>
                    </w:pPr>
                    <w:r>
                      <w:rPr>
                        <w:color w:val="585858"/>
                        <w:sz w:val="18"/>
                      </w:rPr>
                      <w:t>Population</w:t>
                    </w:r>
                  </w:p>
                  <w:p>
                    <w:pPr>
                      <w:spacing w:line="240" w:lineRule="auto" w:before="1"/>
                      <w:rPr>
                        <w:sz w:val="16"/>
                      </w:rPr>
                    </w:pPr>
                  </w:p>
                  <w:p>
                    <w:pPr>
                      <w:spacing w:before="0"/>
                      <w:ind w:left="0" w:right="0" w:firstLine="0"/>
                      <w:jc w:val="left"/>
                      <w:rPr>
                        <w:sz w:val="18"/>
                      </w:rPr>
                    </w:pPr>
                    <w:r>
                      <w:rPr>
                        <w:color w:val="585858"/>
                        <w:sz w:val="18"/>
                      </w:rPr>
                      <w:t>Geoforummedlem</w:t>
                    </w:r>
                  </w:p>
                </w:txbxContent>
              </v:textbox>
              <w10:wrap type="none"/>
            </v:shape>
            <v:shape style="position:absolute;left:5897;top:4481;width:3057;height:584" type="#_x0000_t202" filled="false" stroked="false">
              <v:textbox inset="0,0,0,0">
                <w:txbxContent>
                  <w:p>
                    <w:pPr>
                      <w:spacing w:before="0"/>
                      <w:ind w:left="0" w:right="18" w:firstLine="0"/>
                      <w:jc w:val="right"/>
                      <w:rPr>
                        <w:sz w:val="18"/>
                      </w:rPr>
                    </w:pPr>
                    <w:r>
                      <w:rPr>
                        <w:color w:val="585858"/>
                        <w:sz w:val="18"/>
                      </w:rPr>
                      <w:t>Stikprøve</w:t>
                    </w:r>
                  </w:p>
                  <w:p>
                    <w:pPr>
                      <w:spacing w:before="174"/>
                      <w:ind w:left="0" w:right="0" w:firstLine="0"/>
                      <w:jc w:val="left"/>
                      <w:rPr>
                        <w:sz w:val="18"/>
                      </w:rPr>
                    </w:pPr>
                    <w:r>
                      <w:rPr>
                        <w:color w:val="404040"/>
                        <w:sz w:val="18"/>
                      </w:rPr>
                      <w:t>Kortforsyningens brugerdatabase</w:t>
                    </w:r>
                  </w:p>
                </w:txbxContent>
              </v:textbox>
              <w10:wrap type="none"/>
            </v:shape>
            <w10:wrap type="none"/>
          </v:group>
        </w:pict>
      </w:r>
      <w:r>
        <w:rPr/>
        <w:pict>
          <v:shape style="position:absolute;margin-left:82.410751pt;margin-top:88.633743pt;width:13.35pt;height:62.55pt;mso-position-horizontal-relative:page;mso-position-vertical-relative:paragraph;z-index:3304" type="#_x0000_t202" filled="false" stroked="false">
            <v:textbox inset="0,0,0,0" style="layout-flow:vertical;mso-layout-flow-alt:bottom-to-top">
              <w:txbxContent>
                <w:p>
                  <w:pPr>
                    <w:pStyle w:val="BodyText"/>
                    <w:spacing w:before="19"/>
                    <w:ind w:left="20"/>
                  </w:pPr>
                  <w:r>
                    <w:rPr>
                      <w:color w:val="585858"/>
                    </w:rPr>
                    <w:t>Antal brugere</w:t>
                  </w:r>
                </w:p>
              </w:txbxContent>
            </v:textbox>
            <w10:wrap type="none"/>
          </v:shape>
        </w:pict>
      </w:r>
      <w:bookmarkStart w:name="_bookmark28" w:id="44"/>
      <w:bookmarkEnd w:id="44"/>
      <w:r>
        <w:rPr/>
      </w:r>
      <w:r>
        <w:rPr>
          <w:i/>
          <w:color w:val="A21F1F"/>
          <w:sz w:val="18"/>
        </w:rPr>
        <w:t>Figur 10: Antal offentlige brugere i populationen og stikprøven med angivelse af datakilden</w:t>
      </w:r>
    </w:p>
    <w:p>
      <w:pPr>
        <w:pStyle w:val="BodyText"/>
        <w:spacing w:before="4"/>
        <w:rPr>
          <w:i/>
          <w:sz w:val="19"/>
        </w:rPr>
      </w:pPr>
    </w:p>
    <w:tbl>
      <w:tblPr>
        <w:tblW w:w="0" w:type="auto"/>
        <w:jc w:val="left"/>
        <w:tblInd w:w="1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2"/>
        <w:gridCol w:w="1632"/>
        <w:gridCol w:w="2448"/>
        <w:gridCol w:w="1632"/>
        <w:gridCol w:w="1222"/>
      </w:tblGrid>
      <w:tr>
        <w:trPr>
          <w:trHeight w:val="315" w:hRule="atLeast"/>
        </w:trPr>
        <w:tc>
          <w:tcPr>
            <w:tcW w:w="8156" w:type="dxa"/>
            <w:gridSpan w:val="5"/>
            <w:tcBorders>
              <w:left w:val="single" w:sz="6" w:space="0" w:color="BEBEBE"/>
            </w:tcBorders>
            <w:shd w:val="clear" w:color="auto" w:fill="F1F1F1"/>
          </w:tcPr>
          <w:p>
            <w:pPr>
              <w:pStyle w:val="TableParagraph"/>
              <w:rPr>
                <w:rFonts w:ascii="Times New Roman"/>
                <w:sz w:val="18"/>
              </w:rPr>
            </w:pPr>
          </w:p>
        </w:tc>
      </w:tr>
      <w:tr>
        <w:trPr>
          <w:trHeight w:val="2051" w:hRule="atLeast"/>
        </w:trPr>
        <w:tc>
          <w:tcPr>
            <w:tcW w:w="1222" w:type="dxa"/>
            <w:vMerge w:val="restart"/>
            <w:tcBorders>
              <w:left w:val="single" w:sz="6" w:space="0" w:color="BEBEBE"/>
              <w:bottom w:val="single" w:sz="6" w:space="0" w:color="D9D9D9"/>
            </w:tcBorders>
            <w:shd w:val="clear" w:color="auto" w:fill="F1F1F1"/>
          </w:tcPr>
          <w:p>
            <w:pPr>
              <w:pStyle w:val="TableParagraph"/>
              <w:rPr>
                <w:rFonts w:ascii="Times New Roman"/>
                <w:sz w:val="18"/>
              </w:rPr>
            </w:pPr>
          </w:p>
        </w:tc>
        <w:tc>
          <w:tcPr>
            <w:tcW w:w="1632" w:type="dxa"/>
            <w:shd w:val="clear" w:color="auto" w:fill="BD8686"/>
          </w:tcPr>
          <w:p>
            <w:pPr>
              <w:pStyle w:val="TableParagraph"/>
              <w:rPr>
                <w:i/>
                <w:sz w:val="20"/>
              </w:rPr>
            </w:pPr>
          </w:p>
          <w:p>
            <w:pPr>
              <w:pStyle w:val="TableParagraph"/>
              <w:rPr>
                <w:i/>
                <w:sz w:val="20"/>
              </w:rPr>
            </w:pPr>
          </w:p>
          <w:p>
            <w:pPr>
              <w:pStyle w:val="TableParagraph"/>
              <w:rPr>
                <w:i/>
                <w:sz w:val="20"/>
              </w:rPr>
            </w:pPr>
          </w:p>
          <w:p>
            <w:pPr>
              <w:pStyle w:val="TableParagraph"/>
              <w:spacing w:before="9"/>
              <w:rPr>
                <w:i/>
                <w:sz w:val="21"/>
              </w:rPr>
            </w:pPr>
          </w:p>
          <w:p>
            <w:pPr>
              <w:pStyle w:val="TableParagraph"/>
              <w:ind w:left="617" w:right="597"/>
              <w:jc w:val="center"/>
              <w:rPr>
                <w:sz w:val="18"/>
              </w:rPr>
            </w:pPr>
            <w:r>
              <w:rPr>
                <w:color w:val="FFFFFF"/>
                <w:sz w:val="18"/>
              </w:rPr>
              <w:t>57%</w:t>
            </w:r>
          </w:p>
        </w:tc>
        <w:tc>
          <w:tcPr>
            <w:tcW w:w="5302" w:type="dxa"/>
            <w:gridSpan w:val="3"/>
            <w:vMerge w:val="restart"/>
            <w:shd w:val="clear" w:color="auto" w:fill="F1F1F1"/>
          </w:tcPr>
          <w:p>
            <w:pPr>
              <w:pStyle w:val="TableParagraph"/>
              <w:rPr>
                <w:rFonts w:ascii="Times New Roman"/>
                <w:sz w:val="18"/>
              </w:rPr>
            </w:pPr>
          </w:p>
        </w:tc>
      </w:tr>
      <w:tr>
        <w:trPr>
          <w:trHeight w:val="853" w:hRule="atLeast"/>
        </w:trPr>
        <w:tc>
          <w:tcPr>
            <w:tcW w:w="1222" w:type="dxa"/>
            <w:vMerge/>
            <w:tcBorders>
              <w:top w:val="nil"/>
              <w:left w:val="single" w:sz="6" w:space="0" w:color="BEBEBE"/>
              <w:bottom w:val="single" w:sz="6" w:space="0" w:color="D9D9D9"/>
            </w:tcBorders>
            <w:shd w:val="clear" w:color="auto" w:fill="F1F1F1"/>
          </w:tcPr>
          <w:p>
            <w:pPr>
              <w:rPr>
                <w:sz w:val="2"/>
                <w:szCs w:val="2"/>
              </w:rPr>
            </w:pPr>
          </w:p>
        </w:tc>
        <w:tc>
          <w:tcPr>
            <w:tcW w:w="1632" w:type="dxa"/>
            <w:vMerge w:val="restart"/>
            <w:tcBorders>
              <w:bottom w:val="single" w:sz="6" w:space="0" w:color="D9D9D9"/>
            </w:tcBorders>
            <w:shd w:val="clear" w:color="auto" w:fill="901B1B"/>
          </w:tcPr>
          <w:p>
            <w:pPr>
              <w:pStyle w:val="TableParagraph"/>
              <w:rPr>
                <w:i/>
                <w:sz w:val="20"/>
              </w:rPr>
            </w:pPr>
          </w:p>
          <w:p>
            <w:pPr>
              <w:pStyle w:val="TableParagraph"/>
              <w:rPr>
                <w:i/>
                <w:sz w:val="20"/>
              </w:rPr>
            </w:pPr>
          </w:p>
          <w:p>
            <w:pPr>
              <w:pStyle w:val="TableParagraph"/>
              <w:spacing w:before="7"/>
              <w:rPr>
                <w:i/>
                <w:sz w:val="19"/>
              </w:rPr>
            </w:pPr>
          </w:p>
          <w:p>
            <w:pPr>
              <w:pStyle w:val="TableParagraph"/>
              <w:ind w:left="613" w:right="597"/>
              <w:jc w:val="center"/>
              <w:rPr>
                <w:sz w:val="18"/>
              </w:rPr>
            </w:pPr>
            <w:r>
              <w:rPr>
                <w:color w:val="FFFFFF"/>
                <w:sz w:val="18"/>
              </w:rPr>
              <w:t>43%</w:t>
            </w:r>
          </w:p>
        </w:tc>
        <w:tc>
          <w:tcPr>
            <w:tcW w:w="5302" w:type="dxa"/>
            <w:gridSpan w:val="3"/>
            <w:vMerge/>
            <w:tcBorders>
              <w:top w:val="nil"/>
            </w:tcBorders>
            <w:shd w:val="clear" w:color="auto" w:fill="F1F1F1"/>
          </w:tcPr>
          <w:p>
            <w:pPr>
              <w:rPr>
                <w:sz w:val="2"/>
                <w:szCs w:val="2"/>
              </w:rPr>
            </w:pPr>
          </w:p>
        </w:tc>
      </w:tr>
      <w:tr>
        <w:trPr>
          <w:trHeight w:val="493" w:hRule="atLeast"/>
        </w:trPr>
        <w:tc>
          <w:tcPr>
            <w:tcW w:w="1222" w:type="dxa"/>
            <w:vMerge/>
            <w:tcBorders>
              <w:top w:val="nil"/>
              <w:left w:val="single" w:sz="6" w:space="0" w:color="BEBEBE"/>
              <w:bottom w:val="single" w:sz="6" w:space="0" w:color="D9D9D9"/>
            </w:tcBorders>
            <w:shd w:val="clear" w:color="auto" w:fill="F1F1F1"/>
          </w:tcPr>
          <w:p>
            <w:pPr>
              <w:rPr>
                <w:sz w:val="2"/>
                <w:szCs w:val="2"/>
              </w:rPr>
            </w:pPr>
          </w:p>
        </w:tc>
        <w:tc>
          <w:tcPr>
            <w:tcW w:w="1632" w:type="dxa"/>
            <w:vMerge/>
            <w:tcBorders>
              <w:top w:val="nil"/>
              <w:bottom w:val="single" w:sz="6" w:space="0" w:color="D9D9D9"/>
            </w:tcBorders>
            <w:shd w:val="clear" w:color="auto" w:fill="901B1B"/>
          </w:tcPr>
          <w:p>
            <w:pPr>
              <w:rPr>
                <w:sz w:val="2"/>
                <w:szCs w:val="2"/>
              </w:rPr>
            </w:pPr>
          </w:p>
        </w:tc>
        <w:tc>
          <w:tcPr>
            <w:tcW w:w="2448" w:type="dxa"/>
            <w:vMerge w:val="restart"/>
            <w:tcBorders>
              <w:bottom w:val="single" w:sz="6" w:space="0" w:color="D9D9D9"/>
            </w:tcBorders>
            <w:shd w:val="clear" w:color="auto" w:fill="F1F1F1"/>
          </w:tcPr>
          <w:p>
            <w:pPr>
              <w:pStyle w:val="TableParagraph"/>
              <w:rPr>
                <w:rFonts w:ascii="Times New Roman"/>
                <w:sz w:val="18"/>
              </w:rPr>
            </w:pPr>
          </w:p>
        </w:tc>
        <w:tc>
          <w:tcPr>
            <w:tcW w:w="1632" w:type="dxa"/>
            <w:shd w:val="clear" w:color="auto" w:fill="BD8686"/>
          </w:tcPr>
          <w:p>
            <w:pPr>
              <w:pStyle w:val="TableParagraph"/>
              <w:spacing w:before="146"/>
              <w:ind w:left="612" w:right="597"/>
              <w:jc w:val="center"/>
              <w:rPr>
                <w:sz w:val="18"/>
              </w:rPr>
            </w:pPr>
            <w:r>
              <w:rPr>
                <w:color w:val="FFFFFF"/>
                <w:sz w:val="18"/>
              </w:rPr>
              <w:t>73%</w:t>
            </w:r>
          </w:p>
        </w:tc>
        <w:tc>
          <w:tcPr>
            <w:tcW w:w="1222" w:type="dxa"/>
            <w:vMerge w:val="restart"/>
            <w:tcBorders>
              <w:bottom w:val="single" w:sz="6" w:space="0" w:color="D9D9D9"/>
            </w:tcBorders>
            <w:shd w:val="clear" w:color="auto" w:fill="F1F1F1"/>
          </w:tcPr>
          <w:p>
            <w:pPr>
              <w:pStyle w:val="TableParagraph"/>
              <w:rPr>
                <w:rFonts w:ascii="Times New Roman"/>
                <w:sz w:val="18"/>
              </w:rPr>
            </w:pPr>
          </w:p>
        </w:tc>
      </w:tr>
      <w:tr>
        <w:trPr>
          <w:trHeight w:val="177" w:hRule="atLeast"/>
        </w:trPr>
        <w:tc>
          <w:tcPr>
            <w:tcW w:w="1222" w:type="dxa"/>
            <w:vMerge/>
            <w:tcBorders>
              <w:top w:val="nil"/>
              <w:left w:val="single" w:sz="6" w:space="0" w:color="BEBEBE"/>
              <w:bottom w:val="single" w:sz="6" w:space="0" w:color="D9D9D9"/>
            </w:tcBorders>
            <w:shd w:val="clear" w:color="auto" w:fill="F1F1F1"/>
          </w:tcPr>
          <w:p>
            <w:pPr>
              <w:rPr>
                <w:sz w:val="2"/>
                <w:szCs w:val="2"/>
              </w:rPr>
            </w:pPr>
          </w:p>
        </w:tc>
        <w:tc>
          <w:tcPr>
            <w:tcW w:w="1632" w:type="dxa"/>
            <w:vMerge/>
            <w:tcBorders>
              <w:top w:val="nil"/>
              <w:bottom w:val="single" w:sz="6" w:space="0" w:color="D9D9D9"/>
            </w:tcBorders>
            <w:shd w:val="clear" w:color="auto" w:fill="901B1B"/>
          </w:tcPr>
          <w:p>
            <w:pPr>
              <w:rPr>
                <w:sz w:val="2"/>
                <w:szCs w:val="2"/>
              </w:rPr>
            </w:pPr>
          </w:p>
        </w:tc>
        <w:tc>
          <w:tcPr>
            <w:tcW w:w="2448" w:type="dxa"/>
            <w:vMerge/>
            <w:tcBorders>
              <w:top w:val="nil"/>
              <w:bottom w:val="single" w:sz="6" w:space="0" w:color="D9D9D9"/>
            </w:tcBorders>
            <w:shd w:val="clear" w:color="auto" w:fill="F1F1F1"/>
          </w:tcPr>
          <w:p>
            <w:pPr>
              <w:rPr>
                <w:sz w:val="2"/>
                <w:szCs w:val="2"/>
              </w:rPr>
            </w:pPr>
          </w:p>
        </w:tc>
        <w:tc>
          <w:tcPr>
            <w:tcW w:w="1632" w:type="dxa"/>
            <w:tcBorders>
              <w:bottom w:val="single" w:sz="6" w:space="0" w:color="D9D9D9"/>
            </w:tcBorders>
            <w:shd w:val="clear" w:color="auto" w:fill="901B1B"/>
          </w:tcPr>
          <w:p>
            <w:pPr>
              <w:pStyle w:val="TableParagraph"/>
              <w:spacing w:line="158" w:lineRule="exact"/>
              <w:ind w:left="629" w:right="587"/>
              <w:jc w:val="center"/>
              <w:rPr>
                <w:sz w:val="18"/>
              </w:rPr>
            </w:pPr>
            <w:r>
              <w:rPr>
                <w:color w:val="FFFFFF"/>
                <w:sz w:val="18"/>
              </w:rPr>
              <w:t>28%</w:t>
            </w:r>
          </w:p>
        </w:tc>
        <w:tc>
          <w:tcPr>
            <w:tcW w:w="1222" w:type="dxa"/>
            <w:vMerge/>
            <w:tcBorders>
              <w:top w:val="nil"/>
              <w:bottom w:val="single" w:sz="6" w:space="0" w:color="D9D9D9"/>
            </w:tcBorders>
            <w:shd w:val="clear" w:color="auto" w:fill="F1F1F1"/>
          </w:tcPr>
          <w:p>
            <w:pPr>
              <w:rPr>
                <w:sz w:val="2"/>
                <w:szCs w:val="2"/>
              </w:rPr>
            </w:pPr>
          </w:p>
        </w:tc>
      </w:tr>
    </w:tbl>
    <w:p>
      <w:pPr>
        <w:pStyle w:val="BodyText"/>
        <w:rPr>
          <w:i/>
        </w:rPr>
      </w:pPr>
    </w:p>
    <w:p>
      <w:pPr>
        <w:pStyle w:val="BodyText"/>
        <w:rPr>
          <w:i/>
        </w:rPr>
      </w:pPr>
    </w:p>
    <w:p>
      <w:pPr>
        <w:pStyle w:val="BodyText"/>
        <w:rPr>
          <w:i/>
        </w:rPr>
      </w:pPr>
    </w:p>
    <w:p>
      <w:pPr>
        <w:pStyle w:val="BodyText"/>
        <w:spacing w:before="10"/>
        <w:rPr>
          <w:i/>
          <w:sz w:val="27"/>
        </w:rPr>
      </w:pPr>
    </w:p>
    <w:p>
      <w:pPr>
        <w:spacing w:before="1"/>
        <w:ind w:left="278" w:right="0" w:firstLine="0"/>
        <w:jc w:val="left"/>
        <w:rPr>
          <w:i/>
          <w:sz w:val="18"/>
        </w:rPr>
      </w:pPr>
      <w:r>
        <w:rPr/>
        <w:pict>
          <v:shape style="position:absolute;margin-left:294.410004pt;margin-top:-25.319996pt;width:129.2pt;height:10.25pt;mso-position-horizontal-relative:page;mso-position-vertical-relative:paragraph;z-index:-179296" type="#_x0000_t202" filled="false" stroked="false">
            <v:textbox inset="0,0,0,0">
              <w:txbxContent>
                <w:p>
                  <w:pPr>
                    <w:spacing w:before="0"/>
                    <w:ind w:left="0" w:right="0" w:firstLine="0"/>
                    <w:jc w:val="left"/>
                    <w:rPr>
                      <w:sz w:val="18"/>
                    </w:rPr>
                  </w:pPr>
                  <w:r>
                    <w:rPr>
                      <w:color w:val="585858"/>
                      <w:sz w:val="18"/>
                    </w:rPr>
                    <w:t>Kortforsyning</w:t>
                  </w:r>
                  <w:r>
                    <w:rPr>
                      <w:color w:val="585858"/>
                      <w:spacing w:val="-10"/>
                      <w:sz w:val="18"/>
                    </w:rPr>
                    <w:t> </w:t>
                  </w:r>
                  <w:r>
                    <w:rPr>
                      <w:color w:val="585858"/>
                      <w:sz w:val="18"/>
                    </w:rPr>
                    <w:t>medlamdsatabase</w:t>
                  </w:r>
                </w:p>
              </w:txbxContent>
            </v:textbox>
            <w10:wrap type="none"/>
          </v:shape>
        </w:pict>
      </w:r>
      <w:r>
        <w:rPr>
          <w:b/>
          <w:i/>
          <w:color w:val="A21F1F"/>
          <w:sz w:val="18"/>
        </w:rPr>
        <w:t>Kilde: </w:t>
      </w:r>
      <w:r>
        <w:rPr>
          <w:i/>
          <w:color w:val="A21F1F"/>
          <w:sz w:val="18"/>
        </w:rPr>
        <w:t>Spørgeskemaundersøgelse udført blandt offentlige myndigheder</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17"/>
        </w:rPr>
      </w:pPr>
      <w:r>
        <w:rPr/>
        <w:pict>
          <v:line style="position:absolute;mso-position-horizontal-relative:page;mso-position-vertical-relative:paragraph;z-index:1112;mso-wrap-distance-left:0;mso-wrap-distance-right:0" from="70.944pt,12.421254pt" to="214.964pt,12.421254pt" stroked="true" strokeweight=".47998pt" strokecolor="#000000">
            <v:stroke dashstyle="solid"/>
            <w10:wrap type="topAndBottom"/>
          </v:line>
        </w:pict>
      </w:r>
    </w:p>
    <w:p>
      <w:pPr>
        <w:pStyle w:val="BodyText"/>
        <w:spacing w:before="63"/>
        <w:ind w:left="278"/>
      </w:pPr>
      <w:r>
        <w:rPr>
          <w:position w:val="5"/>
          <w:sz w:val="13"/>
        </w:rPr>
        <w:t>3 </w:t>
      </w:r>
      <w:r>
        <w:rPr/>
        <w:t>En række multiforsyningsselskaber har valgt at angive sig under ”Anden branche”.</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 </w:t>
      </w:r>
      <w:hyperlink w:history="true" w:anchor="_bookmark29">
        <w:r>
          <w:rPr/>
          <w:t>Figur 11 </w:t>
        </w:r>
      </w:hyperlink>
      <w:r>
        <w:rPr/>
        <w:t>nedenfor vises de 80 offentlige brugere, der indgår i stikprøven, fordelt på myndighedsniveauer.</w:t>
      </w:r>
    </w:p>
    <w:p>
      <w:pPr>
        <w:pStyle w:val="BodyText"/>
        <w:rPr>
          <w:sz w:val="31"/>
        </w:rPr>
      </w:pPr>
    </w:p>
    <w:p>
      <w:pPr>
        <w:spacing w:before="1"/>
        <w:ind w:left="278" w:right="0" w:firstLine="0"/>
        <w:jc w:val="left"/>
        <w:rPr>
          <w:i/>
          <w:sz w:val="18"/>
        </w:rPr>
      </w:pPr>
      <w:r>
        <w:rPr/>
        <w:pict>
          <v:group style="position:absolute;margin-left:70.900002pt;margin-top:16.37295pt;width:471.6pt;height:150.6pt;mso-position-horizontal-relative:page;mso-position-vertical-relative:paragraph;z-index:1472;mso-wrap-distance-left:0;mso-wrap-distance-right:0" coordorigin="1418,327" coordsize="9432,3012">
            <v:rect style="position:absolute;left:1418;top:327;width:9432;height:3012" filled="true" fillcolor="#f1f1f1" stroked="false">
              <v:fill type="solid"/>
            </v:rect>
            <v:shape style="position:absolute;left:4895;top:735;width:1098;height:1098" coordorigin="4895,736" coordsize="1098,1098" path="m4895,736l4895,1833,5993,1833,5990,1758,5983,1685,5971,1612,5954,1542,5932,1473,5907,1406,5877,1342,5843,1279,5805,1220,5764,1163,5719,1108,5671,1057,5620,1009,5566,964,5509,923,5449,886,5387,852,5322,822,5256,796,5187,775,5116,758,5044,746,4970,738,4895,736xe" filled="true" fillcolor="#7e1717" stroked="false">
              <v:path arrowok="t"/>
              <v:fill type="solid"/>
            </v:shape>
            <v:shape style="position:absolute;left:4895;top:735;width:1098;height:1098" coordorigin="4895,736" coordsize="1098,1098" path="m4895,736l4970,738,5044,746,5116,758,5187,775,5256,796,5322,822,5387,852,5449,886,5509,923,5566,964,5620,1009,5671,1057,5719,1108,5764,1163,5805,1220,5843,1279,5877,1342,5907,1406,5932,1473,5954,1542,5971,1612,5983,1685,5990,1758,5993,1833,4895,1833,4895,736xe" filled="false" stroked="true" strokeweight="1.56pt" strokecolor="#ffffff">
              <v:path arrowok="t"/>
              <v:stroke dashstyle="solid"/>
            </v:shape>
            <v:shape style="position:absolute;left:4895;top:1833;width:1098;height:340" coordorigin="4895,1833" coordsize="1098,340" path="m5993,1833l4895,1833,5939,2173,5963,2090,5979,2005,5990,1920,5993,1833xe" filled="true" fillcolor="#971d1d" stroked="false">
              <v:path arrowok="t"/>
              <v:fill type="solid"/>
            </v:shape>
            <v:shape style="position:absolute;left:4895;top:1833;width:1098;height:340" coordorigin="4895,1833" coordsize="1098,340" path="m5993,1833l5990,1920,5979,2005,5963,2090,5939,2173,4895,1833,5993,1833xe" filled="false" stroked="true" strokeweight="1.56pt" strokecolor="#ffffff">
              <v:path arrowok="t"/>
              <v:stroke dashstyle="solid"/>
            </v:shape>
            <v:shape style="position:absolute;left:3811;top:1833;width:2129;height:1098" coordorigin="3811,1833" coordsize="2129,1098" path="m4895,1833l3811,2005,3826,2081,3845,2155,3870,2226,3899,2296,3933,2362,3972,2427,4014,2488,4061,2546,4111,2601,4165,2653,4222,2701,4283,2745,4347,2785,4414,2820,4484,2851,4556,2877,4628,2898,4701,2914,4773,2925,4846,2930,4918,2931,4989,2927,5060,2919,5129,2906,5198,2889,5265,2867,5330,2841,5394,2812,5455,2778,5514,2740,5571,2698,5625,2653,5677,2605,5725,2552,5770,2497,5812,2438,5850,2376,5884,2311,5914,2243,5939,2173,4895,1833xe" filled="true" fillcolor="#b46c6c" stroked="false">
              <v:path arrowok="t"/>
              <v:fill type="solid"/>
            </v:shape>
            <v:shape style="position:absolute;left:3811;top:1833;width:2129;height:1098" coordorigin="3811,1833" coordsize="2129,1098" path="m5939,2173l5914,2243,5884,2311,5850,2376,5812,2438,5770,2497,5725,2552,5677,2605,5625,2653,5571,2698,5514,2740,5455,2778,5394,2812,5330,2841,5265,2867,5198,2889,5129,2906,5060,2919,4989,2927,4918,2931,4846,2930,4773,2925,4701,2914,4628,2898,4556,2877,4484,2851,4414,2820,4347,2785,4283,2745,4222,2701,4165,2653,4111,2601,4061,2546,4014,2488,3972,2427,3933,2362,3899,2296,3870,2226,3845,2155,3826,2081,3811,2005,4895,1833,5939,2173xe" filled="false" stroked="true" strokeweight="1.56pt" strokecolor="#ffffff">
              <v:path arrowok="t"/>
              <v:stroke dashstyle="solid"/>
            </v:shape>
            <v:shape style="position:absolute;left:3797;top:735;width:1098;height:1270" coordorigin="3798,736" coordsize="1098,1270" path="m4895,736l4809,739,4723,749,4650,764,4578,782,4508,806,4441,834,4377,865,4315,901,4256,941,4200,984,4147,1030,4097,1080,4050,1133,4007,1188,3968,1246,3932,1307,3900,1370,3872,1435,3849,1501,3829,1570,3814,1640,3804,1711,3798,1783,3798,1857,3802,1931,3811,2005,4895,1833,4895,736xe" filled="true" fillcolor="#d0aeae" stroked="false">
              <v:path arrowok="t"/>
              <v:fill type="solid"/>
            </v:shape>
            <v:shape style="position:absolute;left:3797;top:735;width:1098;height:1270" coordorigin="3798,736" coordsize="1098,1270" path="m3811,2005l3802,1931,3798,1857,3798,1783,3804,1711,3814,1640,3829,1570,3849,1501,3872,1435,3900,1370,3932,1307,3968,1246,4007,1188,4050,1133,4097,1080,4147,1030,4200,984,4256,941,4315,901,4377,865,4441,834,4508,806,4578,782,4650,764,4723,749,4809,739,4895,736,4895,1833,3811,2005xe" filled="false" stroked="true" strokeweight="1.56pt" strokecolor="#ffffff">
              <v:path arrowok="t"/>
              <v:stroke dashstyle="solid"/>
            </v:shape>
            <v:rect style="position:absolute;left:7537;top:748;width:103;height:103" filled="true" fillcolor="#7e1717" stroked="false">
              <v:fill type="solid"/>
            </v:rect>
            <v:rect style="position:absolute;left:7537;top:748;width:103;height:103" filled="false" stroked="true" strokeweight="1.5pt" strokecolor="#ffffff">
              <v:stroke dashstyle="solid"/>
            </v:rect>
            <v:rect style="position:absolute;left:7537;top:1274;width:103;height:103" filled="true" fillcolor="#971d1d" stroked="false">
              <v:fill type="solid"/>
            </v:rect>
            <v:rect style="position:absolute;left:7537;top:1274;width:103;height:103" filled="false" stroked="true" strokeweight="1.5pt" strokecolor="#ffffff">
              <v:stroke dashstyle="solid"/>
            </v:rect>
            <v:rect style="position:absolute;left:7537;top:1800;width:103;height:103" filled="true" fillcolor="#b46c6c" stroked="false">
              <v:fill type="solid"/>
            </v:rect>
            <v:rect style="position:absolute;left:7537;top:1800;width:103;height:103" filled="false" stroked="true" strokeweight="1.5pt" strokecolor="#ffffff">
              <v:stroke dashstyle="solid"/>
            </v:rect>
            <v:rect style="position:absolute;left:7537;top:2326;width:103;height:103" filled="true" fillcolor="#d0aeae" stroked="false">
              <v:fill type="solid"/>
            </v:rect>
            <v:rect style="position:absolute;left:7537;top:2326;width:103;height:103" filled="false" stroked="true" strokeweight="1.5pt" strokecolor="#ffffff">
              <v:stroke dashstyle="solid"/>
            </v:rect>
            <v:shape style="position:absolute;left:7685;top:2257;width:1057;height:454" type="#_x0000_t202" filled="false" stroked="false">
              <v:textbox inset="0,0,0,0">
                <w:txbxContent>
                  <w:p>
                    <w:pPr>
                      <w:spacing w:before="0"/>
                      <w:ind w:left="0" w:right="0" w:firstLine="0"/>
                      <w:jc w:val="left"/>
                      <w:rPr>
                        <w:sz w:val="20"/>
                      </w:rPr>
                    </w:pPr>
                    <w:r>
                      <w:rPr>
                        <w:color w:val="7E7E7E"/>
                        <w:sz w:val="20"/>
                      </w:rPr>
                      <w:t>Selvejende </w:t>
                    </w:r>
                    <w:r>
                      <w:rPr>
                        <w:color w:val="7E7E7E"/>
                        <w:w w:val="95"/>
                        <w:sz w:val="20"/>
                      </w:rPr>
                      <w:t>insitutioner</w:t>
                    </w:r>
                  </w:p>
                </w:txbxContent>
              </v:textbox>
              <w10:wrap type="none"/>
            </v:shape>
            <v:shape style="position:absolute;left:4584;top:2517;width:406;height:227" type="#_x0000_t202" filled="false" stroked="false">
              <v:textbox inset="0,0,0,0">
                <w:txbxContent>
                  <w:p>
                    <w:pPr>
                      <w:spacing w:line="226" w:lineRule="exact" w:before="0"/>
                      <w:ind w:left="0" w:right="0" w:firstLine="0"/>
                      <w:jc w:val="left"/>
                      <w:rPr>
                        <w:sz w:val="20"/>
                      </w:rPr>
                    </w:pPr>
                    <w:r>
                      <w:rPr>
                        <w:color w:val="FFFFFF"/>
                        <w:sz w:val="20"/>
                      </w:rPr>
                      <w:t>42%</w:t>
                    </w:r>
                  </w:p>
                </w:txbxContent>
              </v:textbox>
              <w10:wrap type="none"/>
            </v:shape>
            <v:shape style="position:absolute;left:7685;top:1731;width:1031;height:227" type="#_x0000_t202" filled="false" stroked="false">
              <v:textbox inset="0,0,0,0">
                <w:txbxContent>
                  <w:p>
                    <w:pPr>
                      <w:spacing w:line="226" w:lineRule="exact" w:before="0"/>
                      <w:ind w:left="0" w:right="0" w:firstLine="0"/>
                      <w:jc w:val="left"/>
                      <w:rPr>
                        <w:sz w:val="20"/>
                      </w:rPr>
                    </w:pPr>
                    <w:r>
                      <w:rPr>
                        <w:color w:val="7E7E7E"/>
                        <w:sz w:val="20"/>
                      </w:rPr>
                      <w:t>Kommuner</w:t>
                    </w:r>
                  </w:p>
                </w:txbxContent>
              </v:textbox>
              <w10:wrap type="none"/>
            </v:shape>
            <v:shape style="position:absolute;left:5618;top:1827;width:289;height:227" type="#_x0000_t202" filled="false" stroked="false">
              <v:textbox inset="0,0,0,0">
                <w:txbxContent>
                  <w:p>
                    <w:pPr>
                      <w:spacing w:line="226" w:lineRule="exact" w:before="0"/>
                      <w:ind w:left="0" w:right="0" w:firstLine="0"/>
                      <w:jc w:val="left"/>
                      <w:rPr>
                        <w:sz w:val="20"/>
                      </w:rPr>
                    </w:pPr>
                    <w:r>
                      <w:rPr>
                        <w:color w:val="FFFFFF"/>
                        <w:sz w:val="20"/>
                      </w:rPr>
                      <w:t>5%</w:t>
                    </w:r>
                  </w:p>
                </w:txbxContent>
              </v:textbox>
              <w10:wrap type="none"/>
            </v:shape>
            <v:shape style="position:absolute;left:7685;top:679;width:1193;height:753" type="#_x0000_t202" filled="false" stroked="false">
              <v:textbox inset="0,0,0,0">
                <w:txbxContent>
                  <w:p>
                    <w:pPr>
                      <w:spacing w:before="0"/>
                      <w:ind w:left="0" w:right="0" w:firstLine="0"/>
                      <w:jc w:val="left"/>
                      <w:rPr>
                        <w:sz w:val="20"/>
                      </w:rPr>
                    </w:pPr>
                    <w:r>
                      <w:rPr>
                        <w:color w:val="7E7E7E"/>
                        <w:sz w:val="20"/>
                      </w:rPr>
                      <w:t>Statslige </w:t>
                    </w:r>
                    <w:r>
                      <w:rPr>
                        <w:color w:val="7E7E7E"/>
                        <w:w w:val="95"/>
                        <w:sz w:val="20"/>
                      </w:rPr>
                      <w:t>myndigheder</w:t>
                    </w:r>
                  </w:p>
                  <w:p>
                    <w:pPr>
                      <w:spacing w:before="71"/>
                      <w:ind w:left="0" w:right="0" w:firstLine="0"/>
                      <w:jc w:val="left"/>
                      <w:rPr>
                        <w:sz w:val="20"/>
                      </w:rPr>
                    </w:pPr>
                    <w:r>
                      <w:rPr>
                        <w:color w:val="7E7E7E"/>
                        <w:sz w:val="20"/>
                      </w:rPr>
                      <w:t>Regioner</w:t>
                    </w:r>
                  </w:p>
                </w:txbxContent>
              </v:textbox>
              <w10:wrap type="none"/>
            </v:shape>
            <v:shape style="position:absolute;left:5303;top:1197;width:399;height:227" type="#_x0000_t202" filled="false" stroked="false">
              <v:textbox inset="0,0,0,0">
                <w:txbxContent>
                  <w:p>
                    <w:pPr>
                      <w:spacing w:line="226" w:lineRule="exact" w:before="0"/>
                      <w:ind w:left="0" w:right="0" w:firstLine="0"/>
                      <w:jc w:val="left"/>
                      <w:rPr>
                        <w:sz w:val="20"/>
                      </w:rPr>
                    </w:pPr>
                    <w:r>
                      <w:rPr>
                        <w:color w:val="FFFFFF"/>
                        <w:sz w:val="20"/>
                      </w:rPr>
                      <w:t>25%</w:t>
                    </w:r>
                  </w:p>
                </w:txbxContent>
              </v:textbox>
              <w10:wrap type="none"/>
            </v:shape>
            <v:shape style="position:absolute;left:4059;top:1227;width:411;height:227" type="#_x0000_t202" filled="false" stroked="false">
              <v:textbox inset="0,0,0,0">
                <w:txbxContent>
                  <w:p>
                    <w:pPr>
                      <w:spacing w:line="226" w:lineRule="exact" w:before="0"/>
                      <w:ind w:left="0" w:right="0" w:firstLine="0"/>
                      <w:jc w:val="left"/>
                      <w:rPr>
                        <w:sz w:val="20"/>
                      </w:rPr>
                    </w:pPr>
                    <w:r>
                      <w:rPr>
                        <w:color w:val="FFFFFF"/>
                        <w:sz w:val="20"/>
                      </w:rPr>
                      <w:t>28%</w:t>
                    </w:r>
                  </w:p>
                </w:txbxContent>
              </v:textbox>
              <w10:wrap type="none"/>
            </v:shape>
            <w10:wrap type="topAndBottom"/>
          </v:group>
        </w:pict>
      </w:r>
      <w:bookmarkStart w:name="_bookmark29" w:id="45"/>
      <w:bookmarkEnd w:id="45"/>
      <w:r>
        <w:rPr/>
      </w:r>
      <w:r>
        <w:rPr>
          <w:i/>
          <w:color w:val="A21F1F"/>
          <w:sz w:val="18"/>
        </w:rPr>
        <w:t>Figur 11: Besvarelser fordelt på myndighedsniveauer</w:t>
      </w:r>
    </w:p>
    <w:p>
      <w:pPr>
        <w:pStyle w:val="BodyText"/>
        <w:spacing w:before="4"/>
        <w:rPr>
          <w:i/>
          <w:sz w:val="18"/>
        </w:rPr>
      </w:pPr>
    </w:p>
    <w:p>
      <w:pPr>
        <w:spacing w:before="0"/>
        <w:ind w:left="278" w:right="0" w:firstLine="0"/>
        <w:jc w:val="left"/>
        <w:rPr>
          <w:i/>
          <w:sz w:val="18"/>
        </w:rPr>
      </w:pPr>
      <w:r>
        <w:rPr>
          <w:b/>
          <w:i/>
          <w:color w:val="A21F1F"/>
          <w:sz w:val="18"/>
        </w:rPr>
        <w:t>Kilde: </w:t>
      </w:r>
      <w:r>
        <w:rPr>
          <w:i/>
          <w:color w:val="A21F1F"/>
          <w:sz w:val="18"/>
        </w:rPr>
        <w:t>Spørgeskemaundersøgelse udført blandt offentlige myndigheder</w:t>
      </w:r>
    </w:p>
    <w:p>
      <w:pPr>
        <w:spacing w:before="122"/>
        <w:ind w:left="278" w:right="0" w:firstLine="0"/>
        <w:jc w:val="left"/>
        <w:rPr>
          <w:i/>
          <w:sz w:val="18"/>
        </w:rPr>
      </w:pPr>
      <w:r>
        <w:rPr>
          <w:b/>
          <w:color w:val="A21F1F"/>
          <w:sz w:val="18"/>
        </w:rPr>
        <w:t>N: </w:t>
      </w:r>
      <w:r>
        <w:rPr>
          <w:i/>
          <w:color w:val="A21F1F"/>
          <w:sz w:val="18"/>
        </w:rPr>
        <w:t>80</w:t>
      </w:r>
    </w:p>
    <w:p>
      <w:pPr>
        <w:pStyle w:val="BodyText"/>
        <w:spacing w:before="4"/>
        <w:rPr>
          <w:i/>
          <w:sz w:val="28"/>
        </w:rPr>
      </w:pPr>
    </w:p>
    <w:p>
      <w:pPr>
        <w:pStyle w:val="Heading3"/>
        <w:numPr>
          <w:ilvl w:val="2"/>
          <w:numId w:val="11"/>
        </w:numPr>
        <w:tabs>
          <w:tab w:pos="999" w:val="left" w:leader="none"/>
        </w:tabs>
        <w:spacing w:line="240" w:lineRule="auto" w:before="0" w:after="0"/>
        <w:ind w:left="998" w:right="0" w:hanging="720"/>
        <w:jc w:val="left"/>
        <w:rPr>
          <w:i/>
        </w:rPr>
      </w:pPr>
      <w:bookmarkStart w:name="_bookmark30" w:id="46"/>
      <w:bookmarkEnd w:id="46"/>
      <w:r>
        <w:rPr>
          <w:i w:val="0"/>
        </w:rPr>
      </w:r>
      <w:bookmarkStart w:name="_bookmark30" w:id="47"/>
      <w:bookmarkEnd w:id="47"/>
      <w:r>
        <w:rPr>
          <w:i/>
          <w:color w:val="A21F1F"/>
        </w:rPr>
        <w:t>Data</w:t>
      </w:r>
      <w:r>
        <w:rPr>
          <w:i/>
          <w:color w:val="A21F1F"/>
        </w:rPr>
        <w:t>kvalitet</w:t>
      </w:r>
    </w:p>
    <w:p>
      <w:pPr>
        <w:pStyle w:val="BodyText"/>
        <w:spacing w:line="360" w:lineRule="auto" w:before="244"/>
        <w:ind w:left="278" w:right="1045"/>
      </w:pPr>
      <w:r>
        <w:rPr/>
        <w:t>Overordnet set vurderes datagrundlaget at være robust og tilstrækkeligt til at sikre en valid undersøgelse, og generelt er der god repræsentativitet i de indsamlede data. For den offentlige sektor gælder det, at der er et tilstrækkeligt datagrundlag for både statslige myndigheder, regioner, kommuner og selvejende institutioner. Nedenstående kort viser fordelingen af de kommuner, der har deltaget i undersøgelsen, og det ses således, at både store og små kommuner har deltaget, samt at de har en god geografisk spredning.</w:t>
      </w:r>
    </w:p>
    <w:p>
      <w:pPr>
        <w:pStyle w:val="BodyText"/>
        <w:rPr>
          <w:sz w:val="21"/>
        </w:rPr>
      </w:pPr>
    </w:p>
    <w:p>
      <w:pPr>
        <w:spacing w:before="0"/>
        <w:ind w:left="278" w:right="0" w:firstLine="0"/>
        <w:jc w:val="left"/>
        <w:rPr>
          <w:i/>
          <w:sz w:val="18"/>
        </w:rPr>
      </w:pPr>
      <w:r>
        <w:rPr>
          <w:i/>
          <w:color w:val="A21F1F"/>
          <w:sz w:val="18"/>
        </w:rPr>
        <w:t>Figur 12: Oversigt over, hvilke kommuner, der har deltaget i spørgeskemaundersøgelsen</w:t>
      </w:r>
    </w:p>
    <w:p>
      <w:pPr>
        <w:pStyle w:val="BodyText"/>
        <w:spacing w:before="9"/>
        <w:rPr>
          <w:i/>
          <w:sz w:val="13"/>
        </w:rPr>
      </w:pPr>
      <w:r>
        <w:rPr/>
        <w:pict>
          <v:group style="position:absolute;margin-left:137.073578pt;margin-top:10.54732pt;width:366.55pt;height:275.350pt;mso-position-horizontal-relative:page;mso-position-vertical-relative:paragraph;z-index:1520;mso-wrap-distance-left:0;mso-wrap-distance-right:0" coordorigin="2741,211" coordsize="7331,5507">
            <v:shape style="position:absolute;left:2741;top:210;width:7046;height:5507" type="#_x0000_t75" stroked="false">
              <v:imagedata r:id="rId16" o:title=""/>
            </v:shape>
            <v:shape style="position:absolute;left:8581;top:849;width:1491;height:205" type="#_x0000_t202" filled="false" stroked="false">
              <v:textbox inset="0,0,0,0">
                <w:txbxContent>
                  <w:p>
                    <w:pPr>
                      <w:spacing w:before="0"/>
                      <w:ind w:left="0" w:right="0" w:firstLine="0"/>
                      <w:jc w:val="left"/>
                      <w:rPr>
                        <w:sz w:val="18"/>
                      </w:rPr>
                    </w:pPr>
                    <w:r>
                      <w:rPr>
                        <w:color w:val="404040"/>
                        <w:sz w:val="18"/>
                      </w:rPr>
                      <w:t>Signaturforklaring</w:t>
                    </w:r>
                  </w:p>
                </w:txbxContent>
              </v:textbox>
              <w10:wrap type="none"/>
            </v:shape>
            <w10:wrap type="topAndBottom"/>
          </v:group>
        </w:pict>
      </w:r>
    </w:p>
    <w:p>
      <w:pPr>
        <w:spacing w:after="0"/>
        <w:rPr>
          <w:sz w:val="13"/>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Ligeledes gælder det i den private sektor, at der er god spredning i forhold til virksomhedernes branche,</w:t>
      </w:r>
    </w:p>
    <w:p>
      <w:pPr>
        <w:pStyle w:val="BodyText"/>
        <w:spacing w:before="114"/>
        <w:ind w:left="278"/>
      </w:pPr>
      <w:r>
        <w:rPr/>
        <w:t>størrelse og geografiske placering.</w:t>
      </w:r>
    </w:p>
    <w:p>
      <w:pPr>
        <w:pStyle w:val="BodyText"/>
        <w:spacing w:before="1"/>
        <w:rPr>
          <w:sz w:val="31"/>
        </w:rPr>
      </w:pPr>
    </w:p>
    <w:p>
      <w:pPr>
        <w:pStyle w:val="BodyText"/>
        <w:spacing w:line="360" w:lineRule="auto"/>
        <w:ind w:left="278" w:right="1070"/>
      </w:pPr>
      <w:r>
        <w:rPr/>
        <w:t>Sammenlignes antallet af besvarelser i eftermålingen med antallet af besvarelser i før-målingen, ses det, at datagrundgrundlaget i nærværende måling overordnet set indeholder flere besvarelser. I </w:t>
      </w:r>
      <w:hyperlink w:history="true" w:anchor="_bookmark31">
        <w:r>
          <w:rPr/>
          <w:t>Figur 13 </w:t>
        </w:r>
      </w:hyperlink>
      <w:r>
        <w:rPr/>
        <w:t>nedenfor vises antallet af besvarelser i årets måling sammenlignet med antallet af besvarelser i før-målingen fordelt på respondenttyperne øvrige private virksomheder, forsyningsselskaber og offentlige myndigheder. I </w:t>
      </w:r>
      <w:hyperlink w:history="true" w:anchor="_bookmark31">
        <w:r>
          <w:rPr/>
          <w:t>Figur</w:t>
        </w:r>
      </w:hyperlink>
      <w:r>
        <w:rPr/>
        <w:t> </w:t>
      </w:r>
      <w:hyperlink w:history="true" w:anchor="_bookmark31">
        <w:r>
          <w:rPr/>
          <w:t>13 </w:t>
        </w:r>
      </w:hyperlink>
      <w:r>
        <w:rPr/>
        <w:t>ses det altså, at antallet af respondenter inden for alle de tre respondenttyper er øget, sammenlignet med</w:t>
      </w:r>
      <w:r>
        <w:rPr>
          <w:spacing w:val="-2"/>
        </w:rPr>
        <w:t> </w:t>
      </w:r>
      <w:r>
        <w:rPr/>
        <w:t>før-målingen.</w:t>
      </w:r>
    </w:p>
    <w:p>
      <w:pPr>
        <w:pStyle w:val="BodyText"/>
        <w:rPr>
          <w:sz w:val="21"/>
        </w:rPr>
      </w:pPr>
    </w:p>
    <w:p>
      <w:pPr>
        <w:spacing w:before="0"/>
        <w:ind w:left="278" w:right="0" w:firstLine="0"/>
        <w:jc w:val="left"/>
        <w:rPr>
          <w:i/>
          <w:sz w:val="18"/>
        </w:rPr>
      </w:pPr>
      <w:r>
        <w:rPr/>
        <w:pict>
          <v:group style="position:absolute;margin-left:70.900002pt;margin-top:16.34292pt;width:468.65pt;height:184pt;mso-position-horizontal-relative:page;mso-position-vertical-relative:paragraph;z-index:3736" coordorigin="1418,327" coordsize="9373,3680">
            <v:rect style="position:absolute;left:1418;top:326;width:9373;height:3680" filled="true" fillcolor="#f1f1f1" stroked="false">
              <v:fill type="solid"/>
            </v:rect>
            <v:shape style="position:absolute;left:2359;top:819;width:8212;height:2091" coordorigin="2360,819" coordsize="8212,2091" path="m9900,2910l10571,2910m9120,2910l9286,2910m7162,2910l8506,2910m6382,2910l6547,2910m4426,2910l5770,2910m3646,2910l3811,2910m2360,2910l3031,2910m9900,2562l10571,2562m9120,2562l9286,2562m4426,2562l8506,2562m3646,2562l3811,2562m2360,2562l3031,2562m9120,2214l10571,2214m4426,2214l8506,2214m3646,2214l3811,2214m2360,2214l3031,2214m3646,1866l10571,1866m2360,1866l3031,1866m3646,1516l10571,1516m2360,1516l3031,1516m3646,1168l10571,1168m2360,1168l3031,1168m2360,819l10571,819e" filled="false" stroked="true" strokeweight=".75pt" strokecolor="#d9d9d9">
              <v:path arrowok="t"/>
              <v:stroke dashstyle="solid"/>
            </v:shape>
            <v:shape style="position:absolute;left:3031;top:1115;width:6089;height:2145" coordorigin="3031,1115" coordsize="6089,2145" path="m3646,1115l3031,1115,3031,3260,3646,3260,3646,1115m6382,2701l5770,2701,5770,3260,6382,3260,6382,2701m9120,1866l8506,1866,8506,3260,9120,3260,9120,1866e" filled="true" fillcolor="#901b1b" stroked="false">
              <v:path arrowok="t"/>
              <v:fill type="solid"/>
            </v:shape>
            <v:shape style="position:absolute;left:3811;top:2005;width:6089;height:1255" coordorigin="3811,2005" coordsize="6089,1255" path="m4426,2005l3811,2005,3811,3260,4426,3260,4426,2005m7162,2824l6547,2824,6547,3260,7162,3260,7162,2824m9900,2231l9286,2231,9286,3260,9900,3260,9900,2231e" filled="true" fillcolor="#bd8686" stroked="false">
              <v:path arrowok="t"/>
              <v:fill type="solid"/>
            </v:shape>
            <v:line style="position:absolute" from="2360,3260" to="10571,3260" stroked="true" strokeweight=".75pt" strokecolor="#d9d9d9">
              <v:stroke dashstyle="solid"/>
            </v:line>
            <v:rect style="position:absolute;left:4889;top:3780;width:93;height:93" filled="true" fillcolor="#901b1b" stroked="false">
              <v:fill type="solid"/>
            </v:rect>
            <v:rect style="position:absolute;left:6390;top:3780;width:93;height:93" filled="true" fillcolor="#bd8686" stroked="false">
              <v:fill type="solid"/>
            </v:rect>
            <v:shape style="position:absolute;left:5020;top:3719;width:2419;height:205" type="#_x0000_t202" filled="false" stroked="false">
              <v:textbox inset="0,0,0,0">
                <w:txbxContent>
                  <w:p>
                    <w:pPr>
                      <w:tabs>
                        <w:tab w:pos="1501" w:val="left" w:leader="none"/>
                      </w:tabs>
                      <w:spacing w:before="0"/>
                      <w:ind w:left="0" w:right="0" w:firstLine="0"/>
                      <w:jc w:val="left"/>
                      <w:rPr>
                        <w:sz w:val="18"/>
                      </w:rPr>
                    </w:pPr>
                    <w:r>
                      <w:rPr>
                        <w:color w:val="585858"/>
                        <w:sz w:val="18"/>
                      </w:rPr>
                      <w:t>Måling</w:t>
                    </w:r>
                    <w:r>
                      <w:rPr>
                        <w:color w:val="585858"/>
                        <w:spacing w:val="-2"/>
                        <w:sz w:val="18"/>
                      </w:rPr>
                      <w:t> </w:t>
                    </w:r>
                    <w:r>
                      <w:rPr>
                        <w:color w:val="585858"/>
                        <w:sz w:val="18"/>
                      </w:rPr>
                      <w:t>2016</w:t>
                      <w:tab/>
                      <w:t>Før-måling</w:t>
                    </w:r>
                  </w:p>
                </w:txbxContent>
              </v:textbox>
              <w10:wrap type="none"/>
            </v:shape>
            <v:shape style="position:absolute;left:8258;top:3371;width:1911;height:205" type="#_x0000_t202" filled="false" stroked="false">
              <v:textbox inset="0,0,0,0">
                <w:txbxContent>
                  <w:p>
                    <w:pPr>
                      <w:spacing w:before="0"/>
                      <w:ind w:left="0" w:right="0" w:firstLine="0"/>
                      <w:jc w:val="left"/>
                      <w:rPr>
                        <w:sz w:val="18"/>
                      </w:rPr>
                    </w:pPr>
                    <w:r>
                      <w:rPr>
                        <w:color w:val="585858"/>
                        <w:sz w:val="18"/>
                      </w:rPr>
                      <w:t>Offentlige myndigheder</w:t>
                    </w:r>
                  </w:p>
                </w:txbxContent>
              </v:textbox>
              <w10:wrap type="none"/>
            </v:shape>
            <v:shape style="position:absolute;left:5655;top:3371;width:1642;height:205" type="#_x0000_t202" filled="false" stroked="false">
              <v:textbox inset="0,0,0,0">
                <w:txbxContent>
                  <w:p>
                    <w:pPr>
                      <w:spacing w:before="0"/>
                      <w:ind w:left="0" w:right="0" w:firstLine="0"/>
                      <w:jc w:val="left"/>
                      <w:rPr>
                        <w:sz w:val="18"/>
                      </w:rPr>
                    </w:pPr>
                    <w:r>
                      <w:rPr>
                        <w:color w:val="585858"/>
                        <w:sz w:val="18"/>
                      </w:rPr>
                      <w:t>Forsyningsselskaber</w:t>
                    </w:r>
                  </w:p>
                </w:txbxContent>
              </v:textbox>
              <w10:wrap type="none"/>
            </v:shape>
            <v:shape style="position:absolute;left:2591;top:3371;width:2294;height:205" type="#_x0000_t202" filled="false" stroked="false">
              <v:textbox inset="0,0,0,0">
                <w:txbxContent>
                  <w:p>
                    <w:pPr>
                      <w:spacing w:before="0"/>
                      <w:ind w:left="0" w:right="0" w:firstLine="0"/>
                      <w:jc w:val="left"/>
                      <w:rPr>
                        <w:sz w:val="18"/>
                      </w:rPr>
                    </w:pPr>
                    <w:r>
                      <w:rPr>
                        <w:color w:val="585858"/>
                        <w:sz w:val="18"/>
                      </w:rPr>
                      <w:t>Øvrige private virksomheder</w:t>
                    </w:r>
                  </w:p>
                </w:txbxContent>
              </v:textbox>
              <w10:wrap type="none"/>
            </v:shape>
            <v:shape style="position:absolute;left:1955;top:724;width:288;height:2621" type="#_x0000_t202" filled="false" stroked="false">
              <v:textbox inset="0,0,0,0">
                <w:txbxContent>
                  <w:p>
                    <w:pPr>
                      <w:spacing w:line="179" w:lineRule="exact" w:before="0"/>
                      <w:ind w:left="0" w:right="19" w:firstLine="0"/>
                      <w:jc w:val="center"/>
                      <w:rPr>
                        <w:rFonts w:ascii="Arial"/>
                        <w:sz w:val="16"/>
                      </w:rPr>
                    </w:pPr>
                    <w:r>
                      <w:rPr>
                        <w:rFonts w:ascii="Arial"/>
                        <w:color w:val="585858"/>
                        <w:spacing w:val="-1"/>
                        <w:sz w:val="16"/>
                      </w:rPr>
                      <w:t>140</w:t>
                    </w:r>
                  </w:p>
                  <w:p>
                    <w:pPr>
                      <w:spacing w:line="240" w:lineRule="auto" w:before="5"/>
                      <w:rPr>
                        <w:sz w:val="14"/>
                      </w:rPr>
                    </w:pPr>
                  </w:p>
                  <w:p>
                    <w:pPr>
                      <w:spacing w:before="0"/>
                      <w:ind w:left="0" w:right="19" w:firstLine="0"/>
                      <w:jc w:val="center"/>
                      <w:rPr>
                        <w:rFonts w:ascii="Arial"/>
                        <w:sz w:val="16"/>
                      </w:rPr>
                    </w:pPr>
                    <w:r>
                      <w:rPr>
                        <w:rFonts w:ascii="Arial"/>
                        <w:color w:val="585858"/>
                        <w:spacing w:val="-1"/>
                        <w:sz w:val="16"/>
                      </w:rPr>
                      <w:t>120</w:t>
                    </w:r>
                  </w:p>
                  <w:p>
                    <w:pPr>
                      <w:spacing w:line="240" w:lineRule="auto" w:before="6"/>
                      <w:rPr>
                        <w:sz w:val="14"/>
                      </w:rPr>
                    </w:pPr>
                  </w:p>
                  <w:p>
                    <w:pPr>
                      <w:spacing w:before="0"/>
                      <w:ind w:left="0" w:right="19" w:firstLine="0"/>
                      <w:jc w:val="center"/>
                      <w:rPr>
                        <w:rFonts w:ascii="Arial"/>
                        <w:sz w:val="16"/>
                      </w:rPr>
                    </w:pPr>
                    <w:r>
                      <w:rPr>
                        <w:rFonts w:ascii="Arial"/>
                        <w:color w:val="585858"/>
                        <w:spacing w:val="-1"/>
                        <w:sz w:val="16"/>
                      </w:rPr>
                      <w:t>100</w:t>
                    </w:r>
                  </w:p>
                  <w:p>
                    <w:pPr>
                      <w:spacing w:line="240" w:lineRule="auto" w:before="5"/>
                      <w:rPr>
                        <w:sz w:val="14"/>
                      </w:rPr>
                    </w:pPr>
                  </w:p>
                  <w:p>
                    <w:pPr>
                      <w:spacing w:before="1"/>
                      <w:ind w:left="89" w:right="0" w:firstLine="0"/>
                      <w:jc w:val="left"/>
                      <w:rPr>
                        <w:rFonts w:ascii="Arial"/>
                        <w:sz w:val="16"/>
                      </w:rPr>
                    </w:pPr>
                    <w:r>
                      <w:rPr>
                        <w:rFonts w:ascii="Arial"/>
                        <w:color w:val="585858"/>
                        <w:sz w:val="16"/>
                      </w:rPr>
                      <w:t>80</w:t>
                    </w:r>
                  </w:p>
                  <w:p>
                    <w:pPr>
                      <w:spacing w:line="240" w:lineRule="auto" w:before="5"/>
                      <w:rPr>
                        <w:sz w:val="14"/>
                      </w:rPr>
                    </w:pPr>
                  </w:p>
                  <w:p>
                    <w:pPr>
                      <w:spacing w:before="0"/>
                      <w:ind w:left="89" w:right="0" w:firstLine="0"/>
                      <w:jc w:val="left"/>
                      <w:rPr>
                        <w:rFonts w:ascii="Arial"/>
                        <w:sz w:val="16"/>
                      </w:rPr>
                    </w:pPr>
                    <w:r>
                      <w:rPr>
                        <w:rFonts w:ascii="Arial"/>
                        <w:color w:val="585858"/>
                        <w:sz w:val="16"/>
                      </w:rPr>
                      <w:t>60</w:t>
                    </w:r>
                  </w:p>
                  <w:p>
                    <w:pPr>
                      <w:spacing w:line="240" w:lineRule="auto" w:before="6"/>
                      <w:rPr>
                        <w:sz w:val="14"/>
                      </w:rPr>
                    </w:pPr>
                  </w:p>
                  <w:p>
                    <w:pPr>
                      <w:spacing w:before="0"/>
                      <w:ind w:left="89" w:right="0" w:firstLine="0"/>
                      <w:jc w:val="left"/>
                      <w:rPr>
                        <w:rFonts w:ascii="Arial"/>
                        <w:sz w:val="16"/>
                      </w:rPr>
                    </w:pPr>
                    <w:r>
                      <w:rPr>
                        <w:rFonts w:ascii="Arial"/>
                        <w:color w:val="585858"/>
                        <w:sz w:val="16"/>
                      </w:rPr>
                      <w:t>40</w:t>
                    </w:r>
                  </w:p>
                  <w:p>
                    <w:pPr>
                      <w:spacing w:line="240" w:lineRule="auto" w:before="5"/>
                      <w:rPr>
                        <w:sz w:val="14"/>
                      </w:rPr>
                    </w:pPr>
                  </w:p>
                  <w:p>
                    <w:pPr>
                      <w:spacing w:before="0"/>
                      <w:ind w:left="89" w:right="0" w:firstLine="0"/>
                      <w:jc w:val="left"/>
                      <w:rPr>
                        <w:rFonts w:ascii="Arial"/>
                        <w:sz w:val="16"/>
                      </w:rPr>
                    </w:pPr>
                    <w:r>
                      <w:rPr>
                        <w:rFonts w:ascii="Arial"/>
                        <w:color w:val="585858"/>
                        <w:sz w:val="16"/>
                      </w:rPr>
                      <w:t>20</w:t>
                    </w:r>
                  </w:p>
                  <w:p>
                    <w:pPr>
                      <w:spacing w:line="240" w:lineRule="auto" w:before="6"/>
                      <w:rPr>
                        <w:sz w:val="14"/>
                      </w:rPr>
                    </w:pPr>
                  </w:p>
                  <w:p>
                    <w:pPr>
                      <w:spacing w:before="0"/>
                      <w:ind w:left="158" w:right="0" w:firstLine="0"/>
                      <w:jc w:val="center"/>
                      <w:rPr>
                        <w:rFonts w:ascii="Arial"/>
                        <w:sz w:val="16"/>
                      </w:rPr>
                    </w:pPr>
                    <w:r>
                      <w:rPr>
                        <w:rFonts w:ascii="Arial"/>
                        <w:color w:val="585858"/>
                        <w:w w:val="100"/>
                        <w:sz w:val="16"/>
                      </w:rPr>
                      <w:t>0</w:t>
                    </w:r>
                  </w:p>
                </w:txbxContent>
              </v:textbox>
              <w10:wrap type="none"/>
            </v:shape>
            <w10:wrap type="none"/>
          </v:group>
        </w:pict>
      </w:r>
      <w:r>
        <w:rPr/>
        <w:pict>
          <v:shape style="position:absolute;margin-left:82.410759pt;margin-top:63.067558pt;width:13.35pt;height:77.95pt;mso-position-horizontal-relative:page;mso-position-vertical-relative:paragraph;z-index:3760" type="#_x0000_t202" filled="false" stroked="false">
            <v:textbox inset="0,0,0,0" style="layout-flow:vertical;mso-layout-flow-alt:bottom-to-top">
              <w:txbxContent>
                <w:p>
                  <w:pPr>
                    <w:pStyle w:val="BodyText"/>
                    <w:spacing w:before="19"/>
                    <w:ind w:left="20"/>
                  </w:pPr>
                  <w:r>
                    <w:rPr>
                      <w:color w:val="585858"/>
                    </w:rPr>
                    <w:t>Antal besvarelser</w:t>
                  </w:r>
                </w:p>
              </w:txbxContent>
            </v:textbox>
            <w10:wrap type="none"/>
          </v:shape>
        </w:pict>
      </w:r>
      <w:bookmarkStart w:name="_bookmark31" w:id="48"/>
      <w:bookmarkEnd w:id="48"/>
      <w:r>
        <w:rPr/>
      </w:r>
      <w:r>
        <w:rPr>
          <w:i/>
          <w:color w:val="A21F1F"/>
          <w:sz w:val="18"/>
        </w:rPr>
        <w:t>Figur 13: Antal besvarelser fordelt på respondenttyper i målingen i 2016, sammenlignet med før-målingen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
        <w:rPr>
          <w:i/>
          <w:sz w:val="16"/>
        </w:rPr>
      </w:pPr>
    </w:p>
    <w:p>
      <w:pPr>
        <w:spacing w:before="0"/>
        <w:ind w:left="278" w:right="1166" w:firstLine="0"/>
        <w:jc w:val="left"/>
        <w:rPr>
          <w:i/>
          <w:sz w:val="18"/>
        </w:rPr>
      </w:pPr>
      <w:r>
        <w:rPr>
          <w:b/>
          <w:color w:val="A21F1F"/>
          <w:sz w:val="18"/>
        </w:rPr>
        <w:t>Kilde: </w:t>
      </w:r>
      <w:r>
        <w:rPr>
          <w:i/>
          <w:color w:val="A21F1F"/>
          <w:sz w:val="18"/>
        </w:rPr>
        <w:t>Spørgeskemaundersøgelse udført blandt private virksomheder, forsyningsselskaber og offentlige </w:t>
      </w:r>
      <w:r>
        <w:rPr>
          <w:i/>
          <w:color w:val="A21F1F"/>
          <w:sz w:val="18"/>
        </w:rPr>
        <w:t>myndigheder</w:t>
      </w:r>
    </w:p>
    <w:p>
      <w:pPr>
        <w:pStyle w:val="BodyText"/>
        <w:spacing w:before="9"/>
        <w:rPr>
          <w:i/>
          <w:sz w:val="28"/>
        </w:rPr>
      </w:pPr>
    </w:p>
    <w:p>
      <w:pPr>
        <w:pStyle w:val="BodyText"/>
        <w:spacing w:line="360" w:lineRule="auto"/>
        <w:ind w:left="278" w:right="1247"/>
      </w:pPr>
      <w:hyperlink w:history="true" w:anchor="_bookmark32">
        <w:r>
          <w:rPr/>
          <w:t>Figur 14 </w:t>
        </w:r>
      </w:hyperlink>
      <w:r>
        <w:rPr/>
        <w:t>nedenfor viser antallet af responder inden for de offentlige myndigheder fordelt på myndighedsniveauer for den nærværende måling, sammenlignet med før-målingen. Figuren viser, at datagrundlaget for den nærværende måling inden for de offentlige myndigheder ligeledes bygger på flere eller lige så mange besvarelser som i før-målingen, både i forhold til de statslige myndigheder, regioner, kommunerne og de selvejende institutioner.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525002pt;margin-top:13.775pt;width:461.55pt;height:211.6pt;mso-position-horizontal-relative:page;mso-position-vertical-relative:paragraph;z-index:1904;mso-wrap-distance-left:0;mso-wrap-distance-right:0" coordorigin="1411,275" coordsize="9231,4232">
            <v:rect style="position:absolute;left:1418;top:283;width:9216;height:4217" filled="true" fillcolor="#f1f1f1" stroked="false">
              <v:fill type="solid"/>
            </v:rect>
            <v:line style="position:absolute" from="9288,3224" to="10414,3224" stroked="true" strokeweight=".75pt" strokecolor="#d9d9d9">
              <v:stroke dashstyle="solid"/>
            </v:line>
            <v:line style="position:absolute" from="7769,3224" to="8810,3224" stroked="true" strokeweight=".75pt" strokecolor="#d9d9d9">
              <v:stroke dashstyle="solid"/>
            </v:line>
            <v:line style="position:absolute" from="7164,3224" to="7291,3224" stroked="true" strokeweight=".75pt" strokecolor="#d9d9d9">
              <v:stroke dashstyle="solid"/>
            </v:line>
            <v:line style="position:absolute" from="3521,3224" to="6686,3224" stroked="true" strokeweight=".75pt" strokecolor="#d9d9d9">
              <v:stroke dashstyle="solid"/>
            </v:line>
            <v:line style="position:absolute" from="2916,3224" to="3043,3224" stroked="true" strokeweight=".75pt" strokecolor="#d9d9d9">
              <v:stroke dashstyle="solid"/>
            </v:line>
            <v:line style="position:absolute" from="1918,3224" to="2438,3224" stroked="true" strokeweight=".75pt" strokecolor="#d9d9d9">
              <v:stroke dashstyle="solid"/>
            </v:line>
            <v:line style="position:absolute" from="9288,2836" to="10414,2836" stroked="true" strokeweight=".75pt" strokecolor="#d9d9d9">
              <v:stroke dashstyle="solid"/>
            </v:line>
            <v:line style="position:absolute" from="7769,2836" to="8810,2836" stroked="true" strokeweight=".75pt" strokecolor="#d9d9d9">
              <v:stroke dashstyle="solid"/>
            </v:line>
            <v:line style="position:absolute" from="7164,2836" to="7291,2836" stroked="true" strokeweight=".75pt" strokecolor="#d9d9d9">
              <v:stroke dashstyle="solid"/>
            </v:line>
            <v:line style="position:absolute" from="3521,2836" to="6686,2836" stroked="true" strokeweight=".75pt" strokecolor="#d9d9d9">
              <v:stroke dashstyle="solid"/>
            </v:line>
            <v:line style="position:absolute" from="2916,2836" to="3043,2836" stroked="true" strokeweight=".75pt" strokecolor="#d9d9d9">
              <v:stroke dashstyle="solid"/>
            </v:line>
            <v:line style="position:absolute" from="1918,2836" to="2438,2836" stroked="true" strokeweight=".75pt" strokecolor="#d9d9d9">
              <v:stroke dashstyle="solid"/>
            </v:line>
            <v:line style="position:absolute" from="9288,2447" to="10414,2447" stroked="true" strokeweight=".75pt" strokecolor="#d9d9d9">
              <v:stroke dashstyle="solid"/>
            </v:line>
            <v:line style="position:absolute" from="7769,2447" to="8810,2447" stroked="true" strokeweight=".75pt" strokecolor="#d9d9d9">
              <v:stroke dashstyle="solid"/>
            </v:line>
            <v:line style="position:absolute" from="7164,2447" to="7291,2447" stroked="true" strokeweight=".75pt" strokecolor="#d9d9d9">
              <v:stroke dashstyle="solid"/>
            </v:line>
            <v:line style="position:absolute" from="3521,2447" to="6686,2447" stroked="true" strokeweight=".75pt" strokecolor="#d9d9d9">
              <v:stroke dashstyle="solid"/>
            </v:line>
            <v:line style="position:absolute" from="2916,2447" to="3043,2447" stroked="true" strokeweight=".75pt" strokecolor="#d9d9d9">
              <v:stroke dashstyle="solid"/>
            </v:line>
            <v:line style="position:absolute" from="1918,2447" to="2438,2447" stroked="true" strokeweight=".75pt" strokecolor="#d9d9d9">
              <v:stroke dashstyle="solid"/>
            </v:line>
            <v:line style="position:absolute" from="9288,2058" to="10414,2058" stroked="true" strokeweight=".75pt" strokecolor="#d9d9d9">
              <v:stroke dashstyle="solid"/>
            </v:line>
            <v:line style="position:absolute" from="7769,2058" to="8810,2058" stroked="true" strokeweight=".75pt" strokecolor="#d9d9d9">
              <v:stroke dashstyle="solid"/>
            </v:line>
            <v:line style="position:absolute" from="7164,2058" to="7291,2058" stroked="true" strokeweight=".75pt" strokecolor="#d9d9d9">
              <v:stroke dashstyle="solid"/>
            </v:line>
            <v:line style="position:absolute" from="1918,2058" to="6686,2058" stroked="true" strokeweight=".75pt" strokecolor="#d9d9d9">
              <v:stroke dashstyle="solid"/>
            </v:line>
            <v:line style="position:absolute" from="7769,1669" to="10414,1669" stroked="true" strokeweight=".75pt" strokecolor="#d9d9d9">
              <v:stroke dashstyle="solid"/>
            </v:line>
            <v:line style="position:absolute" from="7164,1669" to="7291,1669" stroked="true" strokeweight=".75pt" strokecolor="#d9d9d9">
              <v:stroke dashstyle="solid"/>
            </v:line>
            <v:line style="position:absolute" from="1918,1669" to="6686,1669" stroked="true" strokeweight=".75pt" strokecolor="#d9d9d9">
              <v:stroke dashstyle="solid"/>
            </v:line>
            <v:line style="position:absolute" from="7769,1280" to="10414,1280" stroked="true" strokeweight=".75pt" strokecolor="#d9d9d9">
              <v:stroke dashstyle="solid"/>
            </v:line>
            <v:line style="position:absolute" from="7164,1280" to="7291,1280" stroked="true" strokeweight=".75pt" strokecolor="#d9d9d9">
              <v:stroke dashstyle="solid"/>
            </v:line>
            <v:line style="position:absolute" from="1918,1280" to="6686,1280" stroked="true" strokeweight=".75pt" strokecolor="#d9d9d9">
              <v:stroke dashstyle="solid"/>
            </v:line>
            <v:line style="position:absolute" from="1918,892" to="10414,892" stroked="true" strokeweight=".75pt" strokecolor="#d9d9d9">
              <v:stroke dashstyle="solid"/>
            </v:line>
            <v:line style="position:absolute" from="1918,503" to="10414,503" stroked="true" strokeweight=".75pt" strokecolor="#d9d9d9">
              <v:stroke dashstyle="solid"/>
            </v:line>
            <v:rect style="position:absolute;left:2438;top:2058;width:478;height:1555" filled="true" fillcolor="#901b1b" stroked="false">
              <v:fill type="solid"/>
            </v:rect>
            <v:rect style="position:absolute;left:4562;top:3301;width:478;height:312" filled="true" fillcolor="#901b1b" stroked="false">
              <v:fill type="solid"/>
            </v:rect>
            <v:rect style="position:absolute;left:6686;top:968;width:478;height:2645" filled="true" fillcolor="#901b1b" stroked="false">
              <v:fill type="solid"/>
            </v:rect>
            <v:rect style="position:absolute;left:8810;top:1902;width:478;height:1711" filled="true" fillcolor="#901b1b" stroked="false">
              <v:fill type="solid"/>
            </v:rect>
            <v:rect style="position:absolute;left:3043;top:2290;width:478;height:1322" filled="true" fillcolor="#bd8686" stroked="false">
              <v:fill type="solid"/>
            </v:rect>
            <v:rect style="position:absolute;left:5167;top:3301;width:478;height:312" filled="true" fillcolor="#bd8686" stroked="false">
              <v:fill type="solid"/>
            </v:rect>
            <v:rect style="position:absolute;left:7291;top:968;width:478;height:2645" filled="true" fillcolor="#bd8686" stroked="false">
              <v:fill type="solid"/>
            </v:rect>
            <v:rect style="position:absolute;left:9415;top:3301;width:478;height:312" filled="true" fillcolor="#bd8686" stroked="false">
              <v:fill type="solid"/>
            </v:rect>
            <v:line style="position:absolute" from="1918,3613" to="10414,3613" stroked="true" strokeweight=".75pt" strokecolor="#d9d9d9">
              <v:stroke dashstyle="solid"/>
            </v:line>
            <v:rect style="position:absolute;left:5475;top:4172;width:93;height:93" filled="true" fillcolor="#901b1b" stroked="false">
              <v:fill type="solid"/>
            </v:rect>
            <v:rect style="position:absolute;left:6126;top:4172;width:93;height:93" filled="true" fillcolor="#bd8686" stroked="false">
              <v:fill type="solid"/>
            </v:rect>
            <v:rect style="position:absolute;left:1418;top:283;width:9216;height:4217" filled="false" stroked="true" strokeweight=".75pt" strokecolor="#d9d9d9">
              <v:stroke dashstyle="solid"/>
            </v:rect>
            <v:shape style="position:absolute;left:5606;top:4111;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438;top:3724;width:1850;height:205" type="#_x0000_t202" filled="false" stroked="false">
              <v:textbox inset="0,0,0,0">
                <w:txbxContent>
                  <w:p>
                    <w:pPr>
                      <w:spacing w:before="0"/>
                      <w:ind w:left="0" w:right="0" w:firstLine="0"/>
                      <w:jc w:val="left"/>
                      <w:rPr>
                        <w:sz w:val="18"/>
                      </w:rPr>
                    </w:pPr>
                    <w:r>
                      <w:rPr>
                        <w:color w:val="585858"/>
                        <w:sz w:val="18"/>
                      </w:rPr>
                      <w:t>Selvejende insitutioner</w:t>
                    </w:r>
                  </w:p>
                </w:txbxContent>
              </v:textbox>
              <w10:wrap type="none"/>
            </v:shape>
            <v:shape style="position:absolute;left:6774;top:3724;width:929;height:205" type="#_x0000_t202" filled="false" stroked="false">
              <v:textbox inset="0,0,0,0">
                <w:txbxContent>
                  <w:p>
                    <w:pPr>
                      <w:spacing w:before="0"/>
                      <w:ind w:left="0" w:right="0" w:firstLine="0"/>
                      <w:jc w:val="left"/>
                      <w:rPr>
                        <w:sz w:val="18"/>
                      </w:rPr>
                    </w:pPr>
                    <w:r>
                      <w:rPr>
                        <w:color w:val="585858"/>
                        <w:sz w:val="18"/>
                      </w:rPr>
                      <w:t>Kommuner</w:t>
                    </w:r>
                  </w:p>
                </w:txbxContent>
              </v:textbox>
              <w10:wrap type="none"/>
            </v:shape>
            <v:shape style="position:absolute;left:4722;top:3724;width:742;height:205" type="#_x0000_t202" filled="false" stroked="false">
              <v:textbox inset="0,0,0,0">
                <w:txbxContent>
                  <w:p>
                    <w:pPr>
                      <w:spacing w:before="0"/>
                      <w:ind w:left="0" w:right="0" w:firstLine="0"/>
                      <w:jc w:val="left"/>
                      <w:rPr>
                        <w:sz w:val="18"/>
                      </w:rPr>
                    </w:pPr>
                    <w:r>
                      <w:rPr>
                        <w:color w:val="585858"/>
                        <w:sz w:val="18"/>
                      </w:rPr>
                      <w:t>Regioner</w:t>
                    </w:r>
                  </w:p>
                </w:txbxContent>
              </v:textbox>
              <w10:wrap type="none"/>
            </v:shape>
            <v:shape style="position:absolute;left:2069;top:3724;width:1797;height:205" type="#_x0000_t202" filled="false" stroked="false">
              <v:textbox inset="0,0,0,0">
                <w:txbxContent>
                  <w:p>
                    <w:pPr>
                      <w:spacing w:before="0"/>
                      <w:ind w:left="0" w:right="0" w:firstLine="0"/>
                      <w:jc w:val="left"/>
                      <w:rPr>
                        <w:sz w:val="18"/>
                      </w:rPr>
                    </w:pPr>
                    <w:r>
                      <w:rPr>
                        <w:color w:val="585858"/>
                        <w:sz w:val="18"/>
                      </w:rPr>
                      <w:t>Statslige myndigheder</w:t>
                    </w:r>
                  </w:p>
                </w:txbxContent>
              </v:textbox>
              <w10:wrap type="none"/>
            </v:shape>
            <v:shape style="position:absolute;left:1548;top:395;width:233;height:3315" type="#_x0000_t202" filled="false" stroked="false">
              <v:textbox inset="0,0,0,0">
                <w:txbxContent>
                  <w:p>
                    <w:pPr>
                      <w:spacing w:before="0"/>
                      <w:ind w:left="0" w:right="20" w:firstLine="0"/>
                      <w:jc w:val="center"/>
                      <w:rPr>
                        <w:sz w:val="18"/>
                      </w:rPr>
                    </w:pPr>
                    <w:r>
                      <w:rPr>
                        <w:color w:val="585858"/>
                        <w:spacing w:val="-1"/>
                        <w:sz w:val="18"/>
                      </w:rPr>
                      <w:t>40</w:t>
                    </w:r>
                  </w:p>
                  <w:p>
                    <w:pPr>
                      <w:spacing w:line="240" w:lineRule="auto" w:before="2"/>
                      <w:rPr>
                        <w:i/>
                        <w:sz w:val="16"/>
                      </w:rPr>
                    </w:pPr>
                  </w:p>
                  <w:p>
                    <w:pPr>
                      <w:spacing w:before="0"/>
                      <w:ind w:left="17" w:right="0" w:firstLine="0"/>
                      <w:jc w:val="left"/>
                      <w:rPr>
                        <w:sz w:val="18"/>
                      </w:rPr>
                    </w:pPr>
                    <w:r>
                      <w:rPr>
                        <w:color w:val="585858"/>
                        <w:sz w:val="18"/>
                      </w:rPr>
                      <w:t>35</w:t>
                    </w:r>
                  </w:p>
                  <w:p>
                    <w:pPr>
                      <w:spacing w:line="240" w:lineRule="auto" w:before="2"/>
                      <w:rPr>
                        <w:i/>
                        <w:sz w:val="16"/>
                      </w:rPr>
                    </w:pPr>
                  </w:p>
                  <w:p>
                    <w:pPr>
                      <w:spacing w:before="1"/>
                      <w:ind w:left="0" w:right="17" w:firstLine="0"/>
                      <w:jc w:val="center"/>
                      <w:rPr>
                        <w:sz w:val="18"/>
                      </w:rPr>
                    </w:pPr>
                    <w:r>
                      <w:rPr>
                        <w:color w:val="585858"/>
                        <w:sz w:val="18"/>
                      </w:rPr>
                      <w:t>30</w:t>
                    </w:r>
                  </w:p>
                  <w:p>
                    <w:pPr>
                      <w:spacing w:line="240" w:lineRule="auto" w:before="2"/>
                      <w:rPr>
                        <w:i/>
                        <w:sz w:val="16"/>
                      </w:rPr>
                    </w:pPr>
                  </w:p>
                  <w:p>
                    <w:pPr>
                      <w:spacing w:before="0"/>
                      <w:ind w:left="0" w:right="1" w:firstLine="0"/>
                      <w:jc w:val="center"/>
                      <w:rPr>
                        <w:sz w:val="18"/>
                      </w:rPr>
                    </w:pPr>
                    <w:r>
                      <w:rPr>
                        <w:color w:val="585858"/>
                        <w:sz w:val="18"/>
                      </w:rPr>
                      <w:t>25</w:t>
                    </w:r>
                  </w:p>
                  <w:p>
                    <w:pPr>
                      <w:spacing w:line="240" w:lineRule="auto" w:before="2"/>
                      <w:rPr>
                        <w:i/>
                        <w:sz w:val="16"/>
                      </w:rPr>
                    </w:pPr>
                  </w:p>
                  <w:p>
                    <w:pPr>
                      <w:spacing w:before="1"/>
                      <w:ind w:left="0" w:right="17" w:firstLine="0"/>
                      <w:jc w:val="center"/>
                      <w:rPr>
                        <w:sz w:val="18"/>
                      </w:rPr>
                    </w:pPr>
                    <w:r>
                      <w:rPr>
                        <w:color w:val="585858"/>
                        <w:sz w:val="18"/>
                      </w:rPr>
                      <w:t>20</w:t>
                    </w:r>
                  </w:p>
                  <w:p>
                    <w:pPr>
                      <w:spacing w:line="240" w:lineRule="auto" w:before="2"/>
                      <w:rPr>
                        <w:i/>
                        <w:sz w:val="16"/>
                      </w:rPr>
                    </w:pPr>
                  </w:p>
                  <w:p>
                    <w:pPr>
                      <w:spacing w:before="0"/>
                      <w:ind w:left="39" w:right="0" w:firstLine="0"/>
                      <w:jc w:val="left"/>
                      <w:rPr>
                        <w:sz w:val="18"/>
                      </w:rPr>
                    </w:pPr>
                    <w:r>
                      <w:rPr>
                        <w:color w:val="585858"/>
                        <w:sz w:val="18"/>
                      </w:rPr>
                      <w:t>15</w:t>
                    </w:r>
                  </w:p>
                  <w:p>
                    <w:pPr>
                      <w:spacing w:line="240" w:lineRule="auto" w:before="2"/>
                      <w:rPr>
                        <w:i/>
                        <w:sz w:val="16"/>
                      </w:rPr>
                    </w:pPr>
                  </w:p>
                  <w:p>
                    <w:pPr>
                      <w:spacing w:before="1"/>
                      <w:ind w:left="23" w:right="0" w:firstLine="0"/>
                      <w:jc w:val="left"/>
                      <w:rPr>
                        <w:sz w:val="18"/>
                      </w:rPr>
                    </w:pPr>
                    <w:r>
                      <w:rPr>
                        <w:color w:val="585858"/>
                        <w:sz w:val="18"/>
                      </w:rPr>
                      <w:t>10</w:t>
                    </w:r>
                  </w:p>
                  <w:p>
                    <w:pPr>
                      <w:spacing w:line="240" w:lineRule="auto" w:before="2"/>
                      <w:rPr>
                        <w:i/>
                        <w:sz w:val="16"/>
                      </w:rPr>
                    </w:pPr>
                  </w:p>
                  <w:p>
                    <w:pPr>
                      <w:spacing w:before="0"/>
                      <w:ind w:left="96" w:right="0" w:firstLine="0"/>
                      <w:jc w:val="center"/>
                      <w:rPr>
                        <w:sz w:val="18"/>
                      </w:rPr>
                    </w:pPr>
                    <w:r>
                      <w:rPr>
                        <w:color w:val="585858"/>
                        <w:sz w:val="18"/>
                      </w:rPr>
                      <w:t>5</w:t>
                    </w:r>
                  </w:p>
                  <w:p>
                    <w:pPr>
                      <w:spacing w:line="240" w:lineRule="auto" w:before="2"/>
                      <w:rPr>
                        <w:i/>
                        <w:sz w:val="16"/>
                      </w:rPr>
                    </w:pPr>
                  </w:p>
                  <w:p>
                    <w:pPr>
                      <w:spacing w:before="0"/>
                      <w:ind w:left="81" w:right="0" w:firstLine="0"/>
                      <w:jc w:val="center"/>
                      <w:rPr>
                        <w:sz w:val="18"/>
                      </w:rPr>
                    </w:pPr>
                    <w:r>
                      <w:rPr>
                        <w:color w:val="585858"/>
                        <w:sz w:val="18"/>
                      </w:rPr>
                      <w:t>0</w:t>
                    </w:r>
                  </w:p>
                </w:txbxContent>
              </v:textbox>
              <w10:wrap type="none"/>
            </v:shape>
            <w10:wrap type="topAndBottom"/>
          </v:group>
        </w:pict>
      </w:r>
      <w:bookmarkStart w:name="_bookmark32" w:id="49"/>
      <w:bookmarkEnd w:id="49"/>
      <w:r>
        <w:rPr/>
      </w:r>
      <w:r>
        <w:rPr>
          <w:i/>
          <w:color w:val="A21F1F"/>
          <w:sz w:val="18"/>
        </w:rPr>
        <w:t>Figur 14: Antal besvarelser fordelt på myndighedsniveauer i målingen i 2016, sammenlignet med før-målingen</w:t>
      </w:r>
    </w:p>
    <w:p>
      <w:pPr>
        <w:pStyle w:val="BodyText"/>
        <w:spacing w:before="10"/>
        <w:rPr>
          <w:i/>
          <w:sz w:val="18"/>
        </w:rPr>
      </w:pPr>
    </w:p>
    <w:p>
      <w:pPr>
        <w:spacing w:before="1"/>
        <w:ind w:left="278" w:right="0" w:firstLine="0"/>
        <w:jc w:val="left"/>
        <w:rPr>
          <w:i/>
          <w:sz w:val="18"/>
        </w:rPr>
      </w:pPr>
      <w:r>
        <w:rPr>
          <w:b/>
          <w:i/>
          <w:color w:val="A21F1F"/>
          <w:sz w:val="18"/>
        </w:rPr>
        <w:t>Kilde: </w:t>
      </w:r>
      <w:r>
        <w:rPr>
          <w:i/>
          <w:color w:val="A21F1F"/>
          <w:sz w:val="18"/>
        </w:rPr>
        <w:t>Spørgeskemaundersøgelse udført blandt offentlige myndigheder</w:t>
      </w:r>
    </w:p>
    <w:p>
      <w:pPr>
        <w:spacing w:before="119"/>
        <w:ind w:left="278" w:right="0" w:firstLine="0"/>
        <w:jc w:val="left"/>
        <w:rPr>
          <w:i/>
          <w:sz w:val="18"/>
        </w:rPr>
      </w:pPr>
      <w:r>
        <w:rPr>
          <w:b/>
          <w:i/>
          <w:color w:val="A21F1F"/>
          <w:sz w:val="18"/>
        </w:rPr>
        <w:t>N: </w:t>
      </w:r>
      <w:r>
        <w:rPr>
          <w:i/>
          <w:color w:val="A21F1F"/>
          <w:sz w:val="18"/>
        </w:rPr>
        <w:t>2016: 80 og 2012: 59</w:t>
      </w:r>
    </w:p>
    <w:p>
      <w:pPr>
        <w:pStyle w:val="BodyText"/>
        <w:rPr>
          <w:i/>
        </w:rPr>
      </w:pPr>
    </w:p>
    <w:p>
      <w:pPr>
        <w:pStyle w:val="BodyText"/>
        <w:spacing w:before="1"/>
        <w:rPr>
          <w:i/>
          <w:sz w:val="19"/>
        </w:rPr>
      </w:pPr>
    </w:p>
    <w:p>
      <w:pPr>
        <w:pStyle w:val="Heading2"/>
        <w:numPr>
          <w:ilvl w:val="1"/>
          <w:numId w:val="11"/>
        </w:numPr>
        <w:tabs>
          <w:tab w:pos="855" w:val="left" w:leader="none"/>
        </w:tabs>
        <w:spacing w:line="240" w:lineRule="auto" w:before="1" w:after="0"/>
        <w:ind w:left="854" w:right="0" w:hanging="576"/>
        <w:jc w:val="left"/>
        <w:rPr>
          <w:i/>
          <w:color w:val="A21F1F"/>
        </w:rPr>
      </w:pPr>
      <w:bookmarkStart w:name="_bookmark33" w:id="50"/>
      <w:bookmarkEnd w:id="50"/>
      <w:r>
        <w:rPr>
          <w:b w:val="0"/>
          <w:i w:val="0"/>
        </w:rPr>
      </w:r>
      <w:bookmarkStart w:name="_bookmark33" w:id="51"/>
      <w:bookmarkEnd w:id="51"/>
      <w:r>
        <w:rPr>
          <w:i/>
          <w:color w:val="A21F1F"/>
        </w:rPr>
        <w:t>Kvali</w:t>
      </w:r>
      <w:r>
        <w:rPr>
          <w:i/>
          <w:color w:val="A21F1F"/>
        </w:rPr>
        <w:t>tativ</w:t>
      </w:r>
      <w:r>
        <w:rPr>
          <w:i/>
          <w:color w:val="A21F1F"/>
          <w:spacing w:val="-1"/>
        </w:rPr>
        <w:t> </w:t>
      </w:r>
      <w:r>
        <w:rPr>
          <w:i/>
          <w:color w:val="A21F1F"/>
        </w:rPr>
        <w:t>dataindsamling</w:t>
      </w:r>
    </w:p>
    <w:p>
      <w:pPr>
        <w:pStyle w:val="BodyText"/>
        <w:spacing w:line="360" w:lineRule="auto" w:before="240"/>
        <w:ind w:left="278" w:right="1821"/>
        <w:jc w:val="both"/>
      </w:pPr>
      <w:r>
        <w:rPr/>
        <w:t>Som supplement til den kvantitative dataindsamling er der efterfølgende gennemført en kvalitativ dataindsamling i form af gennemførsel af tre case-undersøgelser, som er udvalgt af PwC og SDFE i fællesskab ud fra følgende seks kriterier:</w:t>
      </w:r>
    </w:p>
    <w:p>
      <w:pPr>
        <w:pStyle w:val="BodyText"/>
        <w:spacing w:before="2"/>
        <w:rPr>
          <w:sz w:val="21"/>
        </w:rPr>
      </w:pPr>
    </w:p>
    <w:tbl>
      <w:tblPr>
        <w:tblCellSpacing w:w="18" w:type="dxa"/>
        <w:tblW w:w="0" w:type="auto"/>
        <w:jc w:val="left"/>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64"/>
      </w:tblGrid>
      <w:tr>
        <w:trPr>
          <w:trHeight w:val="481" w:hRule="atLeast"/>
        </w:trPr>
        <w:tc>
          <w:tcPr>
            <w:tcW w:w="9464" w:type="dxa"/>
            <w:tcBorders>
              <w:bottom w:val="nil"/>
            </w:tcBorders>
            <w:shd w:val="clear" w:color="auto" w:fill="F5C9C9"/>
          </w:tcPr>
          <w:p>
            <w:pPr>
              <w:pStyle w:val="TableParagraph"/>
              <w:tabs>
                <w:tab w:pos="544" w:val="left" w:leader="none"/>
              </w:tabs>
              <w:spacing w:before="158"/>
              <w:ind w:left="137"/>
              <w:rPr>
                <w:b/>
                <w:i/>
                <w:sz w:val="19"/>
              </w:rPr>
            </w:pPr>
            <w:r>
              <w:rPr>
                <w:b/>
                <w:i/>
                <w:sz w:val="19"/>
              </w:rPr>
              <w:t>1.</w:t>
              <w:tab/>
              <w:t>At der er en fordeling på vertikale og horisontale værdikæder i de udvalgte</w:t>
            </w:r>
            <w:r>
              <w:rPr>
                <w:b/>
                <w:i/>
                <w:spacing w:val="5"/>
                <w:sz w:val="19"/>
              </w:rPr>
              <w:t> </w:t>
            </w:r>
            <w:r>
              <w:rPr>
                <w:b/>
                <w:i/>
                <w:sz w:val="19"/>
              </w:rPr>
              <w:t>cases</w:t>
            </w:r>
          </w:p>
        </w:tc>
      </w:tr>
      <w:tr>
        <w:trPr>
          <w:trHeight w:val="477" w:hRule="atLeast"/>
        </w:trPr>
        <w:tc>
          <w:tcPr>
            <w:tcW w:w="9464" w:type="dxa"/>
            <w:tcBorders>
              <w:top w:val="nil"/>
              <w:bottom w:val="nil"/>
            </w:tcBorders>
            <w:shd w:val="clear" w:color="auto" w:fill="EA9595"/>
          </w:tcPr>
          <w:p>
            <w:pPr>
              <w:pStyle w:val="TableParagraph"/>
              <w:tabs>
                <w:tab w:pos="544" w:val="left" w:leader="none"/>
              </w:tabs>
              <w:spacing w:before="154"/>
              <w:ind w:left="137"/>
              <w:rPr>
                <w:b/>
                <w:i/>
                <w:sz w:val="19"/>
              </w:rPr>
            </w:pPr>
            <w:r>
              <w:rPr>
                <w:b/>
                <w:i/>
                <w:color w:val="FFFFFF"/>
                <w:sz w:val="19"/>
              </w:rPr>
              <w:t>2.</w:t>
              <w:tab/>
              <w:t>At der indgår 1.-ledsbrugere og brugere fra øvrige led i de udvalgte</w:t>
            </w:r>
            <w:r>
              <w:rPr>
                <w:b/>
                <w:i/>
                <w:color w:val="FFFFFF"/>
                <w:spacing w:val="10"/>
                <w:sz w:val="19"/>
              </w:rPr>
              <w:t> </w:t>
            </w:r>
            <w:r>
              <w:rPr>
                <w:b/>
                <w:i/>
                <w:color w:val="FFFFFF"/>
                <w:sz w:val="19"/>
              </w:rPr>
              <w:t>cases</w:t>
            </w:r>
          </w:p>
        </w:tc>
      </w:tr>
      <w:tr>
        <w:trPr>
          <w:trHeight w:val="478" w:hRule="atLeast"/>
        </w:trPr>
        <w:tc>
          <w:tcPr>
            <w:tcW w:w="9464" w:type="dxa"/>
            <w:tcBorders>
              <w:top w:val="nil"/>
              <w:bottom w:val="nil"/>
            </w:tcBorders>
            <w:shd w:val="clear" w:color="auto" w:fill="DF6060"/>
          </w:tcPr>
          <w:p>
            <w:pPr>
              <w:pStyle w:val="TableParagraph"/>
              <w:tabs>
                <w:tab w:pos="544" w:val="left" w:leader="none"/>
              </w:tabs>
              <w:spacing w:before="41"/>
              <w:ind w:left="137"/>
              <w:rPr>
                <w:b/>
                <w:i/>
                <w:sz w:val="19"/>
              </w:rPr>
            </w:pPr>
            <w:r>
              <w:rPr>
                <w:b/>
                <w:i/>
                <w:color w:val="FFFFFF"/>
                <w:sz w:val="19"/>
              </w:rPr>
              <w:t>3.</w:t>
              <w:tab/>
              <w:t>At der er en fordeling, svarende til spørgeskemaets segmentering, i henholdsvis</w:t>
            </w:r>
            <w:r>
              <w:rPr>
                <w:b/>
                <w:i/>
                <w:color w:val="FFFFFF"/>
                <w:spacing w:val="-17"/>
                <w:sz w:val="19"/>
              </w:rPr>
              <w:t> </w:t>
            </w:r>
            <w:r>
              <w:rPr>
                <w:b/>
                <w:i/>
                <w:color w:val="FFFFFF"/>
                <w:sz w:val="19"/>
              </w:rPr>
              <w:t>private</w:t>
            </w:r>
          </w:p>
          <w:p>
            <w:pPr>
              <w:pStyle w:val="TableParagraph"/>
              <w:spacing w:before="12"/>
              <w:ind w:left="544"/>
              <w:rPr>
                <w:b/>
                <w:i/>
                <w:sz w:val="19"/>
              </w:rPr>
            </w:pPr>
            <w:r>
              <w:rPr>
                <w:b/>
                <w:i/>
                <w:color w:val="FFFFFF"/>
                <w:sz w:val="19"/>
              </w:rPr>
              <w:t>virksomheder, forsyningsselskaber og offentlige myndigheder</w:t>
            </w:r>
          </w:p>
        </w:tc>
      </w:tr>
      <w:tr>
        <w:trPr>
          <w:trHeight w:val="477" w:hRule="atLeast"/>
        </w:trPr>
        <w:tc>
          <w:tcPr>
            <w:tcW w:w="9464" w:type="dxa"/>
            <w:tcBorders>
              <w:top w:val="nil"/>
              <w:bottom w:val="nil"/>
            </w:tcBorders>
            <w:shd w:val="clear" w:color="auto" w:fill="A21F1F"/>
          </w:tcPr>
          <w:p>
            <w:pPr>
              <w:pStyle w:val="TableParagraph"/>
              <w:tabs>
                <w:tab w:pos="544" w:val="left" w:leader="none"/>
              </w:tabs>
              <w:spacing w:line="220" w:lineRule="atLeast" w:before="37"/>
              <w:ind w:left="544" w:right="965" w:hanging="407"/>
              <w:rPr>
                <w:b/>
                <w:i/>
                <w:sz w:val="19"/>
              </w:rPr>
            </w:pPr>
            <w:r>
              <w:rPr>
                <w:b/>
                <w:i/>
                <w:color w:val="FFFFFF"/>
                <w:sz w:val="19"/>
              </w:rPr>
              <w:t>4.</w:t>
              <w:tab/>
              <w:t>At der er en høj volumen i antal træk fra Kortforsyningen og antal downloads af </w:t>
            </w:r>
            <w:r>
              <w:rPr>
                <w:b/>
                <w:i/>
                <w:color w:val="FFFFFF"/>
                <w:sz w:val="19"/>
              </w:rPr>
              <w:t>slutbrugerapplikationer (hvis dette er relevant) i de udvalgte</w:t>
            </w:r>
            <w:r>
              <w:rPr>
                <w:b/>
                <w:i/>
                <w:color w:val="FFFFFF"/>
                <w:spacing w:val="6"/>
                <w:sz w:val="19"/>
              </w:rPr>
              <w:t> </w:t>
            </w:r>
            <w:r>
              <w:rPr>
                <w:b/>
                <w:i/>
                <w:color w:val="FFFFFF"/>
                <w:sz w:val="19"/>
              </w:rPr>
              <w:t>cases</w:t>
            </w:r>
          </w:p>
        </w:tc>
      </w:tr>
      <w:tr>
        <w:trPr>
          <w:trHeight w:val="477" w:hRule="atLeast"/>
        </w:trPr>
        <w:tc>
          <w:tcPr>
            <w:tcW w:w="9464" w:type="dxa"/>
            <w:tcBorders>
              <w:top w:val="nil"/>
              <w:bottom w:val="nil"/>
            </w:tcBorders>
            <w:shd w:val="clear" w:color="auto" w:fill="791717"/>
          </w:tcPr>
          <w:p>
            <w:pPr>
              <w:pStyle w:val="TableParagraph"/>
              <w:tabs>
                <w:tab w:pos="544" w:val="left" w:leader="none"/>
              </w:tabs>
              <w:spacing w:line="220" w:lineRule="atLeast" w:before="37"/>
              <w:ind w:left="544" w:right="912" w:hanging="407"/>
              <w:rPr>
                <w:b/>
                <w:i/>
                <w:sz w:val="19"/>
              </w:rPr>
            </w:pPr>
            <w:r>
              <w:rPr>
                <w:b/>
                <w:i/>
                <w:color w:val="FFFFFF"/>
                <w:sz w:val="19"/>
              </w:rPr>
              <w:t>5.</w:t>
              <w:tab/>
              <w:t>At</w:t>
            </w:r>
            <w:r>
              <w:rPr>
                <w:b/>
                <w:i/>
                <w:color w:val="FFFFFF"/>
                <w:spacing w:val="-5"/>
                <w:sz w:val="19"/>
              </w:rPr>
              <w:t> </w:t>
            </w:r>
            <w:r>
              <w:rPr>
                <w:b/>
                <w:i/>
                <w:color w:val="FFFFFF"/>
                <w:sz w:val="19"/>
              </w:rPr>
              <w:t>der</w:t>
            </w:r>
            <w:r>
              <w:rPr>
                <w:b/>
                <w:i/>
                <w:color w:val="FFFFFF"/>
                <w:spacing w:val="-3"/>
                <w:sz w:val="19"/>
              </w:rPr>
              <w:t> </w:t>
            </w:r>
            <w:r>
              <w:rPr>
                <w:b/>
                <w:i/>
                <w:color w:val="FFFFFF"/>
                <w:sz w:val="19"/>
              </w:rPr>
              <w:t>en</w:t>
            </w:r>
            <w:r>
              <w:rPr>
                <w:b/>
                <w:i/>
                <w:color w:val="FFFFFF"/>
                <w:spacing w:val="-4"/>
                <w:sz w:val="19"/>
              </w:rPr>
              <w:t> </w:t>
            </w:r>
            <w:r>
              <w:rPr>
                <w:b/>
                <w:i/>
                <w:color w:val="FFFFFF"/>
                <w:sz w:val="19"/>
              </w:rPr>
              <w:t>forventet</w:t>
            </w:r>
            <w:r>
              <w:rPr>
                <w:b/>
                <w:i/>
                <w:color w:val="FFFFFF"/>
                <w:spacing w:val="-2"/>
                <w:sz w:val="19"/>
              </w:rPr>
              <w:t> </w:t>
            </w:r>
            <w:r>
              <w:rPr>
                <w:b/>
                <w:i/>
                <w:color w:val="FFFFFF"/>
                <w:sz w:val="19"/>
              </w:rPr>
              <w:t>målbar</w:t>
            </w:r>
            <w:r>
              <w:rPr>
                <w:b/>
                <w:i/>
                <w:color w:val="FFFFFF"/>
                <w:spacing w:val="-1"/>
                <w:sz w:val="19"/>
              </w:rPr>
              <w:t> </w:t>
            </w:r>
            <w:r>
              <w:rPr>
                <w:b/>
                <w:i/>
                <w:color w:val="FFFFFF"/>
                <w:sz w:val="19"/>
              </w:rPr>
              <w:t>værditilvækst som</w:t>
            </w:r>
            <w:r>
              <w:rPr>
                <w:b/>
                <w:i/>
                <w:color w:val="FFFFFF"/>
                <w:spacing w:val="-5"/>
                <w:sz w:val="19"/>
              </w:rPr>
              <w:t> </w:t>
            </w:r>
            <w:r>
              <w:rPr>
                <w:b/>
                <w:i/>
                <w:color w:val="FFFFFF"/>
                <w:sz w:val="19"/>
              </w:rPr>
              <w:t>følge</w:t>
            </w:r>
            <w:r>
              <w:rPr>
                <w:b/>
                <w:i/>
                <w:color w:val="FFFFFF"/>
                <w:spacing w:val="-2"/>
                <w:sz w:val="19"/>
              </w:rPr>
              <w:t> </w:t>
            </w:r>
            <w:r>
              <w:rPr>
                <w:b/>
                <w:i/>
                <w:color w:val="FFFFFF"/>
                <w:sz w:val="19"/>
              </w:rPr>
              <w:t>af</w:t>
            </w:r>
            <w:r>
              <w:rPr>
                <w:b/>
                <w:i/>
                <w:color w:val="FFFFFF"/>
                <w:spacing w:val="-3"/>
                <w:sz w:val="19"/>
              </w:rPr>
              <w:t> </w:t>
            </w:r>
            <w:r>
              <w:rPr>
                <w:b/>
                <w:i/>
                <w:color w:val="FFFFFF"/>
                <w:sz w:val="19"/>
              </w:rPr>
              <w:t>frisættelsen</w:t>
            </w:r>
            <w:r>
              <w:rPr>
                <w:b/>
                <w:i/>
                <w:color w:val="FFFFFF"/>
                <w:spacing w:val="-2"/>
                <w:sz w:val="19"/>
              </w:rPr>
              <w:t> </w:t>
            </w:r>
            <w:r>
              <w:rPr>
                <w:b/>
                <w:i/>
                <w:color w:val="FFFFFF"/>
                <w:sz w:val="19"/>
              </w:rPr>
              <w:t>af</w:t>
            </w:r>
            <w:r>
              <w:rPr>
                <w:b/>
                <w:i/>
                <w:color w:val="FFFFFF"/>
                <w:spacing w:val="-6"/>
                <w:sz w:val="19"/>
              </w:rPr>
              <w:t> </w:t>
            </w:r>
            <w:r>
              <w:rPr>
                <w:b/>
                <w:i/>
                <w:color w:val="FFFFFF"/>
                <w:sz w:val="19"/>
              </w:rPr>
              <w:t>geodata</w:t>
            </w:r>
            <w:r>
              <w:rPr>
                <w:b/>
                <w:i/>
                <w:color w:val="FFFFFF"/>
                <w:spacing w:val="-2"/>
                <w:sz w:val="19"/>
              </w:rPr>
              <w:t> </w:t>
            </w:r>
            <w:r>
              <w:rPr>
                <w:b/>
                <w:i/>
                <w:color w:val="FFFFFF"/>
                <w:sz w:val="19"/>
              </w:rPr>
              <w:t>i</w:t>
            </w:r>
            <w:r>
              <w:rPr>
                <w:b/>
                <w:i/>
                <w:color w:val="FFFFFF"/>
                <w:spacing w:val="-5"/>
                <w:sz w:val="19"/>
              </w:rPr>
              <w:t> </w:t>
            </w:r>
            <w:r>
              <w:rPr>
                <w:b/>
                <w:i/>
                <w:color w:val="FFFFFF"/>
                <w:sz w:val="19"/>
              </w:rPr>
              <w:t>de </w:t>
            </w:r>
            <w:r>
              <w:rPr>
                <w:b/>
                <w:i/>
                <w:color w:val="FFFFFF"/>
                <w:sz w:val="19"/>
              </w:rPr>
              <w:t>udvalgte cases</w:t>
            </w:r>
          </w:p>
        </w:tc>
      </w:tr>
      <w:tr>
        <w:trPr>
          <w:trHeight w:val="482" w:hRule="atLeast"/>
        </w:trPr>
        <w:tc>
          <w:tcPr>
            <w:tcW w:w="9464" w:type="dxa"/>
            <w:tcBorders>
              <w:top w:val="nil"/>
            </w:tcBorders>
            <w:shd w:val="clear" w:color="auto" w:fill="520F0F"/>
          </w:tcPr>
          <w:p>
            <w:pPr>
              <w:pStyle w:val="TableParagraph"/>
              <w:tabs>
                <w:tab w:pos="544" w:val="left" w:leader="none"/>
              </w:tabs>
              <w:spacing w:before="156"/>
              <w:ind w:left="137"/>
              <w:rPr>
                <w:b/>
                <w:i/>
                <w:sz w:val="19"/>
              </w:rPr>
            </w:pPr>
            <w:r>
              <w:rPr>
                <w:b/>
                <w:i/>
                <w:color w:val="FFFFFF"/>
                <w:sz w:val="19"/>
              </w:rPr>
              <w:t>6.</w:t>
              <w:tab/>
              <w:t>At de udvalgte cases er alment</w:t>
            </w:r>
            <w:r>
              <w:rPr>
                <w:b/>
                <w:i/>
                <w:color w:val="FFFFFF"/>
                <w:spacing w:val="8"/>
                <w:sz w:val="19"/>
              </w:rPr>
              <w:t> </w:t>
            </w:r>
            <w:r>
              <w:rPr>
                <w:b/>
                <w:i/>
                <w:color w:val="FFFFFF"/>
                <w:sz w:val="19"/>
              </w:rPr>
              <w:t>kendte.</w:t>
            </w:r>
          </w:p>
        </w:tc>
      </w:tr>
    </w:tbl>
    <w:p>
      <w:pPr>
        <w:pStyle w:val="BodyText"/>
        <w:spacing w:before="10"/>
        <w:rPr>
          <w:sz w:val="31"/>
        </w:rPr>
      </w:pPr>
    </w:p>
    <w:p>
      <w:pPr>
        <w:pStyle w:val="BodyText"/>
        <w:spacing w:line="360" w:lineRule="auto" w:before="1"/>
        <w:ind w:left="278" w:right="1384"/>
      </w:pPr>
      <w:r>
        <w:rPr/>
        <w:t>Til hver case-undersøgelse er der identificeret en række interviewpersoner, som hver især har deltaget i interviews af ca. 1½ times varighed.</w:t>
      </w:r>
    </w:p>
    <w:p>
      <w:pPr>
        <w:pStyle w:val="BodyText"/>
        <w:spacing w:before="1"/>
        <w:rPr>
          <w:sz w:val="21"/>
        </w:rPr>
      </w:pPr>
    </w:p>
    <w:p>
      <w:pPr>
        <w:pStyle w:val="BodyText"/>
        <w:spacing w:line="360" w:lineRule="auto"/>
        <w:ind w:left="278" w:right="1036"/>
      </w:pPr>
      <w:r>
        <w:rPr/>
        <w:t>Forud for hvert interview har vi udarbejdet en spørgeguide med spørgsmål i relation til henholdsvis markeds-, effektiviserings- og produktionseffekterne samt barrierer og potentialer for udnyttelsen af de frie geodata. Interviews er gennemført som semi-strukturerede interviews med afsæt i spørgeguiden.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Da analysetilgangen og dataindsamlingsmetoden nu er beskrevet vil vi i næste kapitel se nærmere på</w:t>
      </w:r>
    </w:p>
    <w:p>
      <w:pPr>
        <w:pStyle w:val="BodyText"/>
        <w:spacing w:line="360" w:lineRule="auto" w:before="114"/>
        <w:ind w:left="278" w:right="1043"/>
      </w:pPr>
      <w:r>
        <w:rPr/>
        <w:t>resultaterne af spørgeskemaanalysen. Præsentationen af resultaterne af spørgeskemaundersøgelsen bruges som fundament for kapitel 5 og 6, hvor beregningen af geodatas samfundsøkonomiske værdi præsenteres. Herefter går vi i dybden med eksempler på, hvordan geodata anvendes i dag i de tre case-undersøgelser.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595" w:lineRule="exact" w:before="0"/>
        <w:ind w:left="278" w:right="0" w:firstLine="0"/>
        <w:jc w:val="left"/>
        <w:rPr>
          <w:b/>
          <w:i/>
          <w:sz w:val="56"/>
        </w:rPr>
      </w:pPr>
      <w:bookmarkStart w:name="_bookmark34" w:id="52"/>
      <w:bookmarkEnd w:id="52"/>
      <w:r>
        <w:rPr/>
      </w:r>
      <w:r>
        <w:rPr>
          <w:b/>
          <w:i/>
          <w:sz w:val="56"/>
        </w:rPr>
        <w:t>4 Kortlægning og opgørelse</w:t>
      </w:r>
      <w:r>
        <w:rPr>
          <w:b/>
          <w:i/>
          <w:spacing w:val="-77"/>
          <w:sz w:val="56"/>
        </w:rPr>
        <w:t> </w:t>
      </w:r>
      <w:r>
        <w:rPr>
          <w:b/>
          <w:i/>
          <w:sz w:val="56"/>
        </w:rPr>
        <w:t>af</w:t>
      </w:r>
    </w:p>
    <w:p>
      <w:pPr>
        <w:spacing w:before="0"/>
        <w:ind w:left="710" w:right="0" w:firstLine="0"/>
        <w:jc w:val="left"/>
        <w:rPr>
          <w:b/>
          <w:i/>
          <w:sz w:val="56"/>
        </w:rPr>
      </w:pPr>
      <w:r>
        <w:rPr>
          <w:b/>
          <w:i/>
          <w:sz w:val="56"/>
        </w:rPr>
        <w:t>anvendelsen af frie geodata</w:t>
      </w:r>
    </w:p>
    <w:p>
      <w:pPr>
        <w:pStyle w:val="BodyText"/>
        <w:spacing w:line="360" w:lineRule="auto" w:before="478"/>
        <w:ind w:left="278" w:right="1111"/>
      </w:pPr>
      <w:r>
        <w:rPr/>
        <w:t>I dette kapitel kortlægger og opgør vi anvendelsen af frie geodata i 2016 på virksomheds- og myndighedsniveau. Kapitlets fokus er todelt. For det første danner dette kapitel det datamæssige grundlag for beregningen af markeds- og effektiviseringseffekterne, der foretages i kapitel 5. Markeds- og effektiviseringseffekterne indgår i beregningsmodellens første led og er med til at skabe grundlaget for beregningen af geodatas samfundsøkonomiske værdi, der estimeres i kapitel 6. For det andet og parallelt hermed vil der løbende igennem kapitlet blive draget paralleller til før-målingen med henblik på at belyse udviklingen i anvendelsen af de frie geodata.</w:t>
      </w:r>
    </w:p>
    <w:p>
      <w:pPr>
        <w:pStyle w:val="BodyText"/>
        <w:spacing w:before="4"/>
        <w:rPr>
          <w:sz w:val="21"/>
        </w:rPr>
      </w:pPr>
    </w:p>
    <w:p>
      <w:pPr>
        <w:pStyle w:val="BodyText"/>
        <w:spacing w:line="360" w:lineRule="auto"/>
        <w:ind w:left="278" w:right="1108"/>
      </w:pPr>
      <w:r>
        <w:rPr/>
        <w:t>Analysen bygger på data indsamlet via de to spørgeskemaundersøgelser, som PwC har gennemført for henholdsvis offentlige myndigheder og private virksomheder, herunder forsyningsvirksomheder. Desuden vil der løbende igennem kapitlet blive givet konkrete eksempler på anvendelsen af geodata, der er fremkommet under interviewene i de tre case-undersøgelser. Kapitlet er inddelt i tre sektioner, hvori effekterne for hver af de tre brugergrupper gennemgås særskilt.</w:t>
      </w:r>
    </w:p>
    <w:p>
      <w:pPr>
        <w:pStyle w:val="BodyText"/>
        <w:spacing w:before="1"/>
        <w:rPr>
          <w:sz w:val="21"/>
        </w:rPr>
      </w:pPr>
    </w:p>
    <w:p>
      <w:pPr>
        <w:pStyle w:val="BodyText"/>
        <w:spacing w:line="360" w:lineRule="auto"/>
        <w:ind w:left="278" w:right="1215"/>
      </w:pPr>
      <w:r>
        <w:rPr/>
        <w:t>Kapitlet indledes med en beskrivelse af private virksomheders anvendelse af de frie geodata, der belyser, hvor stort et marked der er opstået som følge af de frie geodata</w:t>
      </w:r>
      <w:r>
        <w:rPr>
          <w:position w:val="5"/>
          <w:sz w:val="13"/>
        </w:rPr>
        <w:t>4</w:t>
      </w:r>
      <w:r>
        <w:rPr/>
        <w:t>, hvilket i kapitel 5 bruges som input til at estimere markedseffekten. Vi ser ligeledes nærmere på, om virksomhederne har opnået besparelser som følge af udnyttelse af geodata til effektivisering af interne arbejds- og produktionsprocesser, hvilket i kapitel 5 bruges som input til at estimere effektiviseringseffekten.</w:t>
      </w:r>
    </w:p>
    <w:p>
      <w:pPr>
        <w:pStyle w:val="BodyText"/>
        <w:spacing w:before="1"/>
        <w:rPr>
          <w:sz w:val="21"/>
        </w:rPr>
      </w:pPr>
    </w:p>
    <w:p>
      <w:pPr>
        <w:pStyle w:val="BodyText"/>
        <w:spacing w:line="360" w:lineRule="auto" w:before="1"/>
        <w:ind w:left="278" w:right="1032"/>
      </w:pPr>
      <w:r>
        <w:rPr/>
        <w:t>Efter gennemgangen af de frie geodatas betydning for de private virksomheder belyser kapitlet, hvilke effektiviseringsgevinster der er opnået i forsyningssektoren. Dette vil også fungere som input til at estimere effektiviseringseffekten i kapitel 5. Det efterfølges af en gennemgang af effekter i den offentlige sektor. Her ser vi på, hvordan de offentlige myndigheder anvender geodata, herunder i hvilke forvaltningsområder og</w:t>
      </w:r>
    </w:p>
    <w:p>
      <w:pPr>
        <w:pStyle w:val="BodyText"/>
        <w:spacing w:line="360" w:lineRule="auto"/>
        <w:ind w:left="278" w:right="1210"/>
      </w:pPr>
      <w:r>
        <w:rPr/>
        <w:t>-processer de frie geodata indgår, og i hvor høj grad de frie geodata har medvirket til øget effektivisering i myndighedernes interne arbejdsprocesser. Resultaterne heraf vil blive anvendt som input til at estimere produktionseffekten og effektiviseringseffekten i kapitel 5.</w:t>
      </w:r>
    </w:p>
    <w:p>
      <w:pPr>
        <w:pStyle w:val="BodyText"/>
        <w:rPr>
          <w:sz w:val="21"/>
        </w:rPr>
      </w:pPr>
    </w:p>
    <w:p>
      <w:pPr>
        <w:pStyle w:val="BodyText"/>
        <w:spacing w:line="360" w:lineRule="auto"/>
        <w:ind w:left="278" w:right="1100"/>
      </w:pPr>
      <w:r>
        <w:rPr/>
        <w:t>Som afslutning på kortlægningen af de tre brugergruppers anvendelse af de frie geodata estimeres den samlede markeds- og effektiviseringseffekt ud fra beregningsmodellens første led i kapitel 5. Opgørelsen af markeds- og effektiviseringseffekten er grundlaget for, at der i kapitel 6 kan foretages et estimat af den samfundsmæssige værdi af geodata i 2016.</w:t>
      </w:r>
    </w:p>
    <w:p>
      <w:pPr>
        <w:pStyle w:val="BodyText"/>
      </w:pPr>
    </w:p>
    <w:p>
      <w:pPr>
        <w:pStyle w:val="BodyText"/>
      </w:pPr>
    </w:p>
    <w:p>
      <w:pPr>
        <w:pStyle w:val="BodyText"/>
      </w:pPr>
    </w:p>
    <w:p>
      <w:pPr>
        <w:pStyle w:val="BodyText"/>
      </w:pPr>
    </w:p>
    <w:p>
      <w:pPr>
        <w:pStyle w:val="BodyText"/>
        <w:spacing w:before="4"/>
        <w:rPr>
          <w:sz w:val="11"/>
        </w:rPr>
      </w:pPr>
      <w:r>
        <w:rPr/>
        <w:pict>
          <v:line style="position:absolute;mso-position-horizontal-relative:page;mso-position-vertical-relative:paragraph;z-index:1976;mso-wrap-distance-left:0;mso-wrap-distance-right:0" from="70.944pt,8.656370pt" to="214.964pt,8.656370pt" stroked="true" strokeweight=".48004pt" strokecolor="#000000">
            <v:stroke dashstyle="solid"/>
            <w10:wrap type="topAndBottom"/>
          </v:line>
        </w:pict>
      </w:r>
    </w:p>
    <w:p>
      <w:pPr>
        <w:pStyle w:val="BodyText"/>
        <w:spacing w:before="61"/>
        <w:ind w:left="278" w:right="1061"/>
      </w:pPr>
      <w:r>
        <w:rPr>
          <w:position w:val="5"/>
          <w:sz w:val="13"/>
        </w:rPr>
        <w:t>4 </w:t>
      </w:r>
      <w:r>
        <w:rPr/>
        <w:t>Besvarelser fra forsyningsselskaber er ikke medtaget i analysen af de private virksomheders anvendelse af geodata, da forsyningsselskaberne behandles særskilt.</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3"/>
        </w:numPr>
        <w:tabs>
          <w:tab w:pos="855" w:val="left" w:leader="none"/>
        </w:tabs>
        <w:spacing w:line="319" w:lineRule="exact" w:before="0" w:after="0"/>
        <w:ind w:left="854" w:right="0" w:hanging="576"/>
        <w:jc w:val="left"/>
        <w:rPr>
          <w:i/>
        </w:rPr>
      </w:pPr>
      <w:bookmarkStart w:name="_bookmark35" w:id="53"/>
      <w:bookmarkEnd w:id="53"/>
      <w:r>
        <w:rPr>
          <w:b w:val="0"/>
          <w:i w:val="0"/>
        </w:rPr>
      </w:r>
      <w:bookmarkStart w:name="_bookmark35" w:id="54"/>
      <w:bookmarkEnd w:id="54"/>
      <w:r>
        <w:rPr>
          <w:i/>
          <w:color w:val="A21F1F"/>
        </w:rPr>
        <w:t>E</w:t>
      </w:r>
      <w:r>
        <w:rPr>
          <w:i/>
          <w:color w:val="A21F1F"/>
        </w:rPr>
        <w:t>ffekter af de frie geodata i den private</w:t>
      </w:r>
      <w:r>
        <w:rPr>
          <w:i/>
          <w:color w:val="A21F1F"/>
          <w:spacing w:val="-8"/>
        </w:rPr>
        <w:t> </w:t>
      </w:r>
      <w:r>
        <w:rPr>
          <w:i/>
          <w:color w:val="A21F1F"/>
        </w:rPr>
        <w:t>sektor</w:t>
      </w:r>
    </w:p>
    <w:p>
      <w:pPr>
        <w:pStyle w:val="BodyText"/>
        <w:spacing w:line="360" w:lineRule="auto" w:before="243"/>
        <w:ind w:left="278" w:right="1049"/>
      </w:pPr>
      <w:r>
        <w:rPr/>
        <w:t>De frie geodata anvendes i dag til en række forskellige formål i private virksomheder. Som nævnt indledningsvist i kapitel 2 anvendes geodata til alt fra relativt simple illustrations- og visualiseringsopgaver over baggrundskort til komplekse analyser, som eks. oversvømmelsesanalyser som følge af skybrud. En komplet kortlægning af den private sektors anvendelse af geodata er nærmest en umulig opgave. Derfor vil afsnittet her skitsere overordnede tendenser for anvendelsen af geodata. Konklusionerne er draget på baggrund af spørgeskemaundersøgelsen, udført af PwC for private virksomheder. For en nærmere beskrivelse af populationen henvises til kapitel 3.</w:t>
      </w:r>
    </w:p>
    <w:p>
      <w:pPr>
        <w:pStyle w:val="BodyText"/>
        <w:spacing w:before="1"/>
        <w:rPr>
          <w:sz w:val="21"/>
        </w:rPr>
      </w:pPr>
    </w:p>
    <w:p>
      <w:pPr>
        <w:pStyle w:val="BodyText"/>
        <w:spacing w:line="360" w:lineRule="auto"/>
        <w:ind w:left="278" w:right="1166"/>
      </w:pPr>
      <w:r>
        <w:rPr/>
        <w:t>For at tilgå de frie geodata benyttes Kortforsyningen, der er en portalløsning, hvor man efter oprettelse af en brugerprofil har fri adgang til de frigivne datasæt. Siden 2012 er antallet af brugere af Kortforsyning steget fra ca. 800 til ca. 60.000. Stigningen i antallet af brugere vidner om en øget interesse for geodata. Samme tendens gør sig gældende for de virksomheder, der har medvirket i PwC’s spørgeskemaundersøgelse. Siden 2012 er der således sket en stigning i andelen af virksomheder, der anvender geodata – både fra kortforsyningstjenester og fra andre tjenesteudbydere af geodata, jf. nedenstående </w:t>
      </w:r>
      <w:hyperlink w:history="true" w:anchor="_bookmark36">
        <w:r>
          <w:rPr/>
          <w:t>Figur 15. </w:t>
        </w:r>
      </w:hyperlink>
      <w:r>
        <w:rPr/>
        <w:t>Andelen af virksomheder, der udelukkende anvender geodata fra andre leverandører end SDFE, er ligeledes faldet. Overordnet er det således kendetegnet for de private virksomheder, at de siden 2012 i stigende grad har taget de frie geodata til sig.</w:t>
      </w:r>
    </w:p>
    <w:p>
      <w:pPr>
        <w:pStyle w:val="BodyText"/>
        <w:spacing w:before="1"/>
        <w:rPr>
          <w:sz w:val="21"/>
        </w:rPr>
      </w:pPr>
    </w:p>
    <w:p>
      <w:pPr>
        <w:spacing w:before="0"/>
        <w:ind w:left="278" w:right="0" w:firstLine="0"/>
        <w:jc w:val="left"/>
        <w:rPr>
          <w:i/>
          <w:sz w:val="18"/>
        </w:rPr>
      </w:pPr>
      <w:r>
        <w:rPr/>
        <w:pict>
          <v:group style="position:absolute;margin-left:70.525002pt;margin-top:15.907924pt;width:474.1pt;height:173.4pt;mso-position-horizontal-relative:page;mso-position-vertical-relative:paragraph;z-index:2048;mso-wrap-distance-left:0;mso-wrap-distance-right:0" coordorigin="1411,318" coordsize="9482,3468">
            <v:rect style="position:absolute;left:1418;top:325;width:9467;height:3453" filled="true" fillcolor="#f1f1f1" stroked="false">
              <v:fill type="solid"/>
            </v:rect>
            <v:line style="position:absolute" from="6506,546" to="6506,1597" stroked="true" strokeweight=".75pt" strokecolor="#d9d9d9">
              <v:stroke dashstyle="solid"/>
            </v:line>
            <v:line style="position:absolute" from="6506,1842" to="6506,2187" stroked="true" strokeweight=".75pt" strokecolor="#d9d9d9">
              <v:stroke dashstyle="solid"/>
            </v:line>
            <v:line style="position:absolute" from="6506,2310" to="6506,2535" stroked="true" strokeweight=".75pt" strokecolor="#d9d9d9">
              <v:stroke dashstyle="solid"/>
            </v:line>
            <v:line style="position:absolute" from="6506,2780" to="6506,2891" stroked="true" strokeweight=".75pt" strokecolor="#d9d9d9">
              <v:stroke dashstyle="solid"/>
            </v:line>
            <v:line style="position:absolute" from="7169,546" to="7169,1597" stroked="true" strokeweight=".75pt" strokecolor="#d9d9d9">
              <v:stroke dashstyle="solid"/>
            </v:line>
            <v:line style="position:absolute" from="7169,1842" to="7169,2187" stroked="true" strokeweight=".75pt" strokecolor="#d9d9d9">
              <v:stroke dashstyle="solid"/>
            </v:line>
            <v:line style="position:absolute" from="7169,2310" to="7169,2535" stroked="true" strokeweight=".75pt" strokecolor="#d9d9d9">
              <v:stroke dashstyle="solid"/>
            </v:line>
            <v:line style="position:absolute" from="7169,2658" to="7169,2891" stroked="true" strokeweight=".75pt" strokecolor="#d9d9d9">
              <v:stroke dashstyle="solid"/>
            </v:line>
            <v:line style="position:absolute" from="7834,546" to="7834,1597" stroked="true" strokeweight=".75pt" strokecolor="#d9d9d9">
              <v:stroke dashstyle="solid"/>
            </v:line>
            <v:line style="position:absolute" from="7834,1842" to="7834,2891" stroked="true" strokeweight=".75pt" strokecolor="#d9d9d9">
              <v:stroke dashstyle="solid"/>
            </v:line>
            <v:line style="position:absolute" from="8498,546" to="8498,1597" stroked="true" strokeweight=".75pt" strokecolor="#d9d9d9">
              <v:stroke dashstyle="solid"/>
            </v:line>
            <v:line style="position:absolute" from="8498,1842" to="8498,2891" stroked="true" strokeweight=".75pt" strokecolor="#d9d9d9">
              <v:stroke dashstyle="solid"/>
            </v:line>
            <v:line style="position:absolute" from="9163,546" to="9163,1597" stroked="true" strokeweight=".75pt" strokecolor="#d9d9d9">
              <v:stroke dashstyle="solid"/>
            </v:line>
            <v:line style="position:absolute" from="9163,1719" to="9163,2891" stroked="true" strokeweight=".75pt" strokecolor="#d9d9d9">
              <v:stroke dashstyle="solid"/>
            </v:line>
            <v:line style="position:absolute" from="9826,546" to="9826,2891" stroked="true" strokeweight=".75pt" strokecolor="#d9d9d9">
              <v:stroke dashstyle="solid"/>
            </v:line>
            <v:line style="position:absolute" from="10491,546" to="10491,2891" stroked="true" strokeweight=".75pt" strokecolor="#d9d9d9">
              <v:stroke dashstyle="solid"/>
            </v:line>
            <v:line style="position:absolute" from="5841,2719" to="7104,2719" stroked="true" strokeweight="6.12pt" strokecolor="#bd8686">
              <v:stroke dashstyle="solid"/>
            </v:line>
            <v:line style="position:absolute" from="5841,2248" to="7567,2248" stroked="true" strokeweight="6.12pt" strokecolor="#bd8686">
              <v:stroke dashstyle="solid"/>
            </v:line>
            <v:line style="position:absolute" from="5841,1780" to="8897,1780" stroked="true" strokeweight="6.12pt" strokecolor="#bd8686">
              <v:stroke dashstyle="solid"/>
            </v:line>
            <v:line style="position:absolute" from="5841,1310" to="6439,1310" stroked="true" strokeweight="6.12pt" strokecolor="#bd8686">
              <v:stroke dashstyle="solid"/>
            </v:line>
            <v:line style="position:absolute" from="5841,2596" to="7378,2596" stroked="true" strokeweight="6.12pt" strokecolor="#901b1b">
              <v:stroke dashstyle="solid"/>
            </v:line>
            <v:line style="position:absolute" from="5841,2126" to="6394,2126" stroked="true" strokeweight="6.12pt" strokecolor="#901b1b">
              <v:stroke dashstyle="solid"/>
            </v:line>
            <v:line style="position:absolute" from="5841,1658" to="9655,1658" stroked="true" strokeweight="6.12pt" strokecolor="#901b1b">
              <v:stroke dashstyle="solid"/>
            </v:line>
            <v:line style="position:absolute" from="5841,1188" to="6334,1188" stroked="true" strokeweight="6.12pt" strokecolor="#901b1b">
              <v:stroke dashstyle="solid"/>
            </v:line>
            <v:line style="position:absolute" from="5841,720" to="6086,720" stroked="true" strokeweight="6.12pt" strokecolor="#901b1b">
              <v:stroke dashstyle="solid"/>
            </v:line>
            <v:line style="position:absolute" from="5841,2891" to="5841,546" stroked="true" strokeweight=".75pt" strokecolor="#d9d9d9">
              <v:stroke dashstyle="solid"/>
            </v:line>
            <v:line style="position:absolute" from="5786,2891" to="5841,2891" stroked="true" strokeweight=".75pt" strokecolor="#d9d9d9">
              <v:stroke dashstyle="solid"/>
            </v:line>
            <v:line style="position:absolute" from="5786,2422" to="5841,2422" stroked="true" strokeweight=".75pt" strokecolor="#d9d9d9">
              <v:stroke dashstyle="solid"/>
            </v:line>
            <v:line style="position:absolute" from="5786,1952" to="5841,1952" stroked="true" strokeweight=".75pt" strokecolor="#d9d9d9">
              <v:stroke dashstyle="solid"/>
            </v:line>
            <v:line style="position:absolute" from="5786,1484" to="5841,1484" stroked="true" strokeweight=".75pt" strokecolor="#d9d9d9">
              <v:stroke dashstyle="solid"/>
            </v:line>
            <v:line style="position:absolute" from="5786,1014" to="5841,1014" stroked="true" strokeweight=".75pt" strokecolor="#d9d9d9">
              <v:stroke dashstyle="solid"/>
            </v:line>
            <v:line style="position:absolute" from="5786,546" to="5841,546" stroked="true" strokeweight=".75pt" strokecolor="#d9d9d9">
              <v:stroke dashstyle="solid"/>
            </v:line>
            <v:rect style="position:absolute;left:5600;top:3451;width:93;height:93" filled="true" fillcolor="#901b1b" stroked="false">
              <v:fill type="solid"/>
            </v:rect>
            <v:rect style="position:absolute;left:6251;top:3451;width:93;height:93" filled="true" fillcolor="#bd8686" stroked="false">
              <v:fill type="solid"/>
            </v:rect>
            <v:shape style="position:absolute;left:1418;top:325;width:9467;height:3453" type="#_x0000_t202" filled="false" stroked="true" strokeweight=".75pt" strokecolor="#d9d9d9">
              <v:textbox inset="0,0,0,0">
                <w:txbxContent>
                  <w:p>
                    <w:pPr>
                      <w:spacing w:line="470" w:lineRule="atLeast" w:before="74"/>
                      <w:ind w:left="1341" w:right="5173" w:firstLine="2231"/>
                      <w:jc w:val="left"/>
                      <w:rPr>
                        <w:sz w:val="18"/>
                      </w:rPr>
                    </w:pPr>
                    <w:r>
                      <w:rPr>
                        <w:color w:val="585858"/>
                        <w:sz w:val="18"/>
                      </w:rPr>
                      <w:t>Ved ikke Virksomheden benytter ikke geodata</w:t>
                    </w:r>
                  </w:p>
                  <w:p>
                    <w:pPr>
                      <w:spacing w:before="162"/>
                      <w:ind w:left="962" w:right="5173" w:hanging="840"/>
                      <w:jc w:val="left"/>
                      <w:rPr>
                        <w:sz w:val="18"/>
                      </w:rPr>
                    </w:pPr>
                    <w:r>
                      <w:rPr>
                        <w:color w:val="585858"/>
                        <w:sz w:val="18"/>
                      </w:rPr>
                      <w:t>Virksomheden benytter både SDFE's frie geodata og geodata fra andre leverandører</w:t>
                    </w:r>
                  </w:p>
                  <w:p>
                    <w:pPr>
                      <w:spacing w:before="60"/>
                      <w:ind w:left="200" w:right="4882" w:firstLine="0"/>
                      <w:jc w:val="center"/>
                      <w:rPr>
                        <w:sz w:val="18"/>
                      </w:rPr>
                    </w:pPr>
                    <w:r>
                      <w:rPr>
                        <w:color w:val="585858"/>
                        <w:sz w:val="18"/>
                      </w:rPr>
                      <w:t>Virksomheden benytter kun geodata fra andre leverandører end SDFE</w:t>
                    </w:r>
                  </w:p>
                  <w:p>
                    <w:pPr>
                      <w:spacing w:before="163"/>
                      <w:ind w:left="200" w:right="4962" w:firstLine="0"/>
                      <w:jc w:val="center"/>
                      <w:rPr>
                        <w:sz w:val="18"/>
                      </w:rPr>
                    </w:pPr>
                    <w:r>
                      <w:rPr>
                        <w:color w:val="585858"/>
                        <w:sz w:val="18"/>
                      </w:rPr>
                      <w:t>Virksomheden benytter kun SDFE's frie geodata</w:t>
                    </w:r>
                  </w:p>
                  <w:p>
                    <w:pPr>
                      <w:spacing w:line="240" w:lineRule="auto" w:before="10"/>
                      <w:rPr>
                        <w:i/>
                        <w:sz w:val="21"/>
                      </w:rPr>
                    </w:pPr>
                  </w:p>
                  <w:p>
                    <w:pPr>
                      <w:tabs>
                        <w:tab w:pos="4913" w:val="left" w:leader="none"/>
                        <w:tab w:pos="5566" w:val="left" w:leader="none"/>
                        <w:tab w:pos="6231" w:val="left" w:leader="none"/>
                        <w:tab w:pos="6894" w:val="left" w:leader="none"/>
                        <w:tab w:pos="7562" w:val="left" w:leader="none"/>
                        <w:tab w:pos="8222" w:val="left" w:leader="none"/>
                        <w:tab w:pos="8893" w:val="left" w:leader="none"/>
                      </w:tabs>
                      <w:spacing w:before="0"/>
                      <w:ind w:left="4287" w:right="0" w:firstLine="0"/>
                      <w:jc w:val="left"/>
                      <w:rPr>
                        <w:sz w:val="18"/>
                      </w:rPr>
                    </w:pPr>
                    <w:r>
                      <w:rPr>
                        <w:color w:val="585858"/>
                        <w:sz w:val="18"/>
                      </w:rPr>
                      <w:t>0%</w:t>
                      <w:tab/>
                      <w:t>10%</w:t>
                      <w:tab/>
                      <w:t>20%</w:t>
                      <w:tab/>
                      <w:t>30%</w:t>
                      <w:tab/>
                      <w:t>40%</w:t>
                      <w:tab/>
                      <w:t>50%</w:t>
                      <w:tab/>
                      <w:t>60%</w:t>
                      <w:tab/>
                      <w:t>70%</w:t>
                    </w:r>
                  </w:p>
                  <w:p>
                    <w:pPr>
                      <w:spacing w:line="240" w:lineRule="auto" w:before="1"/>
                      <w:rPr>
                        <w:i/>
                        <w:sz w:val="16"/>
                      </w:rPr>
                    </w:pPr>
                  </w:p>
                  <w:p>
                    <w:pPr>
                      <w:tabs>
                        <w:tab w:pos="851" w:val="left" w:leader="none"/>
                      </w:tabs>
                      <w:spacing w:before="0"/>
                      <w:ind w:left="200" w:right="0" w:firstLine="0"/>
                      <w:jc w:val="center"/>
                      <w:rPr>
                        <w:sz w:val="18"/>
                      </w:rPr>
                    </w:pPr>
                    <w:r>
                      <w:rPr>
                        <w:color w:val="585858"/>
                        <w:sz w:val="18"/>
                      </w:rPr>
                      <w:t>2016</w:t>
                      <w:tab/>
                      <w:t>2012</w:t>
                    </w:r>
                  </w:p>
                </w:txbxContent>
              </v:textbox>
              <v:stroke dashstyle="solid"/>
              <w10:wrap type="none"/>
            </v:shape>
            <w10:wrap type="topAndBottom"/>
          </v:group>
        </w:pict>
      </w:r>
      <w:bookmarkStart w:name="_bookmark36" w:id="55"/>
      <w:bookmarkEnd w:id="55"/>
      <w:r>
        <w:rPr/>
      </w:r>
      <w:r>
        <w:rPr>
          <w:i/>
          <w:color w:val="A21F1F"/>
          <w:sz w:val="18"/>
        </w:rPr>
        <w:t>Figur 15. Private virksomheder fordelt på, hvilke leverandører af geodata de benyttede henholdsvis i 2012 og i 2016</w:t>
      </w:r>
    </w:p>
    <w:p>
      <w:pPr>
        <w:spacing w:before="108"/>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2"/>
        <w:ind w:left="278" w:right="0" w:firstLine="0"/>
        <w:jc w:val="left"/>
        <w:rPr>
          <w:i/>
          <w:sz w:val="18"/>
        </w:rPr>
      </w:pPr>
      <w:r>
        <w:rPr>
          <w:b/>
          <w:i/>
          <w:color w:val="A21F1F"/>
          <w:sz w:val="18"/>
        </w:rPr>
        <w:t>N</w:t>
      </w:r>
      <w:r>
        <w:rPr>
          <w:i/>
          <w:color w:val="A21F1F"/>
          <w:sz w:val="18"/>
        </w:rPr>
        <w:t>: 2016: 108 og 2012: 69</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2"/>
          <w:numId w:val="13"/>
        </w:numPr>
        <w:tabs>
          <w:tab w:pos="999" w:val="left" w:leader="none"/>
        </w:tabs>
        <w:spacing w:line="319" w:lineRule="exact" w:before="0" w:after="0"/>
        <w:ind w:left="998" w:right="0" w:hanging="720"/>
        <w:jc w:val="left"/>
        <w:rPr>
          <w:i/>
          <w:sz w:val="32"/>
        </w:rPr>
      </w:pPr>
      <w:bookmarkStart w:name="_bookmark37" w:id="56"/>
      <w:bookmarkEnd w:id="56"/>
      <w:r>
        <w:rPr/>
      </w:r>
      <w:bookmarkStart w:name="_bookmark37" w:id="57"/>
      <w:bookmarkEnd w:id="57"/>
      <w:r>
        <w:rPr>
          <w:i/>
          <w:color w:val="A21F1F"/>
          <w:sz w:val="32"/>
        </w:rPr>
        <w:t>A</w:t>
      </w:r>
      <w:r>
        <w:rPr>
          <w:i/>
          <w:color w:val="A21F1F"/>
          <w:sz w:val="32"/>
        </w:rPr>
        <w:t>nvendelse af geodata til interne arbejdsprocesser</w:t>
      </w:r>
      <w:r>
        <w:rPr>
          <w:i/>
          <w:color w:val="A21F1F"/>
          <w:spacing w:val="-5"/>
          <w:sz w:val="32"/>
        </w:rPr>
        <w:t> </w:t>
      </w:r>
      <w:r>
        <w:rPr>
          <w:i/>
          <w:color w:val="A21F1F"/>
          <w:sz w:val="32"/>
        </w:rPr>
        <w:t>samt</w:t>
      </w:r>
    </w:p>
    <w:p>
      <w:pPr>
        <w:spacing w:before="1"/>
        <w:ind w:left="998" w:right="0" w:firstLine="0"/>
        <w:jc w:val="left"/>
        <w:rPr>
          <w:i/>
          <w:sz w:val="32"/>
        </w:rPr>
      </w:pPr>
      <w:r>
        <w:rPr>
          <w:i/>
          <w:color w:val="A21F1F"/>
          <w:sz w:val="32"/>
        </w:rPr>
        <w:t>produkter og ydelser</w:t>
      </w:r>
    </w:p>
    <w:p>
      <w:pPr>
        <w:pStyle w:val="BodyText"/>
        <w:spacing w:line="360" w:lineRule="auto" w:before="241"/>
        <w:ind w:left="278" w:right="1184"/>
      </w:pPr>
      <w:r>
        <w:rPr/>
        <w:t>De private virksomheder anvender de frie geodata som input i de produkter og ydelser, de sælger til deres kunder. Det kunne fx være til brug for planlægning af anlægsprojekter, til beredskab eller i arbejdet med klimatilpasning.</w:t>
      </w:r>
    </w:p>
    <w:p>
      <w:pPr>
        <w:pStyle w:val="BodyText"/>
        <w:spacing w:before="1"/>
        <w:rPr>
          <w:sz w:val="21"/>
        </w:rPr>
      </w:pPr>
    </w:p>
    <w:p>
      <w:pPr>
        <w:pStyle w:val="BodyText"/>
        <w:spacing w:line="360" w:lineRule="auto"/>
        <w:ind w:left="278" w:right="1016"/>
      </w:pPr>
      <w:r>
        <w:rPr/>
        <w:t>Et konkret eksempel herpå er virksomheden Scalgo, der har udviklet en digital platform, som kan anvendes af såvel andre private virksomheder som offentlige myndigheder i forbindelse med arbejdet med oversvømmelsesrisiko inden for klimatilpasning, byplanlægning, beredskab og administration. Senere i rapporten ser vi nærmere på, hvordan netop Scalgo og deres løsninger er et godt eksempel på, hvordan de frie geodata fungerer som input til en dataværdikæde.</w:t>
      </w:r>
    </w:p>
    <w:p>
      <w:pPr>
        <w:pStyle w:val="BodyText"/>
        <w:spacing w:before="2"/>
        <w:rPr>
          <w:sz w:val="21"/>
        </w:rPr>
      </w:pPr>
    </w:p>
    <w:p>
      <w:pPr>
        <w:pStyle w:val="BodyText"/>
        <w:spacing w:line="360" w:lineRule="auto"/>
        <w:ind w:left="278" w:right="1115"/>
      </w:pPr>
      <w:r>
        <w:rPr/>
        <w:t>De frie geodata bliver ligeledes anvendt som element i interne processer og arbejdsopgaver, fx kontrol- eller tilsynsopgaver, som det eksempelvis ses hos Vandcenter Syd, der anvender geodata i forbindelse med medarbejderes aflæsning af vandmålere. Endelig anvendes de frie geodata også til fx illustrationsopgaver og markedsføring. Som det fremgår af </w:t>
      </w:r>
      <w:hyperlink w:history="true" w:anchor="_bookmark38">
        <w:r>
          <w:rPr/>
          <w:t>Figur 16 </w:t>
        </w:r>
      </w:hyperlink>
      <w:r>
        <w:rPr/>
        <w:t>herunder, har der siden 2012 været et lille fald i andelen af virksomheder, der angiver, at de anvender de frie geodata til førnævnte opgaver. Faldet er dog så begrænset, at det er vanskeligt at drage konklusioner på baggrund heraf som følge af statistisk usikkerhed. Det kan også skyldes, at geodata anvendes i andre opgaver end dem, der angives som svarmuligheder i spørgeskemaet.</w:t>
      </w:r>
    </w:p>
    <w:p>
      <w:pPr>
        <w:pStyle w:val="BodyText"/>
        <w:spacing w:before="2"/>
        <w:rPr>
          <w:sz w:val="21"/>
        </w:rPr>
      </w:pPr>
    </w:p>
    <w:p>
      <w:pPr>
        <w:spacing w:before="0"/>
        <w:ind w:left="278" w:right="0" w:firstLine="0"/>
        <w:jc w:val="left"/>
        <w:rPr>
          <w:i/>
          <w:sz w:val="18"/>
        </w:rPr>
      </w:pPr>
      <w:r>
        <w:rPr/>
        <w:pict>
          <v:group style="position:absolute;margin-left:70.525002pt;margin-top:15.847934pt;width:474.1pt;height:125.7pt;mso-position-horizontal-relative:page;mso-position-vertical-relative:paragraph;z-index:2120;mso-wrap-distance-left:0;mso-wrap-distance-right:0" coordorigin="1411,317" coordsize="9482,2514">
            <v:rect style="position:absolute;left:1418;top:324;width:9467;height:2499" filled="true" fillcolor="#f1f1f1" stroked="false">
              <v:fill type="solid"/>
            </v:rect>
            <v:line style="position:absolute" from="5527,544" to="5527,656" stroked="true" strokeweight=".75pt" strokecolor="#d9d9d9">
              <v:stroke dashstyle="solid"/>
            </v:line>
            <v:line style="position:absolute" from="5527,898" to="5527,1119" stroked="true" strokeweight=".75pt" strokecolor="#d9d9d9">
              <v:stroke dashstyle="solid"/>
            </v:line>
            <v:line style="position:absolute" from="5527,1362" to="5527,1582" stroked="true" strokeweight=".75pt" strokecolor="#d9d9d9">
              <v:stroke dashstyle="solid"/>
            </v:line>
            <v:line style="position:absolute" from="5527,1825" to="5527,1936" stroked="true" strokeweight=".75pt" strokecolor="#d9d9d9">
              <v:stroke dashstyle="solid"/>
            </v:line>
            <v:line style="position:absolute" from="6146,544" to="6146,656" stroked="true" strokeweight=".75pt" strokecolor="#d9d9d9">
              <v:stroke dashstyle="solid"/>
            </v:line>
            <v:line style="position:absolute" from="6146,898" to="6146,1119" stroked="true" strokeweight=".75pt" strokecolor="#d9d9d9">
              <v:stroke dashstyle="solid"/>
            </v:line>
            <v:line style="position:absolute" from="6146,1362" to="6146,1582" stroked="true" strokeweight=".75pt" strokecolor="#d9d9d9">
              <v:stroke dashstyle="solid"/>
            </v:line>
            <v:line style="position:absolute" from="6146,1825" to="6146,1936" stroked="true" strokeweight=".75pt" strokecolor="#d9d9d9">
              <v:stroke dashstyle="solid"/>
            </v:line>
            <v:line style="position:absolute" from="6766,544" to="6766,656" stroked="true" strokeweight=".75pt" strokecolor="#d9d9d9">
              <v:stroke dashstyle="solid"/>
            </v:line>
            <v:line style="position:absolute" from="6766,898" to="6766,1119" stroked="true" strokeweight=".75pt" strokecolor="#d9d9d9">
              <v:stroke dashstyle="solid"/>
            </v:line>
            <v:line style="position:absolute" from="6766,1362" to="6766,1582" stroked="true" strokeweight=".75pt" strokecolor="#d9d9d9">
              <v:stroke dashstyle="solid"/>
            </v:line>
            <v:line style="position:absolute" from="6766,1825" to="6766,1936" stroked="true" strokeweight=".75pt" strokecolor="#d9d9d9">
              <v:stroke dashstyle="solid"/>
            </v:line>
            <v:line style="position:absolute" from="7385,544" to="7385,656" stroked="true" strokeweight=".75pt" strokecolor="#d9d9d9">
              <v:stroke dashstyle="solid"/>
            </v:line>
            <v:line style="position:absolute" from="7385,898" to="7385,1119" stroked="true" strokeweight=".75pt" strokecolor="#d9d9d9">
              <v:stroke dashstyle="solid"/>
            </v:line>
            <v:line style="position:absolute" from="7385,1362" to="7385,1582" stroked="true" strokeweight=".75pt" strokecolor="#d9d9d9">
              <v:stroke dashstyle="solid"/>
            </v:line>
            <v:line style="position:absolute" from="7385,1825" to="7385,1936" stroked="true" strokeweight=".75pt" strokecolor="#d9d9d9">
              <v:stroke dashstyle="solid"/>
            </v:line>
            <v:line style="position:absolute" from="8006,544" to="8006,656" stroked="true" strokeweight=".75pt" strokecolor="#d9d9d9">
              <v:stroke dashstyle="solid"/>
            </v:line>
            <v:line style="position:absolute" from="8006,898" to="8006,1119" stroked="true" strokeweight=".75pt" strokecolor="#d9d9d9">
              <v:stroke dashstyle="solid"/>
            </v:line>
            <v:line style="position:absolute" from="8006,1362" to="8006,1582" stroked="true" strokeweight=".75pt" strokecolor="#d9d9d9">
              <v:stroke dashstyle="solid"/>
            </v:line>
            <v:line style="position:absolute" from="8006,1825" to="8006,1936" stroked="true" strokeweight=".75pt" strokecolor="#d9d9d9">
              <v:stroke dashstyle="solid"/>
            </v:line>
            <v:line style="position:absolute" from="8626,544" to="8626,656" stroked="true" strokeweight=".75pt" strokecolor="#d9d9d9">
              <v:stroke dashstyle="solid"/>
            </v:line>
            <v:line style="position:absolute" from="8626,898" to="8626,1119" stroked="true" strokeweight=".75pt" strokecolor="#d9d9d9">
              <v:stroke dashstyle="solid"/>
            </v:line>
            <v:line style="position:absolute" from="8626,1362" to="8626,1582" stroked="true" strokeweight=".75pt" strokecolor="#d9d9d9">
              <v:stroke dashstyle="solid"/>
            </v:line>
            <v:line style="position:absolute" from="8626,1825" to="8626,1936" stroked="true" strokeweight=".75pt" strokecolor="#d9d9d9">
              <v:stroke dashstyle="solid"/>
            </v:line>
            <v:line style="position:absolute" from="9245,544" to="9245,776" stroked="true" strokeweight=".75pt" strokecolor="#d9d9d9">
              <v:stroke dashstyle="solid"/>
            </v:line>
            <v:line style="position:absolute" from="9245,898" to="9245,1119" stroked="true" strokeweight=".75pt" strokecolor="#d9d9d9">
              <v:stroke dashstyle="solid"/>
            </v:line>
            <v:line style="position:absolute" from="9245,1239" to="9245,1705" stroked="true" strokeweight=".75pt" strokecolor="#d9d9d9">
              <v:stroke dashstyle="solid"/>
            </v:line>
            <v:line style="position:absolute" from="9245,1825" to="9245,1936" stroked="true" strokeweight=".75pt" strokecolor="#d9d9d9">
              <v:stroke dashstyle="solid"/>
            </v:line>
            <v:line style="position:absolute" from="9866,544" to="9866,776" stroked="true" strokeweight=".75pt" strokecolor="#d9d9d9">
              <v:stroke dashstyle="solid"/>
            </v:line>
            <v:line style="position:absolute" from="9866,898" to="9866,1936" stroked="true" strokeweight=".75pt" strokecolor="#d9d9d9">
              <v:stroke dashstyle="solid"/>
            </v:line>
            <v:line style="position:absolute" from="10485,544" to="10485,1936" stroked="true" strokeweight=".75pt" strokecolor="#d9d9d9">
              <v:stroke dashstyle="solid"/>
            </v:line>
            <v:line style="position:absolute" from="4906,1765" to="9432,1765" stroked="true" strokeweight="6pt" strokecolor="#bd8686">
              <v:stroke dashstyle="solid"/>
            </v:line>
            <v:line style="position:absolute" from="4906,1300" to="9182,1300" stroked="true" strokeweight="6.12pt" strokecolor="#bd8686">
              <v:stroke dashstyle="solid"/>
            </v:line>
            <v:line style="position:absolute" from="4906,837" to="10051,837" stroked="true" strokeweight="6.12pt" strokecolor="#bd8686">
              <v:stroke dashstyle="solid"/>
            </v:line>
            <v:line style="position:absolute" from="4906,1644" to="9110,1644" stroked="true" strokeweight="6.12pt" strokecolor="#901b1b">
              <v:stroke dashstyle="solid"/>
            </v:line>
            <v:line style="position:absolute" from="4906,1179" to="9466,1179" stroked="true" strokeweight="6pt" strokecolor="#901b1b">
              <v:stroke dashstyle="solid"/>
            </v:line>
            <v:line style="position:absolute" from="4906,716" to="9038,716" stroked="true" strokeweight="6pt" strokecolor="#901b1b">
              <v:stroke dashstyle="solid"/>
            </v:line>
            <v:line style="position:absolute" from="4906,1936" to="4906,544" stroked="true" strokeweight=".75pt" strokecolor="#d9d9d9">
              <v:stroke dashstyle="solid"/>
            </v:line>
            <v:line style="position:absolute" from="4851,1936" to="4906,1936" stroked="true" strokeweight=".75pt" strokecolor="#d9d9d9">
              <v:stroke dashstyle="solid"/>
            </v:line>
            <v:line style="position:absolute" from="4851,1472" to="4906,1472" stroked="true" strokeweight=".75pt" strokecolor="#d9d9d9">
              <v:stroke dashstyle="solid"/>
            </v:line>
            <v:line style="position:absolute" from="4851,1009" to="4906,1009" stroked="true" strokeweight=".75pt" strokecolor="#d9d9d9">
              <v:stroke dashstyle="solid"/>
            </v:line>
            <v:line style="position:absolute" from="4851,544" to="4906,544" stroked="true" strokeweight=".75pt" strokecolor="#d9d9d9">
              <v:stroke dashstyle="solid"/>
            </v:line>
            <v:rect style="position:absolute;left:5600;top:2496;width:93;height:93" filled="true" fillcolor="#901b1b" stroked="false">
              <v:fill type="solid"/>
            </v:rect>
            <v:rect style="position:absolute;left:6251;top:2496;width:93;height:93" filled="true" fillcolor="#bd8686" stroked="false">
              <v:fill type="solid"/>
            </v:rect>
            <v:rect style="position:absolute;left:1418;top:324;width:9467;height:2499" filled="false" stroked="true" strokeweight=".75pt" strokecolor="#d9d9d9">
              <v:stroke dashstyle="solid"/>
            </v:rect>
            <v:shape style="position:absolute;left:1425;top:324;width:9452;height:2492" type="#_x0000_t202" filled="false" stroked="false">
              <v:textbox inset="0,0,0,0">
                <w:txbxContent>
                  <w:p>
                    <w:pPr>
                      <w:spacing w:line="240" w:lineRule="auto" w:before="0"/>
                      <w:rPr>
                        <w:i/>
                        <w:sz w:val="20"/>
                      </w:rPr>
                    </w:pPr>
                  </w:p>
                  <w:p>
                    <w:pPr>
                      <w:spacing w:line="544" w:lineRule="auto" w:before="118"/>
                      <w:ind w:left="1022" w:right="6126" w:hanging="900"/>
                      <w:jc w:val="right"/>
                      <w:rPr>
                        <w:sz w:val="18"/>
                      </w:rPr>
                    </w:pPr>
                    <w:r>
                      <w:rPr>
                        <w:color w:val="585858"/>
                        <w:sz w:val="18"/>
                      </w:rPr>
                      <w:t>Andet fx illustrationer og markedsføring Interne processer og opgaver Produkter og ydelser</w:t>
                    </w:r>
                  </w:p>
                  <w:p>
                    <w:pPr>
                      <w:tabs>
                        <w:tab w:pos="3934" w:val="left" w:leader="none"/>
                        <w:tab w:pos="4542" w:val="left" w:leader="none"/>
                        <w:tab w:pos="5163" w:val="left" w:leader="none"/>
                        <w:tab w:pos="5782" w:val="left" w:leader="none"/>
                        <w:tab w:pos="6405" w:val="left" w:leader="none"/>
                        <w:tab w:pos="7022" w:val="left" w:leader="none"/>
                        <w:tab w:pos="7647" w:val="left" w:leader="none"/>
                        <w:tab w:pos="8258" w:val="left" w:leader="none"/>
                        <w:tab w:pos="8882" w:val="left" w:leader="none"/>
                      </w:tabs>
                      <w:spacing w:line="190" w:lineRule="exact" w:before="0"/>
                      <w:ind w:left="3352" w:right="0" w:firstLine="0"/>
                      <w:jc w:val="left"/>
                      <w:rPr>
                        <w:sz w:val="18"/>
                      </w:rPr>
                    </w:pPr>
                    <w:r>
                      <w:rPr>
                        <w:color w:val="585858"/>
                        <w:sz w:val="18"/>
                      </w:rPr>
                      <w:t>0%</w:t>
                      <w:tab/>
                      <w:t>10%</w:t>
                      <w:tab/>
                      <w:t>20%</w:t>
                      <w:tab/>
                      <w:t>30%</w:t>
                      <w:tab/>
                      <w:t>40%</w:t>
                      <w:tab/>
                      <w:t>50%</w:t>
                      <w:tab/>
                      <w:t>60%</w:t>
                      <w:tab/>
                      <w:t>70%</w:t>
                      <w:tab/>
                      <w:t>80%</w:t>
                      <w:tab/>
                      <w:t>90%</w:t>
                    </w:r>
                  </w:p>
                  <w:p>
                    <w:pPr>
                      <w:spacing w:line="240" w:lineRule="auto" w:before="1"/>
                      <w:rPr>
                        <w:i/>
                        <w:sz w:val="16"/>
                      </w:rPr>
                    </w:pPr>
                  </w:p>
                  <w:p>
                    <w:pPr>
                      <w:tabs>
                        <w:tab w:pos="851" w:val="left" w:leader="none"/>
                      </w:tabs>
                      <w:spacing w:before="0"/>
                      <w:ind w:left="200" w:right="0" w:firstLine="0"/>
                      <w:jc w:val="center"/>
                      <w:rPr>
                        <w:sz w:val="18"/>
                      </w:rPr>
                    </w:pPr>
                    <w:r>
                      <w:rPr>
                        <w:color w:val="585858"/>
                        <w:sz w:val="18"/>
                      </w:rPr>
                      <w:t>2016</w:t>
                      <w:tab/>
                      <w:t>2012</w:t>
                    </w:r>
                  </w:p>
                </w:txbxContent>
              </v:textbox>
              <w10:wrap type="none"/>
            </v:shape>
            <w10:wrap type="topAndBottom"/>
          </v:group>
        </w:pict>
      </w:r>
      <w:bookmarkStart w:name="_bookmark38" w:id="58"/>
      <w:bookmarkEnd w:id="58"/>
      <w:r>
        <w:rPr/>
      </w:r>
      <w:r>
        <w:rPr>
          <w:i/>
          <w:color w:val="A21F1F"/>
          <w:sz w:val="18"/>
        </w:rPr>
        <w:t>Figur 16. Private virksomheder fordelt på formål med de anvendte geodata til i henholdsvis 2012 og i 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19"/>
        <w:ind w:left="278" w:right="0" w:firstLine="0"/>
        <w:jc w:val="left"/>
        <w:rPr>
          <w:i/>
          <w:sz w:val="18"/>
        </w:rPr>
      </w:pPr>
      <w:r>
        <w:rPr>
          <w:b/>
          <w:color w:val="A21F1F"/>
          <w:sz w:val="18"/>
        </w:rPr>
        <w:t>N</w:t>
      </w:r>
      <w:r>
        <w:rPr>
          <w:i/>
          <w:color w:val="A21F1F"/>
          <w:sz w:val="18"/>
        </w:rPr>
        <w:t>: 2016: 87 og 2012: 71</w:t>
      </w:r>
    </w:p>
    <w:p>
      <w:pPr>
        <w:spacing w:before="120"/>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 </w:t>
      </w:r>
      <w:hyperlink w:history="true" w:anchor="_bookmark39">
        <w:r>
          <w:rPr/>
          <w:t>Figur 17 </w:t>
        </w:r>
      </w:hyperlink>
      <w:r>
        <w:rPr/>
        <w:t>er de private virksomheders anvendelse af geodata til produkter og ydelser uddybet. Det fremgår</w:t>
      </w:r>
    </w:p>
    <w:p>
      <w:pPr>
        <w:pStyle w:val="BodyText"/>
        <w:spacing w:line="360" w:lineRule="auto" w:before="114"/>
        <w:ind w:left="278" w:right="1134"/>
      </w:pPr>
      <w:r>
        <w:rPr/>
        <w:t>af figuren, at der siden 2012 har været et væsentlig fald i andelen af private virksomheder, der producerer eller forædler geodata. Det kan skyldes, at de frie geodata fra Kortforsyningen er af tilstrækkelig tilgængelighed og kvalitet til, at virksomhederne ikke selv behøver at bruge ressourcer på at indsamle data ved hjælp af landmåling eller flyfotografering eller på at egenproduktion af kort. At der er sket et fald i antallet af virksomheder, der anvender geodata som grundlag for rådgivning af deres kunder, er svært at forklare, og det stemmer ikke overens med case-undersøgelserne, hvor Niras eksempelvis anvender geodata langt bredere i deres organisation end tidligere. Faldet kan også skyldes, at geodata indgår mere direkte og integreret i virksomhedernes arbejdsprocesser, hvilket kan gøre det vanskeligt for virksomhederne at isolere de arbejdsprocesser, hvori de frie geodata indgår.</w:t>
      </w:r>
    </w:p>
    <w:p>
      <w:pPr>
        <w:pStyle w:val="BodyText"/>
        <w:rPr>
          <w:sz w:val="21"/>
        </w:rPr>
      </w:pPr>
    </w:p>
    <w:p>
      <w:pPr>
        <w:pStyle w:val="BodyText"/>
        <w:spacing w:line="360" w:lineRule="auto"/>
        <w:ind w:left="278" w:right="1630"/>
      </w:pPr>
      <w:r>
        <w:rPr/>
        <w:t>Geodata anvendes fortsat til fx udvikling af software og nye produkter, ligesom der er en fordobling i antallet af virksomheder, der anvender geodata til andre formål.</w:t>
      </w:r>
    </w:p>
    <w:p>
      <w:pPr>
        <w:pStyle w:val="BodyText"/>
        <w:spacing w:before="4"/>
        <w:rPr>
          <w:sz w:val="21"/>
        </w:rPr>
      </w:pPr>
    </w:p>
    <w:p>
      <w:pPr>
        <w:spacing w:before="0"/>
        <w:ind w:left="278" w:right="0" w:firstLine="0"/>
        <w:jc w:val="left"/>
        <w:rPr>
          <w:i/>
          <w:sz w:val="18"/>
        </w:rPr>
      </w:pPr>
      <w:r>
        <w:rPr/>
        <w:pict>
          <v:group style="position:absolute;margin-left:70.525002pt;margin-top:15.837922pt;width:477.15pt;height:200.55pt;mso-position-horizontal-relative:page;mso-position-vertical-relative:paragraph;z-index:2384;mso-wrap-distance-left:0;mso-wrap-distance-right:0" coordorigin="1411,317" coordsize="9543,4011">
            <v:rect style="position:absolute;left:1418;top:324;width:9528;height:3996" filled="true" fillcolor="#f1f1f1" stroked="false">
              <v:fill type="solid"/>
            </v:rect>
            <v:line style="position:absolute" from="6278,769" to="6278,867" stroked="true" strokeweight=".75pt" strokecolor="#d9d9d9">
              <v:stroke dashstyle="solid"/>
            </v:line>
            <v:line style="position:absolute" from="6278,1083" to="6278,1280" stroked="true" strokeweight=".75pt" strokecolor="#d9d9d9">
              <v:stroke dashstyle="solid"/>
            </v:line>
            <v:line style="position:absolute" from="6278,1496" to="6278,1693" stroked="true" strokeweight=".75pt" strokecolor="#d9d9d9">
              <v:stroke dashstyle="solid"/>
            </v:line>
            <v:line style="position:absolute" from="6278,1909" to="6278,2106" stroked="true" strokeweight=".75pt" strokecolor="#d9d9d9">
              <v:stroke dashstyle="solid"/>
            </v:line>
            <v:line style="position:absolute" from="6278,2322" to="6278,2518" stroked="true" strokeweight=".75pt" strokecolor="#d9d9d9">
              <v:stroke dashstyle="solid"/>
            </v:line>
            <v:line style="position:absolute" from="6278,2734" to="6278,2931" stroked="true" strokeweight=".75pt" strokecolor="#d9d9d9">
              <v:stroke dashstyle="solid"/>
            </v:line>
            <v:line style="position:absolute" from="6278,3147" to="6278,3344" stroked="true" strokeweight=".75pt" strokecolor="#d9d9d9">
              <v:stroke dashstyle="solid"/>
            </v:line>
            <v:line style="position:absolute" from="6278,3452" to="6278,3658" stroked="true" strokeweight=".75pt" strokecolor="#d9d9d9">
              <v:stroke dashstyle="solid"/>
            </v:line>
            <v:line style="position:absolute" from="7133,769" to="7133,975" stroked="true" strokeweight=".75pt" strokecolor="#d9d9d9">
              <v:stroke dashstyle="solid"/>
            </v:line>
            <v:line style="position:absolute" from="7133,1083" to="7133,1280" stroked="true" strokeweight=".75pt" strokecolor="#d9d9d9">
              <v:stroke dashstyle="solid"/>
            </v:line>
            <v:line style="position:absolute" from="7133,1496" to="7133,1801" stroked="true" strokeweight=".75pt" strokecolor="#d9d9d9">
              <v:stroke dashstyle="solid"/>
            </v:line>
            <v:line style="position:absolute" from="7133,1909" to="7133,2214" stroked="true" strokeweight=".75pt" strokecolor="#d9d9d9">
              <v:stroke dashstyle="solid"/>
            </v:line>
            <v:line style="position:absolute" from="7133,2322" to="7133,2518" stroked="true" strokeweight=".75pt" strokecolor="#d9d9d9">
              <v:stroke dashstyle="solid"/>
            </v:line>
            <v:line style="position:absolute" from="7133,2734" to="7133,2931" stroked="true" strokeweight=".75pt" strokecolor="#d9d9d9">
              <v:stroke dashstyle="solid"/>
            </v:line>
            <v:line style="position:absolute" from="7133,3147" to="7133,3344" stroked="true" strokeweight=".75pt" strokecolor="#d9d9d9">
              <v:stroke dashstyle="solid"/>
            </v:line>
            <v:line style="position:absolute" from="7133,3452" to="7133,3658" stroked="true" strokeweight=".75pt" strokecolor="#d9d9d9">
              <v:stroke dashstyle="solid"/>
            </v:line>
            <v:line style="position:absolute" from="7985,769" to="7985,975" stroked="true" strokeweight=".75pt" strokecolor="#d9d9d9">
              <v:stroke dashstyle="solid"/>
            </v:line>
            <v:line style="position:absolute" from="7985,1083" to="7985,1388" stroked="true" strokeweight=".75pt" strokecolor="#d9d9d9">
              <v:stroke dashstyle="solid"/>
            </v:line>
            <v:line style="position:absolute" from="7985,1496" to="7985,1801" stroked="true" strokeweight=".75pt" strokecolor="#d9d9d9">
              <v:stroke dashstyle="solid"/>
            </v:line>
            <v:line style="position:absolute" from="7985,1909" to="7985,2518" stroked="true" strokeweight=".75pt" strokecolor="#d9d9d9">
              <v:stroke dashstyle="solid"/>
            </v:line>
            <v:line style="position:absolute" from="7985,2734" to="7985,2931" stroked="true" strokeweight=".75pt" strokecolor="#d9d9d9">
              <v:stroke dashstyle="solid"/>
            </v:line>
            <v:line style="position:absolute" from="7985,3147" to="7985,3658" stroked="true" strokeweight=".75pt" strokecolor="#d9d9d9">
              <v:stroke dashstyle="solid"/>
            </v:line>
            <v:line style="position:absolute" from="8839,769" to="8839,1388" stroked="true" strokeweight=".75pt" strokecolor="#d9d9d9">
              <v:stroke dashstyle="solid"/>
            </v:line>
            <v:line style="position:absolute" from="8839,1496" to="8839,1801" stroked="true" strokeweight=".75pt" strokecolor="#d9d9d9">
              <v:stroke dashstyle="solid"/>
            </v:line>
            <v:line style="position:absolute" from="8839,1909" to="8839,2626" stroked="true" strokeweight=".75pt" strokecolor="#d9d9d9">
              <v:stroke dashstyle="solid"/>
            </v:line>
            <v:line style="position:absolute" from="8839,2734" to="8839,3658" stroked="true" strokeweight=".75pt" strokecolor="#d9d9d9">
              <v:stroke dashstyle="solid"/>
            </v:line>
            <v:line style="position:absolute" from="9694,769" to="9694,2626" stroked="true" strokeweight=".75pt" strokecolor="#d9d9d9">
              <v:stroke dashstyle="solid"/>
            </v:line>
            <v:line style="position:absolute" from="9694,2734" to="9694,3658" stroked="true" strokeweight=".75pt" strokecolor="#d9d9d9">
              <v:stroke dashstyle="solid"/>
            </v:line>
            <v:line style="position:absolute" from="10546,769" to="10546,3658" stroked="true" strokeweight=".75pt" strokecolor="#d9d9d9">
              <v:stroke dashstyle="solid"/>
            </v:line>
            <v:line style="position:absolute" from="5425,921" to="6814,921" stroked="true" strokeweight="5.4pt" strokecolor="#901b1b">
              <v:stroke dashstyle="solid"/>
            </v:line>
            <v:line style="position:absolute" from="5425,1334" to="7716,1334" stroked="true" strokeweight="5.4pt" strokecolor="#901b1b">
              <v:stroke dashstyle="solid"/>
            </v:line>
            <v:line style="position:absolute" from="5425,1747" to="7090,1747" stroked="true" strokeweight="5.4pt" strokecolor="#901b1b">
              <v:stroke dashstyle="solid"/>
            </v:line>
            <v:line style="position:absolute" from="5425,2160" to="6953,2160" stroked="true" strokeweight="5.4pt" strokecolor="#901b1b">
              <v:stroke dashstyle="solid"/>
            </v:line>
            <v:line style="position:absolute" from="5425,2572" to="8686,2572" stroked="true" strokeweight="5.4pt" strokecolor="#901b1b">
              <v:stroke dashstyle="solid"/>
            </v:line>
            <v:line style="position:absolute" from="5425,2985" to="8549,2985" stroked="true" strokeweight="5.4pt" strokecolor="#901b1b">
              <v:stroke dashstyle="solid"/>
            </v:line>
            <v:line style="position:absolute" from="5425,3398" to="7507,3398" stroked="true" strokeweight="5.4pt" strokecolor="#901b1b">
              <v:stroke dashstyle="solid"/>
            </v:line>
            <v:line style="position:absolute" from="5425,1029" to="8412,1029" stroked="true" strokeweight="5.4pt" strokecolor="#bd8686">
              <v:stroke dashstyle="solid"/>
            </v:line>
            <v:line style="position:absolute" from="5425,1442" to="9523,1442" stroked="true" strokeweight="5.4pt" strokecolor="#bd8686">
              <v:stroke dashstyle="solid"/>
            </v:line>
            <v:line style="position:absolute" from="5425,1855" to="9607,1855" stroked="true" strokeweight="5.4pt" strokecolor="#bd8686">
              <v:stroke dashstyle="solid"/>
            </v:line>
            <v:line style="position:absolute" from="5425,2268" to="7217,2268" stroked="true" strokeweight="5.4pt" strokecolor="#bd8686">
              <v:stroke dashstyle="solid"/>
            </v:line>
            <v:line style="position:absolute" from="5425,2680" to="9864,2680" stroked="true" strokeweight="5.4pt" strokecolor="#bd8686">
              <v:stroke dashstyle="solid"/>
            </v:line>
            <v:line style="position:absolute" from="5425,3093" to="8753,3093" stroked="true" strokeweight="5.4pt" strokecolor="#bd8686">
              <v:stroke dashstyle="solid"/>
            </v:line>
            <v:line style="position:absolute" from="5425,3506" to="6278,3506" stroked="true" strokeweight="5.4pt" strokecolor="#bd8686">
              <v:stroke dashstyle="solid"/>
            </v:line>
            <v:line style="position:absolute" from="5425,769" to="5425,3658" stroked="true" strokeweight=".75pt" strokecolor="#d9d9d9">
              <v:stroke dashstyle="solid"/>
            </v:line>
            <v:rect style="position:absolute;left:5631;top:3992;width:93;height:93" filled="true" fillcolor="#901b1b" stroked="false">
              <v:fill type="solid"/>
            </v:rect>
            <v:rect style="position:absolute;left:6282;top:3992;width:93;height:93" filled="true" fillcolor="#bd8686" stroked="false">
              <v:fill type="solid"/>
            </v:rect>
            <v:rect style="position:absolute;left:1418;top:324;width:9528;height:3996" filled="false" stroked="true" strokeweight=".75pt" strokecolor="#d9d9d9">
              <v:stroke dashstyle="solid"/>
            </v:rect>
            <v:shape style="position:absolute;left:5762;top:3932;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1548;top:868;width:3740;height:2681" type="#_x0000_t202" filled="false" stroked="false">
              <v:textbox inset="0,0,0,0">
                <w:txbxContent>
                  <w:p>
                    <w:pPr>
                      <w:spacing w:line="484" w:lineRule="auto" w:before="0"/>
                      <w:ind w:left="906" w:right="18" w:hanging="506"/>
                      <w:jc w:val="right"/>
                      <w:rPr>
                        <w:sz w:val="18"/>
                      </w:rPr>
                    </w:pPr>
                    <w:r>
                      <w:rPr>
                        <w:color w:val="585858"/>
                        <w:sz w:val="18"/>
                      </w:rPr>
                      <w:t>Kort- og landmåling</w:t>
                    </w:r>
                    <w:r>
                      <w:rPr>
                        <w:color w:val="585858"/>
                        <w:spacing w:val="-15"/>
                        <w:sz w:val="18"/>
                      </w:rPr>
                      <w:t> </w:t>
                    </w:r>
                    <w:r>
                      <w:rPr>
                        <w:color w:val="585858"/>
                        <w:sz w:val="18"/>
                      </w:rPr>
                      <w:t>samt</w:t>
                    </w:r>
                    <w:r>
                      <w:rPr>
                        <w:color w:val="585858"/>
                        <w:spacing w:val="-3"/>
                        <w:sz w:val="18"/>
                      </w:rPr>
                      <w:t> </w:t>
                    </w:r>
                    <w:r>
                      <w:rPr>
                        <w:color w:val="585858"/>
                        <w:sz w:val="18"/>
                      </w:rPr>
                      <w:t>flyfotografering Behandling og forædling af</w:t>
                    </w:r>
                    <w:r>
                      <w:rPr>
                        <w:color w:val="585858"/>
                        <w:spacing w:val="-12"/>
                        <w:sz w:val="18"/>
                      </w:rPr>
                      <w:t> </w:t>
                    </w:r>
                    <w:r>
                      <w:rPr>
                        <w:color w:val="585858"/>
                        <w:sz w:val="18"/>
                      </w:rPr>
                      <w:t>geodata</w:t>
                    </w:r>
                  </w:p>
                  <w:p>
                    <w:pPr>
                      <w:spacing w:line="484" w:lineRule="auto" w:before="0"/>
                      <w:ind w:left="0" w:right="19" w:firstLine="2253"/>
                      <w:jc w:val="right"/>
                      <w:rPr>
                        <w:sz w:val="18"/>
                      </w:rPr>
                    </w:pPr>
                    <w:r>
                      <w:rPr>
                        <w:color w:val="585858"/>
                        <w:sz w:val="18"/>
                      </w:rPr>
                      <w:t>Produktion</w:t>
                    </w:r>
                    <w:r>
                      <w:rPr>
                        <w:color w:val="585858"/>
                        <w:spacing w:val="-2"/>
                        <w:sz w:val="18"/>
                      </w:rPr>
                      <w:t> </w:t>
                    </w:r>
                    <w:r>
                      <w:rPr>
                        <w:color w:val="585858"/>
                        <w:sz w:val="18"/>
                      </w:rPr>
                      <w:t>af</w:t>
                    </w:r>
                    <w:r>
                      <w:rPr>
                        <w:color w:val="585858"/>
                        <w:spacing w:val="-1"/>
                        <w:sz w:val="18"/>
                      </w:rPr>
                      <w:t> </w:t>
                    </w:r>
                    <w:r>
                      <w:rPr>
                        <w:color w:val="585858"/>
                        <w:spacing w:val="-5"/>
                        <w:sz w:val="18"/>
                      </w:rPr>
                      <w:t>kort</w:t>
                    </w:r>
                    <w:r>
                      <w:rPr>
                        <w:color w:val="585858"/>
                        <w:sz w:val="18"/>
                      </w:rPr>
                      <w:t> Udvikling og/eller distribution af</w:t>
                    </w:r>
                    <w:r>
                      <w:rPr>
                        <w:color w:val="585858"/>
                        <w:spacing w:val="-18"/>
                        <w:sz w:val="18"/>
                      </w:rPr>
                      <w:t> </w:t>
                    </w:r>
                    <w:r>
                      <w:rPr>
                        <w:color w:val="585858"/>
                        <w:sz w:val="18"/>
                      </w:rPr>
                      <w:t>GIS-software</w:t>
                    </w:r>
                  </w:p>
                  <w:p>
                    <w:pPr>
                      <w:spacing w:line="203" w:lineRule="exact" w:before="0"/>
                      <w:ind w:left="0" w:right="19" w:firstLine="0"/>
                      <w:jc w:val="right"/>
                      <w:rPr>
                        <w:sz w:val="18"/>
                      </w:rPr>
                    </w:pPr>
                    <w:r>
                      <w:rPr>
                        <w:color w:val="585858"/>
                        <w:spacing w:val="-1"/>
                        <w:sz w:val="18"/>
                      </w:rPr>
                      <w:t>Rådgivning</w:t>
                    </w:r>
                  </w:p>
                  <w:p>
                    <w:pPr>
                      <w:spacing w:before="105"/>
                      <w:ind w:left="688" w:right="-1" w:hanging="672"/>
                      <w:jc w:val="left"/>
                      <w:rPr>
                        <w:sz w:val="18"/>
                      </w:rPr>
                    </w:pPr>
                    <w:r>
                      <w:rPr>
                        <w:color w:val="585858"/>
                        <w:sz w:val="18"/>
                      </w:rPr>
                      <w:t>Udvikling og/eller distribution af produkter og tjenester med brug af geodata</w:t>
                    </w:r>
                  </w:p>
                  <w:p>
                    <w:pPr>
                      <w:spacing w:before="106"/>
                      <w:ind w:left="0" w:right="18" w:firstLine="0"/>
                      <w:jc w:val="right"/>
                      <w:rPr>
                        <w:sz w:val="18"/>
                      </w:rPr>
                    </w:pPr>
                    <w:r>
                      <w:rPr>
                        <w:color w:val="585858"/>
                        <w:sz w:val="18"/>
                      </w:rPr>
                      <w:t>Andre</w:t>
                    </w:r>
                  </w:p>
                </w:txbxContent>
              </v:textbox>
              <w10:wrap type="none"/>
            </v:shape>
            <v:shape style="position:absolute;left:10368;top:443;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9518;top:443;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8661;top:443;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7808;top:443;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6954;top:443;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6112;top:443;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5297;top:443;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w10:wrap type="topAndBottom"/>
          </v:group>
        </w:pict>
      </w:r>
      <w:bookmarkStart w:name="_bookmark39" w:id="59"/>
      <w:bookmarkEnd w:id="59"/>
      <w:r>
        <w:rPr/>
      </w:r>
      <w:r>
        <w:rPr>
          <w:i/>
          <w:color w:val="A21F1F"/>
          <w:sz w:val="18"/>
        </w:rPr>
        <w:t>Figur 17. Private virksomheder fordelt på de af deres produkter og ydelser, hvori geodata indgår</w:t>
      </w:r>
    </w:p>
    <w:p>
      <w:pPr>
        <w:spacing w:before="0"/>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19"/>
        <w:ind w:left="278" w:right="0" w:firstLine="0"/>
        <w:jc w:val="left"/>
        <w:rPr>
          <w:i/>
          <w:sz w:val="18"/>
        </w:rPr>
      </w:pPr>
      <w:r>
        <w:rPr>
          <w:b/>
          <w:i/>
          <w:color w:val="A21F1F"/>
          <w:sz w:val="18"/>
        </w:rPr>
        <w:t>N</w:t>
      </w:r>
      <w:r>
        <w:rPr>
          <w:i/>
          <w:color w:val="A21F1F"/>
          <w:sz w:val="18"/>
        </w:rPr>
        <w:t>: 2016: 87 og 2012: 71</w:t>
      </w:r>
    </w:p>
    <w:p>
      <w:pPr>
        <w:spacing w:before="120"/>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Markedet for de produkter og ydelser, som de private virksomheder udbyder, rammer både den offentlige</w:t>
      </w:r>
    </w:p>
    <w:p>
      <w:pPr>
        <w:pStyle w:val="BodyText"/>
        <w:spacing w:line="360" w:lineRule="auto" w:before="114"/>
        <w:ind w:left="278" w:right="995"/>
      </w:pPr>
      <w:r>
        <w:rPr/>
        <w:t>og den private sektor, jf. </w:t>
      </w:r>
      <w:hyperlink w:history="true" w:anchor="_bookmark40">
        <w:r>
          <w:rPr/>
          <w:t>Figur 18. </w:t>
        </w:r>
      </w:hyperlink>
      <w:r>
        <w:rPr/>
        <w:t>Siden 2012 har der været en tendens til, at salget af georelaterede produkter private virksomheder imellem betyder mere for det samlede salg i markedet. Det kan også tyde på, at tredjepartsmarkedet er blevet større siden før-målingen. En forklaring kan derfor være, at 1.-leds- brugere, som deltager i undersøgelsen, i højere grad afsætter deres løsninger til andre private aftagere i værdikæden. Når kommuner og statslige myndigheder udgør en mindre andel af virksomhedernes samlede salg af produkter og ydelser end i 2012, skyldes det muligvis, at myndighederne i højere udstrækning end tidligere selv besidder viden og kompetencer om udnyttelse af de frie geodata – og derfor i mindre grad efterspørger ekstern bistand.</w:t>
      </w:r>
    </w:p>
    <w:p>
      <w:pPr>
        <w:pStyle w:val="BodyText"/>
        <w:rPr>
          <w:sz w:val="22"/>
        </w:rPr>
      </w:pPr>
    </w:p>
    <w:p>
      <w:pPr>
        <w:pStyle w:val="BodyText"/>
        <w:spacing w:before="11"/>
        <w:rPr>
          <w:sz w:val="28"/>
        </w:rPr>
      </w:pPr>
    </w:p>
    <w:p>
      <w:pPr>
        <w:spacing w:before="0"/>
        <w:ind w:left="278" w:right="1301" w:firstLine="0"/>
        <w:jc w:val="left"/>
        <w:rPr>
          <w:i/>
          <w:sz w:val="18"/>
        </w:rPr>
      </w:pPr>
      <w:bookmarkStart w:name="_bookmark40" w:id="60"/>
      <w:bookmarkEnd w:id="60"/>
      <w:r>
        <w:rPr/>
      </w:r>
      <w:r>
        <w:rPr>
          <w:i/>
          <w:color w:val="A21F1F"/>
          <w:sz w:val="18"/>
        </w:rPr>
        <w:t>Figur 18. Private virksomheder fordelt på aftagere af deres geodatarelaterede produkter og ydelser, henholdsvis i </w:t>
      </w:r>
      <w:r>
        <w:rPr>
          <w:i/>
          <w:color w:val="A21F1F"/>
          <w:sz w:val="18"/>
        </w:rPr>
        <w:t>2012 og i 2016</w:t>
      </w:r>
    </w:p>
    <w:p>
      <w:pPr>
        <w:pStyle w:val="BodyText"/>
        <w:ind w:left="270"/>
      </w:pPr>
      <w:r>
        <w:rPr/>
        <w:pict>
          <v:group style="width:472.15pt;height:216.75pt;mso-position-horizontal-relative:char;mso-position-vertical-relative:line" coordorigin="0,0" coordsize="9443,4335">
            <v:rect style="position:absolute;left:7;top:7;width:9428;height:4320" filled="true" fillcolor="#f1f1f1" stroked="false">
              <v:fill type="solid"/>
            </v:rect>
            <v:line style="position:absolute" from="4628,228" to="4628,356" stroked="true" strokeweight=".75pt" strokecolor="#d9d9d9">
              <v:stroke dashstyle="solid"/>
            </v:line>
            <v:line style="position:absolute" from="4628,637" to="4628,891" stroked="true" strokeweight=".75pt" strokecolor="#d9d9d9">
              <v:stroke dashstyle="solid"/>
            </v:line>
            <v:line style="position:absolute" from="4628,1172" to="4628,1426" stroked="true" strokeweight=".75pt" strokecolor="#d9d9d9">
              <v:stroke dashstyle="solid"/>
            </v:line>
            <v:line style="position:absolute" from="4628,1707" to="4628,1961" stroked="true" strokeweight=".75pt" strokecolor="#d9d9d9">
              <v:stroke dashstyle="solid"/>
            </v:line>
            <v:line style="position:absolute" from="4628,2242" to="4628,2497" stroked="true" strokeweight=".75pt" strokecolor="#d9d9d9">
              <v:stroke dashstyle="solid"/>
            </v:line>
            <v:line style="position:absolute" from="4628,2777" to="4628,3032" stroked="true" strokeweight=".75pt" strokecolor="#d9d9d9">
              <v:stroke dashstyle="solid"/>
            </v:line>
            <v:line style="position:absolute" from="4628,3313" to="4628,3440" stroked="true" strokeweight=".75pt" strokecolor="#d9d9d9">
              <v:stroke dashstyle="solid"/>
            </v:line>
            <v:line style="position:absolute" from="5509,228" to="5509,356" stroked="true" strokeweight=".75pt" strokecolor="#d9d9d9">
              <v:stroke dashstyle="solid"/>
            </v:line>
            <v:line style="position:absolute" from="5509,637" to="5509,891" stroked="true" strokeweight=".75pt" strokecolor="#d9d9d9">
              <v:stroke dashstyle="solid"/>
            </v:line>
            <v:line style="position:absolute" from="5509,1172" to="5509,1426" stroked="true" strokeweight=".75pt" strokecolor="#d9d9d9">
              <v:stroke dashstyle="solid"/>
            </v:line>
            <v:line style="position:absolute" from="5509,1707" to="5509,3173" stroked="true" strokeweight=".75pt" strokecolor="#d9d9d9">
              <v:stroke dashstyle="solid"/>
            </v:line>
            <v:line style="position:absolute" from="5509,3313" to="5509,3440" stroked="true" strokeweight=".75pt" strokecolor="#d9d9d9">
              <v:stroke dashstyle="solid"/>
            </v:line>
            <v:line style="position:absolute" from="6390,228" to="6390,356" stroked="true" strokeweight=".75pt" strokecolor="#d9d9d9">
              <v:stroke dashstyle="solid"/>
            </v:line>
            <v:line style="position:absolute" from="6390,637" to="6390,891" stroked="true" strokeweight=".75pt" strokecolor="#d9d9d9">
              <v:stroke dashstyle="solid"/>
            </v:line>
            <v:line style="position:absolute" from="6390,1172" to="6390,1426" stroked="true" strokeweight=".75pt" strokecolor="#d9d9d9">
              <v:stroke dashstyle="solid"/>
            </v:line>
            <v:line style="position:absolute" from="6390,1707" to="6390,3173" stroked="true" strokeweight=".75pt" strokecolor="#d9d9d9">
              <v:stroke dashstyle="solid"/>
            </v:line>
            <v:line style="position:absolute" from="6390,3313" to="6390,3440" stroked="true" strokeweight=".75pt" strokecolor="#d9d9d9">
              <v:stroke dashstyle="solid"/>
            </v:line>
            <v:line style="position:absolute" from="7273,228" to="7273,356" stroked="true" strokeweight=".75pt" strokecolor="#d9d9d9">
              <v:stroke dashstyle="solid"/>
            </v:line>
            <v:line style="position:absolute" from="7273,637" to="7273,1426" stroked="true" strokeweight=".75pt" strokecolor="#d9d9d9">
              <v:stroke dashstyle="solid"/>
            </v:line>
            <v:line style="position:absolute" from="7273,1707" to="7273,3440" stroked="true" strokeweight=".75pt" strokecolor="#d9d9d9">
              <v:stroke dashstyle="solid"/>
            </v:line>
            <v:line style="position:absolute" from="8153,228" to="8153,356" stroked="true" strokeweight=".75pt" strokecolor="#d9d9d9">
              <v:stroke dashstyle="solid"/>
            </v:line>
            <v:line style="position:absolute" from="8153,637" to="8153,1565" stroked="true" strokeweight=".75pt" strokecolor="#d9d9d9">
              <v:stroke dashstyle="solid"/>
            </v:line>
            <v:line style="position:absolute" from="8153,1707" to="8153,3440" stroked="true" strokeweight=".75pt" strokecolor="#d9d9d9">
              <v:stroke dashstyle="solid"/>
            </v:line>
            <v:line style="position:absolute" from="9036,228" to="9036,3440" stroked="true" strokeweight=".75pt" strokecolor="#d9d9d9">
              <v:stroke dashstyle="solid"/>
            </v:line>
            <v:rect style="position:absolute;left:3745;top:3173;width:3352;height:140" filled="true" fillcolor="#bd8686" stroked="false">
              <v:fill type="solid"/>
            </v:rect>
            <v:rect style="position:absolute;left:3745;top:2638;width:1490;height:140" filled="true" fillcolor="#bd8686" stroked="false">
              <v:fill type="solid"/>
            </v:rect>
            <v:rect style="position:absolute;left:3745;top:2100;width:1740;height:142" filled="true" fillcolor="#bd8686" stroked="false">
              <v:fill type="solid"/>
            </v:rect>
            <v:rect style="position:absolute;left:3745;top:1565;width:4843;height:142" filled="true" fillcolor="#bd8686" stroked="false">
              <v:fill type="solid"/>
            </v:rect>
            <v:rect style="position:absolute;left:3745;top:1030;width:3105;height:142" filled="true" fillcolor="#bd8686" stroked="false">
              <v:fill type="solid"/>
            </v:rect>
            <v:rect style="position:absolute;left:3745;top:494;width:4843;height:142" filled="true" fillcolor="#bd8686" stroked="false">
              <v:fill type="solid"/>
            </v:rect>
            <v:rect style="position:absolute;left:3745;top:3031;width:1720;height:142" filled="true" fillcolor="#901b1b" stroked="false">
              <v:fill type="solid"/>
            </v:rect>
            <v:rect style="position:absolute;left:3745;top:2496;width:1507;height:142" filled="true" fillcolor="#901b1b" stroked="false">
              <v:fill type="solid"/>
            </v:rect>
            <v:rect style="position:absolute;left:3745;top:1961;width:1435;height:140" filled="true" fillcolor="#901b1b" stroked="false">
              <v:fill type="solid"/>
            </v:rect>
            <v:rect style="position:absolute;left:3745;top:1426;width:3585;height:140" filled="true" fillcolor="#901b1b" stroked="false">
              <v:fill type="solid"/>
            </v:rect>
            <v:rect style="position:absolute;left:3745;top:890;width:2940;height:140" filled="true" fillcolor="#901b1b" stroked="false">
              <v:fill type="solid"/>
            </v:rect>
            <v:rect style="position:absolute;left:3745;top:355;width:4444;height:140" filled="true" fillcolor="#901b1b" stroked="false">
              <v:fill type="solid"/>
            </v:rect>
            <v:line style="position:absolute" from="3745,3440" to="3745,228" stroked="true" strokeweight=".75pt" strokecolor="#d9d9d9">
              <v:stroke dashstyle="solid"/>
            </v:line>
            <v:line style="position:absolute" from="3690,3440" to="3745,3440" stroked="true" strokeweight=".75pt" strokecolor="#d9d9d9">
              <v:stroke dashstyle="solid"/>
            </v:line>
            <v:line style="position:absolute" from="3690,2905" to="3745,2905" stroked="true" strokeweight=".75pt" strokecolor="#d9d9d9">
              <v:stroke dashstyle="solid"/>
            </v:line>
            <v:line style="position:absolute" from="3690,2369" to="3745,2369" stroked="true" strokeweight=".75pt" strokecolor="#d9d9d9">
              <v:stroke dashstyle="solid"/>
            </v:line>
            <v:line style="position:absolute" from="3690,1834" to="3745,1834" stroked="true" strokeweight=".75pt" strokecolor="#d9d9d9">
              <v:stroke dashstyle="solid"/>
            </v:line>
            <v:line style="position:absolute" from="3690,1299" to="3745,1299" stroked="true" strokeweight=".75pt" strokecolor="#d9d9d9">
              <v:stroke dashstyle="solid"/>
            </v:line>
            <v:line style="position:absolute" from="3690,764" to="3745,764" stroked="true" strokeweight=".75pt" strokecolor="#d9d9d9">
              <v:stroke dashstyle="solid"/>
            </v:line>
            <v:line style="position:absolute" from="3690,228" to="3745,228" stroked="true" strokeweight=".75pt" strokecolor="#d9d9d9">
              <v:stroke dashstyle="solid"/>
            </v:line>
            <v:rect style="position:absolute;left:4170;top:4000;width:93;height:93" filled="true" fillcolor="#901b1b" stroked="false">
              <v:fill type="solid"/>
            </v:rect>
            <v:rect style="position:absolute;left:4821;top:4000;width:93;height:93" filled="true" fillcolor="#bd8686" stroked="false">
              <v:fill type="solid"/>
            </v:rect>
            <v:rect style="position:absolute;left:7;top:7;width:9428;height:4320" filled="false" stroked="true" strokeweight=".75pt" strokecolor="#d9d9d9">
              <v:stroke dashstyle="solid"/>
            </v:rect>
            <v:shape style="position:absolute;left:8857;top:3552;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979;top:3552;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7094;top:3552;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6213;top:3552;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4953;top:3552;width:757;height:592" type="#_x0000_t202" filled="false" stroked="false">
              <v:textbox inset="0,0,0,0">
                <w:txbxContent>
                  <w:p>
                    <w:pPr>
                      <w:spacing w:before="0"/>
                      <w:ind w:left="377" w:right="0" w:firstLine="0"/>
                      <w:jc w:val="left"/>
                      <w:rPr>
                        <w:sz w:val="18"/>
                      </w:rPr>
                    </w:pPr>
                    <w:r>
                      <w:rPr>
                        <w:color w:val="585858"/>
                        <w:sz w:val="18"/>
                      </w:rPr>
                      <w:t>20%</w:t>
                    </w:r>
                  </w:p>
                  <w:p>
                    <w:pPr>
                      <w:spacing w:line="240" w:lineRule="auto" w:before="1"/>
                      <w:rPr>
                        <w:i/>
                        <w:sz w:val="16"/>
                      </w:rPr>
                    </w:pPr>
                  </w:p>
                  <w:p>
                    <w:pPr>
                      <w:spacing w:before="0"/>
                      <w:ind w:left="0" w:right="0" w:firstLine="0"/>
                      <w:jc w:val="left"/>
                      <w:rPr>
                        <w:sz w:val="18"/>
                      </w:rPr>
                    </w:pPr>
                    <w:r>
                      <w:rPr>
                        <w:color w:val="585858"/>
                        <w:sz w:val="18"/>
                      </w:rPr>
                      <w:t>2012</w:t>
                    </w:r>
                  </w:p>
                </w:txbxContent>
              </v:textbox>
              <w10:wrap type="none"/>
            </v:shape>
            <v:shape style="position:absolute;left:4302;top:3552;width:513;height:592" type="#_x0000_t202" filled="false" stroked="false">
              <v:textbox inset="0,0,0,0">
                <w:txbxContent>
                  <w:p>
                    <w:pPr>
                      <w:spacing w:before="0"/>
                      <w:ind w:left="158" w:right="0" w:firstLine="0"/>
                      <w:jc w:val="left"/>
                      <w:rPr>
                        <w:sz w:val="18"/>
                      </w:rPr>
                    </w:pPr>
                    <w:r>
                      <w:rPr>
                        <w:color w:val="585858"/>
                        <w:sz w:val="18"/>
                      </w:rPr>
                      <w:t>10%</w:t>
                    </w:r>
                  </w:p>
                  <w:p>
                    <w:pPr>
                      <w:spacing w:line="240" w:lineRule="auto" w:before="1"/>
                      <w:rPr>
                        <w:i/>
                        <w:sz w:val="16"/>
                      </w:rPr>
                    </w:pPr>
                  </w:p>
                  <w:p>
                    <w:pPr>
                      <w:spacing w:before="0"/>
                      <w:ind w:left="0" w:right="0" w:firstLine="0"/>
                      <w:jc w:val="left"/>
                      <w:rPr>
                        <w:sz w:val="18"/>
                      </w:rPr>
                    </w:pPr>
                    <w:r>
                      <w:rPr>
                        <w:color w:val="585858"/>
                        <w:sz w:val="18"/>
                      </w:rPr>
                      <w:t>2016</w:t>
                    </w:r>
                  </w:p>
                </w:txbxContent>
              </v:textbox>
              <w10:wrap type="none"/>
            </v:shape>
            <v:shape style="position:absolute;left:3617;top:3552;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37;top:387;width:3470;height:2883" type="#_x0000_t202" filled="false" stroked="false">
              <v:textbox inset="0,0,0,0">
                <w:txbxContent>
                  <w:p>
                    <w:pPr>
                      <w:spacing w:line="628" w:lineRule="auto" w:before="0"/>
                      <w:ind w:left="0" w:right="18" w:firstLine="1740"/>
                      <w:jc w:val="right"/>
                      <w:rPr>
                        <w:sz w:val="18"/>
                      </w:rPr>
                    </w:pPr>
                    <w:r>
                      <w:rPr>
                        <w:color w:val="585858"/>
                        <w:sz w:val="18"/>
                      </w:rPr>
                      <w:t>Private virksomheder Private og udskilte forsyningsvirksomheder Kommuner og kommunale institutioner Regioner og regionale institutioner</w:t>
                    </w:r>
                  </w:p>
                  <w:p>
                    <w:pPr>
                      <w:spacing w:line="204" w:lineRule="exact" w:before="0"/>
                      <w:ind w:left="0" w:right="63" w:firstLine="0"/>
                      <w:jc w:val="right"/>
                      <w:rPr>
                        <w:sz w:val="18"/>
                      </w:rPr>
                    </w:pPr>
                    <w:r>
                      <w:rPr>
                        <w:color w:val="585858"/>
                        <w:sz w:val="18"/>
                      </w:rPr>
                      <w:t>Andre statslige institutioner</w:t>
                    </w:r>
                  </w:p>
                  <w:p>
                    <w:pPr>
                      <w:spacing w:line="240" w:lineRule="auto" w:before="1"/>
                      <w:rPr>
                        <w:i/>
                        <w:sz w:val="29"/>
                      </w:rPr>
                    </w:pPr>
                  </w:p>
                  <w:p>
                    <w:pPr>
                      <w:spacing w:before="0"/>
                      <w:ind w:left="0" w:right="20" w:firstLine="0"/>
                      <w:jc w:val="right"/>
                      <w:rPr>
                        <w:sz w:val="18"/>
                      </w:rPr>
                    </w:pPr>
                    <w:r>
                      <w:rPr>
                        <w:color w:val="585858"/>
                        <w:sz w:val="18"/>
                      </w:rPr>
                      <w:t>Statslige forvaltningsinstitutioner</w:t>
                    </w:r>
                  </w:p>
                </w:txbxContent>
              </v:textbox>
              <w10:wrap type="none"/>
            </v:shape>
          </v:group>
        </w:pict>
      </w:r>
      <w:r>
        <w:rPr/>
      </w:r>
    </w:p>
    <w:p>
      <w:pPr>
        <w:spacing w:before="72"/>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0"/>
        <w:ind w:left="278" w:right="0" w:firstLine="0"/>
        <w:jc w:val="left"/>
        <w:rPr>
          <w:i/>
          <w:sz w:val="18"/>
        </w:rPr>
      </w:pPr>
      <w:r>
        <w:rPr>
          <w:b/>
          <w:i/>
          <w:color w:val="A21F1F"/>
          <w:sz w:val="18"/>
        </w:rPr>
        <w:t>N</w:t>
      </w:r>
      <w:r>
        <w:rPr>
          <w:i/>
          <w:color w:val="A21F1F"/>
          <w:sz w:val="18"/>
        </w:rPr>
        <w:t>: 2016: 107 og 2012: 71</w:t>
      </w:r>
    </w:p>
    <w:p>
      <w:pPr>
        <w:spacing w:before="119"/>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2"/>
          <w:numId w:val="13"/>
        </w:numPr>
        <w:tabs>
          <w:tab w:pos="999" w:val="left" w:leader="none"/>
        </w:tabs>
        <w:spacing w:line="319" w:lineRule="exact" w:before="0" w:after="0"/>
        <w:ind w:left="998" w:right="0" w:hanging="720"/>
        <w:jc w:val="left"/>
        <w:rPr>
          <w:i/>
          <w:sz w:val="32"/>
        </w:rPr>
      </w:pPr>
      <w:bookmarkStart w:name="_bookmark41" w:id="61"/>
      <w:bookmarkEnd w:id="61"/>
      <w:r>
        <w:rPr/>
      </w:r>
      <w:bookmarkStart w:name="_bookmark41" w:id="62"/>
      <w:bookmarkEnd w:id="62"/>
      <w:r>
        <w:rPr>
          <w:i/>
          <w:color w:val="A21F1F"/>
          <w:sz w:val="32"/>
        </w:rPr>
        <w:t>Betydn</w:t>
      </w:r>
      <w:r>
        <w:rPr>
          <w:i/>
          <w:color w:val="A21F1F"/>
          <w:sz w:val="32"/>
        </w:rPr>
        <w:t>ing af geodata for omsætning, innovation og</w:t>
      </w:r>
      <w:r>
        <w:rPr>
          <w:i/>
          <w:color w:val="A21F1F"/>
          <w:spacing w:val="-16"/>
          <w:sz w:val="32"/>
        </w:rPr>
        <w:t> </w:t>
      </w:r>
      <w:r>
        <w:rPr>
          <w:i/>
          <w:color w:val="A21F1F"/>
          <w:sz w:val="32"/>
        </w:rPr>
        <w:t>interne</w:t>
      </w:r>
    </w:p>
    <w:p>
      <w:pPr>
        <w:spacing w:before="1"/>
        <w:ind w:left="998" w:right="0" w:firstLine="0"/>
        <w:jc w:val="left"/>
        <w:rPr>
          <w:i/>
          <w:sz w:val="32"/>
        </w:rPr>
      </w:pPr>
      <w:r>
        <w:rPr>
          <w:i/>
          <w:color w:val="A21F1F"/>
          <w:sz w:val="32"/>
        </w:rPr>
        <w:t>arbejdsprocesser</w:t>
      </w:r>
    </w:p>
    <w:p>
      <w:pPr>
        <w:pStyle w:val="BodyText"/>
        <w:spacing w:line="360" w:lineRule="auto" w:before="241"/>
        <w:ind w:left="278" w:right="1052"/>
      </w:pPr>
      <w:r>
        <w:rPr/>
        <w:t>Vi har i ovenstående afsnit kortlagt og beskrevet, hvordan geodata bliver anvendt af private virksomheder i deres produktion af ydelser og produkter samt i interne arbejdsprocesser. I de kommende afsnit ser vi nærmere på, hvilken betydning de frie geodata har for henholdsvis omsætning, innovation og effektivisering af interne arbejdsprocesser. Det gør vi med henblik på at kunne beregne effektiviseringseffekten, der indgår som første led i beregningen af den samfundsøkonomiske værdi af de frie geodata.</w:t>
      </w:r>
    </w:p>
    <w:p>
      <w:pPr>
        <w:pStyle w:val="BodyText"/>
        <w:spacing w:before="1"/>
        <w:rPr>
          <w:sz w:val="21"/>
        </w:rPr>
      </w:pPr>
    </w:p>
    <w:p>
      <w:pPr>
        <w:pStyle w:val="BodyText"/>
        <w:ind w:left="278"/>
      </w:pPr>
      <w:r>
        <w:rPr/>
        <w:t>Som det fremgår af</w:t>
      </w:r>
    </w:p>
    <w:p>
      <w:pPr>
        <w:pStyle w:val="BodyText"/>
        <w:spacing w:before="1"/>
        <w:rPr>
          <w:sz w:val="31"/>
        </w:rPr>
      </w:pPr>
    </w:p>
    <w:p>
      <w:pPr>
        <w:pStyle w:val="BodyText"/>
        <w:spacing w:line="360" w:lineRule="auto"/>
        <w:ind w:left="278" w:right="1045"/>
      </w:pPr>
      <w:hyperlink w:history="true" w:anchor="_bookmark42">
        <w:r>
          <w:rPr/>
          <w:t>Figur 19 </w:t>
        </w:r>
      </w:hyperlink>
      <w:r>
        <w:rPr/>
        <w:t>herunder er der stor spredning i forhold til den del af omsætningen i de private virksomheder, der kan henføres til frisættelsen af geodata. Forklaringen herpå kan være, at der er stor forskel på størrelsen og typen af virksomheder, der indgår i undersøgelsen. For nogle virksomheder, der specialiserer sig i geodatarelaterede produkter, og som baserer deres forretningsmodel herpå, vil betydningen af geodata være større end i virksomheder med en bred portefølje af opgaver og forretningsområder.</w:t>
      </w:r>
    </w:p>
    <w:p>
      <w:pPr>
        <w:pStyle w:val="BodyText"/>
        <w:spacing w:before="3"/>
        <w:rPr>
          <w:sz w:val="21"/>
        </w:rPr>
      </w:pPr>
    </w:p>
    <w:p>
      <w:pPr>
        <w:spacing w:before="1"/>
        <w:ind w:left="278" w:right="1843" w:firstLine="0"/>
        <w:jc w:val="left"/>
        <w:rPr>
          <w:i/>
          <w:sz w:val="18"/>
        </w:rPr>
      </w:pPr>
      <w:r>
        <w:rPr/>
        <w:pict>
          <v:group style="position:absolute;margin-left:70.525002pt;margin-top:26.107937pt;width:460.15pt;height:176.85pt;mso-position-horizontal-relative:page;mso-position-vertical-relative:paragraph;z-index:2864;mso-wrap-distance-left:0;mso-wrap-distance-right:0" coordorigin="1411,522" coordsize="9203,3537">
            <v:rect style="position:absolute;left:1418;top:529;width:9188;height:3522" filled="true" fillcolor="#f1f1f1" stroked="false">
              <v:fill type="solid"/>
            </v:rect>
            <v:line style="position:absolute" from="10094,2683" to="10386,2683" stroked="true" strokeweight=".75pt" strokecolor="#d9d9d9">
              <v:stroke dashstyle="solid"/>
            </v:line>
            <v:line style="position:absolute" from="9756,2683" to="9828,2683" stroked="true" strokeweight=".75pt" strokecolor="#d9d9d9">
              <v:stroke dashstyle="solid"/>
            </v:line>
            <v:line style="position:absolute" from="8568,2683" to="9490,2683" stroked="true" strokeweight=".75pt" strokecolor="#d9d9d9">
              <v:stroke dashstyle="solid"/>
            </v:line>
            <v:line style="position:absolute" from="7716,2683" to="8299,2683" stroked="true" strokeweight=".75pt" strokecolor="#d9d9d9">
              <v:stroke dashstyle="solid"/>
            </v:line>
            <v:line style="position:absolute" from="7378,2683" to="7450,2683" stroked="true" strokeweight=".75pt" strokecolor="#d9d9d9">
              <v:stroke dashstyle="solid"/>
            </v:line>
            <v:line style="position:absolute" from="6528,2683" to="7111,2683" stroked="true" strokeweight=".75pt" strokecolor="#d9d9d9">
              <v:stroke dashstyle="solid"/>
            </v:line>
            <v:line style="position:absolute" from="6190,2683" to="6262,2683" stroked="true" strokeweight=".75pt" strokecolor="#d9d9d9">
              <v:stroke dashstyle="solid"/>
            </v:line>
            <v:line style="position:absolute" from="5340,2683" to="5923,2683" stroked="true" strokeweight=".75pt" strokecolor="#d9d9d9">
              <v:stroke dashstyle="solid"/>
            </v:line>
            <v:line style="position:absolute" from="5002,2683" to="5074,2683" stroked="true" strokeweight=".75pt" strokecolor="#d9d9d9">
              <v:stroke dashstyle="solid"/>
            </v:line>
            <v:line style="position:absolute" from="4150,2683" to="4735,2683" stroked="true" strokeweight=".75pt" strokecolor="#d9d9d9">
              <v:stroke dashstyle="solid"/>
            </v:line>
            <v:line style="position:absolute" from="3811,2683" to="3883,2683" stroked="true" strokeweight=".75pt" strokecolor="#d9d9d9">
              <v:stroke dashstyle="solid"/>
            </v:line>
            <v:line style="position:absolute" from="2962,2683" to="3545,2683" stroked="true" strokeweight=".75pt" strokecolor="#d9d9d9">
              <v:stroke dashstyle="solid"/>
            </v:line>
            <v:line style="position:absolute" from="2623,2683" to="2695,2683" stroked="true" strokeweight=".75pt" strokecolor="#d9d9d9">
              <v:stroke dashstyle="solid"/>
            </v:line>
            <v:line style="position:absolute" from="2065,2683" to="2357,2683" stroked="true" strokeweight=".75pt" strokecolor="#d9d9d9">
              <v:stroke dashstyle="solid"/>
            </v:line>
            <v:line style="position:absolute" from="10094,2407" to="10386,2407" stroked="true" strokeweight=".75pt" strokecolor="#d9d9d9">
              <v:stroke dashstyle="solid"/>
            </v:line>
            <v:line style="position:absolute" from="9756,2407" to="9828,2407" stroked="true" strokeweight=".75pt" strokecolor="#d9d9d9">
              <v:stroke dashstyle="solid"/>
            </v:line>
            <v:line style="position:absolute" from="6190,2407" to="9490,2407" stroked="true" strokeweight=".75pt" strokecolor="#d9d9d9">
              <v:stroke dashstyle="solid"/>
            </v:line>
            <v:line style="position:absolute" from="5002,2407" to="5923,2407" stroked="true" strokeweight=".75pt" strokecolor="#d9d9d9">
              <v:stroke dashstyle="solid"/>
            </v:line>
            <v:line style="position:absolute" from="4150,2407" to="4735,2407" stroked="true" strokeweight=".75pt" strokecolor="#d9d9d9">
              <v:stroke dashstyle="solid"/>
            </v:line>
            <v:line style="position:absolute" from="3811,2407" to="3883,2407" stroked="true" strokeweight=".75pt" strokecolor="#d9d9d9">
              <v:stroke dashstyle="solid"/>
            </v:line>
            <v:line style="position:absolute" from="2962,2407" to="3545,2407" stroked="true" strokeweight=".75pt" strokecolor="#d9d9d9">
              <v:stroke dashstyle="solid"/>
            </v:line>
            <v:line style="position:absolute" from="2623,2407" to="2695,2407" stroked="true" strokeweight=".75pt" strokecolor="#d9d9d9">
              <v:stroke dashstyle="solid"/>
            </v:line>
            <v:line style="position:absolute" from="2065,2407" to="2357,2407" stroked="true" strokeweight=".75pt" strokecolor="#d9d9d9">
              <v:stroke dashstyle="solid"/>
            </v:line>
            <v:line style="position:absolute" from="10094,2131" to="10386,2131" stroked="true" strokeweight=".75pt" strokecolor="#d9d9d9">
              <v:stroke dashstyle="solid"/>
            </v:line>
            <v:line style="position:absolute" from="4150,2131" to="9828,2131" stroked="true" strokeweight=".75pt" strokecolor="#d9d9d9">
              <v:stroke dashstyle="solid"/>
            </v:line>
            <v:line style="position:absolute" from="3811,2131" to="3883,2131" stroked="true" strokeweight=".75pt" strokecolor="#d9d9d9">
              <v:stroke dashstyle="solid"/>
            </v:line>
            <v:line style="position:absolute" from="2962,2131" to="3545,2131" stroked="true" strokeweight=".75pt" strokecolor="#d9d9d9">
              <v:stroke dashstyle="solid"/>
            </v:line>
            <v:line style="position:absolute" from="2065,2131" to="2695,2131" stroked="true" strokeweight=".75pt" strokecolor="#d9d9d9">
              <v:stroke dashstyle="solid"/>
            </v:line>
            <v:line style="position:absolute" from="10094,1855" to="10386,1855" stroked="true" strokeweight=".75pt" strokecolor="#d9d9d9">
              <v:stroke dashstyle="solid"/>
            </v:line>
            <v:line style="position:absolute" from="4150,1855" to="9828,1855" stroked="true" strokeweight=".75pt" strokecolor="#d9d9d9">
              <v:stroke dashstyle="solid"/>
            </v:line>
            <v:line style="position:absolute" from="3811,1855" to="3883,1855" stroked="true" strokeweight=".75pt" strokecolor="#d9d9d9">
              <v:stroke dashstyle="solid"/>
            </v:line>
            <v:line style="position:absolute" from="2962,1855" to="3545,1855" stroked="true" strokeweight=".75pt" strokecolor="#d9d9d9">
              <v:stroke dashstyle="solid"/>
            </v:line>
            <v:line style="position:absolute" from="2065,1855" to="2695,1855" stroked="true" strokeweight=".75pt" strokecolor="#d9d9d9">
              <v:stroke dashstyle="solid"/>
            </v:line>
            <v:line style="position:absolute" from="4150,1579" to="10386,1579" stroked="true" strokeweight=".75pt" strokecolor="#d9d9d9">
              <v:stroke dashstyle="solid"/>
            </v:line>
            <v:line style="position:absolute" from="3811,1579" to="3883,1579" stroked="true" strokeweight=".75pt" strokecolor="#d9d9d9">
              <v:stroke dashstyle="solid"/>
            </v:line>
            <v:line style="position:absolute" from="2065,1579" to="3545,1579" stroked="true" strokeweight=".75pt" strokecolor="#d9d9d9">
              <v:stroke dashstyle="solid"/>
            </v:line>
            <v:line style="position:absolute" from="3811,1303" to="10386,1303" stroked="true" strokeweight=".75pt" strokecolor="#d9d9d9">
              <v:stroke dashstyle="solid"/>
            </v:line>
            <v:line style="position:absolute" from="2065,1303" to="3545,1303" stroked="true" strokeweight=".75pt" strokecolor="#d9d9d9">
              <v:stroke dashstyle="solid"/>
            </v:line>
            <v:line style="position:absolute" from="2065,1027" to="10386,1027" stroked="true" strokeweight=".75pt" strokecolor="#d9d9d9">
              <v:stroke dashstyle="solid"/>
            </v:line>
            <v:line style="position:absolute" from="2065,750" to="10386,750" stroked="true" strokeweight=".75pt" strokecolor="#d9d9d9">
              <v:stroke dashstyle="solid"/>
            </v:line>
            <v:rect style="position:absolute;left:2356;top:2277;width:267;height:683" filled="true" fillcolor="#901b1b" stroked="false">
              <v:fill type="solid"/>
            </v:rect>
            <v:rect style="position:absolute;left:3544;top:1050;width:267;height:1910" filled="true" fillcolor="#901b1b" stroked="false">
              <v:fill type="solid"/>
            </v:rect>
            <v:rect style="position:absolute;left:4735;top:2140;width:267;height:820" filled="true" fillcolor="#901b1b" stroked="false">
              <v:fill type="solid"/>
            </v:rect>
            <v:rect style="position:absolute;left:5923;top:2346;width:267;height:614" filled="true" fillcolor="#901b1b" stroked="false">
              <v:fill type="solid"/>
            </v:rect>
            <v:rect style="position:absolute;left:7111;top:2617;width:267;height:342" filled="true" fillcolor="#901b1b" stroked="false">
              <v:fill type="solid"/>
            </v:rect>
            <v:rect style="position:absolute;left:8299;top:2617;width:269;height:342" filled="true" fillcolor="#901b1b" stroked="false">
              <v:fill type="solid"/>
            </v:rect>
            <v:rect style="position:absolute;left:9489;top:2140;width:267;height:820" filled="true" fillcolor="#901b1b" stroked="false">
              <v:fill type="solid"/>
            </v:rect>
            <v:rect style="position:absolute;left:2695;top:1725;width:267;height:1235" filled="true" fillcolor="#bd8686" stroked="false">
              <v:fill type="solid"/>
            </v:rect>
            <v:rect style="position:absolute;left:3883;top:1360;width:267;height:1600" filled="true" fillcolor="#bd8686" stroked="false">
              <v:fill type="solid"/>
            </v:rect>
            <v:rect style="position:absolute;left:5073;top:2449;width:267;height:510" filled="true" fillcolor="#bd8686" stroked="false">
              <v:fill type="solid"/>
            </v:rect>
            <v:rect style="position:absolute;left:6261;top:2596;width:267;height:364" filled="true" fillcolor="#bd8686" stroked="false">
              <v:fill type="solid"/>
            </v:rect>
            <v:rect style="position:absolute;left:7449;top:2596;width:267;height:364" filled="true" fillcolor="#bd8686" stroked="false">
              <v:fill type="solid"/>
            </v:rect>
            <v:rect style="position:absolute;left:8640;top:2742;width:267;height:218" filled="true" fillcolor="#bd8686" stroked="false">
              <v:fill type="solid"/>
            </v:rect>
            <v:rect style="position:absolute;left:9828;top:1725;width:267;height:1235" filled="true" fillcolor="#bd8686" stroked="false">
              <v:fill type="solid"/>
            </v:rect>
            <v:line style="position:absolute" from="2065,2960" to="10386,2960" stroked="true" strokeweight=".75pt" strokecolor="#d9d9d9">
              <v:stroke dashstyle="solid"/>
            </v:line>
            <v:rect style="position:absolute;left:5461;top:3724;width:93;height:93" filled="true" fillcolor="#901b1b" stroked="false">
              <v:fill type="solid"/>
            </v:rect>
            <v:rect style="position:absolute;left:6112;top:3724;width:93;height:93" filled="true" fillcolor="#bd8686" stroked="false">
              <v:fill type="solid"/>
            </v:rect>
            <v:rect style="position:absolute;left:1418;top:529;width:9188;height:3522" filled="false" stroked="true" strokeweight=".75pt" strokecolor="#d9d9d9">
              <v:stroke dashstyle="solid"/>
            </v:rect>
            <v:shape style="position:absolute;left:5593;top:3663;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251;top:3072;width:2114;height:409" type="#_x0000_t202" filled="false" stroked="false">
              <v:textbox inset="0,0,0,0">
                <w:txbxContent>
                  <w:p>
                    <w:pPr>
                      <w:tabs>
                        <w:tab w:pos="990" w:val="left" w:leader="none"/>
                      </w:tabs>
                      <w:spacing w:before="0"/>
                      <w:ind w:left="0" w:right="0" w:firstLine="0"/>
                      <w:jc w:val="left"/>
                      <w:rPr>
                        <w:sz w:val="18"/>
                      </w:rPr>
                    </w:pPr>
                    <w:r>
                      <w:rPr>
                        <w:color w:val="585858"/>
                        <w:sz w:val="18"/>
                      </w:rPr>
                      <w:t>76-100%</w:t>
                      <w:tab/>
                      <w:t>Ved</w:t>
                    </w:r>
                    <w:r>
                      <w:rPr>
                        <w:color w:val="585858"/>
                        <w:spacing w:val="-3"/>
                        <w:sz w:val="18"/>
                      </w:rPr>
                      <w:t> </w:t>
                    </w:r>
                    <w:r>
                      <w:rPr>
                        <w:color w:val="585858"/>
                        <w:sz w:val="18"/>
                      </w:rPr>
                      <w:t>ikke/ikke</w:t>
                    </w:r>
                  </w:p>
                  <w:p>
                    <w:pPr>
                      <w:spacing w:before="0"/>
                      <w:ind w:left="1217" w:right="0" w:firstLine="0"/>
                      <w:jc w:val="left"/>
                      <w:rPr>
                        <w:sz w:val="18"/>
                      </w:rPr>
                    </w:pPr>
                    <w:r>
                      <w:rPr>
                        <w:color w:val="585858"/>
                        <w:sz w:val="18"/>
                      </w:rPr>
                      <w:t>relevant</w:t>
                    </w:r>
                  </w:p>
                </w:txbxContent>
              </v:textbox>
              <w10:wrap type="none"/>
            </v:shape>
            <v:shape style="position:absolute;left:7129;top:3072;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5915;top:3072;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4754;top:3072;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3608;top:3072;width:501;height:205" type="#_x0000_t202" filled="false" stroked="false">
              <v:textbox inset="0,0,0,0">
                <w:txbxContent>
                  <w:p>
                    <w:pPr>
                      <w:spacing w:before="0"/>
                      <w:ind w:left="0" w:right="0" w:firstLine="0"/>
                      <w:jc w:val="left"/>
                      <w:rPr>
                        <w:sz w:val="18"/>
                      </w:rPr>
                    </w:pPr>
                    <w:r>
                      <w:rPr>
                        <w:color w:val="585858"/>
                        <w:sz w:val="18"/>
                      </w:rPr>
                      <w:t>1-10%</w:t>
                    </w:r>
                  </w:p>
                </w:txbxContent>
              </v:textbox>
              <w10:wrap type="none"/>
            </v:shape>
            <v:shape style="position:absolute;left:2530;top:3072;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42;width:382;height:2415" type="#_x0000_t202" filled="false" stroked="false">
              <v:textbox inset="0,0,0,0">
                <w:txbxContent>
                  <w:p>
                    <w:pPr>
                      <w:spacing w:before="0"/>
                      <w:ind w:left="-1" w:right="20" w:firstLine="0"/>
                      <w:jc w:val="center"/>
                      <w:rPr>
                        <w:sz w:val="18"/>
                      </w:rPr>
                    </w:pPr>
                    <w:r>
                      <w:rPr>
                        <w:color w:val="585858"/>
                        <w:sz w:val="18"/>
                      </w:rPr>
                      <w:t>40%</w:t>
                    </w:r>
                  </w:p>
                  <w:p>
                    <w:pPr>
                      <w:spacing w:before="72"/>
                      <w:ind w:left="17" w:right="0" w:firstLine="0"/>
                      <w:jc w:val="left"/>
                      <w:rPr>
                        <w:sz w:val="18"/>
                      </w:rPr>
                    </w:pPr>
                    <w:r>
                      <w:rPr>
                        <w:color w:val="585858"/>
                        <w:sz w:val="18"/>
                      </w:rPr>
                      <w:t>35%</w:t>
                    </w:r>
                  </w:p>
                  <w:p>
                    <w:pPr>
                      <w:spacing w:before="71"/>
                      <w:ind w:left="0" w:right="18" w:firstLine="0"/>
                      <w:jc w:val="center"/>
                      <w:rPr>
                        <w:sz w:val="18"/>
                      </w:rPr>
                    </w:pPr>
                    <w:r>
                      <w:rPr>
                        <w:color w:val="585858"/>
                        <w:sz w:val="18"/>
                      </w:rPr>
                      <w:t>30%</w:t>
                    </w:r>
                  </w:p>
                  <w:p>
                    <w:pPr>
                      <w:spacing w:before="72"/>
                      <w:ind w:left="0" w:right="2" w:firstLine="0"/>
                      <w:jc w:val="center"/>
                      <w:rPr>
                        <w:sz w:val="18"/>
                      </w:rPr>
                    </w:pPr>
                    <w:r>
                      <w:rPr>
                        <w:color w:val="585858"/>
                        <w:sz w:val="18"/>
                      </w:rPr>
                      <w:t>25%</w:t>
                    </w:r>
                  </w:p>
                  <w:p>
                    <w:pPr>
                      <w:spacing w:before="72"/>
                      <w:ind w:left="0" w:right="18" w:firstLine="0"/>
                      <w:jc w:val="center"/>
                      <w:rPr>
                        <w:sz w:val="18"/>
                      </w:rPr>
                    </w:pPr>
                    <w:r>
                      <w:rPr>
                        <w:color w:val="585858"/>
                        <w:sz w:val="18"/>
                      </w:rPr>
                      <w:t>20%</w:t>
                    </w:r>
                  </w:p>
                  <w:p>
                    <w:pPr>
                      <w:spacing w:before="72"/>
                      <w:ind w:left="39" w:right="0" w:firstLine="0"/>
                      <w:jc w:val="left"/>
                      <w:rPr>
                        <w:sz w:val="18"/>
                      </w:rPr>
                    </w:pPr>
                    <w:r>
                      <w:rPr>
                        <w:color w:val="585858"/>
                        <w:sz w:val="18"/>
                      </w:rPr>
                      <w:t>15%</w:t>
                    </w:r>
                  </w:p>
                  <w:p>
                    <w:pPr>
                      <w:spacing w:before="71"/>
                      <w:ind w:left="23" w:right="0" w:firstLine="0"/>
                      <w:jc w:val="left"/>
                      <w:rPr>
                        <w:sz w:val="18"/>
                      </w:rPr>
                    </w:pPr>
                    <w:r>
                      <w:rPr>
                        <w:color w:val="585858"/>
                        <w:sz w:val="18"/>
                      </w:rPr>
                      <w:t>10%</w:t>
                    </w:r>
                  </w:p>
                  <w:p>
                    <w:pPr>
                      <w:spacing w:before="72"/>
                      <w:ind w:left="98" w:right="1" w:firstLine="0"/>
                      <w:jc w:val="center"/>
                      <w:rPr>
                        <w:sz w:val="18"/>
                      </w:rPr>
                    </w:pPr>
                    <w:r>
                      <w:rPr>
                        <w:color w:val="585858"/>
                        <w:sz w:val="18"/>
                      </w:rPr>
                      <w:t>5%</w:t>
                    </w:r>
                  </w:p>
                  <w:p>
                    <w:pPr>
                      <w:spacing w:before="72"/>
                      <w:ind w:left="81" w:right="2" w:firstLine="0"/>
                      <w:jc w:val="center"/>
                      <w:rPr>
                        <w:sz w:val="18"/>
                      </w:rPr>
                    </w:pPr>
                    <w:r>
                      <w:rPr>
                        <w:color w:val="585858"/>
                        <w:sz w:val="18"/>
                      </w:rPr>
                      <w:t>0%</w:t>
                    </w:r>
                  </w:p>
                </w:txbxContent>
              </v:textbox>
              <w10:wrap type="none"/>
            </v:shape>
            <w10:wrap type="topAndBottom"/>
          </v:group>
        </w:pict>
      </w:r>
      <w:r>
        <w:rPr>
          <w:i/>
          <w:color w:val="A21F1F"/>
          <w:sz w:val="18"/>
        </w:rPr>
        <w:t>Figur 19. Private virksomheder fordelt på andelen af den samlede omsætning, der var relateret til </w:t>
      </w:r>
      <w:bookmarkStart w:name="_bookmark42" w:id="63"/>
      <w:bookmarkEnd w:id="63"/>
      <w:r>
        <w:rPr>
          <w:i/>
          <w:color w:val="A21F1F"/>
          <w:sz w:val="18"/>
        </w:rPr>
        <w:t>g</w:t>
      </w:r>
      <w:r>
        <w:rPr>
          <w:i/>
          <w:color w:val="A21F1F"/>
          <w:sz w:val="18"/>
        </w:rPr>
        <w:t>eodata, </w:t>
      </w:r>
      <w:r>
        <w:rPr>
          <w:i/>
          <w:color w:val="A21F1F"/>
          <w:sz w:val="18"/>
        </w:rPr>
        <w:t>henholdsvis i 2012 og i 2016</w:t>
      </w:r>
    </w:p>
    <w:p>
      <w:pPr>
        <w:pStyle w:val="BodyText"/>
        <w:spacing w:before="2"/>
        <w:rPr>
          <w:i/>
          <w:sz w:val="16"/>
        </w:rPr>
      </w:pPr>
    </w:p>
    <w:p>
      <w:pPr>
        <w:spacing w:before="1"/>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19"/>
        <w:ind w:left="278" w:right="0" w:firstLine="0"/>
        <w:jc w:val="left"/>
        <w:rPr>
          <w:i/>
          <w:sz w:val="18"/>
        </w:rPr>
      </w:pPr>
      <w:r>
        <w:rPr>
          <w:b/>
          <w:i/>
          <w:color w:val="A21F1F"/>
          <w:sz w:val="18"/>
        </w:rPr>
        <w:t>N</w:t>
      </w:r>
      <w:r>
        <w:rPr>
          <w:i/>
          <w:color w:val="A21F1F"/>
          <w:sz w:val="18"/>
        </w:rPr>
        <w:t>: 2016: 81 og 2012: 71</w:t>
      </w:r>
    </w:p>
    <w:p>
      <w:pPr>
        <w:pStyle w:val="BodyText"/>
        <w:spacing w:before="9"/>
        <w:rPr>
          <w:i/>
          <w:sz w:val="28"/>
        </w:rPr>
      </w:pPr>
    </w:p>
    <w:p>
      <w:pPr>
        <w:pStyle w:val="BodyText"/>
        <w:ind w:left="278"/>
      </w:pPr>
      <w:r>
        <w:rPr/>
        <w:t>Det fremgår også af</w:t>
      </w:r>
    </w:p>
    <w:p>
      <w:pPr>
        <w:pStyle w:val="BodyText"/>
        <w:spacing w:before="1"/>
        <w:rPr>
          <w:sz w:val="31"/>
        </w:rPr>
      </w:pPr>
    </w:p>
    <w:p>
      <w:pPr>
        <w:pStyle w:val="BodyText"/>
        <w:spacing w:line="360" w:lineRule="auto"/>
        <w:ind w:left="278" w:right="1065"/>
      </w:pPr>
      <w:hyperlink w:history="true" w:anchor="_bookmark42">
        <w:r>
          <w:rPr/>
          <w:t>Figur 19, </w:t>
        </w:r>
      </w:hyperlink>
      <w:r>
        <w:rPr/>
        <w:t>at betydningen af frie geodata for omsætningen i de private virksomheder, der anvender de frie geodata, er steget siden 2012. Det kan hænge sammen med, at geodata qua prisreduktionen er blevet lettere tilgængelige, og at virksomhederne derfor har mulighed for at inddrage geodata tidligt i deres forretnings- og produktudvikling, ligesom det ikke længere er en forudsætning, at deres (offentlige) kunder stiller geodata til rådighed.</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 spørgeskemaundersøgelsen har vi også spurgt ind til de frie geodatas betydning for innovationen i</w:t>
      </w:r>
    </w:p>
    <w:p>
      <w:pPr>
        <w:pStyle w:val="BodyText"/>
        <w:spacing w:line="360" w:lineRule="auto" w:before="114"/>
        <w:ind w:left="278" w:right="1063"/>
      </w:pPr>
      <w:r>
        <w:rPr/>
        <w:t>virksomhederne, jf. nedenstående </w:t>
      </w:r>
      <w:hyperlink w:history="true" w:anchor="_bookmark43">
        <w:r>
          <w:rPr/>
          <w:t>Figur 20. </w:t>
        </w:r>
      </w:hyperlink>
      <w:r>
        <w:rPr/>
        <w:t>Her ses det, at der er sket en tydeligt udvikling i retning af, at geodata spiller en større rolle for udviklingen af nye produkter og ydelser i 2016 i forhold til i 2012. I 2012 svarede tre fjerdedele af de adspurgte virksomheder, at de ikke vidste, hvilken betydning geodata havde for udviklingen af nye produkter og ydelser. I dag er det vendt betydeligt, og over halvdelen af de adspurgte virksomheder siger nu, at geodata har nogen, stor eller meget stor betydning for innovationen i virksomhederne.</w:t>
      </w:r>
    </w:p>
    <w:p>
      <w:pPr>
        <w:pStyle w:val="BodyText"/>
        <w:rPr>
          <w:sz w:val="21"/>
        </w:rPr>
      </w:pPr>
    </w:p>
    <w:p>
      <w:pPr>
        <w:pStyle w:val="BodyText"/>
        <w:spacing w:line="360" w:lineRule="auto" w:before="1"/>
        <w:ind w:left="278" w:right="1097"/>
      </w:pPr>
      <w:r>
        <w:rPr/>
        <w:t>Det understøttes af alle case-undersøgelserne, hvor både Scalgo, Niras og Bisbase udtrykker, at i og med at geodata er frit tilgængelige, kan de fokusere deres kræfter på at udvikle nye forretningsmodeller og nye produkter, ligesom det ikke længere er en barriere, at deres kunder skal sikre adgang til geodata.</w:t>
      </w:r>
    </w:p>
    <w:p>
      <w:pPr>
        <w:pStyle w:val="BodyText"/>
        <w:rPr>
          <w:sz w:val="21"/>
        </w:rPr>
      </w:pPr>
    </w:p>
    <w:p>
      <w:pPr>
        <w:spacing w:line="242" w:lineRule="auto" w:before="0"/>
        <w:ind w:left="278" w:right="1036" w:firstLine="0"/>
        <w:jc w:val="left"/>
        <w:rPr>
          <w:i/>
          <w:sz w:val="18"/>
        </w:rPr>
      </w:pPr>
      <w:r>
        <w:rPr/>
        <w:pict>
          <v:group style="position:absolute;margin-left:70.525002pt;margin-top:26.207903pt;width:474.1pt;height:211.15pt;mso-position-horizontal-relative:page;mso-position-vertical-relative:paragraph;z-index:3176;mso-wrap-distance-left:0;mso-wrap-distance-right:0" coordorigin="1411,524" coordsize="9482,4223">
            <v:rect style="position:absolute;left:1418;top:531;width:9467;height:4208" filled="true" fillcolor="#f1f1f1" stroked="false">
              <v:fill type="solid"/>
            </v:rect>
            <v:line style="position:absolute" from="4282,752" to="4282,1009" stroked="true" strokeweight=".75pt" strokecolor="#d9d9d9">
              <v:stroke dashstyle="solid"/>
            </v:line>
            <v:line style="position:absolute" from="4282,1146" to="4282,1909" stroked="true" strokeweight=".75pt" strokecolor="#d9d9d9">
              <v:stroke dashstyle="solid"/>
            </v:line>
            <v:line style="position:absolute" from="4282,2044" to="4282,2425" stroked="true" strokeweight=".75pt" strokecolor="#d9d9d9">
              <v:stroke dashstyle="solid"/>
            </v:line>
            <v:line style="position:absolute" from="4282,2560" to="4282,2941" stroked="true" strokeweight=".75pt" strokecolor="#d9d9d9">
              <v:stroke dashstyle="solid"/>
            </v:line>
            <v:line style="position:absolute" from="4282,3078" to="4282,3852" stroked="true" strokeweight=".75pt" strokecolor="#d9d9d9">
              <v:stroke dashstyle="solid"/>
            </v:line>
            <v:line style="position:absolute" from="5167,752" to="5167,1009" stroked="true" strokeweight=".75pt" strokecolor="#d9d9d9">
              <v:stroke dashstyle="solid"/>
            </v:line>
            <v:line style="position:absolute" from="5167,1146" to="5167,1909" stroked="true" strokeweight=".75pt" strokecolor="#d9d9d9">
              <v:stroke dashstyle="solid"/>
            </v:line>
            <v:line style="position:absolute" from="5167,2044" to="5167,2425" stroked="true" strokeweight=".75pt" strokecolor="#d9d9d9">
              <v:stroke dashstyle="solid"/>
            </v:line>
            <v:line style="position:absolute" from="5167,2560" to="5167,3852" stroked="true" strokeweight=".75pt" strokecolor="#d9d9d9">
              <v:stroke dashstyle="solid"/>
            </v:line>
            <v:line style="position:absolute" from="6053,752" to="6053,1009" stroked="true" strokeweight=".75pt" strokecolor="#d9d9d9">
              <v:stroke dashstyle="solid"/>
            </v:line>
            <v:line style="position:absolute" from="6053,1146" to="6053,3852" stroked="true" strokeweight=".75pt" strokecolor="#d9d9d9">
              <v:stroke dashstyle="solid"/>
            </v:line>
            <v:line style="position:absolute" from="6938,752" to="6938,1009" stroked="true" strokeweight=".75pt" strokecolor="#d9d9d9">
              <v:stroke dashstyle="solid"/>
            </v:line>
            <v:line style="position:absolute" from="6938,1146" to="6938,3852" stroked="true" strokeweight=".75pt" strokecolor="#d9d9d9">
              <v:stroke dashstyle="solid"/>
            </v:line>
            <v:line style="position:absolute" from="7826,752" to="7826,1009" stroked="true" strokeweight=".75pt" strokecolor="#d9d9d9">
              <v:stroke dashstyle="solid"/>
            </v:line>
            <v:line style="position:absolute" from="7826,1146" to="7826,3852" stroked="true" strokeweight=".75pt" strokecolor="#d9d9d9">
              <v:stroke dashstyle="solid"/>
            </v:line>
            <v:line style="position:absolute" from="8712,752" to="8712,1009" stroked="true" strokeweight=".75pt" strokecolor="#d9d9d9">
              <v:stroke dashstyle="solid"/>
            </v:line>
            <v:line style="position:absolute" from="8712,1146" to="8712,3852" stroked="true" strokeweight=".75pt" strokecolor="#d9d9d9">
              <v:stroke dashstyle="solid"/>
            </v:line>
            <v:line style="position:absolute" from="9598,752" to="9598,1009" stroked="true" strokeweight=".75pt" strokecolor="#d9d9d9">
              <v:stroke dashstyle="solid"/>
            </v:line>
            <v:line style="position:absolute" from="9598,1146" to="9598,3852" stroked="true" strokeweight=".75pt" strokecolor="#d9d9d9">
              <v:stroke dashstyle="solid"/>
            </v:line>
            <v:line style="position:absolute" from="10483,752" to="10483,3852" stroked="true" strokeweight=".75pt" strokecolor="#d9d9d9">
              <v:stroke dashstyle="solid"/>
            </v:line>
            <v:rect style="position:absolute;left:3396;top:3594;width:89;height:135" filled="true" fillcolor="#bd8686" stroked="false">
              <v:fill type="solid"/>
            </v:rect>
            <v:line style="position:absolute" from="3396,3145" to="3895,3145" stroked="true" strokeweight="6.72pt" strokecolor="#bd8686">
              <v:stroke dashstyle="solid"/>
            </v:line>
            <v:rect style="position:absolute;left:3396;top:2559;width:886;height:137" filled="true" fillcolor="#bd8686" stroked="false">
              <v:fill type="solid"/>
            </v:rect>
            <v:line style="position:absolute" from="3396,2111" to="4104,2111" stroked="true" strokeweight="6.72pt" strokecolor="#bd8686">
              <v:stroke dashstyle="solid"/>
            </v:line>
            <v:rect style="position:absolute;left:3396;top:1009;width:6643;height:137" filled="true" fillcolor="#bd8686" stroked="false">
              <v:fill type="solid"/>
            </v:rect>
            <v:line style="position:absolute" from="3396,3527" to="4054,3527" stroked="true" strokeweight="6.72pt" strokecolor="#901b1b">
              <v:stroke dashstyle="solid"/>
            </v:line>
            <v:rect style="position:absolute;left:3396;top:2941;width:1531;height:137" filled="true" fillcolor="#901b1b" stroked="false">
              <v:fill type="solid"/>
            </v:rect>
            <v:line style="position:absolute" from="3396,2493" to="5803,2493" stroked="true" strokeweight="6.72pt" strokecolor="#901b1b">
              <v:stroke dashstyle="solid"/>
            </v:line>
            <v:line style="position:absolute" from="3396,1977" to="6022,1977" stroked="true" strokeweight="6.72pt" strokecolor="#901b1b">
              <v:stroke dashstyle="solid"/>
            </v:line>
            <v:rect style="position:absolute;left:3396;top:1391;width:876;height:137" filled="true" fillcolor="#901b1b" stroked="false">
              <v:fill type="solid"/>
            </v:rect>
            <v:line style="position:absolute" from="3396,942" to="4162,942" stroked="true" strokeweight="6.72pt" strokecolor="#901b1b">
              <v:stroke dashstyle="solid"/>
            </v:line>
            <v:line style="position:absolute" from="3396,3852" to="3396,752" stroked="true" strokeweight=".75pt" strokecolor="#d9d9d9">
              <v:stroke dashstyle="solid"/>
            </v:line>
            <v:line style="position:absolute" from="3341,3852" to="3396,3852" stroked="true" strokeweight=".75pt" strokecolor="#d9d9d9">
              <v:stroke dashstyle="solid"/>
            </v:line>
            <v:line style="position:absolute" from="3341,3335" to="3396,3335" stroked="true" strokeweight=".75pt" strokecolor="#d9d9d9">
              <v:stroke dashstyle="solid"/>
            </v:line>
            <v:line style="position:absolute" from="3341,2819" to="3396,2819" stroked="true" strokeweight=".75pt" strokecolor="#d9d9d9">
              <v:stroke dashstyle="solid"/>
            </v:line>
            <v:line style="position:absolute" from="3341,2303" to="3396,2303" stroked="true" strokeweight=".75pt" strokecolor="#d9d9d9">
              <v:stroke dashstyle="solid"/>
            </v:line>
            <v:line style="position:absolute" from="3341,1785" to="3396,1785" stroked="true" strokeweight=".75pt" strokecolor="#d9d9d9">
              <v:stroke dashstyle="solid"/>
            </v:line>
            <v:line style="position:absolute" from="3341,1269" to="3396,1269" stroked="true" strokeweight=".75pt" strokecolor="#d9d9d9">
              <v:stroke dashstyle="solid"/>
            </v:line>
            <v:line style="position:absolute" from="3341,752" to="3396,752" stroked="true" strokeweight=".75pt" strokecolor="#d9d9d9">
              <v:stroke dashstyle="solid"/>
            </v:line>
            <v:rect style="position:absolute;left:5600;top:4412;width:93;height:93" filled="true" fillcolor="#901b1b" stroked="false">
              <v:fill type="solid"/>
            </v:rect>
            <v:rect style="position:absolute;left:6251;top:4412;width:93;height:93" filled="true" fillcolor="#bd8686" stroked="false">
              <v:fill type="solid"/>
            </v:rect>
            <v:rect style="position:absolute;left:1418;top:531;width:9467;height:4208" filled="false" stroked="true" strokeweight=".75pt" strokecolor="#d9d9d9">
              <v:stroke dashstyle="solid"/>
            </v:rect>
            <v:shape style="position:absolute;left:5732;top:4351;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10301;top:3964;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9424;top:3964;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8533;top:3964;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650;top:3964;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6760;top:3964;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5876;top:3964;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4989;top:3964;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4115;top:3964;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3268;top:3964;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903;width:1713;height:2789" type="#_x0000_t202" filled="false" stroked="false">
              <v:textbox inset="0,0,0,0">
                <w:txbxContent>
                  <w:p>
                    <w:pPr>
                      <w:spacing w:line="607" w:lineRule="auto" w:before="0"/>
                      <w:ind w:left="258" w:right="18" w:firstLine="746"/>
                      <w:jc w:val="right"/>
                      <w:rPr>
                        <w:sz w:val="18"/>
                      </w:rPr>
                    </w:pPr>
                    <w:r>
                      <w:rPr>
                        <w:color w:val="585858"/>
                        <w:sz w:val="18"/>
                      </w:rPr>
                      <w:t>Ved</w:t>
                    </w:r>
                    <w:r>
                      <w:rPr>
                        <w:color w:val="585858"/>
                        <w:spacing w:val="-1"/>
                        <w:sz w:val="18"/>
                      </w:rPr>
                      <w:t> </w:t>
                    </w:r>
                    <w:r>
                      <w:rPr>
                        <w:color w:val="585858"/>
                        <w:spacing w:val="-4"/>
                        <w:sz w:val="18"/>
                      </w:rPr>
                      <w:t>ikke</w:t>
                    </w:r>
                    <w:r>
                      <w:rPr>
                        <w:color w:val="585858"/>
                        <w:sz w:val="18"/>
                      </w:rPr>
                      <w:t> Ingen</w:t>
                    </w:r>
                    <w:r>
                      <w:rPr>
                        <w:color w:val="585858"/>
                        <w:spacing w:val="-8"/>
                        <w:sz w:val="18"/>
                      </w:rPr>
                      <w:t> </w:t>
                    </w:r>
                    <w:r>
                      <w:rPr>
                        <w:color w:val="585858"/>
                        <w:sz w:val="18"/>
                      </w:rPr>
                      <w:t>betydning Mindre</w:t>
                    </w:r>
                    <w:r>
                      <w:rPr>
                        <w:color w:val="585858"/>
                        <w:spacing w:val="-8"/>
                        <w:sz w:val="18"/>
                      </w:rPr>
                      <w:t> </w:t>
                    </w:r>
                    <w:r>
                      <w:rPr>
                        <w:color w:val="585858"/>
                        <w:sz w:val="18"/>
                      </w:rPr>
                      <w:t>betydning Nogen</w:t>
                    </w:r>
                    <w:r>
                      <w:rPr>
                        <w:color w:val="585858"/>
                        <w:spacing w:val="-9"/>
                        <w:sz w:val="18"/>
                      </w:rPr>
                      <w:t> </w:t>
                    </w:r>
                    <w:r>
                      <w:rPr>
                        <w:color w:val="585858"/>
                        <w:sz w:val="18"/>
                      </w:rPr>
                      <w:t>betydning Stor</w:t>
                    </w:r>
                    <w:r>
                      <w:rPr>
                        <w:color w:val="585858"/>
                        <w:spacing w:val="-5"/>
                        <w:sz w:val="18"/>
                      </w:rPr>
                      <w:t> </w:t>
                    </w:r>
                    <w:r>
                      <w:rPr>
                        <w:color w:val="585858"/>
                        <w:sz w:val="18"/>
                      </w:rPr>
                      <w:t>betydning</w:t>
                    </w:r>
                  </w:p>
                  <w:p>
                    <w:pPr>
                      <w:spacing w:line="202" w:lineRule="exact" w:before="0"/>
                      <w:ind w:left="0" w:right="20" w:firstLine="0"/>
                      <w:jc w:val="right"/>
                      <w:rPr>
                        <w:sz w:val="18"/>
                      </w:rPr>
                    </w:pPr>
                    <w:r>
                      <w:rPr>
                        <w:color w:val="585858"/>
                        <w:sz w:val="18"/>
                      </w:rPr>
                      <w:t>Meget stor</w:t>
                    </w:r>
                    <w:r>
                      <w:rPr>
                        <w:color w:val="585858"/>
                        <w:spacing w:val="-11"/>
                        <w:sz w:val="18"/>
                      </w:rPr>
                      <w:t> </w:t>
                    </w:r>
                    <w:r>
                      <w:rPr>
                        <w:color w:val="585858"/>
                        <w:sz w:val="18"/>
                      </w:rPr>
                      <w:t>betydning</w:t>
                    </w:r>
                  </w:p>
                </w:txbxContent>
              </v:textbox>
              <w10:wrap type="none"/>
            </v:shape>
            <w10:wrap type="topAndBottom"/>
          </v:group>
        </w:pict>
      </w:r>
      <w:bookmarkStart w:name="_bookmark43" w:id="64"/>
      <w:bookmarkEnd w:id="64"/>
      <w:r>
        <w:rPr/>
      </w:r>
      <w:r>
        <w:rPr>
          <w:i/>
          <w:color w:val="A21F1F"/>
          <w:sz w:val="18"/>
        </w:rPr>
        <w:t>Figur 20. Betydningen af de frie geodata for udviklingen af nye produkter og ydelser i virksomhederne, henholdsvis i </w:t>
      </w:r>
      <w:r>
        <w:rPr>
          <w:i/>
          <w:color w:val="A21F1F"/>
          <w:sz w:val="18"/>
        </w:rPr>
        <w:t>2012 og i 2016</w:t>
      </w:r>
    </w:p>
    <w:p>
      <w:pPr>
        <w:spacing w:before="103"/>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2"/>
        <w:ind w:left="278" w:right="0" w:firstLine="0"/>
        <w:jc w:val="left"/>
        <w:rPr>
          <w:i/>
          <w:sz w:val="18"/>
        </w:rPr>
      </w:pPr>
      <w:r>
        <w:rPr>
          <w:b/>
          <w:i/>
          <w:color w:val="A21F1F"/>
          <w:sz w:val="18"/>
        </w:rPr>
        <w:t>N</w:t>
      </w:r>
      <w:r>
        <w:rPr>
          <w:i/>
          <w:color w:val="A21F1F"/>
          <w:sz w:val="18"/>
        </w:rPr>
        <w:t>: 2016: 81 og 2012: 71</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 </w:t>
      </w:r>
      <w:hyperlink w:history="true" w:anchor="_bookmark44">
        <w:r>
          <w:rPr/>
          <w:t>Figur 21 </w:t>
        </w:r>
      </w:hyperlink>
      <w:r>
        <w:rPr/>
        <w:t>nedenfor ses det ligeledes, at der er sket en væsentlig stigning i andelen af virksomheder, der har</w:t>
      </w:r>
    </w:p>
    <w:p>
      <w:pPr>
        <w:pStyle w:val="BodyText"/>
        <w:spacing w:line="360" w:lineRule="auto" w:before="114"/>
        <w:ind w:left="278" w:right="1092"/>
      </w:pPr>
      <w:r>
        <w:rPr/>
        <w:t>introduceret nye produkter eller ydelser på markedet, hvori der indgår frie geodata. Tendensen er således, at virksomhederne ikke alene bruger geodata i innovationsprocesser, men at produkterne også rammer markedet. Dette bekræftes desuden i vores føromtalte case-eksempel med det rådgivende ingeniørselskab Niras. De kunne fortælle, hvordan der til stadighed udvikles og testes nye geodatarelaterede produkter, og at disse løbende sættes på markedet som en del af deres produktportefølje.</w:t>
      </w:r>
    </w:p>
    <w:p>
      <w:pPr>
        <w:pStyle w:val="BodyText"/>
        <w:rPr>
          <w:sz w:val="21"/>
        </w:rPr>
      </w:pPr>
    </w:p>
    <w:p>
      <w:pPr>
        <w:spacing w:before="0"/>
        <w:ind w:left="278" w:right="1587" w:firstLine="0"/>
        <w:jc w:val="left"/>
        <w:rPr>
          <w:i/>
          <w:sz w:val="18"/>
        </w:rPr>
      </w:pPr>
      <w:r>
        <w:rPr/>
        <w:pict>
          <v:group style="position:absolute;margin-left:70.525002pt;margin-top:26.187937pt;width:474.1pt;height:132.6pt;mso-position-horizontal-relative:page;mso-position-vertical-relative:paragraph;z-index:3344;mso-wrap-distance-left:0;mso-wrap-distance-right:0" coordorigin="1411,524" coordsize="9482,2652">
            <v:rect style="position:absolute;left:1418;top:531;width:9467;height:2637" filled="true" fillcolor="#f1f1f1" stroked="false">
              <v:fill type="solid"/>
            </v:rect>
            <v:line style="position:absolute" from="7097,1897" to="10665,1897" stroked="true" strokeweight=".75pt" strokecolor="#d9d9d9">
              <v:stroke dashstyle="solid"/>
            </v:line>
            <v:line style="position:absolute" from="6281,1897" to="6454,1897" stroked="true" strokeweight=".75pt" strokecolor="#d9d9d9">
              <v:stroke dashstyle="solid"/>
            </v:line>
            <v:line style="position:absolute" from="4231,1897" to="5638,1897" stroked="true" strokeweight=".75pt" strokecolor="#d9d9d9">
              <v:stroke dashstyle="solid"/>
            </v:line>
            <v:line style="position:absolute" from="3415,1897" to="3590,1897" stroked="true" strokeweight=".75pt" strokecolor="#d9d9d9">
              <v:stroke dashstyle="solid"/>
            </v:line>
            <v:line style="position:absolute" from="2070,1897" to="2774,1897" stroked="true" strokeweight=".75pt" strokecolor="#d9d9d9">
              <v:stroke dashstyle="solid"/>
            </v:line>
            <v:line style="position:absolute" from="7097,1516" to="10665,1516" stroked="true" strokeweight=".75pt" strokecolor="#d9d9d9">
              <v:stroke dashstyle="solid"/>
            </v:line>
            <v:line style="position:absolute" from="6281,1516" to="6454,1516" stroked="true" strokeweight=".75pt" strokecolor="#d9d9d9">
              <v:stroke dashstyle="solid"/>
            </v:line>
            <v:line style="position:absolute" from="3415,1516" to="5638,1516" stroked="true" strokeweight=".75pt" strokecolor="#d9d9d9">
              <v:stroke dashstyle="solid"/>
            </v:line>
            <v:line style="position:absolute" from="2070,1516" to="2774,1516" stroked="true" strokeweight=".75pt" strokecolor="#d9d9d9">
              <v:stroke dashstyle="solid"/>
            </v:line>
            <v:line style="position:absolute" from="7097,1134" to="10665,1134" stroked="true" strokeweight=".75pt" strokecolor="#d9d9d9">
              <v:stroke dashstyle="solid"/>
            </v:line>
            <v:line style="position:absolute" from="2070,1134" to="6454,1134" stroked="true" strokeweight=".75pt" strokecolor="#d9d9d9">
              <v:stroke dashstyle="solid"/>
            </v:line>
            <v:line style="position:absolute" from="2070,751" to="10665,751" stroked="true" strokeweight=".75pt" strokecolor="#d9d9d9">
              <v:stroke dashstyle="solid"/>
            </v:line>
            <v:rect style="position:absolute;left:2774;top:1455;width:641;height:826" filled="true" fillcolor="#901b1b" stroked="false">
              <v:fill type="solid"/>
            </v:rect>
            <v:rect style="position:absolute;left:5637;top:1242;width:644;height:1039" filled="true" fillcolor="#901b1b" stroked="false">
              <v:fill type="solid"/>
            </v:rect>
            <v:line style="position:absolute" from="8503,2257" to="9146,2257" stroked="true" strokeweight="2.38pt" strokecolor="#901b1b">
              <v:stroke dashstyle="solid"/>
            </v:line>
            <v:rect style="position:absolute;left:3590;top:1796;width:641;height:485" filled="true" fillcolor="#bd8686" stroked="false">
              <v:fill type="solid"/>
            </v:rect>
            <v:rect style="position:absolute;left:6453;top:908;width:644;height:1373" filled="true" fillcolor="#bd8686" stroked="false">
              <v:fill type="solid"/>
            </v:rect>
            <v:line style="position:absolute" from="9319,2254" to="9962,2254" stroked="true" strokeweight="2.74pt" strokecolor="#bd8686">
              <v:stroke dashstyle="solid"/>
            </v:line>
            <v:line style="position:absolute" from="2070,2281" to="10665,2281" stroked="true" strokeweight=".75pt" strokecolor="#d9d9d9">
              <v:stroke dashstyle="solid"/>
            </v:line>
            <v:rect style="position:absolute;left:5600;top:2840;width:93;height:93" filled="true" fillcolor="#901b1b" stroked="false">
              <v:fill type="solid"/>
            </v:rect>
            <v:rect style="position:absolute;left:6251;top:2840;width:93;height:93" filled="true" fillcolor="#bd8686" stroked="false">
              <v:fill type="solid"/>
            </v:rect>
            <v:rect style="position:absolute;left:1418;top:531;width:9467;height:2637" filled="false" stroked="true" strokeweight=".75pt" strokecolor="#d9d9d9">
              <v:stroke dashstyle="solid"/>
            </v:rect>
            <v:shape style="position:absolute;left:5732;top:2780;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891;top:2392;width:708;height:205" type="#_x0000_t202" filled="false" stroked="false">
              <v:textbox inset="0,0,0,0">
                <w:txbxContent>
                  <w:p>
                    <w:pPr>
                      <w:spacing w:before="0"/>
                      <w:ind w:left="0" w:right="0" w:firstLine="0"/>
                      <w:jc w:val="left"/>
                      <w:rPr>
                        <w:sz w:val="18"/>
                      </w:rPr>
                    </w:pPr>
                    <w:r>
                      <w:rPr>
                        <w:color w:val="585858"/>
                        <w:sz w:val="18"/>
                      </w:rPr>
                      <w:t>Ved ikke</w:t>
                    </w:r>
                  </w:p>
                </w:txbxContent>
              </v:textbox>
              <w10:wrap type="none"/>
            </v:shape>
            <v:shape style="position:absolute;left:6230;top:2392;width:298;height:205" type="#_x0000_t202" filled="false" stroked="false">
              <v:textbox inset="0,0,0,0">
                <w:txbxContent>
                  <w:p>
                    <w:pPr>
                      <w:spacing w:before="0"/>
                      <w:ind w:left="0" w:right="0" w:firstLine="0"/>
                      <w:jc w:val="left"/>
                      <w:rPr>
                        <w:sz w:val="18"/>
                      </w:rPr>
                    </w:pPr>
                    <w:r>
                      <w:rPr>
                        <w:color w:val="585858"/>
                        <w:sz w:val="18"/>
                      </w:rPr>
                      <w:t>Nej</w:t>
                    </w:r>
                  </w:p>
                </w:txbxContent>
              </v:textbox>
              <w10:wrap type="none"/>
            </v:shape>
            <v:shape style="position:absolute;left:3411;top:2392;width:205;height:205" type="#_x0000_t202" filled="false" stroked="false">
              <v:textbox inset="0,0,0,0">
                <w:txbxContent>
                  <w:p>
                    <w:pPr>
                      <w:spacing w:before="0"/>
                      <w:ind w:left="0" w:right="0" w:firstLine="0"/>
                      <w:jc w:val="left"/>
                      <w:rPr>
                        <w:sz w:val="18"/>
                      </w:rPr>
                    </w:pPr>
                    <w:r>
                      <w:rPr>
                        <w:color w:val="585858"/>
                        <w:sz w:val="18"/>
                      </w:rPr>
                      <w:t>Ja</w:t>
                    </w:r>
                  </w:p>
                </w:txbxContent>
              </v:textbox>
              <w10:wrap type="none"/>
            </v:shape>
            <v:shape style="position:absolute;left:1548;top:644;width:386;height:1735" type="#_x0000_t202" filled="false" stroked="false">
              <v:textbox inset="0,0,0,0">
                <w:txbxContent>
                  <w:p>
                    <w:pPr>
                      <w:spacing w:before="0"/>
                      <w:ind w:left="-1" w:right="18" w:firstLine="0"/>
                      <w:jc w:val="center"/>
                      <w:rPr>
                        <w:sz w:val="18"/>
                      </w:rPr>
                    </w:pPr>
                    <w:r>
                      <w:rPr>
                        <w:color w:val="585858"/>
                        <w:sz w:val="18"/>
                      </w:rPr>
                      <w:t>80%</w:t>
                    </w:r>
                  </w:p>
                  <w:p>
                    <w:pPr>
                      <w:spacing w:before="177"/>
                      <w:ind w:left="0" w:right="12" w:firstLine="0"/>
                      <w:jc w:val="center"/>
                      <w:rPr>
                        <w:sz w:val="18"/>
                      </w:rPr>
                    </w:pPr>
                    <w:r>
                      <w:rPr>
                        <w:color w:val="585858"/>
                        <w:sz w:val="18"/>
                      </w:rPr>
                      <w:t>60%</w:t>
                    </w:r>
                  </w:p>
                  <w:p>
                    <w:pPr>
                      <w:spacing w:before="178"/>
                      <w:ind w:left="0" w:right="14" w:firstLine="0"/>
                      <w:jc w:val="center"/>
                      <w:rPr>
                        <w:sz w:val="18"/>
                      </w:rPr>
                    </w:pPr>
                    <w:r>
                      <w:rPr>
                        <w:color w:val="585858"/>
                        <w:sz w:val="18"/>
                      </w:rPr>
                      <w:t>40%</w:t>
                    </w:r>
                  </w:p>
                  <w:p>
                    <w:pPr>
                      <w:spacing w:before="178"/>
                      <w:ind w:left="0" w:right="12" w:firstLine="0"/>
                      <w:jc w:val="center"/>
                      <w:rPr>
                        <w:sz w:val="18"/>
                      </w:rPr>
                    </w:pPr>
                    <w:r>
                      <w:rPr>
                        <w:color w:val="585858"/>
                        <w:sz w:val="18"/>
                      </w:rPr>
                      <w:t>20%</w:t>
                    </w:r>
                  </w:p>
                  <w:p>
                    <w:pPr>
                      <w:spacing w:before="178"/>
                      <w:ind w:left="86" w:right="1" w:firstLine="0"/>
                      <w:jc w:val="center"/>
                      <w:rPr>
                        <w:sz w:val="18"/>
                      </w:rPr>
                    </w:pPr>
                    <w:r>
                      <w:rPr>
                        <w:color w:val="585858"/>
                        <w:sz w:val="18"/>
                      </w:rPr>
                      <w:t>0%</w:t>
                    </w:r>
                  </w:p>
                </w:txbxContent>
              </v:textbox>
              <w10:wrap type="none"/>
            </v:shape>
            <w10:wrap type="topAndBottom"/>
          </v:group>
        </w:pict>
      </w:r>
      <w:bookmarkStart w:name="_bookmark44" w:id="65"/>
      <w:bookmarkEnd w:id="65"/>
      <w:r>
        <w:rPr/>
      </w:r>
      <w:r>
        <w:rPr>
          <w:i/>
          <w:color w:val="A21F1F"/>
          <w:sz w:val="18"/>
        </w:rPr>
        <w:t>Figur 21. Private virksomheder, der introducerede nye produkter og ydelser, hvori der indgår frie geodata, på </w:t>
      </w:r>
      <w:r>
        <w:rPr>
          <w:i/>
          <w:color w:val="A21F1F"/>
          <w:sz w:val="18"/>
        </w:rPr>
        <w:t>markedet, henholdsvis i 2012 og i 2016</w:t>
      </w:r>
    </w:p>
    <w:p>
      <w:pPr>
        <w:spacing w:before="169"/>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0"/>
        <w:ind w:left="278" w:right="0" w:firstLine="0"/>
        <w:jc w:val="left"/>
        <w:rPr>
          <w:i/>
          <w:sz w:val="18"/>
        </w:rPr>
      </w:pPr>
      <w:r>
        <w:rPr>
          <w:b/>
          <w:i/>
          <w:color w:val="A21F1F"/>
          <w:sz w:val="18"/>
        </w:rPr>
        <w:t>N</w:t>
      </w:r>
      <w:r>
        <w:rPr>
          <w:i/>
          <w:color w:val="A21F1F"/>
          <w:sz w:val="18"/>
        </w:rPr>
        <w:t>: 2016: 81 og 2012: 71</w:t>
      </w:r>
    </w:p>
    <w:p>
      <w:pPr>
        <w:pStyle w:val="BodyText"/>
        <w:spacing w:before="8"/>
        <w:rPr>
          <w:i/>
          <w:sz w:val="28"/>
        </w:rPr>
      </w:pPr>
    </w:p>
    <w:p>
      <w:pPr>
        <w:pStyle w:val="BodyText"/>
        <w:spacing w:line="360" w:lineRule="auto" w:before="1"/>
        <w:ind w:left="278" w:right="1083"/>
      </w:pPr>
      <w:r>
        <w:rPr/>
        <w:t>Det andet ben i det første led i beregningen af de samfundsøkonomiske effekter af geodata i den private sektor er de effektiviseringsgevinster, som frisættelsen af geodata har givet virksomhederne. I nedenstående </w:t>
      </w:r>
      <w:hyperlink w:history="true" w:anchor="_bookmark45">
        <w:r>
          <w:rPr/>
          <w:t>Figur 22 </w:t>
        </w:r>
      </w:hyperlink>
      <w:r>
        <w:rPr/>
        <w:t>ses det, at de frie geodata i højere grad end i 2012 har bidraget til omkostningsreduktioner internt i virksomhedernes arbejdsprocesser. Det skal dog også bemærkes, at godt en tredjedel af respondenterne har vanskeligt ved at angive, hvor mange procents omkostningsreduktion de frie geodata har medført.</w:t>
      </w:r>
    </w:p>
    <w:p>
      <w:pPr>
        <w:pStyle w:val="BodyText"/>
        <w:spacing w:before="10"/>
        <w:rPr>
          <w:sz w:val="29"/>
        </w:rPr>
      </w:pPr>
    </w:p>
    <w:p>
      <w:pPr>
        <w:spacing w:before="0"/>
        <w:ind w:left="278" w:right="1065" w:firstLine="0"/>
        <w:jc w:val="left"/>
        <w:rPr>
          <w:i/>
          <w:sz w:val="18"/>
        </w:rPr>
      </w:pPr>
      <w:r>
        <w:rPr/>
        <w:pict>
          <v:group style="position:absolute;margin-left:70.525002pt;margin-top:26.077917pt;width:469.65pt;height:176pt;mso-position-horizontal-relative:page;mso-position-vertical-relative:paragraph;z-index:3584;mso-wrap-distance-left:0;mso-wrap-distance-right:0" coordorigin="1411,522" coordsize="9393,3520">
            <v:rect style="position:absolute;left:1418;top:529;width:9378;height:3505" filled="true" fillcolor="#f1f1f1" stroked="false">
              <v:fill type="solid"/>
            </v:rect>
            <v:line style="position:absolute" from="10315,2240" to="10576,2240" stroked="true" strokeweight=".75pt" strokecolor="#d9d9d9">
              <v:stroke dashstyle="solid"/>
            </v:line>
            <v:line style="position:absolute" from="10013,2240" to="10075,2240" stroked="true" strokeweight=".75pt" strokecolor="#d9d9d9">
              <v:stroke dashstyle="solid"/>
            </v:line>
            <v:line style="position:absolute" from="6821,2240" to="9773,2240" stroked="true" strokeweight=".75pt" strokecolor="#d9d9d9">
              <v:stroke dashstyle="solid"/>
            </v:line>
            <v:line style="position:absolute" from="5755,2240" to="6581,2240" stroked="true" strokeweight=".75pt" strokecolor="#d9d9d9">
              <v:stroke dashstyle="solid"/>
            </v:line>
            <v:line style="position:absolute" from="4692,2240" to="5518,2240" stroked="true" strokeweight=".75pt" strokecolor="#d9d9d9">
              <v:stroke dashstyle="solid"/>
            </v:line>
            <v:line style="position:absolute" from="3931,2240" to="4454,2240" stroked="true" strokeweight=".75pt" strokecolor="#d9d9d9">
              <v:stroke dashstyle="solid"/>
            </v:line>
            <v:line style="position:absolute" from="3629,2240" to="3694,2240" stroked="true" strokeweight=".75pt" strokecolor="#d9d9d9">
              <v:stroke dashstyle="solid"/>
            </v:line>
            <v:line style="position:absolute" from="2868,2240" to="3389,2240" stroked="true" strokeweight=".75pt" strokecolor="#d9d9d9">
              <v:stroke dashstyle="solid"/>
            </v:line>
            <v:line style="position:absolute" from="2563,2240" to="2628,2240" stroked="true" strokeweight=".75pt" strokecolor="#d9d9d9">
              <v:stroke dashstyle="solid"/>
            </v:line>
            <v:line style="position:absolute" from="2065,2240" to="2326,2240" stroked="true" strokeweight=".75pt" strokecolor="#d9d9d9">
              <v:stroke dashstyle="solid"/>
            </v:line>
            <v:line style="position:absolute" from="10315,1743" to="10576,1743" stroked="true" strokeweight=".75pt" strokecolor="#d9d9d9">
              <v:stroke dashstyle="solid"/>
            </v:line>
            <v:line style="position:absolute" from="10013,1743" to="10075,1743" stroked="true" strokeweight=".75pt" strokecolor="#d9d9d9">
              <v:stroke dashstyle="solid"/>
            </v:line>
            <v:line style="position:absolute" from="2868,1743" to="9773,1743" stroked="true" strokeweight=".75pt" strokecolor="#d9d9d9">
              <v:stroke dashstyle="solid"/>
            </v:line>
            <v:line style="position:absolute" from="2065,1743" to="2628,1743" stroked="true" strokeweight=".75pt" strokecolor="#d9d9d9">
              <v:stroke dashstyle="solid"/>
            </v:line>
            <v:line style="position:absolute" from="10315,1246" to="10576,1246" stroked="true" strokeweight=".75pt" strokecolor="#d9d9d9">
              <v:stroke dashstyle="solid"/>
            </v:line>
            <v:line style="position:absolute" from="2868,1246" to="10075,1246" stroked="true" strokeweight=".75pt" strokecolor="#d9d9d9">
              <v:stroke dashstyle="solid"/>
            </v:line>
            <v:line style="position:absolute" from="2065,1246" to="2628,1246" stroked="true" strokeweight=".75pt" strokecolor="#d9d9d9">
              <v:stroke dashstyle="solid"/>
            </v:line>
            <v:line style="position:absolute" from="2065,749" to="10576,749" stroked="true" strokeweight=".75pt" strokecolor="#d9d9d9">
              <v:stroke dashstyle="solid"/>
            </v:line>
            <v:rect style="position:absolute;left:2325;top:2002;width:238;height:736" filled="true" fillcolor="#901b1b" stroked="false">
              <v:fill type="solid"/>
            </v:rect>
            <v:rect style="position:absolute;left:3388;top:2062;width:240;height:676" filled="true" fillcolor="#901b1b" stroked="false">
              <v:fill type="solid"/>
            </v:rect>
            <v:rect style="position:absolute;left:4454;top:1939;width:238;height:798" filled="true" fillcolor="#901b1b" stroked="false">
              <v:fill type="solid"/>
            </v:rect>
            <v:rect style="position:absolute;left:5517;top:2062;width:238;height:676" filled="true" fillcolor="#901b1b" stroked="false">
              <v:fill type="solid"/>
            </v:rect>
            <v:rect style="position:absolute;left:6580;top:2184;width:240;height:554" filled="true" fillcolor="#901b1b" stroked="false">
              <v:fill type="solid"/>
            </v:rect>
            <v:line style="position:absolute" from="7646,2676" to="7884,2676" stroked="true" strokeweight="6.18pt" strokecolor="#901b1b">
              <v:stroke dashstyle="solid"/>
            </v:line>
            <v:rect style="position:absolute;left:9772;top:1387;width:240;height:1350" filled="true" fillcolor="#901b1b" stroked="false">
              <v:fill type="solid"/>
            </v:rect>
            <v:rect style="position:absolute;left:2628;top:917;width:240;height:1821" filled="true" fillcolor="#bd8686" stroked="false">
              <v:fill type="solid"/>
            </v:rect>
            <v:rect style="position:absolute;left:3693;top:2038;width:238;height:700" filled="true" fillcolor="#bd8686" stroked="false">
              <v:fill type="solid"/>
            </v:rect>
            <v:rect style="position:absolute;left:4756;top:2527;width:238;height:210" filled="true" fillcolor="#bd8686" stroked="false">
              <v:fill type="solid"/>
            </v:rect>
            <v:rect style="position:absolute;left:5820;top:2527;width:240;height:210" filled="true" fillcolor="#bd8686" stroked="false">
              <v:fill type="solid"/>
            </v:rect>
            <v:rect style="position:absolute;left:6885;top:2597;width:238;height:141" filled="true" fillcolor="#bd8686" stroked="false">
              <v:fill type="solid"/>
            </v:rect>
            <v:line style="position:absolute" from="7949,2702" to="8186,2702" stroked="true" strokeweight="3.54pt" strokecolor="#bd8686">
              <v:stroke dashstyle="solid"/>
            </v:line>
            <v:line style="position:absolute" from="9012,2702" to="9252,2702" stroked="true" strokeweight="3.54pt" strokecolor="#bd8686">
              <v:stroke dashstyle="solid"/>
            </v:line>
            <v:rect style="position:absolute;left:10075;top:986;width:240;height:1751" filled="true" fillcolor="#bd8686" stroked="false">
              <v:fill type="solid"/>
            </v:rect>
            <v:line style="position:absolute" from="2065,2738" to="10576,2738" stroked="true" strokeweight=".75pt" strokecolor="#d9d9d9">
              <v:stroke dashstyle="solid"/>
            </v:line>
            <v:rect style="position:absolute;left:5556;top:3706;width:93;height:93" filled="true" fillcolor="#901b1b" stroked="false">
              <v:fill type="solid"/>
            </v:rect>
            <v:rect style="position:absolute;left:6207;top:3706;width:93;height:93" filled="true" fillcolor="#bd8686" stroked="false">
              <v:fill type="solid"/>
            </v:rect>
            <v:rect style="position:absolute;left:1418;top:529;width:9378;height:3505" filled="false" stroked="true" strokeweight=".75pt" strokecolor="#d9d9d9">
              <v:stroke dashstyle="solid"/>
            </v:rect>
            <v:shape style="position:absolute;left:5688;top:3646;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629;top:2849;width:1812;height:614" type="#_x0000_t202" filled="false" stroked="false">
              <v:textbox inset="0,0,0,0">
                <w:txbxContent>
                  <w:p>
                    <w:pPr>
                      <w:tabs>
                        <w:tab w:pos="1261" w:val="left" w:leader="none"/>
                      </w:tabs>
                      <w:spacing w:before="0"/>
                      <w:ind w:left="0" w:right="0" w:firstLine="0"/>
                      <w:jc w:val="left"/>
                      <w:rPr>
                        <w:sz w:val="18"/>
                      </w:rPr>
                    </w:pPr>
                    <w:r>
                      <w:rPr>
                        <w:color w:val="585858"/>
                        <w:sz w:val="18"/>
                      </w:rPr>
                      <w:t>76-100%</w:t>
                      <w:tab/>
                      <w:t>Ved</w:t>
                    </w:r>
                  </w:p>
                  <w:p>
                    <w:pPr>
                      <w:spacing w:before="0"/>
                      <w:ind w:left="1093" w:right="0" w:hanging="51"/>
                      <w:jc w:val="left"/>
                      <w:rPr>
                        <w:sz w:val="18"/>
                      </w:rPr>
                    </w:pPr>
                    <w:r>
                      <w:rPr>
                        <w:color w:val="585858"/>
                        <w:sz w:val="18"/>
                      </w:rPr>
                      <w:t>ikke/ikke relevant</w:t>
                    </w:r>
                  </w:p>
                </w:txbxContent>
              </v:textbox>
              <w10:wrap type="none"/>
            </v:shape>
            <v:shape style="position:absolute;left:7631;top:2849;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6542;top:2849;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5507;top:2849;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4473;top:2849;width:525;height:205" type="#_x0000_t202" filled="false" stroked="false">
              <v:textbox inset="0,0,0,0">
                <w:txbxContent>
                  <w:p>
                    <w:pPr>
                      <w:spacing w:before="0"/>
                      <w:ind w:left="0" w:right="0" w:firstLine="0"/>
                      <w:jc w:val="left"/>
                      <w:rPr>
                        <w:sz w:val="18"/>
                      </w:rPr>
                    </w:pPr>
                    <w:r>
                      <w:rPr>
                        <w:color w:val="585858"/>
                        <w:sz w:val="18"/>
                      </w:rPr>
                      <w:t>6-10%</w:t>
                    </w:r>
                  </w:p>
                </w:txbxContent>
              </v:textbox>
              <w10:wrap type="none"/>
            </v:shape>
            <v:shape style="position:absolute;left:3467;top:2849;width:408;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2468;top:284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42;width:380;height:2194" type="#_x0000_t202" filled="false" stroked="false">
              <v:textbox inset="0,0,0,0">
                <w:txbxContent>
                  <w:p>
                    <w:pPr>
                      <w:spacing w:before="0"/>
                      <w:ind w:left="-1" w:right="18" w:firstLine="0"/>
                      <w:jc w:val="center"/>
                      <w:rPr>
                        <w:sz w:val="18"/>
                      </w:rPr>
                    </w:pPr>
                    <w:r>
                      <w:rPr>
                        <w:color w:val="585858"/>
                        <w:sz w:val="18"/>
                      </w:rPr>
                      <w:t>40%</w:t>
                    </w:r>
                  </w:p>
                  <w:p>
                    <w:pPr>
                      <w:spacing w:line="240" w:lineRule="auto" w:before="8"/>
                      <w:rPr>
                        <w:i/>
                        <w:sz w:val="25"/>
                      </w:rPr>
                    </w:pPr>
                  </w:p>
                  <w:p>
                    <w:pPr>
                      <w:spacing w:before="0"/>
                      <w:ind w:left="2" w:right="0" w:firstLine="0"/>
                      <w:jc w:val="left"/>
                      <w:rPr>
                        <w:sz w:val="18"/>
                      </w:rPr>
                    </w:pPr>
                    <w:r>
                      <w:rPr>
                        <w:color w:val="585858"/>
                        <w:sz w:val="18"/>
                      </w:rPr>
                      <w:t>30%</w:t>
                    </w:r>
                  </w:p>
                  <w:p>
                    <w:pPr>
                      <w:spacing w:line="240" w:lineRule="auto" w:before="9"/>
                      <w:rPr>
                        <w:i/>
                        <w:sz w:val="25"/>
                      </w:rPr>
                    </w:pPr>
                  </w:p>
                  <w:p>
                    <w:pPr>
                      <w:spacing w:before="0"/>
                      <w:ind w:left="0" w:right="17" w:firstLine="0"/>
                      <w:jc w:val="center"/>
                      <w:rPr>
                        <w:sz w:val="18"/>
                      </w:rPr>
                    </w:pPr>
                    <w:r>
                      <w:rPr>
                        <w:color w:val="585858"/>
                        <w:sz w:val="18"/>
                      </w:rPr>
                      <w:t>20%</w:t>
                    </w:r>
                  </w:p>
                  <w:p>
                    <w:pPr>
                      <w:spacing w:line="240" w:lineRule="auto" w:before="8"/>
                      <w:rPr>
                        <w:i/>
                        <w:sz w:val="25"/>
                      </w:rPr>
                    </w:pPr>
                  </w:p>
                  <w:p>
                    <w:pPr>
                      <w:spacing w:before="0"/>
                      <w:ind w:left="23" w:right="0" w:firstLine="0"/>
                      <w:jc w:val="left"/>
                      <w:rPr>
                        <w:sz w:val="18"/>
                      </w:rPr>
                    </w:pPr>
                    <w:r>
                      <w:rPr>
                        <w:color w:val="585858"/>
                        <w:sz w:val="18"/>
                      </w:rPr>
                      <w:t>10%</w:t>
                    </w:r>
                  </w:p>
                  <w:p>
                    <w:pPr>
                      <w:spacing w:line="240" w:lineRule="auto" w:before="9"/>
                      <w:rPr>
                        <w:i/>
                        <w:sz w:val="25"/>
                      </w:rPr>
                    </w:pPr>
                  </w:p>
                  <w:p>
                    <w:pPr>
                      <w:spacing w:before="0"/>
                      <w:ind w:left="81" w:right="0" w:firstLine="0"/>
                      <w:jc w:val="center"/>
                      <w:rPr>
                        <w:sz w:val="18"/>
                      </w:rPr>
                    </w:pPr>
                    <w:r>
                      <w:rPr>
                        <w:color w:val="585858"/>
                        <w:sz w:val="18"/>
                      </w:rPr>
                      <w:t>0%</w:t>
                    </w:r>
                  </w:p>
                </w:txbxContent>
              </v:textbox>
              <w10:wrap type="none"/>
            </v:shape>
            <w10:wrap type="topAndBottom"/>
          </v:group>
        </w:pict>
      </w:r>
      <w:bookmarkStart w:name="_bookmark45" w:id="66"/>
      <w:bookmarkEnd w:id="66"/>
      <w:r>
        <w:rPr/>
      </w:r>
      <w:r>
        <w:rPr>
          <w:i/>
          <w:color w:val="A21F1F"/>
          <w:sz w:val="18"/>
        </w:rPr>
        <w:t>Figur</w:t>
      </w:r>
      <w:r>
        <w:rPr>
          <w:i/>
          <w:color w:val="A21F1F"/>
          <w:spacing w:val="-3"/>
          <w:sz w:val="18"/>
        </w:rPr>
        <w:t> </w:t>
      </w:r>
      <w:r>
        <w:rPr>
          <w:i/>
          <w:color w:val="A21F1F"/>
          <w:sz w:val="18"/>
        </w:rPr>
        <w:t>22:</w:t>
      </w:r>
      <w:r>
        <w:rPr>
          <w:i/>
          <w:color w:val="A21F1F"/>
          <w:spacing w:val="-3"/>
          <w:sz w:val="18"/>
        </w:rPr>
        <w:t> </w:t>
      </w:r>
      <w:r>
        <w:rPr>
          <w:i/>
          <w:color w:val="A21F1F"/>
          <w:sz w:val="18"/>
        </w:rPr>
        <w:t>Private</w:t>
      </w:r>
      <w:r>
        <w:rPr>
          <w:i/>
          <w:color w:val="A21F1F"/>
          <w:spacing w:val="-4"/>
          <w:sz w:val="18"/>
        </w:rPr>
        <w:t> </w:t>
      </w:r>
      <w:r>
        <w:rPr>
          <w:i/>
          <w:color w:val="A21F1F"/>
          <w:sz w:val="18"/>
        </w:rPr>
        <w:t>virksomheder</w:t>
      </w:r>
      <w:r>
        <w:rPr>
          <w:i/>
          <w:color w:val="A21F1F"/>
          <w:spacing w:val="-3"/>
          <w:sz w:val="18"/>
        </w:rPr>
        <w:t> </w:t>
      </w:r>
      <w:r>
        <w:rPr>
          <w:i/>
          <w:color w:val="A21F1F"/>
          <w:sz w:val="18"/>
        </w:rPr>
        <w:t>fordelt</w:t>
      </w:r>
      <w:r>
        <w:rPr>
          <w:i/>
          <w:color w:val="A21F1F"/>
          <w:spacing w:val="-3"/>
          <w:sz w:val="18"/>
        </w:rPr>
        <w:t> </w:t>
      </w:r>
      <w:r>
        <w:rPr>
          <w:i/>
          <w:color w:val="A21F1F"/>
          <w:sz w:val="18"/>
        </w:rPr>
        <w:t>på</w:t>
      </w:r>
      <w:r>
        <w:rPr>
          <w:i/>
          <w:color w:val="A21F1F"/>
          <w:spacing w:val="-3"/>
          <w:sz w:val="18"/>
        </w:rPr>
        <w:t> </w:t>
      </w:r>
      <w:r>
        <w:rPr>
          <w:i/>
          <w:color w:val="A21F1F"/>
          <w:sz w:val="18"/>
        </w:rPr>
        <w:t>størrelsen</w:t>
      </w:r>
      <w:r>
        <w:rPr>
          <w:i/>
          <w:color w:val="A21F1F"/>
          <w:spacing w:val="-4"/>
          <w:sz w:val="18"/>
        </w:rPr>
        <w:t> </w:t>
      </w:r>
      <w:r>
        <w:rPr>
          <w:i/>
          <w:color w:val="A21F1F"/>
          <w:sz w:val="18"/>
        </w:rPr>
        <w:t>af</w:t>
      </w:r>
      <w:r>
        <w:rPr>
          <w:i/>
          <w:color w:val="A21F1F"/>
          <w:spacing w:val="-3"/>
          <w:sz w:val="18"/>
        </w:rPr>
        <w:t> </w:t>
      </w:r>
      <w:r>
        <w:rPr>
          <w:i/>
          <w:color w:val="A21F1F"/>
          <w:sz w:val="18"/>
        </w:rPr>
        <w:t>omkostningsreduktion</w:t>
      </w:r>
      <w:r>
        <w:rPr>
          <w:i/>
          <w:color w:val="A21F1F"/>
          <w:spacing w:val="-1"/>
          <w:sz w:val="18"/>
        </w:rPr>
        <w:t> </w:t>
      </w:r>
      <w:r>
        <w:rPr>
          <w:i/>
          <w:color w:val="A21F1F"/>
          <w:sz w:val="18"/>
        </w:rPr>
        <w:t>som</w:t>
      </w:r>
      <w:r>
        <w:rPr>
          <w:i/>
          <w:color w:val="A21F1F"/>
          <w:spacing w:val="-4"/>
          <w:sz w:val="18"/>
        </w:rPr>
        <w:t> </w:t>
      </w:r>
      <w:r>
        <w:rPr>
          <w:i/>
          <w:color w:val="A21F1F"/>
          <w:sz w:val="18"/>
        </w:rPr>
        <w:t>følge</w:t>
      </w:r>
      <w:r>
        <w:rPr>
          <w:i/>
          <w:color w:val="A21F1F"/>
          <w:spacing w:val="-4"/>
          <w:sz w:val="18"/>
        </w:rPr>
        <w:t> </w:t>
      </w:r>
      <w:r>
        <w:rPr>
          <w:i/>
          <w:color w:val="A21F1F"/>
          <w:sz w:val="18"/>
        </w:rPr>
        <w:t>af</w:t>
      </w:r>
      <w:r>
        <w:rPr>
          <w:i/>
          <w:color w:val="A21F1F"/>
          <w:spacing w:val="-3"/>
          <w:sz w:val="18"/>
        </w:rPr>
        <w:t> </w:t>
      </w:r>
      <w:r>
        <w:rPr>
          <w:i/>
          <w:color w:val="A21F1F"/>
          <w:sz w:val="18"/>
        </w:rPr>
        <w:t>brugen</w:t>
      </w:r>
      <w:r>
        <w:rPr>
          <w:i/>
          <w:color w:val="A21F1F"/>
          <w:spacing w:val="-3"/>
          <w:sz w:val="18"/>
        </w:rPr>
        <w:t> </w:t>
      </w:r>
      <w:r>
        <w:rPr>
          <w:i/>
          <w:color w:val="A21F1F"/>
          <w:sz w:val="18"/>
        </w:rPr>
        <w:t>af</w:t>
      </w:r>
      <w:r>
        <w:rPr>
          <w:i/>
          <w:color w:val="A21F1F"/>
          <w:spacing w:val="-3"/>
          <w:sz w:val="18"/>
        </w:rPr>
        <w:t> </w:t>
      </w:r>
      <w:r>
        <w:rPr>
          <w:i/>
          <w:color w:val="A21F1F"/>
          <w:sz w:val="18"/>
        </w:rPr>
        <w:t>de</w:t>
      </w:r>
      <w:r>
        <w:rPr>
          <w:i/>
          <w:color w:val="A21F1F"/>
          <w:spacing w:val="-5"/>
          <w:sz w:val="18"/>
        </w:rPr>
        <w:t> </w:t>
      </w:r>
      <w:r>
        <w:rPr>
          <w:i/>
          <w:color w:val="A21F1F"/>
          <w:sz w:val="18"/>
        </w:rPr>
        <w:t>frie</w:t>
      </w:r>
      <w:r>
        <w:rPr>
          <w:i/>
          <w:color w:val="A21F1F"/>
          <w:spacing w:val="-4"/>
          <w:sz w:val="18"/>
        </w:rPr>
        <w:t> </w:t>
      </w:r>
      <w:r>
        <w:rPr>
          <w:i/>
          <w:color w:val="A21F1F"/>
          <w:sz w:val="18"/>
        </w:rPr>
        <w:t>geodata </w:t>
      </w:r>
      <w:r>
        <w:rPr>
          <w:i/>
          <w:color w:val="A21F1F"/>
          <w:sz w:val="18"/>
        </w:rPr>
        <w:t>i interne processer og opgaver, henholdsvis i 2012 og i</w:t>
      </w:r>
      <w:r>
        <w:rPr>
          <w:i/>
          <w:color w:val="A21F1F"/>
          <w:spacing w:val="-1"/>
          <w:sz w:val="18"/>
        </w:rPr>
        <w:t> </w:t>
      </w:r>
      <w:r>
        <w:rPr>
          <w:i/>
          <w:color w:val="A21F1F"/>
          <w:sz w:val="18"/>
        </w:rPr>
        <w:t>2016</w:t>
      </w:r>
    </w:p>
    <w:p>
      <w:pPr>
        <w:pStyle w:val="BodyText"/>
        <w:spacing w:before="4"/>
        <w:rPr>
          <w:i/>
          <w:sz w:val="18"/>
        </w:rPr>
      </w:pPr>
    </w:p>
    <w:p>
      <w:pPr>
        <w:spacing w:before="0"/>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19"/>
        <w:ind w:left="278" w:right="0" w:firstLine="0"/>
        <w:jc w:val="left"/>
        <w:rPr>
          <w:i/>
          <w:sz w:val="18"/>
        </w:rPr>
      </w:pPr>
      <w:r>
        <w:rPr>
          <w:b/>
          <w:i/>
          <w:color w:val="A21F1F"/>
          <w:sz w:val="18"/>
        </w:rPr>
        <w:t>N</w:t>
      </w:r>
      <w:r>
        <w:rPr>
          <w:i/>
          <w:color w:val="A21F1F"/>
          <w:sz w:val="18"/>
        </w:rPr>
        <w:t>: 2016: 81 og2012: 71</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Ser man nærmere på de deltagende virksomheders vurdering af, hvilken betydning de frie geodata har for</w:t>
      </w:r>
    </w:p>
    <w:p>
      <w:pPr>
        <w:pStyle w:val="BodyText"/>
        <w:spacing w:line="360" w:lineRule="auto" w:before="114"/>
        <w:ind w:left="278" w:right="1044"/>
      </w:pPr>
      <w:r>
        <w:rPr/>
        <w:t>sikring af bedre interne processer i virksomhederne, er der en tendens til, at betydningen af geodata er vokset siden 2012. Særligt geodatas betydning for mere effektive arbejdsgange har udviklet sig væsentligt. I nedenstående </w:t>
      </w:r>
      <w:hyperlink w:history="true" w:anchor="_bookmark46">
        <w:r>
          <w:rPr/>
          <w:t>Figur 23 </w:t>
        </w:r>
      </w:hyperlink>
      <w:r>
        <w:rPr/>
        <w:t>er respondenternes gennemsnitlige vægtning af betydningen af geodata for henholdsvis interne arbejdsgange, risikostyring, planlægning og kundeservice regnet sammen. En score over nul angiver, at de frie geodata gennemsnitligt har stor eller meget stor betydning for virksomheder.</w:t>
      </w:r>
    </w:p>
    <w:p>
      <w:pPr>
        <w:spacing w:before="118"/>
        <w:ind w:left="278" w:right="1134" w:firstLine="0"/>
        <w:jc w:val="left"/>
        <w:rPr>
          <w:i/>
          <w:sz w:val="18"/>
        </w:rPr>
      </w:pPr>
      <w:bookmarkStart w:name="_bookmark46" w:id="67"/>
      <w:bookmarkEnd w:id="67"/>
      <w:r>
        <w:rPr/>
      </w:r>
      <w:r>
        <w:rPr>
          <w:i/>
          <w:color w:val="A21F1F"/>
          <w:sz w:val="18"/>
        </w:rPr>
        <w:t>Figur 23: Vægtet betydning af de frie geodata for sikring af bedre interne processer i virksomhederne, henholdsvis i </w:t>
      </w:r>
      <w:r>
        <w:rPr>
          <w:i/>
          <w:color w:val="A21F1F"/>
          <w:sz w:val="18"/>
        </w:rPr>
        <w:t>2012 og i 2016</w:t>
      </w:r>
    </w:p>
    <w:p>
      <w:pPr>
        <w:pStyle w:val="BodyText"/>
        <w:ind w:left="270"/>
      </w:pPr>
      <w:r>
        <w:rPr/>
        <w:pict>
          <v:group style="width:481.35pt;height:207.15pt;mso-position-horizontal-relative:char;mso-position-vertical-relative:line" coordorigin="0,0" coordsize="9627,4143">
            <v:rect style="position:absolute;left:7;top:7;width:9612;height:4128" filled="true" fillcolor="#f1f1f1" stroked="false">
              <v:fill type="solid"/>
            </v:rect>
            <v:line style="position:absolute" from="727,2833" to="9399,2833" stroked="true" strokeweight=".75pt" strokecolor="#d9d9d9">
              <v:stroke dashstyle="solid"/>
            </v:line>
            <v:line style="position:absolute" from="4532,2171" to="9400,2171" stroked="true" strokeweight=".75pt" strokecolor="#d9d9d9">
              <v:stroke dashstyle="solid"/>
            </v:line>
            <v:line style="position:absolute" from="727,2171" to="4045,2171" stroked="true" strokeweight=".75pt" strokecolor="#d9d9d9">
              <v:stroke dashstyle="solid"/>
            </v:line>
            <v:line style="position:absolute" from="727,1511" to="9399,1511" stroked="true" strokeweight=".75pt" strokecolor="#d9d9d9">
              <v:stroke dashstyle="solid"/>
            </v:line>
            <v:line style="position:absolute" from="727,848" to="9399,848" stroked="true" strokeweight=".75pt" strokecolor="#d9d9d9">
              <v:stroke dashstyle="solid"/>
            </v:line>
            <v:line style="position:absolute" from="727,188" to="9399,188" stroked="true" strokeweight=".75pt" strokecolor="#d9d9d9">
              <v:stroke dashstyle="solid"/>
            </v:line>
            <v:rect style="position:absolute;left:1258;top:1244;width:488;height:267" filled="true" fillcolor="#901b1b" stroked="false">
              <v:fill type="solid"/>
            </v:rect>
            <v:rect style="position:absolute;left:3427;top:1510;width:485;height:310" filled="true" fillcolor="#901b1b" stroked="false">
              <v:fill type="solid"/>
            </v:rect>
            <v:rect style="position:absolute;left:5595;top:1510;width:488;height:310" filled="true" fillcolor="#901b1b" stroked="false">
              <v:fill type="solid"/>
            </v:rect>
            <v:rect style="position:absolute;left:7764;top:1510;width:485;height:168" filled="true" fillcolor="#901b1b" stroked="false">
              <v:fill type="solid"/>
            </v:rect>
            <v:rect style="position:absolute;left:1877;top:1510;width:485;height:396" filled="true" fillcolor="#bd8686" stroked="false">
              <v:fill type="solid"/>
            </v:rect>
            <v:rect style="position:absolute;left:4044;top:1510;width:488;height:795" filled="true" fillcolor="#bd8686" stroked="false">
              <v:fill type="solid"/>
            </v:rect>
            <v:rect style="position:absolute;left:6211;top:1510;width:488;height:660" filled="true" fillcolor="#bd8686" stroked="false">
              <v:fill type="solid"/>
            </v:rect>
            <v:rect style="position:absolute;left:8381;top:1510;width:485;height:264" filled="true" fillcolor="#bd8686" stroked="false">
              <v:fill type="solid"/>
            </v:rect>
            <v:rect style="position:absolute;left:4262;top:3808;width:93;height:93" filled="true" fillcolor="#901b1b" stroked="false">
              <v:fill type="solid"/>
            </v:rect>
            <v:rect style="position:absolute;left:4913;top:3808;width:93;height:93" filled="true" fillcolor="#bd8686" stroked="false">
              <v:fill type="solid"/>
            </v:rect>
            <v:rect style="position:absolute;left:7;top:7;width:9612;height:4128" filled="false" stroked="true" strokeweight=".75pt" strokecolor="#d9d9d9">
              <v:stroke dashstyle="solid"/>
            </v:rect>
            <v:shape style="position:absolute;left:1221;top:3213;width:1056;height:10" type="#_x0000_t75" stroked="false">
              <v:imagedata r:id="rId17" o:title=""/>
            </v:shape>
            <v:shape style="position:absolute;left:1257;top:3396;width:1013;height:10" type="#_x0000_t75" stroked="false">
              <v:imagedata r:id="rId18" o:title=""/>
            </v:shape>
            <v:shape style="position:absolute;left:5045;top:3747;width:409;height:205" type="#_x0000_t202" filled="false" stroked="false">
              <v:textbox inset="0,0,0,0">
                <w:txbxContent>
                  <w:p>
                    <w:pPr>
                      <w:spacing w:before="0"/>
                      <w:ind w:left="0" w:right="0" w:firstLine="0"/>
                      <w:jc w:val="left"/>
                      <w:rPr>
                        <w:sz w:val="18"/>
                      </w:rPr>
                    </w:pPr>
                    <w:r>
                      <w:rPr>
                        <w:color w:val="585858"/>
                        <w:sz w:val="18"/>
                      </w:rPr>
                      <w:t>2012</w:t>
                    </w:r>
                  </w:p>
                </w:txbxContent>
              </v:textbox>
              <w10:wrap type="none"/>
            </v:shape>
            <v:shape style="position:absolute;left:7922;top:2877;width:1063;height:409" type="#_x0000_t202" filled="false" stroked="false">
              <v:textbox inset="0,0,0,0">
                <w:txbxContent>
                  <w:p>
                    <w:pPr>
                      <w:spacing w:before="0"/>
                      <w:ind w:left="0" w:right="-4" w:firstLine="285"/>
                      <w:jc w:val="left"/>
                      <w:rPr>
                        <w:sz w:val="18"/>
                      </w:rPr>
                    </w:pPr>
                    <w:r>
                      <w:rPr>
                        <w:sz w:val="18"/>
                      </w:rPr>
                      <w:t>Bedre kundeservice</w:t>
                    </w:r>
                  </w:p>
                </w:txbxContent>
              </v:textbox>
              <w10:wrap type="none"/>
            </v:shape>
            <v:shape style="position:absolute;left:5592;top:2891;width:1476;height:548" type="#_x0000_t202" filled="false" stroked="false">
              <v:textbox inset="0,0,0,0">
                <w:txbxContent>
                  <w:p>
                    <w:pPr>
                      <w:spacing w:before="0"/>
                      <w:ind w:left="0" w:right="18" w:firstLine="1"/>
                      <w:jc w:val="center"/>
                      <w:rPr>
                        <w:sz w:val="16"/>
                      </w:rPr>
                    </w:pPr>
                    <w:r>
                      <w:rPr>
                        <w:sz w:val="16"/>
                      </w:rPr>
                      <w:t>Bedre   forretningsmæssigt beslutningsgrundlag</w:t>
                    </w:r>
                  </w:p>
                </w:txbxContent>
              </v:textbox>
              <w10:wrap type="none"/>
            </v:shape>
            <v:shape style="position:absolute;left:3575;top:2907;width:1229;height:1045" type="#_x0000_t202" filled="false" stroked="false">
              <v:textbox inset="0,0,0,0">
                <w:txbxContent>
                  <w:p>
                    <w:pPr>
                      <w:spacing w:before="0"/>
                      <w:ind w:left="0" w:right="126" w:firstLine="3"/>
                      <w:jc w:val="center"/>
                      <w:rPr>
                        <w:sz w:val="16"/>
                      </w:rPr>
                    </w:pPr>
                    <w:r>
                      <w:rPr>
                        <w:sz w:val="16"/>
                      </w:rPr>
                      <w:t>Bedre risikostyring og strategisk planlægning</w:t>
                    </w:r>
                  </w:p>
                  <w:p>
                    <w:pPr>
                      <w:spacing w:before="113"/>
                      <w:ind w:left="818" w:right="0" w:firstLine="0"/>
                      <w:jc w:val="left"/>
                      <w:rPr>
                        <w:sz w:val="18"/>
                      </w:rPr>
                    </w:pPr>
                    <w:r>
                      <w:rPr>
                        <w:color w:val="585858"/>
                        <w:sz w:val="18"/>
                      </w:rPr>
                      <w:t>2016</w:t>
                    </w:r>
                  </w:p>
                </w:txbxContent>
              </v:textbox>
              <w10:wrap type="none"/>
            </v:shape>
            <v:shape style="position:absolute;left:1222;top:3067;width:1034;height:366" type="#_x0000_t202" filled="false" stroked="false">
              <v:textbox inset="0,0,0,0">
                <w:txbxContent>
                  <w:p>
                    <w:pPr>
                      <w:spacing w:before="0"/>
                      <w:ind w:left="36" w:right="3" w:hanging="36"/>
                      <w:jc w:val="left"/>
                      <w:rPr>
                        <w:sz w:val="16"/>
                      </w:rPr>
                    </w:pPr>
                    <w:r>
                      <w:rPr>
                        <w:sz w:val="16"/>
                      </w:rPr>
                      <w:t>Mere effektive arbejdsgange</w:t>
                    </w:r>
                  </w:p>
                </w:txbxContent>
              </v:textbox>
              <w10:wrap type="none"/>
            </v:shape>
            <v:shape style="position:absolute;left:155;top:2725;width:43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shape style="position:absolute;left:137;top:2064;width:452;height:205" type="#_x0000_t202" filled="false" stroked="false">
              <v:textbox inset="0,0,0,0">
                <w:txbxContent>
                  <w:p>
                    <w:pPr>
                      <w:spacing w:before="0"/>
                      <w:ind w:left="0" w:right="0" w:firstLine="0"/>
                      <w:jc w:val="left"/>
                      <w:rPr>
                        <w:sz w:val="18"/>
                      </w:rPr>
                    </w:pPr>
                    <w:r>
                      <w:rPr>
                        <w:color w:val="585858"/>
                        <w:sz w:val="18"/>
                      </w:rPr>
                      <w:t>-0,50</w:t>
                    </w:r>
                  </w:p>
                </w:txbxContent>
              </v:textbox>
              <w10:wrap type="none"/>
            </v:shape>
            <v:shape style="position:absolute;left:189;top:1403;width:400;height:205" type="#_x0000_t202" filled="false" stroked="false">
              <v:textbox inset="0,0,0,0">
                <w:txbxContent>
                  <w:p>
                    <w:pPr>
                      <w:spacing w:before="0"/>
                      <w:ind w:left="0" w:right="0" w:firstLine="0"/>
                      <w:jc w:val="left"/>
                      <w:rPr>
                        <w:sz w:val="18"/>
                      </w:rPr>
                    </w:pPr>
                    <w:r>
                      <w:rPr>
                        <w:color w:val="585858"/>
                        <w:sz w:val="18"/>
                      </w:rPr>
                      <w:t>0,00</w:t>
                    </w:r>
                  </w:p>
                </w:txbxContent>
              </v:textbox>
              <w10:wrap type="none"/>
            </v:shape>
            <v:shape style="position:absolute;left:205;top:741;width:385;height:205" type="#_x0000_t202" filled="false" stroked="false">
              <v:textbox inset="0,0,0,0">
                <w:txbxContent>
                  <w:p>
                    <w:pPr>
                      <w:spacing w:before="0"/>
                      <w:ind w:left="0" w:right="0" w:firstLine="0"/>
                      <w:jc w:val="left"/>
                      <w:rPr>
                        <w:sz w:val="18"/>
                      </w:rPr>
                    </w:pPr>
                    <w:r>
                      <w:rPr>
                        <w:color w:val="585858"/>
                        <w:sz w:val="18"/>
                      </w:rPr>
                      <w:t>0,50</w:t>
                    </w:r>
                  </w:p>
                </w:txbxContent>
              </v:textbox>
              <w10:wrap type="none"/>
            </v:shape>
            <v:shape style="position:absolute;left:222;top:80;width:36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group>
        </w:pict>
      </w:r>
      <w:r>
        <w:rPr/>
      </w:r>
    </w:p>
    <w:p>
      <w:pPr>
        <w:spacing w:before="85"/>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00"/>
        <w:ind w:left="278" w:right="0" w:firstLine="0"/>
        <w:jc w:val="left"/>
        <w:rPr>
          <w:i/>
          <w:sz w:val="18"/>
        </w:rPr>
      </w:pPr>
      <w:r>
        <w:rPr>
          <w:b/>
          <w:i/>
          <w:color w:val="A21F1F"/>
          <w:sz w:val="18"/>
        </w:rPr>
        <w:t>N</w:t>
      </w:r>
      <w:r>
        <w:rPr>
          <w:i/>
          <w:color w:val="A21F1F"/>
          <w:sz w:val="18"/>
        </w:rPr>
        <w:t>: 2016: 81 og 2012: 71</w:t>
      </w:r>
    </w:p>
    <w:p>
      <w:pPr>
        <w:spacing w:before="103"/>
        <w:ind w:left="278" w:right="1106" w:firstLine="0"/>
        <w:jc w:val="left"/>
        <w:rPr>
          <w:i/>
          <w:sz w:val="18"/>
        </w:rPr>
      </w:pPr>
      <w:r>
        <w:rPr>
          <w:b/>
          <w:i/>
          <w:color w:val="A21F1F"/>
          <w:sz w:val="18"/>
        </w:rPr>
        <w:t>Note: </w:t>
      </w:r>
      <w:r>
        <w:rPr>
          <w:i/>
          <w:color w:val="A21F1F"/>
          <w:sz w:val="18"/>
        </w:rPr>
        <w:t>Den vægtede betydning af de frie geodata for interne processer er beregnet ved at tildele hver besvarelse en </w:t>
      </w:r>
      <w:r>
        <w:rPr>
          <w:i/>
          <w:color w:val="A21F1F"/>
          <w:sz w:val="18"/>
        </w:rPr>
        <w:t>numerisk værdi og beregne gennemsnittet for besvarelserne. Følgende numeriske værdier er anvendt: Slet ikke: -1, i mindre grad: -0,5, hverken eller: 0, i nogen grad: 0,5 og i høj grad: 1.</w:t>
      </w:r>
    </w:p>
    <w:p>
      <w:pPr>
        <w:pStyle w:val="BodyText"/>
        <w:spacing w:before="11"/>
        <w:rPr>
          <w:i/>
          <w:sz w:val="29"/>
        </w:rPr>
      </w:pPr>
    </w:p>
    <w:p>
      <w:pPr>
        <w:pStyle w:val="BodyText"/>
        <w:spacing w:line="360" w:lineRule="auto"/>
        <w:ind w:left="278" w:right="1092"/>
      </w:pPr>
      <w:r>
        <w:rPr/>
        <w:t>Samlet set indgår de frie geodata i udvikling og produktion af produkter og services i de private virksomheder og er i et vist omfang med til at generere øget omsætning. Geodata spiller også en rolle i forhold til effektivisering af virksomhedernes interne processer, omend i et noget mindre omfang end i selve produktudviklingen. De afledte økonomiske effekter samt den samfundsøkonomiske værdi af de frie geodata, der er genereret i den private sektor, beregnes i henholdsvis kapitel 5 og 6.</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4"/>
        </w:numPr>
        <w:tabs>
          <w:tab w:pos="855" w:val="left" w:leader="none"/>
        </w:tabs>
        <w:spacing w:line="319" w:lineRule="exact" w:before="0" w:after="0"/>
        <w:ind w:left="854" w:right="0" w:hanging="576"/>
        <w:jc w:val="left"/>
        <w:rPr>
          <w:i/>
        </w:rPr>
      </w:pPr>
      <w:bookmarkStart w:name="_bookmark47" w:id="68"/>
      <w:bookmarkEnd w:id="68"/>
      <w:r>
        <w:rPr>
          <w:b w:val="0"/>
          <w:i w:val="0"/>
        </w:rPr>
      </w:r>
      <w:bookmarkStart w:name="_bookmark47" w:id="69"/>
      <w:bookmarkEnd w:id="69"/>
      <w:r>
        <w:rPr>
          <w:i/>
          <w:color w:val="A21F1F"/>
        </w:rPr>
        <w:t>E</w:t>
      </w:r>
      <w:r>
        <w:rPr>
          <w:i/>
          <w:color w:val="A21F1F"/>
        </w:rPr>
        <w:t>ffekterne af frie geodata i</w:t>
      </w:r>
      <w:r>
        <w:rPr>
          <w:i/>
          <w:color w:val="A21F1F"/>
          <w:spacing w:val="-4"/>
        </w:rPr>
        <w:t> </w:t>
      </w:r>
      <w:r>
        <w:rPr>
          <w:i/>
          <w:color w:val="A21F1F"/>
        </w:rPr>
        <w:t>forsyningssektoren</w:t>
      </w:r>
    </w:p>
    <w:p>
      <w:pPr>
        <w:pStyle w:val="BodyText"/>
        <w:spacing w:line="360" w:lineRule="auto" w:before="243"/>
        <w:ind w:left="278" w:right="1007"/>
      </w:pPr>
      <w:r>
        <w:rPr/>
        <w:t>Forsyningsselskaberne er en væsentlig anvendergruppe af de frie geodata, og de anvender fx de frie geodata i deres ledningsregistreringssystemer og i arbejdet med klimasikringstiltag. Forsyningsselskabernes anvendelse af geodata adskiller sig fra øvrige private virksomheder, idet selskaberne ikke skaber kommercielle produkter, der er baseret på geodata, til afsætning på markedet. Forsyningsselskaber anvender udelukkende geodata i deres interne arbejdsprocesser, til markedsføring samt til kunderelaterede ydelser, såsom informationsformidling.</w:t>
      </w:r>
    </w:p>
    <w:p>
      <w:pPr>
        <w:pStyle w:val="BodyText"/>
        <w:spacing w:before="1"/>
        <w:rPr>
          <w:sz w:val="21"/>
        </w:rPr>
      </w:pPr>
    </w:p>
    <w:p>
      <w:pPr>
        <w:pStyle w:val="BodyText"/>
        <w:spacing w:line="360" w:lineRule="auto"/>
        <w:ind w:left="278" w:right="1079"/>
      </w:pPr>
      <w:r>
        <w:rPr/>
        <w:t>Som det gælder for de private virksomheder er anvendelsen af geodata i forsyningsvirksomheder meget bred, og en fuldstændig kortlægning er ikke inden for rammerne af nærværende analyse. I stedet fokuserer vi på at skitsere nogle overordnede tendenser i forsyningsselskabernes anvendelse af de frie geodata. Vi vil samtidig trækker tråde tilbage til før-målingen med henblik på at synliggøre eventuelle udviklingstendenser mellem de to målinger.</w:t>
      </w:r>
    </w:p>
    <w:p>
      <w:pPr>
        <w:pStyle w:val="BodyText"/>
        <w:rPr>
          <w:sz w:val="21"/>
        </w:rPr>
      </w:pPr>
    </w:p>
    <w:p>
      <w:pPr>
        <w:pStyle w:val="Heading3"/>
        <w:numPr>
          <w:ilvl w:val="2"/>
          <w:numId w:val="14"/>
        </w:numPr>
        <w:tabs>
          <w:tab w:pos="999" w:val="left" w:leader="none"/>
        </w:tabs>
        <w:spacing w:line="240" w:lineRule="auto" w:before="0" w:after="0"/>
        <w:ind w:left="998" w:right="0" w:hanging="720"/>
        <w:jc w:val="left"/>
        <w:rPr>
          <w:i/>
        </w:rPr>
      </w:pPr>
      <w:bookmarkStart w:name="_bookmark48" w:id="70"/>
      <w:bookmarkEnd w:id="70"/>
      <w:r>
        <w:rPr>
          <w:i w:val="0"/>
        </w:rPr>
      </w:r>
      <w:bookmarkStart w:name="_bookmark48" w:id="71"/>
      <w:bookmarkEnd w:id="71"/>
      <w:r>
        <w:rPr>
          <w:i/>
          <w:color w:val="A21F1F"/>
        </w:rPr>
        <w:t>A</w:t>
      </w:r>
      <w:r>
        <w:rPr>
          <w:i/>
          <w:color w:val="A21F1F"/>
        </w:rPr>
        <w:t>nvendelse af geodata til produkter og</w:t>
      </w:r>
      <w:r>
        <w:rPr>
          <w:i/>
          <w:color w:val="A21F1F"/>
          <w:spacing w:val="-5"/>
        </w:rPr>
        <w:t> </w:t>
      </w:r>
      <w:r>
        <w:rPr>
          <w:i/>
          <w:color w:val="A21F1F"/>
        </w:rPr>
        <w:t>ydelser</w:t>
      </w:r>
    </w:p>
    <w:p>
      <w:pPr>
        <w:pStyle w:val="BodyText"/>
        <w:spacing w:line="360" w:lineRule="auto" w:before="241"/>
        <w:ind w:left="278" w:right="1137"/>
      </w:pPr>
      <w:r>
        <w:rPr/>
        <w:t>I forsyningsselskaberne bliver de frie geodata fortsat primært anvendt til interne processer og opgaver, og der er ikke sket en udvikling i denne anvendelse siden 2012. Der er sket et fald i anvendelsen af geodata til andre formål, såsom illustrations- og præsentationsformål, jf. </w:t>
      </w:r>
      <w:hyperlink w:history="true" w:anchor="_bookmark49">
        <w:r>
          <w:rPr/>
          <w:t>Figur 24. </w:t>
        </w:r>
      </w:hyperlink>
      <w:r>
        <w:rPr/>
        <w:t>Til gengæld er andelen af forsyningsvirksomheder, der anvender de frie geodata som en komponent i deres ydelser og produkter, fordoblet siden 2012. Det viser, at de frie geodata i dag er mere integreret i forsyningsvirksomhedernes forretning end tidligere.</w:t>
      </w:r>
    </w:p>
    <w:p>
      <w:pPr>
        <w:pStyle w:val="BodyText"/>
        <w:spacing w:before="2"/>
        <w:rPr>
          <w:sz w:val="21"/>
        </w:rPr>
      </w:pPr>
    </w:p>
    <w:p>
      <w:pPr>
        <w:spacing w:before="0"/>
        <w:ind w:left="278" w:right="0" w:firstLine="0"/>
        <w:jc w:val="left"/>
        <w:rPr>
          <w:i/>
          <w:sz w:val="18"/>
        </w:rPr>
      </w:pPr>
      <w:r>
        <w:rPr/>
        <w:pict>
          <v:group style="position:absolute;margin-left:70.525002pt;margin-top:15.847925pt;width:452.75pt;height:216.75pt;mso-position-horizontal-relative:page;mso-position-vertical-relative:paragraph;z-index:4160;mso-wrap-distance-left:0;mso-wrap-distance-right:0" coordorigin="1411,317" coordsize="9055,4335">
            <v:rect style="position:absolute;left:1418;top:324;width:9040;height:4320" filled="true" fillcolor="#f1f1f1" stroked="false">
              <v:fill type="solid"/>
            </v:rect>
            <v:line style="position:absolute" from="6624,544" to="6624,800" stroked="true" strokeweight=".75pt" strokecolor="#d9d9d9">
              <v:stroke dashstyle="solid"/>
            </v:line>
            <v:line style="position:absolute" from="6624,1359" to="6624,1870" stroked="true" strokeweight=".75pt" strokecolor="#d9d9d9">
              <v:stroke dashstyle="solid"/>
            </v:line>
            <v:line style="position:absolute" from="6624,2432" to="6624,2941" stroked="true" strokeweight=".75pt" strokecolor="#d9d9d9">
              <v:stroke dashstyle="solid"/>
            </v:line>
            <v:line style="position:absolute" from="6624,3502" to="6624,3757" stroked="true" strokeweight=".75pt" strokecolor="#d9d9d9">
              <v:stroke dashstyle="solid"/>
            </v:line>
            <v:line style="position:absolute" from="7471,544" to="7471,800" stroked="true" strokeweight=".75pt" strokecolor="#d9d9d9">
              <v:stroke dashstyle="solid"/>
            </v:line>
            <v:line style="position:absolute" from="7471,1359" to="7471,1870" stroked="true" strokeweight=".75pt" strokecolor="#d9d9d9">
              <v:stroke dashstyle="solid"/>
            </v:line>
            <v:line style="position:absolute" from="7471,2432" to="7471,2941" stroked="true" strokeweight=".75pt" strokecolor="#d9d9d9">
              <v:stroke dashstyle="solid"/>
            </v:line>
            <v:line style="position:absolute" from="7471,3222" to="7471,3757" stroked="true" strokeweight=".75pt" strokecolor="#d9d9d9">
              <v:stroke dashstyle="solid"/>
            </v:line>
            <v:line style="position:absolute" from="8321,544" to="8321,1081" stroked="true" strokeweight=".75pt" strokecolor="#d9d9d9">
              <v:stroke dashstyle="solid"/>
            </v:line>
            <v:line style="position:absolute" from="8321,1359" to="8321,1870" stroked="true" strokeweight=".75pt" strokecolor="#d9d9d9">
              <v:stroke dashstyle="solid"/>
            </v:line>
            <v:line style="position:absolute" from="8321,2432" to="8321,2941" stroked="true" strokeweight=".75pt" strokecolor="#d9d9d9">
              <v:stroke dashstyle="solid"/>
            </v:line>
            <v:line style="position:absolute" from="8321,3222" to="8321,3757" stroked="true" strokeweight=".75pt" strokecolor="#d9d9d9">
              <v:stroke dashstyle="solid"/>
            </v:line>
            <v:line style="position:absolute" from="9168,544" to="9168,1081" stroked="true" strokeweight=".75pt" strokecolor="#d9d9d9">
              <v:stroke dashstyle="solid"/>
            </v:line>
            <v:line style="position:absolute" from="9168,1359" to="9168,1870" stroked="true" strokeweight=".75pt" strokecolor="#d9d9d9">
              <v:stroke dashstyle="solid"/>
            </v:line>
            <v:line style="position:absolute" from="9168,2432" to="9168,3757" stroked="true" strokeweight=".75pt" strokecolor="#d9d9d9">
              <v:stroke dashstyle="solid"/>
            </v:line>
            <v:line style="position:absolute" from="10015,544" to="10015,3757" stroked="true" strokeweight=".75pt" strokecolor="#d9d9d9">
              <v:stroke dashstyle="solid"/>
            </v:line>
            <v:rect style="position:absolute;left:5776;top:3221;width:1527;height:281" filled="true" fillcolor="#bd8686" stroked="false">
              <v:fill type="solid"/>
            </v:rect>
            <v:rect style="position:absolute;left:5776;top:2151;width:4069;height:281" filled="true" fillcolor="#bd8686" stroked="false">
              <v:fill type="solid"/>
            </v:rect>
            <v:rect style="position:absolute;left:5776;top:1080;width:3730;height:279" filled="true" fillcolor="#bd8686" stroked="false">
              <v:fill type="solid"/>
            </v:rect>
            <v:rect style="position:absolute;left:5776;top:2940;width:2825;height:281" filled="true" fillcolor="#901b1b" stroked="false">
              <v:fill type="solid"/>
            </v:rect>
            <v:rect style="position:absolute;left:5776;top:1870;width:4061;height:281" filled="true" fillcolor="#901b1b" stroked="false">
              <v:fill type="solid"/>
            </v:rect>
            <v:rect style="position:absolute;left:5776;top:800;width:1942;height:281" filled="true" fillcolor="#901b1b" stroked="false">
              <v:fill type="solid"/>
            </v:rect>
            <v:line style="position:absolute" from="5777,3757" to="5777,544" stroked="true" strokeweight=".75pt" strokecolor="#d9d9d9">
              <v:stroke dashstyle="solid"/>
            </v:line>
            <v:line style="position:absolute" from="5722,3757" to="5777,3757" stroked="true" strokeweight=".75pt" strokecolor="#d9d9d9">
              <v:stroke dashstyle="solid"/>
            </v:line>
            <v:line style="position:absolute" from="5722,2686" to="5777,2686" stroked="true" strokeweight=".75pt" strokecolor="#d9d9d9">
              <v:stroke dashstyle="solid"/>
            </v:line>
            <v:line style="position:absolute" from="5722,1616" to="5777,1616" stroked="true" strokeweight=".75pt" strokecolor="#d9d9d9">
              <v:stroke dashstyle="solid"/>
            </v:line>
            <v:line style="position:absolute" from="5722,544" to="5777,544" stroked="true" strokeweight=".75pt" strokecolor="#d9d9d9">
              <v:stroke dashstyle="solid"/>
            </v:line>
            <v:rect style="position:absolute;left:5387;top:4317;width:93;height:93" filled="true" fillcolor="#901b1b" stroked="false">
              <v:fill type="solid"/>
            </v:rect>
            <v:rect style="position:absolute;left:6038;top:4317;width:93;height:93" filled="true" fillcolor="#bd8686" stroked="false">
              <v:fill type="solid"/>
            </v:rect>
            <v:rect style="position:absolute;left:1418;top:324;width:9040;height:4320" filled="false" stroked="true" strokeweight=".75pt" strokecolor="#d9d9d9">
              <v:stroke dashstyle="solid"/>
            </v:rect>
            <v:shape style="position:absolute;left:5518;top:4257;width:1060;height:205" type="#_x0000_t202" filled="false" stroked="false">
              <v:textbox inset="0,0,0,0">
                <w:txbxContent>
                  <w:p>
                    <w:pPr>
                      <w:tabs>
                        <w:tab w:pos="651" w:val="left" w:leader="none"/>
                      </w:tabs>
                      <w:spacing w:before="0"/>
                      <w:ind w:left="0" w:right="0" w:firstLine="0"/>
                      <w:jc w:val="left"/>
                      <w:rPr>
                        <w:sz w:val="18"/>
                      </w:rPr>
                    </w:pPr>
                    <w:r>
                      <w:rPr>
                        <w:color w:val="585858"/>
                        <w:sz w:val="18"/>
                      </w:rPr>
                      <w:t>2016</w:t>
                      <w:tab/>
                      <w:t>2012</w:t>
                    </w:r>
                  </w:p>
                </w:txbxContent>
              </v:textbox>
              <w10:wrap type="none"/>
            </v:shape>
            <v:shape style="position:absolute;left:9794;top:3869;width:46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shape style="position:absolute;left:8986;top:3869;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8141;top:3869;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293;top:3869;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6446;top:3869;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5648;top:386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2911;width:4089;height:614" type="#_x0000_t202" filled="false" stroked="false">
              <v:textbox inset="0,0,0,0">
                <w:txbxContent>
                  <w:p>
                    <w:pPr>
                      <w:spacing w:before="0"/>
                      <w:ind w:left="-1" w:right="18" w:hanging="2"/>
                      <w:jc w:val="center"/>
                      <w:rPr>
                        <w:sz w:val="18"/>
                      </w:rPr>
                    </w:pPr>
                    <w:r>
                      <w:rPr>
                        <w:color w:val="585858"/>
                        <w:sz w:val="18"/>
                      </w:rPr>
                      <w:t>Virksomheden tilbyder produkter eller ydelser, hvori de frie geodata indgår, eller hvor de frie geodata anvendes som en del af produktet/ydelsen.</w:t>
                    </w:r>
                  </w:p>
                </w:txbxContent>
              </v:textbox>
              <w10:wrap type="none"/>
            </v:shape>
            <v:shape style="position:absolute;left:1719;top:1839;width:3919;height:614" type="#_x0000_t202" filled="false" stroked="false">
              <v:textbox inset="0,0,0,0">
                <w:txbxContent>
                  <w:p>
                    <w:pPr>
                      <w:spacing w:before="0"/>
                      <w:ind w:left="0" w:right="18" w:firstLine="0"/>
                      <w:jc w:val="center"/>
                      <w:rPr>
                        <w:sz w:val="18"/>
                      </w:rPr>
                    </w:pPr>
                    <w:r>
                      <w:rPr>
                        <w:color w:val="585858"/>
                        <w:sz w:val="18"/>
                      </w:rPr>
                      <w:t>Virksomheden anvender de frie geodata i interne processer og opgaver (fx analyse-, planlægnings-, kontrol- og tilsynsopgaver).</w:t>
                    </w:r>
                  </w:p>
                </w:txbxContent>
              </v:textbox>
              <w10:wrap type="none"/>
            </v:shape>
            <v:shape style="position:absolute;left:1738;top:871;width:3900;height:409" type="#_x0000_t202" filled="false" stroked="false">
              <v:textbox inset="0,0,0,0">
                <w:txbxContent>
                  <w:p>
                    <w:pPr>
                      <w:spacing w:before="0"/>
                      <w:ind w:left="119" w:right="-1" w:hanging="120"/>
                      <w:jc w:val="left"/>
                      <w:rPr>
                        <w:sz w:val="18"/>
                      </w:rPr>
                    </w:pPr>
                    <w:r>
                      <w:rPr>
                        <w:color w:val="585858"/>
                        <w:sz w:val="18"/>
                      </w:rPr>
                      <w:t>Virksomheden anvender de frie geodata til andre formål (fx illustrationer eller præsentationer).</w:t>
                    </w:r>
                  </w:p>
                </w:txbxContent>
              </v:textbox>
              <w10:wrap type="none"/>
            </v:shape>
            <w10:wrap type="topAndBottom"/>
          </v:group>
        </w:pict>
      </w:r>
      <w:bookmarkStart w:name="_bookmark49" w:id="72"/>
      <w:bookmarkEnd w:id="72"/>
      <w:r>
        <w:rPr/>
      </w:r>
      <w:r>
        <w:rPr>
          <w:i/>
          <w:color w:val="A21F1F"/>
          <w:sz w:val="18"/>
        </w:rPr>
        <w:t>Figur 24: Forsyningsselskaber fordelt på de opgaver, hvortil de anvender geodata, henholdsvis i 2012 og i 2016</w:t>
      </w:r>
    </w:p>
    <w:p>
      <w:pPr>
        <w:spacing w:before="167"/>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0"/>
        <w:ind w:left="278" w:right="0" w:firstLine="0"/>
        <w:jc w:val="left"/>
        <w:rPr>
          <w:i/>
          <w:sz w:val="18"/>
        </w:rPr>
      </w:pPr>
      <w:r>
        <w:rPr>
          <w:b/>
          <w:i/>
          <w:color w:val="A21F1F"/>
          <w:sz w:val="18"/>
        </w:rPr>
        <w:t>N</w:t>
      </w:r>
      <w:r>
        <w:rPr>
          <w:i/>
          <w:color w:val="A21F1F"/>
          <w:sz w:val="18"/>
        </w:rPr>
        <w:t>: 2016: 25 og 2012: 25</w:t>
      </w:r>
    </w:p>
    <w:p>
      <w:pPr>
        <w:spacing w:before="122"/>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Brugen af geodata til interne arbejdsprocesser kan fx dække over, at geodata anvendes til tilsyns- og</w:t>
      </w:r>
    </w:p>
    <w:p>
      <w:pPr>
        <w:pStyle w:val="BodyText"/>
        <w:spacing w:line="360" w:lineRule="auto" w:before="114"/>
        <w:ind w:left="278" w:right="2212"/>
      </w:pPr>
      <w:r>
        <w:rPr/>
        <w:t>kontrolopgaver, mens anvendelse af geodata i produkter og ydelser kan forekomme, når forsyningsselskaberne anvender geodata til klimasikringsopgaver. En af de gennemførte case- undersøgelser har netop fokus på de frie geodatas betydning for klimasikring, jf. kapitel 7.</w:t>
      </w:r>
    </w:p>
    <w:p>
      <w:pPr>
        <w:pStyle w:val="BodyText"/>
        <w:spacing w:before="1"/>
        <w:rPr>
          <w:sz w:val="21"/>
        </w:rPr>
      </w:pPr>
    </w:p>
    <w:p>
      <w:pPr>
        <w:pStyle w:val="BodyText"/>
        <w:spacing w:line="360" w:lineRule="auto"/>
        <w:ind w:left="278" w:right="1074"/>
      </w:pPr>
      <w:hyperlink w:history="true" w:anchor="_bookmark50">
        <w:r>
          <w:rPr/>
          <w:t>Figur 25 </w:t>
        </w:r>
      </w:hyperlink>
      <w:r>
        <w:rPr/>
        <w:t>nedenfor uddyber forsyningsselskabernes anvendelse af geodata til produkter og ydelser. Det fremgår af figuren, at der siden 2012 har været et væsentligt fald i andelen af forsyningsselskaber, der laver kort- og landopmåling. Ligesom tilfældet var for de øvrige private virksomheder, kan årsagen hertil være, at de frie geodata har tilstrækkelig tilgængelighed og kvalitet til, at forsyningsselskaberne ikke selv behøver at bruge ressourcer på landmålinger og flyfotografering. Siden 2012 er anvendelsen af de frie geodata til udvikling af software og nye produkter steget væsentligt for forsyningsselskaberne. Det må antages, at der her er tale om udvikling af løsninger, der enten anvendes internt i selskabet, fx til ledningsregistrering, eller er eksternt rettede mod kunder eller borgere, fx i form af web-GIS på selskabets hjemmeside.</w:t>
      </w:r>
    </w:p>
    <w:p>
      <w:pPr>
        <w:pStyle w:val="BodyText"/>
        <w:spacing w:line="360" w:lineRule="auto" w:before="2"/>
        <w:ind w:left="278" w:right="1581"/>
      </w:pPr>
      <w:r>
        <w:rPr/>
        <w:t>Ligeledes er det værd at nævne, at en stor andel af forsyningsselskaberne har svaret, at de anvender geodata til andre formål end dem, der er angivet i spørgeskemaet, og mange selskaber peger på, at de anvender geodata i forbindelse med graveforespørgsler og Ledningsejerregistret (LER).</w:t>
      </w:r>
    </w:p>
    <w:p>
      <w:pPr>
        <w:pStyle w:val="BodyText"/>
        <w:rPr>
          <w:sz w:val="21"/>
        </w:rPr>
      </w:pPr>
    </w:p>
    <w:p>
      <w:pPr>
        <w:spacing w:before="1"/>
        <w:ind w:left="278" w:right="1356" w:firstLine="0"/>
        <w:jc w:val="left"/>
        <w:rPr>
          <w:i/>
          <w:sz w:val="18"/>
        </w:rPr>
      </w:pPr>
      <w:r>
        <w:rPr/>
        <w:pict>
          <v:group style="position:absolute;margin-left:70.525002pt;margin-top:26.117928pt;width:474.1pt;height:216.2pt;mso-position-horizontal-relative:page;mso-position-vertical-relative:paragraph;z-index:4232;mso-wrap-distance-left:0;mso-wrap-distance-right:0" coordorigin="1411,522" coordsize="9482,4324">
            <v:rect style="position:absolute;left:1418;top:529;width:9467;height:4309" filled="true" fillcolor="#f1f1f1" stroked="false">
              <v:fill type="solid"/>
            </v:rect>
            <v:line style="position:absolute" from="5988,750" to="5988,859" stroked="true" strokeweight=".75pt" strokecolor="#d9d9d9">
              <v:stroke dashstyle="solid"/>
            </v:line>
            <v:line style="position:absolute" from="5988,1099" to="5988,1317" stroked="true" strokeweight=".75pt" strokecolor="#d9d9d9">
              <v:stroke dashstyle="solid"/>
            </v:line>
            <v:line style="position:absolute" from="5988,1555" to="5988,1773" stroked="true" strokeweight=".75pt" strokecolor="#d9d9d9">
              <v:stroke dashstyle="solid"/>
            </v:line>
            <v:line style="position:absolute" from="5988,2013" to="5988,2231" stroked="true" strokeweight=".75pt" strokecolor="#d9d9d9">
              <v:stroke dashstyle="solid"/>
            </v:line>
            <v:line style="position:absolute" from="5988,2351" to="5988,2687" stroked="true" strokeweight=".75pt" strokecolor="#d9d9d9">
              <v:stroke dashstyle="solid"/>
            </v:line>
            <v:line style="position:absolute" from="5988,2927" to="5988,3146" stroked="true" strokeweight=".75pt" strokecolor="#d9d9d9">
              <v:stroke dashstyle="solid"/>
            </v:line>
            <v:line style="position:absolute" from="5988,3386" to="5988,3722" stroked="true" strokeweight=".75pt" strokecolor="#d9d9d9">
              <v:stroke dashstyle="solid"/>
            </v:line>
            <v:line style="position:absolute" from="5988,3842" to="5988,3952" stroked="true" strokeweight=".75pt" strokecolor="#d9d9d9">
              <v:stroke dashstyle="solid"/>
            </v:line>
            <v:line style="position:absolute" from="6552,750" to="6552,859" stroked="true" strokeweight=".75pt" strokecolor="#d9d9d9">
              <v:stroke dashstyle="solid"/>
            </v:line>
            <v:line style="position:absolute" from="6552,1099" to="6552,1317" stroked="true" strokeweight=".75pt" strokecolor="#d9d9d9">
              <v:stroke dashstyle="solid"/>
            </v:line>
            <v:line style="position:absolute" from="6552,1555" to="6552,2231" stroked="true" strokeweight=".75pt" strokecolor="#d9d9d9">
              <v:stroke dashstyle="solid"/>
            </v:line>
            <v:line style="position:absolute" from="6552,2351" to="6552,2687" stroked="true" strokeweight=".75pt" strokecolor="#d9d9d9">
              <v:stroke dashstyle="solid"/>
            </v:line>
            <v:line style="position:absolute" from="6552,2927" to="6552,3146" stroked="true" strokeweight=".75pt" strokecolor="#d9d9d9">
              <v:stroke dashstyle="solid"/>
            </v:line>
            <v:line style="position:absolute" from="6552,3386" to="6552,3722" stroked="true" strokeweight=".75pt" strokecolor="#d9d9d9">
              <v:stroke dashstyle="solid"/>
            </v:line>
            <v:line style="position:absolute" from="6552,3842" to="6552,3952" stroked="true" strokeweight=".75pt" strokecolor="#d9d9d9">
              <v:stroke dashstyle="solid"/>
            </v:line>
            <v:line style="position:absolute" from="7114,750" to="7114,859" stroked="true" strokeweight=".75pt" strokecolor="#d9d9d9">
              <v:stroke dashstyle="solid"/>
            </v:line>
            <v:line style="position:absolute" from="7114,979" to="7114,1317" stroked="true" strokeweight=".75pt" strokecolor="#d9d9d9">
              <v:stroke dashstyle="solid"/>
            </v:line>
            <v:line style="position:absolute" from="7114,1555" to="7114,2687" stroked="true" strokeweight=".75pt" strokecolor="#d9d9d9">
              <v:stroke dashstyle="solid"/>
            </v:line>
            <v:line style="position:absolute" from="7114,2927" to="7114,3146" stroked="true" strokeweight=".75pt" strokecolor="#d9d9d9">
              <v:stroke dashstyle="solid"/>
            </v:line>
            <v:line style="position:absolute" from="7114,3386" to="7114,3952" stroked="true" strokeweight=".75pt" strokecolor="#d9d9d9">
              <v:stroke dashstyle="solid"/>
            </v:line>
            <v:line style="position:absolute" from="7678,750" to="7678,859" stroked="true" strokeweight=".75pt" strokecolor="#d9d9d9">
              <v:stroke dashstyle="solid"/>
            </v:line>
            <v:line style="position:absolute" from="7678,979" to="7678,1317" stroked="true" strokeweight=".75pt" strokecolor="#d9d9d9">
              <v:stroke dashstyle="solid"/>
            </v:line>
            <v:line style="position:absolute" from="7678,1437" to="7678,2687" stroked="true" strokeweight=".75pt" strokecolor="#d9d9d9">
              <v:stroke dashstyle="solid"/>
            </v:line>
            <v:line style="position:absolute" from="7678,2807" to="7678,3146" stroked="true" strokeweight=".75pt" strokecolor="#d9d9d9">
              <v:stroke dashstyle="solid"/>
            </v:line>
            <v:line style="position:absolute" from="7678,3266" to="7678,3952" stroked="true" strokeweight=".75pt" strokecolor="#d9d9d9">
              <v:stroke dashstyle="solid"/>
            </v:line>
            <v:line style="position:absolute" from="8242,750" to="8242,859" stroked="true" strokeweight=".75pt" strokecolor="#d9d9d9">
              <v:stroke dashstyle="solid"/>
            </v:line>
            <v:line style="position:absolute" from="8242,979" to="8242,3952" stroked="true" strokeweight=".75pt" strokecolor="#d9d9d9">
              <v:stroke dashstyle="solid"/>
            </v:line>
            <v:line style="position:absolute" from="8803,750" to="8803,859" stroked="true" strokeweight=".75pt" strokecolor="#d9d9d9">
              <v:stroke dashstyle="solid"/>
            </v:line>
            <v:line style="position:absolute" from="8803,979" to="8803,3952" stroked="true" strokeweight=".75pt" strokecolor="#d9d9d9">
              <v:stroke dashstyle="solid"/>
            </v:line>
            <v:line style="position:absolute" from="9367,750" to="9367,859" stroked="true" strokeweight=".75pt" strokecolor="#d9d9d9">
              <v:stroke dashstyle="solid"/>
            </v:line>
            <v:line style="position:absolute" from="9367,979" to="9367,3952" stroked="true" strokeweight=".75pt" strokecolor="#d9d9d9">
              <v:stroke dashstyle="solid"/>
            </v:line>
            <v:line style="position:absolute" from="9929,750" to="9929,3952" stroked="true" strokeweight=".75pt" strokecolor="#d9d9d9">
              <v:stroke dashstyle="solid"/>
            </v:line>
            <v:line style="position:absolute" from="10493,750" to="10493,3952" stroked="true" strokeweight=".75pt" strokecolor="#d9d9d9">
              <v:stroke dashstyle="solid"/>
            </v:line>
            <v:line style="position:absolute" from="5425,3782" to="6778,3782" stroked="true" strokeweight="6pt" strokecolor="#bd8686">
              <v:stroke dashstyle="solid"/>
            </v:line>
            <v:line style="position:absolute" from="5425,3326" to="7226,3326" stroked="true" strokeweight="6pt" strokecolor="#bd8686">
              <v:stroke dashstyle="solid"/>
            </v:line>
            <v:line style="position:absolute" from="5425,2867" to="7226,2867" stroked="true" strokeweight="6pt" strokecolor="#bd8686">
              <v:stroke dashstyle="solid"/>
            </v:line>
            <v:line style="position:absolute" from="5425,1953" to="6326,1953" stroked="true" strokeweight="6pt" strokecolor="#bd8686">
              <v:stroke dashstyle="solid"/>
            </v:line>
            <v:line style="position:absolute" from="5425,1496" to="7226,1496" stroked="true" strokeweight="5.88pt" strokecolor="#bd8686">
              <v:stroke dashstyle="solid"/>
            </v:line>
            <v:line style="position:absolute" from="5425,1039" to="6778,1039" stroked="true" strokeweight="6pt" strokecolor="#bd8686">
              <v:stroke dashstyle="solid"/>
            </v:line>
            <v:line style="position:absolute" from="5425,3663" to="5827,3663" stroked="true" strokeweight="5.88pt" strokecolor="#901b1b">
              <v:stroke dashstyle="solid"/>
            </v:line>
            <v:line style="position:absolute" from="5425,3206" to="7838,3206" stroked="true" strokeweight="6pt" strokecolor="#901b1b">
              <v:stroke dashstyle="solid"/>
            </v:line>
            <v:line style="position:absolute" from="5425,2747" to="7838,2747" stroked="true" strokeweight="6pt" strokecolor="#901b1b">
              <v:stroke dashstyle="solid"/>
            </v:line>
            <v:line style="position:absolute" from="5425,2291" to="7034,2291" stroked="true" strokeweight="6pt" strokecolor="#901b1b">
              <v:stroke dashstyle="solid"/>
            </v:line>
            <v:line style="position:absolute" from="5425,1833" to="6230,1833" stroked="true" strokeweight="6pt" strokecolor="#901b1b">
              <v:stroke dashstyle="solid"/>
            </v:line>
            <v:line style="position:absolute" from="5425,1377" to="7838,1377" stroked="true" strokeweight="6pt" strokecolor="#901b1b">
              <v:stroke dashstyle="solid"/>
            </v:line>
            <v:line style="position:absolute" from="5425,919" to="9850,919" stroked="true" strokeweight="6pt" strokecolor="#901b1b">
              <v:stroke dashstyle="solid"/>
            </v:line>
            <v:line style="position:absolute" from="5425,3952" to="5425,750" stroked="true" strokeweight=".75pt" strokecolor="#d9d9d9">
              <v:stroke dashstyle="solid"/>
            </v:line>
            <v:line style="position:absolute" from="5370,3952" to="5425,3952" stroked="true" strokeweight=".75pt" strokecolor="#d9d9d9">
              <v:stroke dashstyle="solid"/>
            </v:line>
            <v:line style="position:absolute" from="5370,3494" to="5425,3494" stroked="true" strokeweight=".75pt" strokecolor="#d9d9d9">
              <v:stroke dashstyle="solid"/>
            </v:line>
            <v:line style="position:absolute" from="5370,3038" to="5425,3038" stroked="true" strokeweight=".75pt" strokecolor="#d9d9d9">
              <v:stroke dashstyle="solid"/>
            </v:line>
            <v:line style="position:absolute" from="5370,2579" to="5425,2579" stroked="true" strokeweight=".75pt" strokecolor="#d9d9d9">
              <v:stroke dashstyle="solid"/>
            </v:line>
            <v:line style="position:absolute" from="5370,2121" to="5425,2121" stroked="true" strokeweight=".75pt" strokecolor="#d9d9d9">
              <v:stroke dashstyle="solid"/>
            </v:line>
            <v:line style="position:absolute" from="5370,1665" to="5425,1665" stroked="true" strokeweight=".75pt" strokecolor="#d9d9d9">
              <v:stroke dashstyle="solid"/>
            </v:line>
            <v:line style="position:absolute" from="5370,1207" to="5425,1207" stroked="true" strokeweight=".75pt" strokecolor="#d9d9d9">
              <v:stroke dashstyle="solid"/>
            </v:line>
            <v:line style="position:absolute" from="5370,750" to="5425,750" stroked="true" strokeweight=".75pt" strokecolor="#d9d9d9">
              <v:stroke dashstyle="solid"/>
            </v:line>
            <v:rect style="position:absolute;left:5600;top:4511;width:93;height:93" filled="true" fillcolor="#901b1b" stroked="false">
              <v:fill type="solid"/>
            </v:rect>
            <v:rect style="position:absolute;left:6251;top:4511;width:93;height:93" filled="true" fillcolor="#bd8686" stroked="false">
              <v:fill type="solid"/>
            </v:rect>
            <v:shape style="position:absolute;left:1418;top:529;width:9467;height:4309" type="#_x0000_t202" filled="false" stroked="true" strokeweight=".75pt" strokecolor="#d9d9d9">
              <v:textbox inset="0,0,0,0">
                <w:txbxContent>
                  <w:p>
                    <w:pPr>
                      <w:spacing w:line="240" w:lineRule="auto" w:before="6"/>
                      <w:rPr>
                        <w:i/>
                        <w:sz w:val="16"/>
                      </w:rPr>
                    </w:pPr>
                  </w:p>
                  <w:p>
                    <w:pPr>
                      <w:spacing w:line="350" w:lineRule="atLeast" w:before="1"/>
                      <w:ind w:left="139" w:right="5588" w:firstLine="3213"/>
                      <w:jc w:val="left"/>
                      <w:rPr>
                        <w:sz w:val="18"/>
                      </w:rPr>
                    </w:pPr>
                    <w:r>
                      <w:rPr>
                        <w:color w:val="585858"/>
                        <w:sz w:val="18"/>
                      </w:rPr>
                      <w:t>Andre Udvikling og/eller distribution af produkter og</w:t>
                    </w:r>
                  </w:p>
                  <w:p>
                    <w:pPr>
                      <w:spacing w:before="5"/>
                      <w:ind w:left="811" w:right="0" w:firstLine="0"/>
                      <w:jc w:val="left"/>
                      <w:rPr>
                        <w:sz w:val="18"/>
                      </w:rPr>
                    </w:pPr>
                    <w:r>
                      <w:rPr>
                        <w:color w:val="585858"/>
                        <w:sz w:val="18"/>
                      </w:rPr>
                      <w:t>tjenester med brug af geodata</w:t>
                    </w:r>
                  </w:p>
                  <w:p>
                    <w:pPr>
                      <w:spacing w:line="537" w:lineRule="auto" w:before="151"/>
                      <w:ind w:left="122" w:right="5600" w:firstLine="2808"/>
                      <w:jc w:val="left"/>
                      <w:rPr>
                        <w:sz w:val="18"/>
                      </w:rPr>
                    </w:pPr>
                    <w:r>
                      <w:rPr>
                        <w:color w:val="585858"/>
                        <w:spacing w:val="-1"/>
                        <w:sz w:val="18"/>
                      </w:rPr>
                      <w:t>Rådgivning </w:t>
                    </w:r>
                    <w:r>
                      <w:rPr>
                        <w:color w:val="585858"/>
                        <w:sz w:val="18"/>
                      </w:rPr>
                      <w:t>Udvikling og/eller distribution af</w:t>
                    </w:r>
                    <w:r>
                      <w:rPr>
                        <w:color w:val="585858"/>
                        <w:spacing w:val="-18"/>
                        <w:sz w:val="18"/>
                      </w:rPr>
                      <w:t> </w:t>
                    </w:r>
                    <w:r>
                      <w:rPr>
                        <w:color w:val="585858"/>
                        <w:sz w:val="18"/>
                      </w:rPr>
                      <w:t>GIS-software</w:t>
                    </w:r>
                  </w:p>
                  <w:p>
                    <w:pPr>
                      <w:spacing w:line="537" w:lineRule="auto" w:before="0"/>
                      <w:ind w:left="1029" w:right="5589" w:firstLine="1346"/>
                      <w:jc w:val="left"/>
                      <w:rPr>
                        <w:sz w:val="18"/>
                      </w:rPr>
                    </w:pPr>
                    <w:r>
                      <w:rPr>
                        <w:color w:val="585858"/>
                        <w:sz w:val="18"/>
                      </w:rPr>
                      <w:t>Produktion af kort Behandling og forædling af</w:t>
                    </w:r>
                    <w:r>
                      <w:rPr>
                        <w:color w:val="585858"/>
                        <w:spacing w:val="-12"/>
                        <w:sz w:val="18"/>
                      </w:rPr>
                      <w:t> </w:t>
                    </w:r>
                    <w:r>
                      <w:rPr>
                        <w:color w:val="585858"/>
                        <w:sz w:val="18"/>
                      </w:rPr>
                      <w:t>geodata</w:t>
                    </w:r>
                  </w:p>
                  <w:p>
                    <w:pPr>
                      <w:spacing w:line="203" w:lineRule="exact" w:before="0"/>
                      <w:ind w:left="523" w:right="0" w:firstLine="0"/>
                      <w:jc w:val="left"/>
                      <w:rPr>
                        <w:sz w:val="18"/>
                      </w:rPr>
                    </w:pPr>
                    <w:r>
                      <w:rPr>
                        <w:color w:val="585858"/>
                        <w:sz w:val="18"/>
                      </w:rPr>
                      <w:t>Kort- og landmåling samt</w:t>
                    </w:r>
                    <w:r>
                      <w:rPr>
                        <w:color w:val="585858"/>
                        <w:spacing w:val="-18"/>
                        <w:sz w:val="18"/>
                      </w:rPr>
                      <w:t> </w:t>
                    </w:r>
                    <w:r>
                      <w:rPr>
                        <w:color w:val="585858"/>
                        <w:sz w:val="18"/>
                      </w:rPr>
                      <w:t>flyfotografering</w:t>
                    </w:r>
                  </w:p>
                  <w:p>
                    <w:pPr>
                      <w:spacing w:line="240" w:lineRule="auto" w:before="2"/>
                      <w:rPr>
                        <w:i/>
                        <w:sz w:val="21"/>
                      </w:rPr>
                    </w:pPr>
                  </w:p>
                  <w:p>
                    <w:pPr>
                      <w:tabs>
                        <w:tab w:pos="4442" w:val="left" w:leader="none"/>
                        <w:tab w:pos="4959" w:val="left" w:leader="none"/>
                        <w:tab w:pos="5530" w:val="left" w:leader="none"/>
                        <w:tab w:pos="6074" w:val="left" w:leader="none"/>
                        <w:tab w:pos="6645" w:val="left" w:leader="none"/>
                        <w:tab w:pos="7201" w:val="left" w:leader="none"/>
                        <w:tab w:pos="7772" w:val="left" w:leader="none"/>
                        <w:tab w:pos="8326" w:val="left" w:leader="none"/>
                        <w:tab w:pos="8897" w:val="left" w:leader="none"/>
                      </w:tabs>
                      <w:spacing w:before="0"/>
                      <w:ind w:left="3872" w:right="0" w:firstLine="0"/>
                      <w:jc w:val="left"/>
                      <w:rPr>
                        <w:sz w:val="18"/>
                      </w:rPr>
                    </w:pPr>
                    <w:r>
                      <w:rPr>
                        <w:color w:val="585858"/>
                        <w:sz w:val="18"/>
                      </w:rPr>
                      <w:t>0%</w:t>
                      <w:tab/>
                      <w:t>5%</w:t>
                      <w:tab/>
                      <w:t>10%</w:t>
                      <w:tab/>
                      <w:t>15%</w:t>
                      <w:tab/>
                      <w:t>20%</w:t>
                      <w:tab/>
                      <w:t>25%</w:t>
                      <w:tab/>
                      <w:t>30%</w:t>
                      <w:tab/>
                      <w:t>35%</w:t>
                      <w:tab/>
                      <w:t>40%</w:t>
                      <w:tab/>
                      <w:t>45%</w:t>
                    </w:r>
                  </w:p>
                  <w:p>
                    <w:pPr>
                      <w:spacing w:line="240" w:lineRule="auto" w:before="2"/>
                      <w:rPr>
                        <w:i/>
                        <w:sz w:val="16"/>
                      </w:rPr>
                    </w:pPr>
                  </w:p>
                  <w:p>
                    <w:pPr>
                      <w:tabs>
                        <w:tab w:pos="851" w:val="left" w:leader="none"/>
                      </w:tabs>
                      <w:spacing w:before="0"/>
                      <w:ind w:left="200" w:right="0" w:firstLine="0"/>
                      <w:jc w:val="center"/>
                      <w:rPr>
                        <w:sz w:val="18"/>
                      </w:rPr>
                    </w:pPr>
                    <w:r>
                      <w:rPr>
                        <w:color w:val="585858"/>
                        <w:sz w:val="18"/>
                      </w:rPr>
                      <w:t>2016</w:t>
                      <w:tab/>
                      <w:t>2012</w:t>
                    </w:r>
                  </w:p>
                </w:txbxContent>
              </v:textbox>
              <v:stroke dashstyle="solid"/>
              <w10:wrap type="none"/>
            </v:shape>
            <w10:wrap type="topAndBottom"/>
          </v:group>
        </w:pict>
      </w:r>
      <w:bookmarkStart w:name="_bookmark50" w:id="73"/>
      <w:bookmarkEnd w:id="73"/>
      <w:r>
        <w:rPr/>
      </w:r>
      <w:r>
        <w:rPr>
          <w:i/>
          <w:color w:val="A21F1F"/>
          <w:sz w:val="18"/>
        </w:rPr>
        <w:t>Figur 25: Forsyningsselskaber fordelt på georelaterede produkter og ydelser, hvori geodata indgik, henholdsvis i </w:t>
      </w:r>
      <w:r>
        <w:rPr>
          <w:i/>
          <w:color w:val="A21F1F"/>
          <w:sz w:val="18"/>
        </w:rPr>
        <w:t>2012 og i 2016</w:t>
      </w:r>
    </w:p>
    <w:p>
      <w:pPr>
        <w:spacing w:before="177"/>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0"/>
        <w:ind w:left="278" w:right="0" w:firstLine="0"/>
        <w:jc w:val="left"/>
        <w:rPr>
          <w:i/>
          <w:sz w:val="18"/>
        </w:rPr>
      </w:pPr>
      <w:r>
        <w:rPr>
          <w:b/>
          <w:i/>
          <w:color w:val="A21F1F"/>
          <w:sz w:val="18"/>
        </w:rPr>
        <w:t>N</w:t>
      </w:r>
      <w:r>
        <w:rPr>
          <w:i/>
          <w:color w:val="A21F1F"/>
          <w:sz w:val="18"/>
        </w:rPr>
        <w:t>: 2016: 28 og 2012: 25</w:t>
      </w:r>
    </w:p>
    <w:p>
      <w:pPr>
        <w:spacing w:before="122"/>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Forsyningsselskabernes georelaterede produkter og ydelser rammer både den offentlige og den private</w:t>
      </w:r>
    </w:p>
    <w:p>
      <w:pPr>
        <w:pStyle w:val="BodyText"/>
        <w:spacing w:line="360" w:lineRule="auto" w:before="114"/>
        <w:ind w:left="278" w:right="1019"/>
      </w:pPr>
      <w:r>
        <w:rPr/>
        <w:t>sektor. Siden 2012 er der dog sket et fald i andelen af forsyningsselskaber, der angiver, at de afsætter deres produkter eller ydelser til offentlige myndigheder, jf. </w:t>
      </w:r>
      <w:hyperlink w:history="true" w:anchor="_bookmark51">
        <w:r>
          <w:rPr/>
          <w:t>Figur 26, </w:t>
        </w:r>
      </w:hyperlink>
      <w:r>
        <w:rPr/>
        <w:t>mens andelen af private virksomhedskunder er vokset siden 2012. En mulig forklaring herpå er, at forsyningsselskaberne i højere grad end tidligere anvender de frie geodata i deres samarbejdsrelationer med private virksomheder, fx entreprenører.</w:t>
      </w:r>
    </w:p>
    <w:p>
      <w:pPr>
        <w:pStyle w:val="BodyText"/>
        <w:rPr>
          <w:sz w:val="21"/>
        </w:rPr>
      </w:pPr>
    </w:p>
    <w:p>
      <w:pPr>
        <w:spacing w:before="0"/>
        <w:ind w:left="278" w:right="0" w:firstLine="0"/>
        <w:jc w:val="left"/>
        <w:rPr>
          <w:i/>
          <w:sz w:val="18"/>
        </w:rPr>
      </w:pPr>
      <w:r>
        <w:rPr/>
        <w:pict>
          <v:group style="position:absolute;margin-left:70.525002pt;margin-top:15.957915pt;width:474.1pt;height:214.5pt;mso-position-horizontal-relative:page;mso-position-vertical-relative:paragraph;z-index:4304;mso-wrap-distance-left:0;mso-wrap-distance-right:0" coordorigin="1411,319" coordsize="9482,4290">
            <v:rect style="position:absolute;left:1418;top:326;width:9467;height:4275" filled="true" fillcolor="#f1f1f1" stroked="false">
              <v:fill type="solid"/>
            </v:rect>
            <v:line style="position:absolute" from="5690,547" to="5690,810" stroked="true" strokeweight=".75pt" strokecolor="#d9d9d9">
              <v:stroke dashstyle="solid"/>
            </v:line>
            <v:line style="position:absolute" from="5690,949" to="5690,1338" stroked="true" strokeweight=".75pt" strokecolor="#d9d9d9">
              <v:stroke dashstyle="solid"/>
            </v:line>
            <v:line style="position:absolute" from="5690,1477" to="5690,1729" stroked="true" strokeweight=".75pt" strokecolor="#d9d9d9">
              <v:stroke dashstyle="solid"/>
            </v:line>
            <v:line style="position:absolute" from="5690,2005" to="5690,2257" stroked="true" strokeweight=".75pt" strokecolor="#d9d9d9">
              <v:stroke dashstyle="solid"/>
            </v:line>
            <v:line style="position:absolute" from="5690,2533" to="5690,2785" stroked="true" strokeweight=".75pt" strokecolor="#d9d9d9">
              <v:stroke dashstyle="solid"/>
            </v:line>
            <v:line style="position:absolute" from="5690,3061" to="5690,3313" stroked="true" strokeweight=".75pt" strokecolor="#d9d9d9">
              <v:stroke dashstyle="solid"/>
            </v:line>
            <v:line style="position:absolute" from="5690,3589" to="5690,3714" stroked="true" strokeweight=".75pt" strokecolor="#d9d9d9">
              <v:stroke dashstyle="solid"/>
            </v:line>
            <v:line style="position:absolute" from="6223,547" to="6223,810" stroked="true" strokeweight=".75pt" strokecolor="#d9d9d9">
              <v:stroke dashstyle="solid"/>
            </v:line>
            <v:line style="position:absolute" from="6223,949" to="6223,1866" stroked="true" strokeweight=".75pt" strokecolor="#d9d9d9">
              <v:stroke dashstyle="solid"/>
            </v:line>
            <v:line style="position:absolute" from="6223,2005" to="6223,2257" stroked="true" strokeweight=".75pt" strokecolor="#d9d9d9">
              <v:stroke dashstyle="solid"/>
            </v:line>
            <v:line style="position:absolute" from="6223,2533" to="6223,2785" stroked="true" strokeweight=".75pt" strokecolor="#d9d9d9">
              <v:stroke dashstyle="solid"/>
            </v:line>
            <v:line style="position:absolute" from="6223,3061" to="6223,3313" stroked="true" strokeweight=".75pt" strokecolor="#d9d9d9">
              <v:stroke dashstyle="solid"/>
            </v:line>
            <v:line style="position:absolute" from="6223,3589" to="6223,3714" stroked="true" strokeweight=".75pt" strokecolor="#d9d9d9">
              <v:stroke dashstyle="solid"/>
            </v:line>
            <v:line style="position:absolute" from="6756,547" to="6756,1866" stroked="true" strokeweight=".75pt" strokecolor="#d9d9d9">
              <v:stroke dashstyle="solid"/>
            </v:line>
            <v:line style="position:absolute" from="6756,2005" to="6756,2257" stroked="true" strokeweight=".75pt" strokecolor="#d9d9d9">
              <v:stroke dashstyle="solid"/>
            </v:line>
            <v:line style="position:absolute" from="6756,2533" to="6756,2785" stroked="true" strokeweight=".75pt" strokecolor="#d9d9d9">
              <v:stroke dashstyle="solid"/>
            </v:line>
            <v:line style="position:absolute" from="6756,3061" to="6756,3313" stroked="true" strokeweight=".75pt" strokecolor="#d9d9d9">
              <v:stroke dashstyle="solid"/>
            </v:line>
            <v:line style="position:absolute" from="6756,3589" to="6756,3714" stroked="true" strokeweight=".75pt" strokecolor="#d9d9d9">
              <v:stroke dashstyle="solid"/>
            </v:line>
            <v:line style="position:absolute" from="7289,547" to="7289,2257" stroked="true" strokeweight=".75pt" strokecolor="#d9d9d9">
              <v:stroke dashstyle="solid"/>
            </v:line>
            <v:line style="position:absolute" from="7289,2533" to="7289,2785" stroked="true" strokeweight=".75pt" strokecolor="#d9d9d9">
              <v:stroke dashstyle="solid"/>
            </v:line>
            <v:line style="position:absolute" from="7289,3061" to="7289,3313" stroked="true" strokeweight=".75pt" strokecolor="#d9d9d9">
              <v:stroke dashstyle="solid"/>
            </v:line>
            <v:line style="position:absolute" from="7289,3450" to="7289,3714" stroked="true" strokeweight=".75pt" strokecolor="#d9d9d9">
              <v:stroke dashstyle="solid"/>
            </v:line>
            <v:line style="position:absolute" from="7822,547" to="7822,2785" stroked="true" strokeweight=".75pt" strokecolor="#d9d9d9">
              <v:stroke dashstyle="solid"/>
            </v:line>
            <v:line style="position:absolute" from="7822,3061" to="7822,3313" stroked="true" strokeweight=".75pt" strokecolor="#d9d9d9">
              <v:stroke dashstyle="solid"/>
            </v:line>
            <v:line style="position:absolute" from="7822,3450" to="7822,3714" stroked="true" strokeweight=".75pt" strokecolor="#d9d9d9">
              <v:stroke dashstyle="solid"/>
            </v:line>
            <v:line style="position:absolute" from="8354,547" to="8354,2785" stroked="true" strokeweight=".75pt" strokecolor="#d9d9d9">
              <v:stroke dashstyle="solid"/>
            </v:line>
            <v:line style="position:absolute" from="8354,3061" to="8354,3313" stroked="true" strokeweight=".75pt" strokecolor="#d9d9d9">
              <v:stroke dashstyle="solid"/>
            </v:line>
            <v:line style="position:absolute" from="8354,3450" to="8354,3714" stroked="true" strokeweight=".75pt" strokecolor="#d9d9d9">
              <v:stroke dashstyle="solid"/>
            </v:line>
            <v:line style="position:absolute" from="8890,547" to="8890,2785" stroked="true" strokeweight=".75pt" strokecolor="#d9d9d9">
              <v:stroke dashstyle="solid"/>
            </v:line>
            <v:line style="position:absolute" from="8890,2922" to="8890,3714" stroked="true" strokeweight=".75pt" strokecolor="#d9d9d9">
              <v:stroke dashstyle="solid"/>
            </v:line>
            <v:line style="position:absolute" from="9422,547" to="9422,2785" stroked="true" strokeweight=".75pt" strokecolor="#d9d9d9">
              <v:stroke dashstyle="solid"/>
            </v:line>
            <v:line style="position:absolute" from="9422,2922" to="9422,3714" stroked="true" strokeweight=".75pt" strokecolor="#d9d9d9">
              <v:stroke dashstyle="solid"/>
            </v:line>
            <v:line style="position:absolute" from="9955,547" to="9955,2785" stroked="true" strokeweight=".75pt" strokecolor="#d9d9d9">
              <v:stroke dashstyle="solid"/>
            </v:line>
            <v:line style="position:absolute" from="9955,2922" to="9955,3714" stroked="true" strokeweight=".75pt" strokecolor="#d9d9d9">
              <v:stroke dashstyle="solid"/>
            </v:line>
            <v:line style="position:absolute" from="10489,547" to="10489,3714" stroked="true" strokeweight=".75pt" strokecolor="#d9d9d9">
              <v:stroke dashstyle="solid"/>
            </v:line>
            <v:rect style="position:absolute;left:5156;top:3450;width:1706;height:140" filled="true" fillcolor="#bd8686" stroked="false">
              <v:fill type="solid"/>
            </v:rect>
            <v:rect style="position:absolute;left:5156;top:2922;width:3412;height:140" filled="true" fillcolor="#bd8686" stroked="false">
              <v:fill type="solid"/>
            </v:rect>
            <v:rect style="position:absolute;left:5156;top:2394;width:2560;height:140" filled="true" fillcolor="#bd8686" stroked="false">
              <v:fill type="solid"/>
            </v:rect>
            <v:rect style="position:absolute;left:5156;top:1866;width:1706;height:140" filled="true" fillcolor="#bd8686" stroked="false">
              <v:fill type="solid"/>
            </v:rect>
            <v:rect style="position:absolute;left:5156;top:1338;width:854;height:140" filled="true" fillcolor="#bd8686" stroked="false">
              <v:fill type="solid"/>
            </v:rect>
            <v:rect style="position:absolute;left:5156;top:810;width:1281;height:140" filled="true" fillcolor="#bd8686" stroked="false">
              <v:fill type="solid"/>
            </v:rect>
            <v:rect style="position:absolute;left:5156;top:3313;width:3429;height:137" filled="true" fillcolor="#901b1b" stroked="false">
              <v:fill type="solid"/>
            </v:rect>
            <v:rect style="position:absolute;left:5156;top:2785;width:4953;height:137" filled="true" fillcolor="#901b1b" stroked="false">
              <v:fill type="solid"/>
            </v:rect>
            <v:rect style="position:absolute;left:5156;top:2257;width:2287;height:137" filled="true" fillcolor="#901b1b" stroked="false">
              <v:fill type="solid"/>
            </v:rect>
            <v:rect style="position:absolute;left:5156;top:1729;width:763;height:137" filled="true" fillcolor="#901b1b" stroked="false">
              <v:fill type="solid"/>
            </v:rect>
            <v:rect style="position:absolute;left:5156;top:1201;width:381;height:137" filled="true" fillcolor="#901b1b" stroked="false">
              <v:fill type="solid"/>
            </v:rect>
            <v:rect style="position:absolute;left:5156;top:673;width:381;height:137" filled="true" fillcolor="#901b1b" stroked="false">
              <v:fill type="solid"/>
            </v:rect>
            <v:line style="position:absolute" from="5156,3714" to="5156,547" stroked="true" strokeweight=".75pt" strokecolor="#d9d9d9">
              <v:stroke dashstyle="solid"/>
            </v:line>
            <v:line style="position:absolute" from="5101,3714" to="5156,3714" stroked="true" strokeweight=".75pt" strokecolor="#d9d9d9">
              <v:stroke dashstyle="solid"/>
            </v:line>
            <v:line style="position:absolute" from="5101,3186" to="5156,3186" stroked="true" strokeweight=".75pt" strokecolor="#d9d9d9">
              <v:stroke dashstyle="solid"/>
            </v:line>
            <v:line style="position:absolute" from="5101,2658" to="5156,2658" stroked="true" strokeweight=".75pt" strokecolor="#d9d9d9">
              <v:stroke dashstyle="solid"/>
            </v:line>
            <v:line style="position:absolute" from="5101,2130" to="5156,2130" stroked="true" strokeweight=".75pt" strokecolor="#d9d9d9">
              <v:stroke dashstyle="solid"/>
            </v:line>
            <v:line style="position:absolute" from="5101,1602" to="5156,1602" stroked="true" strokeweight=".75pt" strokecolor="#d9d9d9">
              <v:stroke dashstyle="solid"/>
            </v:line>
            <v:line style="position:absolute" from="5101,1074" to="5156,1074" stroked="true" strokeweight=".75pt" strokecolor="#d9d9d9">
              <v:stroke dashstyle="solid"/>
            </v:line>
            <v:line style="position:absolute" from="5101,547" to="5156,547" stroked="true" strokeweight=".75pt" strokecolor="#d9d9d9">
              <v:stroke dashstyle="solid"/>
            </v:line>
            <v:rect style="position:absolute;left:5600;top:4274;width:93;height:93" filled="true" fillcolor="#901b1b" stroked="false">
              <v:fill type="solid"/>
            </v:rect>
            <v:rect style="position:absolute;left:6251;top:4274;width:93;height:93" filled="true" fillcolor="#bd8686" stroked="false">
              <v:fill type="solid"/>
            </v:rect>
            <v:rect style="position:absolute;left:1418;top:326;width:9467;height:4275" filled="false" stroked="true" strokeweight=".75pt" strokecolor="#d9d9d9">
              <v:stroke dashstyle="solid"/>
            </v:rect>
            <v:shape style="position:absolute;left:1425;top:326;width:9452;height:4268" type="#_x0000_t202" filled="false" stroked="false">
              <v:textbox inset="0,0,0,0">
                <w:txbxContent>
                  <w:p>
                    <w:pPr>
                      <w:spacing w:line="240" w:lineRule="auto" w:before="0"/>
                      <w:rPr>
                        <w:i/>
                        <w:sz w:val="20"/>
                      </w:rPr>
                    </w:pPr>
                  </w:p>
                  <w:p>
                    <w:pPr>
                      <w:spacing w:line="619" w:lineRule="auto" w:before="149"/>
                      <w:ind w:left="799" w:right="5878" w:firstLine="100"/>
                      <w:jc w:val="right"/>
                      <w:rPr>
                        <w:sz w:val="18"/>
                      </w:rPr>
                    </w:pPr>
                    <w:r>
                      <w:rPr>
                        <w:color w:val="585858"/>
                        <w:sz w:val="18"/>
                      </w:rPr>
                      <w:t>Statslige</w:t>
                    </w:r>
                    <w:r>
                      <w:rPr>
                        <w:color w:val="585858"/>
                        <w:spacing w:val="-19"/>
                        <w:sz w:val="18"/>
                      </w:rPr>
                      <w:t> </w:t>
                    </w:r>
                    <w:r>
                      <w:rPr>
                        <w:color w:val="585858"/>
                        <w:sz w:val="18"/>
                      </w:rPr>
                      <w:t>forvaltningsinstitutioner Andre</w:t>
                    </w:r>
                    <w:r>
                      <w:rPr>
                        <w:color w:val="585858"/>
                        <w:spacing w:val="-7"/>
                        <w:sz w:val="18"/>
                      </w:rPr>
                      <w:t> </w:t>
                    </w:r>
                    <w:r>
                      <w:rPr>
                        <w:color w:val="585858"/>
                        <w:sz w:val="18"/>
                      </w:rPr>
                      <w:t>statslige</w:t>
                    </w:r>
                    <w:r>
                      <w:rPr>
                        <w:color w:val="585858"/>
                        <w:spacing w:val="-8"/>
                        <w:sz w:val="18"/>
                      </w:rPr>
                      <w:t> </w:t>
                    </w:r>
                    <w:r>
                      <w:rPr>
                        <w:color w:val="585858"/>
                        <w:sz w:val="18"/>
                      </w:rPr>
                      <w:t>institutioner Regioner og regionale</w:t>
                    </w:r>
                    <w:r>
                      <w:rPr>
                        <w:color w:val="585858"/>
                        <w:spacing w:val="-14"/>
                        <w:sz w:val="18"/>
                      </w:rPr>
                      <w:t> </w:t>
                    </w:r>
                    <w:r>
                      <w:rPr>
                        <w:color w:val="585858"/>
                        <w:sz w:val="18"/>
                      </w:rPr>
                      <w:t>institutioner</w:t>
                    </w:r>
                  </w:p>
                  <w:p>
                    <w:pPr>
                      <w:spacing w:line="619" w:lineRule="auto" w:before="1"/>
                      <w:ind w:left="122" w:right="5877" w:firstLine="276"/>
                      <w:jc w:val="right"/>
                      <w:rPr>
                        <w:sz w:val="18"/>
                      </w:rPr>
                    </w:pPr>
                    <w:r>
                      <w:rPr>
                        <w:color w:val="585858"/>
                        <w:sz w:val="18"/>
                      </w:rPr>
                      <w:t>Kommuner og</w:t>
                    </w:r>
                    <w:r>
                      <w:rPr>
                        <w:color w:val="585858"/>
                        <w:spacing w:val="-10"/>
                        <w:sz w:val="18"/>
                      </w:rPr>
                      <w:t> </w:t>
                    </w:r>
                    <w:r>
                      <w:rPr>
                        <w:color w:val="585858"/>
                        <w:sz w:val="18"/>
                      </w:rPr>
                      <w:t>kommunale</w:t>
                    </w:r>
                    <w:r>
                      <w:rPr>
                        <w:color w:val="585858"/>
                        <w:spacing w:val="-3"/>
                        <w:sz w:val="18"/>
                      </w:rPr>
                      <w:t> </w:t>
                    </w:r>
                    <w:r>
                      <w:rPr>
                        <w:color w:val="585858"/>
                        <w:sz w:val="18"/>
                      </w:rPr>
                      <w:t>institutioner Private og udskilte</w:t>
                    </w:r>
                    <w:r>
                      <w:rPr>
                        <w:color w:val="585858"/>
                        <w:spacing w:val="-21"/>
                        <w:sz w:val="18"/>
                      </w:rPr>
                      <w:t> </w:t>
                    </w:r>
                    <w:r>
                      <w:rPr>
                        <w:color w:val="585858"/>
                        <w:sz w:val="18"/>
                      </w:rPr>
                      <w:t>forsyningsvirksomheder</w:t>
                    </w:r>
                  </w:p>
                  <w:p>
                    <w:pPr>
                      <w:spacing w:before="1"/>
                      <w:ind w:left="0" w:right="5877" w:firstLine="0"/>
                      <w:jc w:val="right"/>
                      <w:rPr>
                        <w:sz w:val="18"/>
                      </w:rPr>
                    </w:pPr>
                    <w:r>
                      <w:rPr>
                        <w:color w:val="585858"/>
                        <w:sz w:val="18"/>
                      </w:rPr>
                      <w:t>Private</w:t>
                    </w:r>
                    <w:r>
                      <w:rPr>
                        <w:color w:val="585858"/>
                        <w:spacing w:val="-8"/>
                        <w:sz w:val="18"/>
                      </w:rPr>
                      <w:t> </w:t>
                    </w:r>
                    <w:r>
                      <w:rPr>
                        <w:color w:val="585858"/>
                        <w:sz w:val="18"/>
                      </w:rPr>
                      <w:t>virksomheder</w:t>
                    </w:r>
                  </w:p>
                  <w:p>
                    <w:pPr>
                      <w:spacing w:line="240" w:lineRule="auto" w:before="5"/>
                      <w:rPr>
                        <w:i/>
                        <w:sz w:val="24"/>
                      </w:rPr>
                    </w:pPr>
                  </w:p>
                  <w:p>
                    <w:pPr>
                      <w:tabs>
                        <w:tab w:pos="4143" w:val="left" w:leader="none"/>
                        <w:tab w:pos="4630" w:val="left" w:leader="none"/>
                        <w:tab w:pos="5171" w:val="left" w:leader="none"/>
                      </w:tabs>
                      <w:spacing w:before="0"/>
                      <w:ind w:left="3602" w:right="0" w:firstLine="0"/>
                      <w:jc w:val="left"/>
                      <w:rPr>
                        <w:sz w:val="18"/>
                      </w:rPr>
                    </w:pPr>
                    <w:r>
                      <w:rPr>
                        <w:color w:val="585858"/>
                        <w:sz w:val="18"/>
                      </w:rPr>
                      <w:t>0%</w:t>
                      <w:tab/>
                      <w:t>5%</w:t>
                      <w:tab/>
                      <w:t>10%</w:t>
                      <w:tab/>
                      <w:t>15%</w:t>
                    </w:r>
                    <w:r>
                      <w:rPr>
                        <w:color w:val="585858"/>
                        <w:spacing w:val="19"/>
                        <w:sz w:val="18"/>
                      </w:rPr>
                      <w:t> </w:t>
                    </w:r>
                    <w:r>
                      <w:rPr>
                        <w:color w:val="585858"/>
                        <w:sz w:val="18"/>
                      </w:rPr>
                      <w:t>20%</w:t>
                    </w:r>
                    <w:r>
                      <w:rPr>
                        <w:color w:val="585858"/>
                        <w:spacing w:val="8"/>
                        <w:sz w:val="18"/>
                      </w:rPr>
                      <w:t> </w:t>
                    </w:r>
                    <w:r>
                      <w:rPr>
                        <w:color w:val="585858"/>
                        <w:sz w:val="18"/>
                      </w:rPr>
                      <w:t>25%</w:t>
                    </w:r>
                    <w:r>
                      <w:rPr>
                        <w:color w:val="585858"/>
                        <w:spacing w:val="9"/>
                        <w:sz w:val="18"/>
                      </w:rPr>
                      <w:t> </w:t>
                    </w:r>
                    <w:r>
                      <w:rPr>
                        <w:color w:val="585858"/>
                        <w:sz w:val="18"/>
                      </w:rPr>
                      <w:t>30%</w:t>
                    </w:r>
                    <w:r>
                      <w:rPr>
                        <w:color w:val="585858"/>
                        <w:spacing w:val="10"/>
                        <w:sz w:val="18"/>
                      </w:rPr>
                      <w:t> </w:t>
                    </w:r>
                    <w:r>
                      <w:rPr>
                        <w:color w:val="585858"/>
                        <w:sz w:val="18"/>
                      </w:rPr>
                      <w:t>35%</w:t>
                    </w:r>
                    <w:r>
                      <w:rPr>
                        <w:color w:val="585858"/>
                        <w:spacing w:val="8"/>
                        <w:sz w:val="18"/>
                      </w:rPr>
                      <w:t> </w:t>
                    </w:r>
                    <w:r>
                      <w:rPr>
                        <w:color w:val="585858"/>
                        <w:sz w:val="18"/>
                      </w:rPr>
                      <w:t>40%</w:t>
                    </w:r>
                    <w:r>
                      <w:rPr>
                        <w:color w:val="585858"/>
                        <w:spacing w:val="8"/>
                        <w:sz w:val="18"/>
                      </w:rPr>
                      <w:t> </w:t>
                    </w:r>
                    <w:r>
                      <w:rPr>
                        <w:color w:val="585858"/>
                        <w:sz w:val="18"/>
                      </w:rPr>
                      <w:t>45%</w:t>
                    </w:r>
                    <w:r>
                      <w:rPr>
                        <w:color w:val="585858"/>
                        <w:spacing w:val="10"/>
                        <w:sz w:val="18"/>
                      </w:rPr>
                      <w:t> </w:t>
                    </w:r>
                    <w:r>
                      <w:rPr>
                        <w:color w:val="585858"/>
                        <w:sz w:val="18"/>
                      </w:rPr>
                      <w:t>50%</w:t>
                    </w:r>
                  </w:p>
                  <w:p>
                    <w:pPr>
                      <w:spacing w:line="240" w:lineRule="auto" w:before="1"/>
                      <w:rPr>
                        <w:i/>
                        <w:sz w:val="16"/>
                      </w:rPr>
                    </w:pPr>
                  </w:p>
                  <w:p>
                    <w:pPr>
                      <w:tabs>
                        <w:tab w:pos="851" w:val="left" w:leader="none"/>
                      </w:tabs>
                      <w:spacing w:before="1"/>
                      <w:ind w:left="200" w:right="0" w:firstLine="0"/>
                      <w:jc w:val="center"/>
                      <w:rPr>
                        <w:sz w:val="18"/>
                      </w:rPr>
                    </w:pPr>
                    <w:r>
                      <w:rPr>
                        <w:color w:val="585858"/>
                        <w:sz w:val="18"/>
                      </w:rPr>
                      <w:t>2016</w:t>
                      <w:tab/>
                      <w:t>2012</w:t>
                    </w:r>
                  </w:p>
                </w:txbxContent>
              </v:textbox>
              <w10:wrap type="none"/>
            </v:shape>
            <w10:wrap type="topAndBottom"/>
          </v:group>
        </w:pict>
      </w:r>
      <w:bookmarkStart w:name="_bookmark51" w:id="74"/>
      <w:bookmarkEnd w:id="74"/>
      <w:r>
        <w:rPr/>
      </w:r>
      <w:r>
        <w:rPr>
          <w:i/>
          <w:color w:val="A21F1F"/>
          <w:sz w:val="18"/>
        </w:rPr>
        <w:t>Figur 26: Forsyningsselskaber fordelt på aftagere af produkter og ydelser, henholdsvis i 2012 og i 2016</w:t>
      </w:r>
    </w:p>
    <w:p>
      <w:pPr>
        <w:spacing w:before="90"/>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2"/>
        <w:ind w:left="278" w:right="0" w:firstLine="0"/>
        <w:jc w:val="left"/>
        <w:rPr>
          <w:i/>
          <w:sz w:val="18"/>
        </w:rPr>
      </w:pPr>
      <w:r>
        <w:rPr>
          <w:b/>
          <w:i/>
          <w:color w:val="A21F1F"/>
          <w:sz w:val="18"/>
        </w:rPr>
        <w:t>N</w:t>
      </w:r>
      <w:r>
        <w:rPr>
          <w:i/>
          <w:color w:val="A21F1F"/>
          <w:sz w:val="18"/>
        </w:rPr>
        <w:t>: 2016: 28 og 2012: 25</w:t>
      </w:r>
    </w:p>
    <w:p>
      <w:pPr>
        <w:spacing w:before="119"/>
        <w:ind w:left="278" w:right="0" w:firstLine="0"/>
        <w:jc w:val="left"/>
        <w:rPr>
          <w:i/>
          <w:sz w:val="18"/>
        </w:rPr>
      </w:pPr>
      <w:r>
        <w:rPr>
          <w:b/>
          <w:i/>
          <w:color w:val="A21F1F"/>
          <w:sz w:val="18"/>
        </w:rPr>
        <w:t>Note: </w:t>
      </w:r>
      <w:r>
        <w:rPr>
          <w:i/>
          <w:color w:val="A21F1F"/>
          <w:sz w:val="18"/>
        </w:rPr>
        <w:t>Bemærk, at hver virksomhed har kunnet angive mere end ét svar.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2"/>
          <w:numId w:val="14"/>
        </w:numPr>
        <w:tabs>
          <w:tab w:pos="999" w:val="left" w:leader="none"/>
        </w:tabs>
        <w:spacing w:line="319" w:lineRule="exact" w:before="0" w:after="0"/>
        <w:ind w:left="998" w:right="0" w:hanging="720"/>
        <w:jc w:val="left"/>
        <w:rPr>
          <w:i/>
          <w:sz w:val="32"/>
        </w:rPr>
      </w:pPr>
      <w:bookmarkStart w:name="_bookmark52" w:id="75"/>
      <w:bookmarkEnd w:id="75"/>
      <w:r>
        <w:rPr/>
      </w:r>
      <w:bookmarkStart w:name="_bookmark52" w:id="76"/>
      <w:bookmarkEnd w:id="76"/>
      <w:r>
        <w:rPr>
          <w:i/>
          <w:color w:val="A21F1F"/>
          <w:sz w:val="32"/>
        </w:rPr>
        <w:t>Betydn</w:t>
      </w:r>
      <w:r>
        <w:rPr>
          <w:i/>
          <w:color w:val="A21F1F"/>
          <w:sz w:val="32"/>
        </w:rPr>
        <w:t>ing af geodata for omsætning, innovation og</w:t>
      </w:r>
      <w:r>
        <w:rPr>
          <w:i/>
          <w:color w:val="A21F1F"/>
          <w:spacing w:val="-16"/>
          <w:sz w:val="32"/>
        </w:rPr>
        <w:t> </w:t>
      </w:r>
      <w:r>
        <w:rPr>
          <w:i/>
          <w:color w:val="A21F1F"/>
          <w:sz w:val="32"/>
        </w:rPr>
        <w:t>interne</w:t>
      </w:r>
    </w:p>
    <w:p>
      <w:pPr>
        <w:spacing w:before="1"/>
        <w:ind w:left="998" w:right="0" w:firstLine="0"/>
        <w:jc w:val="left"/>
        <w:rPr>
          <w:i/>
          <w:sz w:val="32"/>
        </w:rPr>
      </w:pPr>
      <w:r>
        <w:rPr>
          <w:i/>
          <w:color w:val="A21F1F"/>
          <w:sz w:val="32"/>
        </w:rPr>
        <w:t>arbejdsprocesser</w:t>
      </w:r>
    </w:p>
    <w:p>
      <w:pPr>
        <w:pStyle w:val="BodyText"/>
        <w:spacing w:line="360" w:lineRule="auto" w:before="241"/>
        <w:ind w:left="278" w:right="1025"/>
      </w:pPr>
      <w:r>
        <w:rPr/>
        <w:t>Vi har i ovenstående afsnit beskrevet, hvordan geodata bliver anvendt af forsyningsselskaberne i deres produktion af ydelser og produkter. I de kommende afsnit gennemgår vi betydningen af de frie geodata for henholdsvis omsætning, innovation og effektivisering af interne arbejdsprocesser. Det gør vi med henblik på at kunne beregne første led i beregningen af den samfundsøkonomiske værdi af de frie geodata, for så vidt angår forsyningsselskaberne.</w:t>
      </w:r>
    </w:p>
    <w:p>
      <w:pPr>
        <w:pStyle w:val="BodyText"/>
        <w:spacing w:before="1"/>
        <w:rPr>
          <w:sz w:val="21"/>
        </w:rPr>
      </w:pPr>
    </w:p>
    <w:p>
      <w:pPr>
        <w:pStyle w:val="BodyText"/>
        <w:spacing w:line="360" w:lineRule="auto"/>
        <w:ind w:left="278" w:right="1054"/>
      </w:pPr>
      <w:r>
        <w:rPr/>
        <w:t>Betydningen af de frie geodata for omsætningen i forsyningsselskaberne har ikke udviklet sig væsentligt siden 2012. De har fortsat en relativt begrænset indflydelse på forsyningsselskabernes samlede omsætning, jf. </w:t>
      </w:r>
      <w:hyperlink w:history="true" w:anchor="_bookmark53">
        <w:r>
          <w:rPr/>
          <w:t>Figur 27. </w:t>
        </w:r>
      </w:hyperlink>
      <w:r>
        <w:rPr/>
        <w:t>Det er dog også forventeligt, eftersom geodata i højere grad anvendes til interne processer og arbejdsgange i forsyningsselskaberne.</w:t>
      </w:r>
    </w:p>
    <w:p>
      <w:pPr>
        <w:pStyle w:val="BodyText"/>
        <w:spacing w:before="1"/>
        <w:rPr>
          <w:sz w:val="21"/>
        </w:rPr>
      </w:pPr>
    </w:p>
    <w:p>
      <w:pPr>
        <w:spacing w:before="0"/>
        <w:ind w:left="278" w:right="1750" w:firstLine="0"/>
        <w:jc w:val="left"/>
        <w:rPr>
          <w:i/>
          <w:sz w:val="18"/>
        </w:rPr>
      </w:pPr>
      <w:r>
        <w:rPr/>
        <w:pict>
          <v:group style="position:absolute;margin-left:70.525002pt;margin-top:26.167927pt;width:455.9pt;height:219.15pt;mso-position-horizontal-relative:page;mso-position-vertical-relative:paragraph;z-index:4664;mso-wrap-distance-left:0;mso-wrap-distance-right:0" coordorigin="1411,523" coordsize="9118,4383">
            <v:rect style="position:absolute;left:1418;top:530;width:9103;height:4368" filled="true" fillcolor="#f1f1f1" stroked="false">
              <v:fill type="solid"/>
            </v:rect>
            <v:line style="position:absolute" from="10013,3195" to="10301,3195" stroked="true" strokeweight=".75pt" strokecolor="#d9d9d9">
              <v:stroke dashstyle="solid"/>
            </v:line>
            <v:line style="position:absolute" from="9677,3195" to="9749,3195" stroked="true" strokeweight=".75pt" strokecolor="#d9d9d9">
              <v:stroke dashstyle="solid"/>
            </v:line>
            <v:line style="position:absolute" from="4128,3195" to="9413,3195" stroked="true" strokeweight=".75pt" strokecolor="#d9d9d9">
              <v:stroke dashstyle="solid"/>
            </v:line>
            <v:line style="position:absolute" from="3794,3195" to="3864,3195" stroked="true" strokeweight=".75pt" strokecolor="#d9d9d9">
              <v:stroke dashstyle="solid"/>
            </v:line>
            <v:line style="position:absolute" from="2952,3195" to="3530,3195" stroked="true" strokeweight=".75pt" strokecolor="#d9d9d9">
              <v:stroke dashstyle="solid"/>
            </v:line>
            <v:line style="position:absolute" from="2618,3195" to="2688,3195" stroked="true" strokeweight=".75pt" strokecolor="#d9d9d9">
              <v:stroke dashstyle="solid"/>
            </v:line>
            <v:line style="position:absolute" from="2065,3195" to="2354,3195" stroked="true" strokeweight=".75pt" strokecolor="#d9d9d9">
              <v:stroke dashstyle="solid"/>
            </v:line>
            <v:line style="position:absolute" from="9677,2586" to="10301,2586" stroked="true" strokeweight=".75pt" strokecolor="#d9d9d9">
              <v:stroke dashstyle="solid"/>
            </v:line>
            <v:line style="position:absolute" from="4128,2586" to="9413,2586" stroked="true" strokeweight=".75pt" strokecolor="#d9d9d9">
              <v:stroke dashstyle="solid"/>
            </v:line>
            <v:line style="position:absolute" from="3794,2586" to="3864,2586" stroked="true" strokeweight=".75pt" strokecolor="#d9d9d9">
              <v:stroke dashstyle="solid"/>
            </v:line>
            <v:line style="position:absolute" from="2952,2586" to="3530,2586" stroked="true" strokeweight=".75pt" strokecolor="#d9d9d9">
              <v:stroke dashstyle="solid"/>
            </v:line>
            <v:line style="position:absolute" from="2618,2586" to="2688,2586" stroked="true" strokeweight=".75pt" strokecolor="#d9d9d9">
              <v:stroke dashstyle="solid"/>
            </v:line>
            <v:line style="position:absolute" from="2065,2586" to="2354,2586" stroked="true" strokeweight=".75pt" strokecolor="#d9d9d9">
              <v:stroke dashstyle="solid"/>
            </v:line>
            <v:line style="position:absolute" from="9677,1974" to="10301,1974" stroked="true" strokeweight=".75pt" strokecolor="#d9d9d9">
              <v:stroke dashstyle="solid"/>
            </v:line>
            <v:line style="position:absolute" from="4128,1974" to="9413,1974" stroked="true" strokeweight=".75pt" strokecolor="#d9d9d9">
              <v:stroke dashstyle="solid"/>
            </v:line>
            <v:line style="position:absolute" from="2952,1974" to="3864,1974" stroked="true" strokeweight=".75pt" strokecolor="#d9d9d9">
              <v:stroke dashstyle="solid"/>
            </v:line>
            <v:line style="position:absolute" from="2618,1974" to="2688,1974" stroked="true" strokeweight=".75pt" strokecolor="#d9d9d9">
              <v:stroke dashstyle="solid"/>
            </v:line>
            <v:line style="position:absolute" from="2065,1974" to="2354,1974" stroked="true" strokeweight=".75pt" strokecolor="#d9d9d9">
              <v:stroke dashstyle="solid"/>
            </v:line>
            <v:line style="position:absolute" from="2065,1362" to="10301,1362" stroked="true" strokeweight=".75pt" strokecolor="#d9d9d9">
              <v:stroke dashstyle="solid"/>
            </v:line>
            <v:line style="position:absolute" from="2065,751" to="10301,751" stroked="true" strokeweight=".75pt" strokecolor="#d9d9d9">
              <v:stroke dashstyle="solid"/>
            </v:line>
            <v:rect style="position:absolute;left:2354;top:1414;width:264;height:2393" filled="true" fillcolor="#901b1b" stroked="false">
              <v:fill type="solid"/>
            </v:rect>
            <v:rect style="position:absolute;left:3530;top:2213;width:264;height:1594" filled="true" fillcolor="#901b1b" stroked="false">
              <v:fill type="solid"/>
            </v:rect>
            <v:rect style="position:absolute;left:9412;top:1680;width:264;height:2127" filled="true" fillcolor="#901b1b" stroked="false">
              <v:fill type="solid"/>
            </v:rect>
            <v:rect style="position:absolute;left:2688;top:1361;width:264;height:2446" filled="true" fillcolor="#bd8686" stroked="false">
              <v:fill type="solid"/>
            </v:rect>
            <v:rect style="position:absolute;left:3864;top:1851;width:264;height:1956" filled="true" fillcolor="#bd8686" stroked="false">
              <v:fill type="solid"/>
            </v:rect>
            <v:rect style="position:absolute;left:5042;top:3562;width:264;height:245" filled="true" fillcolor="#bd8686" stroked="false">
              <v:fill type="solid"/>
            </v:rect>
            <v:rect style="position:absolute;left:6218;top:3562;width:264;height:245" filled="true" fillcolor="#bd8686" stroked="false">
              <v:fill type="solid"/>
            </v:rect>
            <v:rect style="position:absolute;left:9748;top:2585;width:264;height:1222" filled="true" fillcolor="#bd8686" stroked="false">
              <v:fill type="solid"/>
            </v:rect>
            <v:line style="position:absolute" from="2065,3807" to="10301,3807" stroked="true" strokeweight=".75pt" strokecolor="#d9d9d9">
              <v:stroke dashstyle="solid"/>
            </v:line>
            <v:rect style="position:absolute;left:5418;top:4571;width:93;height:93" filled="true" fillcolor="#901b1b" stroked="false">
              <v:fill type="solid"/>
            </v:rect>
            <v:rect style="position:absolute;left:6069;top:4571;width:93;height:93" filled="true" fillcolor="#bd8686" stroked="false">
              <v:fill type="solid"/>
            </v:rect>
            <v:rect style="position:absolute;left:1418;top:530;width:9103;height:4368" filled="false" stroked="true" strokeweight=".75pt" strokecolor="#d9d9d9">
              <v:stroke dashstyle="solid"/>
            </v:rect>
            <v:shape style="position:absolute;left:5550;top:4511;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185;top:3919;width:2101;height:409" type="#_x0000_t202" filled="false" stroked="false">
              <v:textbox inset="0,0,0,0">
                <w:txbxContent>
                  <w:p>
                    <w:pPr>
                      <w:tabs>
                        <w:tab w:pos="977" w:val="left" w:leader="none"/>
                      </w:tabs>
                      <w:spacing w:before="0"/>
                      <w:ind w:left="0" w:right="0" w:firstLine="0"/>
                      <w:jc w:val="left"/>
                      <w:rPr>
                        <w:sz w:val="18"/>
                      </w:rPr>
                    </w:pPr>
                    <w:r>
                      <w:rPr>
                        <w:color w:val="585858"/>
                        <w:sz w:val="18"/>
                      </w:rPr>
                      <w:t>76-100%</w:t>
                      <w:tab/>
                      <w:t>Ved</w:t>
                    </w:r>
                    <w:r>
                      <w:rPr>
                        <w:color w:val="585858"/>
                        <w:spacing w:val="-3"/>
                        <w:sz w:val="18"/>
                      </w:rPr>
                      <w:t> </w:t>
                    </w:r>
                    <w:r>
                      <w:rPr>
                        <w:color w:val="585858"/>
                        <w:sz w:val="18"/>
                      </w:rPr>
                      <w:t>ikke/ikke</w:t>
                    </w:r>
                  </w:p>
                  <w:p>
                    <w:pPr>
                      <w:spacing w:before="0"/>
                      <w:ind w:left="1205" w:right="0" w:firstLine="0"/>
                      <w:jc w:val="left"/>
                      <w:rPr>
                        <w:sz w:val="18"/>
                      </w:rPr>
                    </w:pPr>
                    <w:r>
                      <w:rPr>
                        <w:color w:val="585858"/>
                        <w:sz w:val="18"/>
                      </w:rPr>
                      <w:t>relevant</w:t>
                    </w:r>
                  </w:p>
                </w:txbxContent>
              </v:textbox>
              <w10:wrap type="none"/>
            </v:shape>
            <v:shape style="position:absolute;left:7074;top:3919;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5872;top:3919;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4724;top:3919;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3590;top:3919;width:501;height:205" type="#_x0000_t202" filled="false" stroked="false">
              <v:textbox inset="0,0,0,0">
                <w:txbxContent>
                  <w:p>
                    <w:pPr>
                      <w:spacing w:before="0"/>
                      <w:ind w:left="0" w:right="0" w:firstLine="0"/>
                      <w:jc w:val="left"/>
                      <w:rPr>
                        <w:sz w:val="18"/>
                      </w:rPr>
                    </w:pPr>
                    <w:r>
                      <w:rPr>
                        <w:color w:val="585858"/>
                        <w:sz w:val="18"/>
                      </w:rPr>
                      <w:t>1-10%</w:t>
                    </w:r>
                  </w:p>
                </w:txbxContent>
              </v:textbox>
              <w10:wrap type="none"/>
            </v:shape>
            <v:shape style="position:absolute;left:2524;top:391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650;top:3700;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72;top:3089;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1549;top:2477;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1550;top:1866;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1548;top:1255;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1554;top:644;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w10:wrap type="topAndBottom"/>
          </v:group>
        </w:pict>
      </w:r>
      <w:bookmarkStart w:name="_bookmark53" w:id="77"/>
      <w:bookmarkEnd w:id="77"/>
      <w:r>
        <w:rPr/>
      </w:r>
      <w:r>
        <w:rPr>
          <w:i/>
          <w:color w:val="A21F1F"/>
          <w:sz w:val="18"/>
        </w:rPr>
        <w:t>Figur 27: Forsyningsselskaber fordelt på den andel af den samlede omsætning, der var relateret til geodata, </w:t>
      </w:r>
      <w:r>
        <w:rPr>
          <w:i/>
          <w:color w:val="A21F1F"/>
          <w:sz w:val="18"/>
        </w:rPr>
        <w:t>henholdsvis i 2012 og i 2016</w:t>
      </w:r>
    </w:p>
    <w:p>
      <w:pPr>
        <w:spacing w:before="179"/>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19"/>
        <w:ind w:left="278" w:right="0" w:firstLine="0"/>
        <w:jc w:val="left"/>
        <w:rPr>
          <w:i/>
          <w:sz w:val="18"/>
        </w:rPr>
      </w:pPr>
      <w:r>
        <w:rPr>
          <w:b/>
          <w:i/>
          <w:color w:val="A21F1F"/>
          <w:sz w:val="18"/>
        </w:rPr>
        <w:t>N</w:t>
      </w:r>
      <w:r>
        <w:rPr>
          <w:i/>
          <w:color w:val="A21F1F"/>
          <w:sz w:val="18"/>
        </w:rPr>
        <w:t>: 2016: 25 og 2012: 25</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På trods af den relativt begrænsede betydning af de frie geodata for den samlede omsætning i</w:t>
      </w:r>
    </w:p>
    <w:p>
      <w:pPr>
        <w:pStyle w:val="BodyText"/>
        <w:spacing w:line="360" w:lineRule="auto" w:before="114"/>
        <w:ind w:left="278" w:right="1092"/>
      </w:pPr>
      <w:r>
        <w:rPr/>
        <w:t>forsyningsselskaberne har der siden 2012 været en tendens til, at forsyningsselskaberne introducerer flere nye produkter og ydelser, hvori der indgår geodata, jf. </w:t>
      </w:r>
      <w:hyperlink w:history="true" w:anchor="_bookmark54">
        <w:r>
          <w:rPr/>
          <w:t>Figur 28. </w:t>
        </w:r>
      </w:hyperlink>
      <w:r>
        <w:rPr/>
        <w:t>Dette kan eksempelvis være web-GIS- løsninger på selskabernes hjemmesider, der kommunikerer om igangværende ledningsarbejder eller mobile apps (fx Giv et Praj), som giver forsyningskunderne mulighed for at indrapportere utilsigtede hændelser.</w:t>
      </w:r>
    </w:p>
    <w:p>
      <w:pPr>
        <w:spacing w:before="118"/>
        <w:ind w:left="278" w:right="1623" w:firstLine="0"/>
        <w:jc w:val="left"/>
        <w:rPr>
          <w:i/>
          <w:sz w:val="18"/>
        </w:rPr>
      </w:pPr>
      <w:r>
        <w:rPr/>
        <w:pict>
          <v:group style="position:absolute;margin-left:70.525002pt;margin-top:32.087936pt;width:450.9pt;height:149pt;mso-position-horizontal-relative:page;mso-position-vertical-relative:paragraph;z-index:4832;mso-wrap-distance-left:0;mso-wrap-distance-right:0" coordorigin="1411,642" coordsize="9018,2980">
            <v:rect style="position:absolute;left:1418;top:649;width:9003;height:2964" filled="true" fillcolor="#f1f1f1" stroked="false">
              <v:fill type="solid"/>
            </v:rect>
            <v:line style="position:absolute" from="6859,2356" to="10200,2356" stroked="true" strokeweight=".72pt" strokecolor="#d9d9d9">
              <v:stroke dashstyle="solid"/>
            </v:line>
            <v:line style="position:absolute" from="6094,2356" to="6257,2356" stroked="true" strokeweight=".72pt" strokecolor="#d9d9d9">
              <v:stroke dashstyle="solid"/>
            </v:line>
            <v:line style="position:absolute" from="3410,2356" to="5494,2356" stroked="true" strokeweight=".72pt" strokecolor="#d9d9d9">
              <v:stroke dashstyle="solid"/>
            </v:line>
            <v:line style="position:absolute" from="2150,2356" to="2810,2356" stroked="true" strokeweight=".72pt" strokecolor="#d9d9d9">
              <v:stroke dashstyle="solid"/>
            </v:line>
            <v:line style="position:absolute" from="6859,1984" to="10200,1984" stroked="true" strokeweight=".72pt" strokecolor="#d9d9d9">
              <v:stroke dashstyle="solid"/>
            </v:line>
            <v:line style="position:absolute" from="6094,1984" to="6257,1984" stroked="true" strokeweight=".72pt" strokecolor="#d9d9d9">
              <v:stroke dashstyle="solid"/>
            </v:line>
            <v:line style="position:absolute" from="2150,1984" to="5494,1984" stroked="true" strokeweight=".72pt" strokecolor="#d9d9d9">
              <v:stroke dashstyle="solid"/>
            </v:line>
            <v:line style="position:absolute" from="6859,1612" to="10200,1612" stroked="true" strokeweight=".72pt" strokecolor="#d9d9d9">
              <v:stroke dashstyle="solid"/>
            </v:line>
            <v:line style="position:absolute" from="6094,1612" to="6257,1612" stroked="true" strokeweight=".72pt" strokecolor="#d9d9d9">
              <v:stroke dashstyle="solid"/>
            </v:line>
            <v:line style="position:absolute" from="2150,1612" to="5494,1612" stroked="true" strokeweight=".72pt" strokecolor="#d9d9d9">
              <v:stroke dashstyle="solid"/>
            </v:line>
            <v:line style="position:absolute" from="6859,1240" to="10200,1240" stroked="true" strokeweight=".72pt" strokecolor="#d9d9d9">
              <v:stroke dashstyle="solid"/>
            </v:line>
            <v:line style="position:absolute" from="2150,1240" to="6257,1240" stroked="true" strokeweight=".72pt" strokecolor="#d9d9d9">
              <v:stroke dashstyle="solid"/>
            </v:line>
            <v:line style="position:absolute" from="2150,868" to="10200,868" stroked="true" strokeweight=".72pt" strokecolor="#d9d9d9">
              <v:stroke dashstyle="solid"/>
            </v:line>
            <v:rect style="position:absolute;left:2810;top:2161;width:600;height:567" filled="true" fillcolor="#901b1b" stroked="false">
              <v:fill type="solid"/>
            </v:rect>
            <v:rect style="position:absolute;left:5493;top:1434;width:600;height:1294" filled="true" fillcolor="#901b1b" stroked="false">
              <v:fill type="solid"/>
            </v:rect>
            <v:rect style="position:absolute;left:3573;top:2579;width:603;height:149" filled="true" fillcolor="#bd8686" stroked="false">
              <v:fill type="solid"/>
            </v:rect>
            <v:rect style="position:absolute;left:6256;top:1091;width:603;height:1637" filled="true" fillcolor="#bd8686" stroked="false">
              <v:fill type="solid"/>
            </v:rect>
            <v:line style="position:absolute" from="8940,2691" to="9542,2691" stroked="true" strokeweight="3.72pt" strokecolor="#bd8686">
              <v:stroke dashstyle="solid"/>
            </v:line>
            <v:line style="position:absolute" from="2150,2728" to="10200,2728" stroked="true" strokeweight=".72pt" strokecolor="#d9d9d9">
              <v:stroke dashstyle="solid"/>
            </v:line>
            <v:rect style="position:absolute;left:5368;top:3287;width:92;height:92" filled="true" fillcolor="#901b1b" stroked="false">
              <v:fill type="solid"/>
            </v:rect>
            <v:rect style="position:absolute;left:6019;top:3287;width:92;height:92" filled="true" fillcolor="#bd8686" stroked="false">
              <v:fill type="solid"/>
            </v:rect>
            <v:rect style="position:absolute;left:1418;top:649;width:9003;height:2965" filled="false" stroked="true" strokeweight=".75pt" strokecolor="#d9d9d9">
              <v:stroke dashstyle="solid"/>
            </v:rect>
            <v:shape style="position:absolute;left:8517;top:2838;width:708;height:205" type="#_x0000_t202" filled="false" stroked="false">
              <v:textbox inset="0,0,0,0">
                <w:txbxContent>
                  <w:p>
                    <w:pPr>
                      <w:spacing w:before="0"/>
                      <w:ind w:left="0" w:right="0" w:firstLine="0"/>
                      <w:jc w:val="left"/>
                      <w:rPr>
                        <w:sz w:val="18"/>
                      </w:rPr>
                    </w:pPr>
                    <w:r>
                      <w:rPr>
                        <w:color w:val="585858"/>
                        <w:sz w:val="18"/>
                      </w:rPr>
                      <w:t>Ved ikke</w:t>
                    </w:r>
                  </w:p>
                </w:txbxContent>
              </v:textbox>
              <w10:wrap type="none"/>
            </v:shape>
            <v:shape style="position:absolute;left:6038;top:2838;width:522;height:592" type="#_x0000_t202" filled="false" stroked="false">
              <v:textbox inset="0,0,0,0">
                <w:txbxContent>
                  <w:p>
                    <w:pPr>
                      <w:spacing w:before="0"/>
                      <w:ind w:left="0" w:right="0" w:firstLine="0"/>
                      <w:jc w:val="left"/>
                      <w:rPr>
                        <w:sz w:val="18"/>
                      </w:rPr>
                    </w:pPr>
                    <w:r>
                      <w:rPr>
                        <w:color w:val="585858"/>
                        <w:sz w:val="18"/>
                      </w:rPr>
                      <w:t>Nej</w:t>
                    </w:r>
                  </w:p>
                  <w:p>
                    <w:pPr>
                      <w:spacing w:line="240" w:lineRule="auto" w:before="0"/>
                      <w:rPr>
                        <w:i/>
                        <w:sz w:val="16"/>
                      </w:rPr>
                    </w:pPr>
                  </w:p>
                  <w:p>
                    <w:pPr>
                      <w:spacing w:before="1"/>
                      <w:ind w:left="113" w:right="0" w:firstLine="0"/>
                      <w:jc w:val="left"/>
                      <w:rPr>
                        <w:sz w:val="18"/>
                      </w:rPr>
                    </w:pPr>
                    <w:r>
                      <w:rPr>
                        <w:color w:val="585858"/>
                        <w:sz w:val="18"/>
                      </w:rPr>
                      <w:t>2012</w:t>
                    </w:r>
                  </w:p>
                </w:txbxContent>
              </v:textbox>
              <w10:wrap type="none"/>
            </v:shape>
            <v:shape style="position:absolute;left:5500;top:3226;width:410;height:205" type="#_x0000_t202" filled="false" stroked="false">
              <v:textbox inset="0,0,0,0">
                <w:txbxContent>
                  <w:p>
                    <w:pPr>
                      <w:spacing w:before="0"/>
                      <w:ind w:left="0" w:right="0" w:firstLine="0"/>
                      <w:jc w:val="left"/>
                      <w:rPr>
                        <w:sz w:val="18"/>
                      </w:rPr>
                    </w:pPr>
                    <w:r>
                      <w:rPr>
                        <w:color w:val="585858"/>
                        <w:sz w:val="18"/>
                      </w:rPr>
                      <w:t>2016</w:t>
                    </w:r>
                  </w:p>
                </w:txbxContent>
              </v:textbox>
              <w10:wrap type="none"/>
            </v:shape>
            <v:shape style="position:absolute;left:3401;top:2838;width:205;height:205" type="#_x0000_t202" filled="false" stroked="false">
              <v:textbox inset="0,0,0,0">
                <w:txbxContent>
                  <w:p>
                    <w:pPr>
                      <w:spacing w:before="0"/>
                      <w:ind w:left="0" w:right="0" w:firstLine="0"/>
                      <w:jc w:val="left"/>
                      <w:rPr>
                        <w:sz w:val="18"/>
                      </w:rPr>
                    </w:pPr>
                    <w:r>
                      <w:rPr>
                        <w:color w:val="585858"/>
                        <w:sz w:val="18"/>
                      </w:rPr>
                      <w:t>Ja</w:t>
                    </w:r>
                  </w:p>
                </w:txbxContent>
              </v:textbox>
              <w10:wrap type="none"/>
            </v:shape>
            <v:shape style="position:absolute;left:1548;top:762;width:467;height:2063" type="#_x0000_t202" filled="false" stroked="false">
              <v:textbox inset="0,0,0,0">
                <w:txbxContent>
                  <w:p>
                    <w:pPr>
                      <w:spacing w:before="0"/>
                      <w:ind w:left="0" w:right="19" w:firstLine="0"/>
                      <w:jc w:val="center"/>
                      <w:rPr>
                        <w:sz w:val="18"/>
                      </w:rPr>
                    </w:pPr>
                    <w:r>
                      <w:rPr>
                        <w:color w:val="585858"/>
                        <w:sz w:val="18"/>
                      </w:rPr>
                      <w:t>100%</w:t>
                    </w:r>
                  </w:p>
                  <w:p>
                    <w:pPr>
                      <w:spacing w:before="167"/>
                      <w:ind w:left="60" w:right="1" w:firstLine="0"/>
                      <w:jc w:val="center"/>
                      <w:rPr>
                        <w:sz w:val="18"/>
                      </w:rPr>
                    </w:pPr>
                    <w:r>
                      <w:rPr>
                        <w:color w:val="585858"/>
                        <w:sz w:val="18"/>
                      </w:rPr>
                      <w:t>80%</w:t>
                    </w:r>
                  </w:p>
                  <w:p>
                    <w:pPr>
                      <w:spacing w:before="167"/>
                      <w:ind w:left="65" w:right="0" w:firstLine="0"/>
                      <w:jc w:val="center"/>
                      <w:rPr>
                        <w:sz w:val="18"/>
                      </w:rPr>
                    </w:pPr>
                    <w:r>
                      <w:rPr>
                        <w:color w:val="585858"/>
                        <w:sz w:val="18"/>
                      </w:rPr>
                      <w:t>60%</w:t>
                    </w:r>
                  </w:p>
                  <w:p>
                    <w:pPr>
                      <w:spacing w:before="167"/>
                      <w:ind w:left="64" w:right="1" w:firstLine="0"/>
                      <w:jc w:val="center"/>
                      <w:rPr>
                        <w:sz w:val="18"/>
                      </w:rPr>
                    </w:pPr>
                    <w:r>
                      <w:rPr>
                        <w:color w:val="585858"/>
                        <w:sz w:val="18"/>
                      </w:rPr>
                      <w:t>40%</w:t>
                    </w:r>
                  </w:p>
                  <w:p>
                    <w:pPr>
                      <w:spacing w:before="167"/>
                      <w:ind w:left="67" w:right="1" w:firstLine="0"/>
                      <w:jc w:val="center"/>
                      <w:rPr>
                        <w:sz w:val="18"/>
                      </w:rPr>
                    </w:pPr>
                    <w:r>
                      <w:rPr>
                        <w:color w:val="585858"/>
                        <w:sz w:val="18"/>
                      </w:rPr>
                      <w:t>20%</w:t>
                    </w:r>
                  </w:p>
                  <w:p>
                    <w:pPr>
                      <w:spacing w:before="167"/>
                      <w:ind w:left="167" w:right="1" w:firstLine="0"/>
                      <w:jc w:val="center"/>
                      <w:rPr>
                        <w:sz w:val="18"/>
                      </w:rPr>
                    </w:pPr>
                    <w:r>
                      <w:rPr>
                        <w:color w:val="585858"/>
                        <w:sz w:val="18"/>
                      </w:rPr>
                      <w:t>0%</w:t>
                    </w:r>
                  </w:p>
                </w:txbxContent>
              </v:textbox>
              <w10:wrap type="none"/>
            </v:shape>
            <w10:wrap type="topAndBottom"/>
          </v:group>
        </w:pict>
      </w:r>
      <w:bookmarkStart w:name="_bookmark54" w:id="78"/>
      <w:bookmarkEnd w:id="78"/>
      <w:r>
        <w:rPr/>
      </w:r>
      <w:r>
        <w:rPr>
          <w:i/>
          <w:color w:val="A21F1F"/>
          <w:sz w:val="18"/>
        </w:rPr>
        <w:t>Figur 28: Forsyningsselskaber, der introducerede nye produkter og ydelser, hvori der indgår frie geodata, på </w:t>
      </w:r>
      <w:r>
        <w:rPr>
          <w:i/>
          <w:color w:val="A21F1F"/>
          <w:sz w:val="18"/>
        </w:rPr>
        <w:t>markedet, henholdsvis i 2012 og i 2016</w:t>
      </w:r>
    </w:p>
    <w:p>
      <w:pPr>
        <w:spacing w:before="86"/>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0"/>
        <w:ind w:left="278" w:right="0" w:firstLine="0"/>
        <w:jc w:val="left"/>
        <w:rPr>
          <w:i/>
          <w:sz w:val="18"/>
        </w:rPr>
      </w:pPr>
      <w:r>
        <w:rPr>
          <w:b/>
          <w:i/>
          <w:color w:val="A21F1F"/>
          <w:sz w:val="18"/>
        </w:rPr>
        <w:t>N</w:t>
      </w:r>
      <w:r>
        <w:rPr>
          <w:i/>
          <w:color w:val="A21F1F"/>
          <w:sz w:val="18"/>
        </w:rPr>
        <w:t>: 2016: 25 og 2012: 25</w:t>
      </w:r>
    </w:p>
    <w:p>
      <w:pPr>
        <w:pStyle w:val="BodyText"/>
        <w:spacing w:before="1"/>
        <w:rPr>
          <w:i/>
        </w:rPr>
      </w:pPr>
    </w:p>
    <w:p>
      <w:pPr>
        <w:pStyle w:val="BodyText"/>
        <w:spacing w:line="360" w:lineRule="auto"/>
        <w:ind w:left="278" w:right="1090"/>
      </w:pPr>
      <w:r>
        <w:rPr/>
        <w:t>Som det ses i </w:t>
      </w:r>
      <w:hyperlink w:history="true" w:anchor="_bookmark55">
        <w:r>
          <w:rPr/>
          <w:t>Figur 29 </w:t>
        </w:r>
      </w:hyperlink>
      <w:r>
        <w:rPr/>
        <w:t>nedenfor er det tydeligt, at de frie geodata spiller en betydelig rolle i forhold til tilrettelæggelsen af interne processer og arbejdsgange i forsyningsselskaberne. Ca. halvdelen af forsyningsselskaberne angiver, at de frie geodata har stor eller meget stor betydning for interne processer og arbejdsgange. Denne tendens blev desuden bekræftet under interviewet med Vandcenter Syd, hvor interviewpersonen vurderede, at alle medarbejderne i Vandcenter Syd havde en berøringsflade med de frie geodata i varetagelsen af deres daglige arbejdsopgaver.</w:t>
      </w:r>
    </w:p>
    <w:p>
      <w:pPr>
        <w:pStyle w:val="BodyText"/>
        <w:spacing w:before="3"/>
        <w:rPr>
          <w:sz w:val="21"/>
        </w:rPr>
      </w:pPr>
    </w:p>
    <w:p>
      <w:pPr>
        <w:spacing w:before="0"/>
        <w:ind w:left="278" w:right="1129" w:firstLine="0"/>
        <w:jc w:val="left"/>
        <w:rPr>
          <w:i/>
          <w:sz w:val="18"/>
        </w:rPr>
      </w:pPr>
      <w:r>
        <w:rPr/>
        <w:pict>
          <v:group style="position:absolute;margin-left:70.525002pt;margin-top:26.047924pt;width:461.55pt;height:186.6pt;mso-position-horizontal-relative:page;mso-position-vertical-relative:paragraph;z-index:5120;mso-wrap-distance-left:0;mso-wrap-distance-right:0" coordorigin="1411,521" coordsize="9231,3732">
            <v:rect style="position:absolute;left:1418;top:528;width:9216;height:3718" filled="true" fillcolor="#f1f1f1" stroked="false">
              <v:fill type="solid"/>
            </v:rect>
            <v:line style="position:absolute" from="4250,749" to="4250,852" stroked="true" strokeweight=".72pt" strokecolor="#d9d9d9">
              <v:stroke dashstyle="solid"/>
            </v:line>
            <v:line style="position:absolute" from="4250,1080" to="4250,1402" stroked="true" strokeweight=".72pt" strokecolor="#d9d9d9">
              <v:stroke dashstyle="solid"/>
            </v:line>
            <v:line style="position:absolute" from="4250,1515" to="4250,1836" stroked="true" strokeweight=".72pt" strokecolor="#d9d9d9">
              <v:stroke dashstyle="solid"/>
            </v:line>
            <v:line style="position:absolute" from="4250,1949" to="4250,2158" stroked="true" strokeweight=".72pt" strokecolor="#d9d9d9">
              <v:stroke dashstyle="solid"/>
            </v:line>
            <v:line style="position:absolute" from="4250,2384" to="4250,2592" stroked="true" strokeweight=".72pt" strokecolor="#d9d9d9">
              <v:stroke dashstyle="solid"/>
            </v:line>
            <v:line style="position:absolute" from="4250,2820" to="4250,3027" stroked="true" strokeweight=".72pt" strokecolor="#d9d9d9">
              <v:stroke dashstyle="solid"/>
            </v:line>
            <v:line style="position:absolute" from="4250,3255" to="4250,3358" stroked="true" strokeweight=".72pt" strokecolor="#d9d9d9">
              <v:stroke dashstyle="solid"/>
            </v:line>
            <v:line style="position:absolute" from="5105,749" to="5105,965" stroked="true" strokeweight=".72pt" strokecolor="#d9d9d9">
              <v:stroke dashstyle="solid"/>
            </v:line>
            <v:line style="position:absolute" from="5105,1080" to="5105,1402" stroked="true" strokeweight=".72pt" strokecolor="#d9d9d9">
              <v:stroke dashstyle="solid"/>
            </v:line>
            <v:line style="position:absolute" from="5105,1515" to="5105,1836" stroked="true" strokeweight=".72pt" strokecolor="#d9d9d9">
              <v:stroke dashstyle="solid"/>
            </v:line>
            <v:line style="position:absolute" from="5105,1949" to="5105,2158" stroked="true" strokeweight=".72pt" strokecolor="#d9d9d9">
              <v:stroke dashstyle="solid"/>
            </v:line>
            <v:line style="position:absolute" from="5105,2384" to="5105,2592" stroked="true" strokeweight=".72pt" strokecolor="#d9d9d9">
              <v:stroke dashstyle="solid"/>
            </v:line>
            <v:line style="position:absolute" from="5105,2820" to="5105,3027" stroked="true" strokeweight=".72pt" strokecolor="#d9d9d9">
              <v:stroke dashstyle="solid"/>
            </v:line>
            <v:line style="position:absolute" from="5105,3255" to="5105,3358" stroked="true" strokeweight=".72pt" strokecolor="#d9d9d9">
              <v:stroke dashstyle="solid"/>
            </v:line>
            <v:line style="position:absolute" from="5962,749" to="5962,2158" stroked="true" strokeweight=".72pt" strokecolor="#d9d9d9">
              <v:stroke dashstyle="solid"/>
            </v:line>
            <v:line style="position:absolute" from="5962,2384" to="5962,2592" stroked="true" strokeweight=".72pt" strokecolor="#d9d9d9">
              <v:stroke dashstyle="solid"/>
            </v:line>
            <v:line style="position:absolute" from="5962,2820" to="5962,3027" stroked="true" strokeweight=".72pt" strokecolor="#d9d9d9">
              <v:stroke dashstyle="solid"/>
            </v:line>
            <v:line style="position:absolute" from="5962,3255" to="5962,3358" stroked="true" strokeweight=".72pt" strokecolor="#d9d9d9">
              <v:stroke dashstyle="solid"/>
            </v:line>
            <v:line style="position:absolute" from="6816,749" to="6816,2158" stroked="true" strokeweight=".72pt" strokecolor="#d9d9d9">
              <v:stroke dashstyle="solid"/>
            </v:line>
            <v:line style="position:absolute" from="6816,2271" to="6816,2592" stroked="true" strokeweight=".72pt" strokecolor="#d9d9d9">
              <v:stroke dashstyle="solid"/>
            </v:line>
            <v:line style="position:absolute" from="6816,2705" to="6816,3027" stroked="true" strokeweight=".72pt" strokecolor="#d9d9d9">
              <v:stroke dashstyle="solid"/>
            </v:line>
            <v:line style="position:absolute" from="6816,3255" to="6816,3358" stroked="true" strokeweight=".72pt" strokecolor="#d9d9d9">
              <v:stroke dashstyle="solid"/>
            </v:line>
            <v:line style="position:absolute" from="7670,749" to="7670,2158" stroked="true" strokeweight=".72pt" strokecolor="#d9d9d9">
              <v:stroke dashstyle="solid"/>
            </v:line>
            <v:line style="position:absolute" from="7670,2271" to="7670,2592" stroked="true" strokeweight=".72pt" strokecolor="#d9d9d9">
              <v:stroke dashstyle="solid"/>
            </v:line>
            <v:line style="position:absolute" from="7670,2705" to="7670,3140" stroked="true" strokeweight=".72pt" strokecolor="#d9d9d9">
              <v:stroke dashstyle="solid"/>
            </v:line>
            <v:line style="position:absolute" from="7670,3255" to="7670,3358" stroked="true" strokeweight=".72pt" strokecolor="#d9d9d9">
              <v:stroke dashstyle="solid"/>
            </v:line>
            <v:line style="position:absolute" from="8525,749" to="8525,2158" stroked="true" strokeweight=".72pt" strokecolor="#d9d9d9">
              <v:stroke dashstyle="solid"/>
            </v:line>
            <v:line style="position:absolute" from="8525,2271" to="8525,2592" stroked="true" strokeweight=".72pt" strokecolor="#d9d9d9">
              <v:stroke dashstyle="solid"/>
            </v:line>
            <v:line style="position:absolute" from="8525,2705" to="8525,3358" stroked="true" strokeweight=".72pt" strokecolor="#d9d9d9">
              <v:stroke dashstyle="solid"/>
            </v:line>
            <v:line style="position:absolute" from="9379,749" to="9379,3358" stroked="true" strokeweight=".72pt" strokecolor="#d9d9d9">
              <v:stroke dashstyle="solid"/>
            </v:line>
            <v:line style="position:absolute" from="10234,749" to="10234,3358" stroked="true" strokeweight=".72pt" strokecolor="#d9d9d9">
              <v:stroke dashstyle="solid"/>
            </v:line>
            <v:line style="position:absolute" from="3396,3197" to="8184,3197" stroked="true" strokeweight="5.76pt" strokecolor="#bd8686">
              <v:stroke dashstyle="solid"/>
            </v:line>
            <v:line style="position:absolute" from="3396,2763" to="6132,2763" stroked="true" strokeweight="5.76pt" strokecolor="#bd8686">
              <v:stroke dashstyle="solid"/>
            </v:line>
            <v:line style="position:absolute" from="3396,2327" to="6816,2327" stroked="true" strokeweight="5.64pt" strokecolor="#bd8686">
              <v:stroke dashstyle="solid"/>
            </v:line>
            <v:line style="position:absolute" from="3396,1893" to="5448,1893" stroked="true" strokeweight="5.64pt" strokecolor="#bd8686">
              <v:stroke dashstyle="solid"/>
            </v:line>
            <v:line style="position:absolute" from="3396,1458" to="5448,1458" stroked="true" strokeweight="5.64pt" strokecolor="#bd8686">
              <v:stroke dashstyle="solid"/>
            </v:line>
            <v:line style="position:absolute" from="3396,1023" to="5448,1023" stroked="true" strokeweight="5.76pt" strokecolor="#bd8686">
              <v:stroke dashstyle="solid"/>
            </v:line>
            <v:line style="position:absolute" from="3396,3083" to="7114,3083" stroked="true" strokeweight="5.64pt" strokecolor="#901b1b">
              <v:stroke dashstyle="solid"/>
            </v:line>
            <v:line style="position:absolute" from="3396,2649" to="9343,2649" stroked="true" strokeweight="5.64pt" strokecolor="#901b1b">
              <v:stroke dashstyle="solid"/>
            </v:line>
            <v:line style="position:absolute" from="3396,2214" to="8599,2214" stroked="true" strokeweight="5.64pt" strokecolor="#901b1b">
              <v:stroke dashstyle="solid"/>
            </v:line>
            <v:line style="position:absolute" from="3396,1344" to="4140,1344" stroked="true" strokeweight="5.76pt" strokecolor="#901b1b">
              <v:stroke dashstyle="solid"/>
            </v:line>
            <v:line style="position:absolute" from="3396,909" to="4884,909" stroked="true" strokeweight="5.64pt" strokecolor="#901b1b">
              <v:stroke dashstyle="solid"/>
            </v:line>
            <v:line style="position:absolute" from="3396,3358" to="3396,749" stroked="true" strokeweight=".72pt" strokecolor="#d9d9d9">
              <v:stroke dashstyle="solid"/>
            </v:line>
            <v:line style="position:absolute" from="3341,3358" to="3396,3358" stroked="true" strokeweight=".72pt" strokecolor="#d9d9d9">
              <v:stroke dashstyle="solid"/>
            </v:line>
            <v:line style="position:absolute" from="3341,2924" to="3396,2924" stroked="true" strokeweight=".72pt" strokecolor="#d9d9d9">
              <v:stroke dashstyle="solid"/>
            </v:line>
            <v:line style="position:absolute" from="3341,2489" to="3396,2489" stroked="true" strokeweight=".72pt" strokecolor="#d9d9d9">
              <v:stroke dashstyle="solid"/>
            </v:line>
            <v:line style="position:absolute" from="3341,2052" to="3396,2052" stroked="true" strokeweight=".72pt" strokecolor="#d9d9d9">
              <v:stroke dashstyle="solid"/>
            </v:line>
            <v:line style="position:absolute" from="3341,1618" to="3396,1618" stroked="true" strokeweight=".72pt" strokecolor="#d9d9d9">
              <v:stroke dashstyle="solid"/>
            </v:line>
            <v:line style="position:absolute" from="3341,1184" to="3396,1184" stroked="true" strokeweight=".72pt" strokecolor="#d9d9d9">
              <v:stroke dashstyle="solid"/>
            </v:line>
            <v:line style="position:absolute" from="3341,749" to="3396,749" stroked="true" strokeweight=".72pt" strokecolor="#d9d9d9">
              <v:stroke dashstyle="solid"/>
            </v:line>
            <v:rect style="position:absolute;left:5474;top:3917;width:94;height:94" filled="true" fillcolor="#901b1b" stroked="false">
              <v:fill type="solid"/>
            </v:rect>
            <v:rect style="position:absolute;left:6124;top:3917;width:94;height:94" filled="true" fillcolor="#bd8686" stroked="false">
              <v:fill type="solid"/>
            </v:rect>
            <v:rect style="position:absolute;left:1418;top:528;width:9216;height:3717" filled="false" stroked="true" strokeweight=".75pt" strokecolor="#d9d9d9">
              <v:stroke dashstyle="solid"/>
            </v:rect>
            <v:shape style="position:absolute;left:5606;top:3858;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10056;top:3470;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9210;top:3470;width:362;height:205" type="#_x0000_t202" filled="false" stroked="false">
              <v:textbox inset="0,0,0,0">
                <w:txbxContent>
                  <w:p>
                    <w:pPr>
                      <w:spacing w:before="0"/>
                      <w:ind w:left="0" w:right="0" w:firstLine="0"/>
                      <w:jc w:val="left"/>
                      <w:rPr>
                        <w:sz w:val="18"/>
                      </w:rPr>
                    </w:pPr>
                    <w:r>
                      <w:rPr>
                        <w:color w:val="585858"/>
                        <w:sz w:val="18"/>
                      </w:rPr>
                      <w:t>35%</w:t>
                    </w:r>
                  </w:p>
                </w:txbxContent>
              </v:textbox>
              <w10:wrap type="none"/>
            </v:shape>
            <v:shape style="position:absolute;left:8347;top:3470;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7500;top:3470;width:364;height:205" type="#_x0000_t202" filled="false" stroked="false">
              <v:textbox inset="0,0,0,0">
                <w:txbxContent>
                  <w:p>
                    <w:pPr>
                      <w:spacing w:before="0"/>
                      <w:ind w:left="0" w:right="0" w:firstLine="0"/>
                      <w:jc w:val="left"/>
                      <w:rPr>
                        <w:sz w:val="18"/>
                      </w:rPr>
                    </w:pPr>
                    <w:r>
                      <w:rPr>
                        <w:color w:val="585858"/>
                        <w:sz w:val="18"/>
                      </w:rPr>
                      <w:t>25%</w:t>
                    </w:r>
                  </w:p>
                </w:txbxContent>
              </v:textbox>
              <w10:wrap type="none"/>
            </v:shape>
            <v:shape style="position:absolute;left:6637;top:3470;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5801;top:3470;width:340;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4939;top:3470;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4130;top:3470;width:265;height:205" type="#_x0000_t202" filled="false" stroked="false">
              <v:textbox inset="0,0,0,0">
                <w:txbxContent>
                  <w:p>
                    <w:pPr>
                      <w:spacing w:before="0"/>
                      <w:ind w:left="0" w:right="0" w:firstLine="0"/>
                      <w:jc w:val="left"/>
                      <w:rPr>
                        <w:sz w:val="18"/>
                      </w:rPr>
                    </w:pPr>
                    <w:r>
                      <w:rPr>
                        <w:color w:val="585858"/>
                        <w:sz w:val="18"/>
                      </w:rPr>
                      <w:t>5%</w:t>
                    </w:r>
                  </w:p>
                </w:txbxContent>
              </v:textbox>
              <w10:wrap type="none"/>
            </v:shape>
            <v:shape style="position:absolute;left:3268;top:3470;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859;width:1713;height:2380" type="#_x0000_t202" filled="false" stroked="false">
              <v:textbox inset="0,0,0,0">
                <w:txbxContent>
                  <w:p>
                    <w:pPr>
                      <w:spacing w:line="511" w:lineRule="auto" w:before="0"/>
                      <w:ind w:left="258" w:right="18" w:firstLine="746"/>
                      <w:jc w:val="right"/>
                      <w:rPr>
                        <w:sz w:val="18"/>
                      </w:rPr>
                    </w:pPr>
                    <w:r>
                      <w:rPr>
                        <w:color w:val="585858"/>
                        <w:sz w:val="18"/>
                      </w:rPr>
                      <w:t>Ved</w:t>
                    </w:r>
                    <w:r>
                      <w:rPr>
                        <w:color w:val="585858"/>
                        <w:spacing w:val="-1"/>
                        <w:sz w:val="18"/>
                      </w:rPr>
                      <w:t> </w:t>
                    </w:r>
                    <w:r>
                      <w:rPr>
                        <w:color w:val="585858"/>
                        <w:spacing w:val="-4"/>
                        <w:sz w:val="18"/>
                      </w:rPr>
                      <w:t>ikke</w:t>
                    </w:r>
                    <w:r>
                      <w:rPr>
                        <w:color w:val="585858"/>
                        <w:sz w:val="18"/>
                      </w:rPr>
                      <w:t> Ingen</w:t>
                    </w:r>
                    <w:r>
                      <w:rPr>
                        <w:color w:val="585858"/>
                        <w:spacing w:val="-8"/>
                        <w:sz w:val="18"/>
                      </w:rPr>
                      <w:t> </w:t>
                    </w:r>
                    <w:r>
                      <w:rPr>
                        <w:color w:val="585858"/>
                        <w:sz w:val="18"/>
                      </w:rPr>
                      <w:t>betydning Mindre</w:t>
                    </w:r>
                    <w:r>
                      <w:rPr>
                        <w:color w:val="585858"/>
                        <w:spacing w:val="-8"/>
                        <w:sz w:val="18"/>
                      </w:rPr>
                      <w:t> </w:t>
                    </w:r>
                    <w:r>
                      <w:rPr>
                        <w:color w:val="585858"/>
                        <w:sz w:val="18"/>
                      </w:rPr>
                      <w:t>betydning Nogen</w:t>
                    </w:r>
                    <w:r>
                      <w:rPr>
                        <w:color w:val="585858"/>
                        <w:spacing w:val="-9"/>
                        <w:sz w:val="18"/>
                      </w:rPr>
                      <w:t> </w:t>
                    </w:r>
                    <w:r>
                      <w:rPr>
                        <w:color w:val="585858"/>
                        <w:sz w:val="18"/>
                      </w:rPr>
                      <w:t>betydning Stor</w:t>
                    </w:r>
                    <w:r>
                      <w:rPr>
                        <w:color w:val="585858"/>
                        <w:spacing w:val="-5"/>
                        <w:sz w:val="18"/>
                      </w:rPr>
                      <w:t> </w:t>
                    </w:r>
                    <w:r>
                      <w:rPr>
                        <w:color w:val="585858"/>
                        <w:sz w:val="18"/>
                      </w:rPr>
                      <w:t>betydning</w:t>
                    </w:r>
                  </w:p>
                  <w:p>
                    <w:pPr>
                      <w:spacing w:line="201" w:lineRule="exact" w:before="0"/>
                      <w:ind w:left="0" w:right="20" w:firstLine="0"/>
                      <w:jc w:val="right"/>
                      <w:rPr>
                        <w:sz w:val="18"/>
                      </w:rPr>
                    </w:pPr>
                    <w:r>
                      <w:rPr>
                        <w:color w:val="585858"/>
                        <w:sz w:val="18"/>
                      </w:rPr>
                      <w:t>Meget stor</w:t>
                    </w:r>
                    <w:r>
                      <w:rPr>
                        <w:color w:val="585858"/>
                        <w:spacing w:val="-11"/>
                        <w:sz w:val="18"/>
                      </w:rPr>
                      <w:t> </w:t>
                    </w:r>
                    <w:r>
                      <w:rPr>
                        <w:color w:val="585858"/>
                        <w:sz w:val="18"/>
                      </w:rPr>
                      <w:t>betydning</w:t>
                    </w:r>
                  </w:p>
                </w:txbxContent>
              </v:textbox>
              <w10:wrap type="none"/>
            </v:shape>
            <w10:wrap type="topAndBottom"/>
          </v:group>
        </w:pict>
      </w:r>
      <w:bookmarkStart w:name="_bookmark55" w:id="79"/>
      <w:bookmarkEnd w:id="79"/>
      <w:r>
        <w:rPr/>
      </w:r>
      <w:r>
        <w:rPr>
          <w:i/>
          <w:color w:val="A21F1F"/>
          <w:sz w:val="18"/>
        </w:rPr>
        <w:t>Figur 29: Betydning af geodata for interne processer og arbejdsgange i forsyningsselskaber, henholdsvis i 2012 og i </w:t>
      </w:r>
      <w:r>
        <w:rPr>
          <w:i/>
          <w:color w:val="A21F1F"/>
          <w:sz w:val="18"/>
        </w:rPr>
        <w:t>2016</w:t>
      </w:r>
    </w:p>
    <w:p>
      <w:pPr>
        <w:spacing w:before="86"/>
        <w:ind w:left="278" w:right="0" w:firstLine="0"/>
        <w:jc w:val="left"/>
        <w:rPr>
          <w:i/>
          <w:sz w:val="18"/>
        </w:rPr>
      </w:pPr>
      <w:r>
        <w:rPr>
          <w:b/>
          <w:i/>
          <w:color w:val="A21F1F"/>
          <w:sz w:val="18"/>
        </w:rPr>
        <w:t>Kilde</w:t>
      </w:r>
      <w:r>
        <w:rPr>
          <w:i/>
          <w:color w:val="A21F1F"/>
          <w:sz w:val="18"/>
        </w:rPr>
        <w:t>: Før-måling og spørgeskemaundersøgelse udført blandt forsyningsselskaber</w:t>
      </w:r>
    </w:p>
    <w:p>
      <w:pPr>
        <w:pStyle w:val="BodyText"/>
        <w:spacing w:before="10"/>
        <w:rPr>
          <w:i/>
          <w:sz w:val="17"/>
        </w:rPr>
      </w:pPr>
    </w:p>
    <w:p>
      <w:pPr>
        <w:spacing w:before="0"/>
        <w:ind w:left="278" w:right="0" w:firstLine="0"/>
        <w:jc w:val="left"/>
        <w:rPr>
          <w:i/>
          <w:sz w:val="18"/>
        </w:rPr>
      </w:pPr>
      <w:r>
        <w:rPr>
          <w:b/>
          <w:i/>
          <w:color w:val="A21F1F"/>
          <w:sz w:val="18"/>
        </w:rPr>
        <w:t>N</w:t>
      </w:r>
      <w:r>
        <w:rPr>
          <w:i/>
          <w:color w:val="A21F1F"/>
          <w:sz w:val="18"/>
        </w:rPr>
        <w:t>: 2016: 25 og 2012: 25</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Vi har også bedt forsyningsselskaberne angive, hvor mange procents omkostningsreduktion de frie geodata</w:t>
      </w:r>
    </w:p>
    <w:p>
      <w:pPr>
        <w:pStyle w:val="BodyText"/>
        <w:spacing w:line="360" w:lineRule="auto" w:before="114"/>
        <w:ind w:left="278" w:right="1072"/>
      </w:pPr>
      <w:r>
        <w:rPr/>
        <w:t>har medført. I </w:t>
      </w:r>
      <w:hyperlink w:history="true" w:anchor="_bookmark56">
        <w:r>
          <w:rPr/>
          <w:t>Figur 30 </w:t>
        </w:r>
      </w:hyperlink>
      <w:r>
        <w:rPr/>
        <w:t>herunder ses det, at der er en begrænset omkostningsreduktion som følge af de frie geodata. Det skal dog bemærkes, at godt en tredjedel af forsyningsselskaberne enten ikke ved, hvilken omkostningsreduktion de frie geodata har medført, eller ikke vurderer, at det relevant for dem. Det kan muligvis forklares ved, at undersøgelsens respondenter ikke har tilstrækkelig indsigt i de pågældende forsyningsselskabers samlede økonomi til at vurdere omfanget af heraf.</w:t>
      </w:r>
    </w:p>
    <w:p>
      <w:pPr>
        <w:pStyle w:val="BodyText"/>
        <w:rPr>
          <w:sz w:val="21"/>
        </w:rPr>
      </w:pPr>
    </w:p>
    <w:p>
      <w:pPr>
        <w:spacing w:before="0"/>
        <w:ind w:left="278" w:right="1024" w:firstLine="0"/>
        <w:jc w:val="left"/>
        <w:rPr>
          <w:i/>
          <w:sz w:val="18"/>
        </w:rPr>
      </w:pPr>
      <w:r>
        <w:rPr/>
        <w:pict>
          <v:group style="position:absolute;margin-left:70.525002pt;margin-top:26.187937pt;width:461.55pt;height:208.2pt;mso-position-horizontal-relative:page;mso-position-vertical-relative:paragraph;z-index:5384;mso-wrap-distance-left:0;mso-wrap-distance-right:0" coordorigin="1411,524" coordsize="9231,4164">
            <v:rect style="position:absolute;left:1418;top:531;width:9216;height:4150" filled="true" fillcolor="#f1f1f1" stroked="false">
              <v:fill type="solid"/>
            </v:rect>
            <v:line style="position:absolute" from="10157,3054" to="10414,3054" stroked="true" strokeweight=".72pt" strokecolor="#d9d9d9">
              <v:stroke dashstyle="solid"/>
            </v:line>
            <v:line style="position:absolute" from="9862,3054" to="9924,3054" stroked="true" strokeweight=".72pt" strokecolor="#d9d9d9">
              <v:stroke dashstyle="solid"/>
            </v:line>
            <v:line style="position:absolute" from="7027,3054" to="9626,3054" stroked="true" strokeweight=".72pt" strokecolor="#d9d9d9">
              <v:stroke dashstyle="solid"/>
            </v:line>
            <v:line style="position:absolute" from="4642,3054" to="6792,3054" stroked="true" strokeweight=".72pt" strokecolor="#d9d9d9">
              <v:stroke dashstyle="solid"/>
            </v:line>
            <v:line style="position:absolute" from="3895,3054" to="4409,3054" stroked="true" strokeweight=".72pt" strokecolor="#d9d9d9">
              <v:stroke dashstyle="solid"/>
            </v:line>
            <v:line style="position:absolute" from="3598,3054" to="3662,3054" stroked="true" strokeweight=".72pt" strokecolor="#d9d9d9">
              <v:stroke dashstyle="solid"/>
            </v:line>
            <v:line style="position:absolute" from="2851,3054" to="3365,3054" stroked="true" strokeweight=".72pt" strokecolor="#d9d9d9">
              <v:stroke dashstyle="solid"/>
            </v:line>
            <v:line style="position:absolute" from="2556,3054" to="2618,3054" stroked="true" strokeweight=".72pt" strokecolor="#d9d9d9">
              <v:stroke dashstyle="solid"/>
            </v:line>
            <v:line style="position:absolute" from="2064,3054" to="2321,3054" stroked="true" strokeweight=".72pt" strokecolor="#d9d9d9">
              <v:stroke dashstyle="solid"/>
            </v:line>
            <v:line style="position:absolute" from="10157,2725" to="10414,2725" stroked="true" strokeweight=".72pt" strokecolor="#d9d9d9">
              <v:stroke dashstyle="solid"/>
            </v:line>
            <v:line style="position:absolute" from="9862,2725" to="9924,2725" stroked="true" strokeweight=".72pt" strokecolor="#d9d9d9">
              <v:stroke dashstyle="solid"/>
            </v:line>
            <v:line style="position:absolute" from="3895,2725" to="9626,2725" stroked="true" strokeweight=".72pt" strokecolor="#d9d9d9">
              <v:stroke dashstyle="solid"/>
            </v:line>
            <v:line style="position:absolute" from="3598,2725" to="3662,2725" stroked="true" strokeweight=".72pt" strokecolor="#d9d9d9">
              <v:stroke dashstyle="solid"/>
            </v:line>
            <v:line style="position:absolute" from="2851,2725" to="3365,2725" stroked="true" strokeweight=".72pt" strokecolor="#d9d9d9">
              <v:stroke dashstyle="solid"/>
            </v:line>
            <v:line style="position:absolute" from="2556,2725" to="2618,2725" stroked="true" strokeweight=".72pt" strokecolor="#d9d9d9">
              <v:stroke dashstyle="solid"/>
            </v:line>
            <v:line style="position:absolute" from="2064,2725" to="2321,2725" stroked="true" strokeweight=".72pt" strokecolor="#d9d9d9">
              <v:stroke dashstyle="solid"/>
            </v:line>
            <v:line style="position:absolute" from="10157,2397" to="10414,2397" stroked="true" strokeweight=".72pt" strokecolor="#d9d9d9">
              <v:stroke dashstyle="solid"/>
            </v:line>
            <v:line style="position:absolute" from="9862,2397" to="9924,2397" stroked="true" strokeweight=".72pt" strokecolor="#d9d9d9">
              <v:stroke dashstyle="solid"/>
            </v:line>
            <v:line style="position:absolute" from="3895,2397" to="9626,2397" stroked="true" strokeweight=".72pt" strokecolor="#d9d9d9">
              <v:stroke dashstyle="solid"/>
            </v:line>
            <v:line style="position:absolute" from="3598,2397" to="3662,2397" stroked="true" strokeweight=".72pt" strokecolor="#d9d9d9">
              <v:stroke dashstyle="solid"/>
            </v:line>
            <v:line style="position:absolute" from="2851,2397" to="3365,2397" stroked="true" strokeweight=".72pt" strokecolor="#d9d9d9">
              <v:stroke dashstyle="solid"/>
            </v:line>
            <v:line style="position:absolute" from="2556,2397" to="2618,2397" stroked="true" strokeweight=".72pt" strokecolor="#d9d9d9">
              <v:stroke dashstyle="solid"/>
            </v:line>
            <v:line style="position:absolute" from="2064,2397" to="2321,2397" stroked="true" strokeweight=".72pt" strokecolor="#d9d9d9">
              <v:stroke dashstyle="solid"/>
            </v:line>
            <v:line style="position:absolute" from="10157,2068" to="10414,2068" stroked="true" strokeweight=".72pt" strokecolor="#d9d9d9">
              <v:stroke dashstyle="solid"/>
            </v:line>
            <v:line style="position:absolute" from="9862,2068" to="9924,2068" stroked="true" strokeweight=".72pt" strokecolor="#d9d9d9">
              <v:stroke dashstyle="solid"/>
            </v:line>
            <v:line style="position:absolute" from="3598,2068" to="9626,2068" stroked="true" strokeweight=".72pt" strokecolor="#d9d9d9">
              <v:stroke dashstyle="solid"/>
            </v:line>
            <v:line style="position:absolute" from="2851,2068" to="3365,2068" stroked="true" strokeweight=".72pt" strokecolor="#d9d9d9">
              <v:stroke dashstyle="solid"/>
            </v:line>
            <v:line style="position:absolute" from="2556,2068" to="2618,2068" stroked="true" strokeweight=".72pt" strokecolor="#d9d9d9">
              <v:stroke dashstyle="solid"/>
            </v:line>
            <v:line style="position:absolute" from="2064,2068" to="2321,2068" stroked="true" strokeweight=".72pt" strokecolor="#d9d9d9">
              <v:stroke dashstyle="solid"/>
            </v:line>
            <v:line style="position:absolute" from="10157,1739" to="10414,1739" stroked="true" strokeweight=".72pt" strokecolor="#d9d9d9">
              <v:stroke dashstyle="solid"/>
            </v:line>
            <v:line style="position:absolute" from="9862,1739" to="9924,1739" stroked="true" strokeweight=".72pt" strokecolor="#d9d9d9">
              <v:stroke dashstyle="solid"/>
            </v:line>
            <v:line style="position:absolute" from="3598,1739" to="9626,1739" stroked="true" strokeweight=".72pt" strokecolor="#d9d9d9">
              <v:stroke dashstyle="solid"/>
            </v:line>
            <v:line style="position:absolute" from="2851,1739" to="3365,1739" stroked="true" strokeweight=".72pt" strokecolor="#d9d9d9">
              <v:stroke dashstyle="solid"/>
            </v:line>
            <v:line style="position:absolute" from="2064,1739" to="2618,1739" stroked="true" strokeweight=".72pt" strokecolor="#d9d9d9">
              <v:stroke dashstyle="solid"/>
            </v:line>
            <v:line style="position:absolute" from="10157,1410" to="10414,1410" stroked="true" strokeweight=".72pt" strokecolor="#d9d9d9">
              <v:stroke dashstyle="solid"/>
            </v:line>
            <v:line style="position:absolute" from="9862,1410" to="9924,1410" stroked="true" strokeweight=".72pt" strokecolor="#d9d9d9">
              <v:stroke dashstyle="solid"/>
            </v:line>
            <v:line style="position:absolute" from="2851,1410" to="9626,1410" stroked="true" strokeweight=".72pt" strokecolor="#d9d9d9">
              <v:stroke dashstyle="solid"/>
            </v:line>
            <v:line style="position:absolute" from="2064,1410" to="2618,1410" stroked="true" strokeweight=".72pt" strokecolor="#d9d9d9">
              <v:stroke dashstyle="solid"/>
            </v:line>
            <v:line style="position:absolute" from="9862,1081" to="10414,1081" stroked="true" strokeweight=".72pt" strokecolor="#d9d9d9">
              <v:stroke dashstyle="solid"/>
            </v:line>
            <v:line style="position:absolute" from="2064,1081" to="9626,1081" stroked="true" strokeweight=".72pt" strokecolor="#d9d9d9">
              <v:stroke dashstyle="solid"/>
            </v:line>
            <v:line style="position:absolute" from="2064,750" to="10414,750" stroked="true" strokeweight=".72pt" strokecolor="#d9d9d9">
              <v:stroke dashstyle="solid"/>
            </v:line>
            <v:rect style="position:absolute;left:2320;top:1952;width:236;height:1431" filled="true" fillcolor="#901b1b" stroked="false">
              <v:fill type="solid"/>
            </v:rect>
            <v:rect style="position:absolute;left:3364;top:1667;width:233;height:1716" filled="true" fillcolor="#901b1b" stroked="false">
              <v:fill type="solid"/>
            </v:rect>
            <v:rect style="position:absolute;left:4408;top:2811;width:233;height:572" filled="true" fillcolor="#901b1b" stroked="false">
              <v:fill type="solid"/>
            </v:rect>
            <v:rect style="position:absolute;left:9626;top:807;width:236;height:2576" filled="true" fillcolor="#901b1b" stroked="false">
              <v:fill type="solid"/>
            </v:rect>
            <v:rect style="position:absolute;left:2618;top:1278;width:233;height:2105" filled="true" fillcolor="#bd8686" stroked="false">
              <v:fill type="solid"/>
            </v:rect>
            <v:rect style="position:absolute;left:3662;top:2067;width:233;height:1316" filled="true" fillcolor="#bd8686" stroked="false">
              <v:fill type="solid"/>
            </v:rect>
            <v:rect style="position:absolute;left:4706;top:3121;width:233;height:262" filled="true" fillcolor="#bd8686" stroked="false">
              <v:fill type="solid"/>
            </v:rect>
            <v:rect style="position:absolute;left:5748;top:3121;width:236;height:262" filled="true" fillcolor="#bd8686" stroked="false">
              <v:fill type="solid"/>
            </v:rect>
            <v:rect style="position:absolute;left:6792;top:2857;width:236;height:526" filled="true" fillcolor="#bd8686" stroked="false">
              <v:fill type="solid"/>
            </v:rect>
            <v:rect style="position:absolute;left:9924;top:1278;width:233;height:2105" filled="true" fillcolor="#bd8686" stroked="false">
              <v:fill type="solid"/>
            </v:rect>
            <v:line style="position:absolute" from="2064,3383" to="10414,3383" stroked="true" strokeweight=".72pt" strokecolor="#d9d9d9">
              <v:stroke dashstyle="solid"/>
            </v:line>
            <v:rect style="position:absolute;left:5474;top:4352;width:94;height:94" filled="true" fillcolor="#901b1b" stroked="false">
              <v:fill type="solid"/>
            </v:rect>
            <v:rect style="position:absolute;left:6124;top:4352;width:94;height:94" filled="true" fillcolor="#bd8686" stroked="false">
              <v:fill type="solid"/>
            </v:rect>
            <v:rect style="position:absolute;left:1418;top:531;width:9216;height:4149" filled="false" stroked="true" strokeweight=".75pt" strokecolor="#d9d9d9">
              <v:stroke dashstyle="solid"/>
            </v:rect>
            <v:shape style="position:absolute;left:5606;top:4292;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8497;top:3495;width:1792;height:614" type="#_x0000_t202" filled="false" stroked="false">
              <v:textbox inset="0,0,0,0">
                <w:txbxContent>
                  <w:p>
                    <w:pPr>
                      <w:tabs>
                        <w:tab w:pos="1241" w:val="left" w:leader="none"/>
                      </w:tabs>
                      <w:spacing w:before="0"/>
                      <w:ind w:left="0" w:right="0" w:firstLine="0"/>
                      <w:jc w:val="left"/>
                      <w:rPr>
                        <w:sz w:val="18"/>
                      </w:rPr>
                    </w:pPr>
                    <w:r>
                      <w:rPr>
                        <w:color w:val="585858"/>
                        <w:sz w:val="18"/>
                      </w:rPr>
                      <w:t>76-100%</w:t>
                      <w:tab/>
                      <w:t>Ved</w:t>
                    </w:r>
                  </w:p>
                  <w:p>
                    <w:pPr>
                      <w:spacing w:before="0"/>
                      <w:ind w:left="1072" w:right="1" w:hanging="51"/>
                      <w:jc w:val="left"/>
                      <w:rPr>
                        <w:sz w:val="18"/>
                      </w:rPr>
                    </w:pPr>
                    <w:r>
                      <w:rPr>
                        <w:color w:val="585858"/>
                        <w:sz w:val="18"/>
                      </w:rPr>
                      <w:t>ikke/ikke relevant</w:t>
                    </w:r>
                  </w:p>
                </w:txbxContent>
              </v:textbox>
              <w10:wrap type="none"/>
            </v:shape>
            <v:shape style="position:absolute;left:7520;top:3495;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6451;top:3495;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5436;top:3495;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4422;top:3495;width:525;height:205" type="#_x0000_t202" filled="false" stroked="false">
              <v:textbox inset="0,0,0,0">
                <w:txbxContent>
                  <w:p>
                    <w:pPr>
                      <w:spacing w:before="0"/>
                      <w:ind w:left="0" w:right="0" w:firstLine="0"/>
                      <w:jc w:val="left"/>
                      <w:rPr>
                        <w:sz w:val="18"/>
                      </w:rPr>
                    </w:pPr>
                    <w:r>
                      <w:rPr>
                        <w:color w:val="585858"/>
                        <w:sz w:val="18"/>
                      </w:rPr>
                      <w:t>6-10%</w:t>
                    </w:r>
                  </w:p>
                </w:txbxContent>
              </v:textbox>
              <w10:wrap type="none"/>
            </v:shape>
            <v:shape style="position:absolute;left:3437;top:3495;width:408;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2458;top:3495;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44;width:382;height:2838" type="#_x0000_t202" filled="false" stroked="false">
              <v:textbox inset="0,0,0,0">
                <w:txbxContent>
                  <w:p>
                    <w:pPr>
                      <w:spacing w:before="0"/>
                      <w:ind w:left="-1" w:right="20" w:firstLine="0"/>
                      <w:jc w:val="center"/>
                      <w:rPr>
                        <w:sz w:val="18"/>
                      </w:rPr>
                    </w:pPr>
                    <w:r>
                      <w:rPr>
                        <w:color w:val="585858"/>
                        <w:sz w:val="18"/>
                      </w:rPr>
                      <w:t>40%</w:t>
                    </w:r>
                  </w:p>
                  <w:p>
                    <w:pPr>
                      <w:spacing w:before="124"/>
                      <w:ind w:left="17" w:right="0" w:firstLine="0"/>
                      <w:jc w:val="left"/>
                      <w:rPr>
                        <w:sz w:val="18"/>
                      </w:rPr>
                    </w:pPr>
                    <w:r>
                      <w:rPr>
                        <w:color w:val="585858"/>
                        <w:sz w:val="18"/>
                      </w:rPr>
                      <w:t>35%</w:t>
                    </w:r>
                  </w:p>
                  <w:p>
                    <w:pPr>
                      <w:spacing w:before="125"/>
                      <w:ind w:left="0" w:right="18" w:firstLine="0"/>
                      <w:jc w:val="center"/>
                      <w:rPr>
                        <w:sz w:val="18"/>
                      </w:rPr>
                    </w:pPr>
                    <w:r>
                      <w:rPr>
                        <w:color w:val="585858"/>
                        <w:sz w:val="18"/>
                      </w:rPr>
                      <w:t>30%</w:t>
                    </w:r>
                  </w:p>
                  <w:p>
                    <w:pPr>
                      <w:spacing w:before="125"/>
                      <w:ind w:left="0" w:right="2" w:firstLine="0"/>
                      <w:jc w:val="center"/>
                      <w:rPr>
                        <w:sz w:val="18"/>
                      </w:rPr>
                    </w:pPr>
                    <w:r>
                      <w:rPr>
                        <w:color w:val="585858"/>
                        <w:sz w:val="18"/>
                      </w:rPr>
                      <w:t>25%</w:t>
                    </w:r>
                  </w:p>
                  <w:p>
                    <w:pPr>
                      <w:spacing w:before="124"/>
                      <w:ind w:left="0" w:right="18" w:firstLine="0"/>
                      <w:jc w:val="center"/>
                      <w:rPr>
                        <w:sz w:val="18"/>
                      </w:rPr>
                    </w:pPr>
                    <w:r>
                      <w:rPr>
                        <w:color w:val="585858"/>
                        <w:sz w:val="18"/>
                      </w:rPr>
                      <w:t>20%</w:t>
                    </w:r>
                  </w:p>
                  <w:p>
                    <w:pPr>
                      <w:spacing w:before="124"/>
                      <w:ind w:left="39" w:right="0" w:firstLine="0"/>
                      <w:jc w:val="left"/>
                      <w:rPr>
                        <w:sz w:val="18"/>
                      </w:rPr>
                    </w:pPr>
                    <w:r>
                      <w:rPr>
                        <w:color w:val="585858"/>
                        <w:sz w:val="18"/>
                      </w:rPr>
                      <w:t>15%</w:t>
                    </w:r>
                  </w:p>
                  <w:p>
                    <w:pPr>
                      <w:spacing w:before="125"/>
                      <w:ind w:left="23" w:right="0" w:firstLine="0"/>
                      <w:jc w:val="left"/>
                      <w:rPr>
                        <w:sz w:val="18"/>
                      </w:rPr>
                    </w:pPr>
                    <w:r>
                      <w:rPr>
                        <w:color w:val="585858"/>
                        <w:sz w:val="18"/>
                      </w:rPr>
                      <w:t>10%</w:t>
                    </w:r>
                  </w:p>
                  <w:p>
                    <w:pPr>
                      <w:spacing w:before="125"/>
                      <w:ind w:left="98" w:right="1" w:firstLine="0"/>
                      <w:jc w:val="center"/>
                      <w:rPr>
                        <w:sz w:val="18"/>
                      </w:rPr>
                    </w:pPr>
                    <w:r>
                      <w:rPr>
                        <w:color w:val="585858"/>
                        <w:sz w:val="18"/>
                      </w:rPr>
                      <w:t>5%</w:t>
                    </w:r>
                  </w:p>
                  <w:p>
                    <w:pPr>
                      <w:spacing w:before="124"/>
                      <w:ind w:left="81" w:right="2" w:firstLine="0"/>
                      <w:jc w:val="center"/>
                      <w:rPr>
                        <w:sz w:val="18"/>
                      </w:rPr>
                    </w:pPr>
                    <w:r>
                      <w:rPr>
                        <w:color w:val="585858"/>
                        <w:sz w:val="18"/>
                      </w:rPr>
                      <w:t>0%</w:t>
                    </w:r>
                  </w:p>
                </w:txbxContent>
              </v:textbox>
              <w10:wrap type="none"/>
            </v:shape>
            <w10:wrap type="topAndBottom"/>
          </v:group>
        </w:pict>
      </w:r>
      <w:bookmarkStart w:name="_bookmark56" w:id="80"/>
      <w:bookmarkEnd w:id="80"/>
      <w:r>
        <w:rPr/>
      </w:r>
      <w:r>
        <w:rPr>
          <w:i/>
          <w:color w:val="A21F1F"/>
          <w:sz w:val="18"/>
        </w:rPr>
        <w:t>Figur 30: Forsyningsselskaber fordelt på størrelsen af omkostningsreduktion som følge af brugen af de frie geodata i </w:t>
      </w:r>
      <w:r>
        <w:rPr>
          <w:i/>
          <w:color w:val="A21F1F"/>
          <w:sz w:val="18"/>
        </w:rPr>
        <w:t>interne processer og opgaver, henholdsvis i 2012 og i 2016</w:t>
      </w:r>
    </w:p>
    <w:p>
      <w:pPr>
        <w:spacing w:before="102"/>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20"/>
        <w:ind w:left="278" w:right="0" w:firstLine="0"/>
        <w:jc w:val="left"/>
        <w:rPr>
          <w:i/>
          <w:sz w:val="18"/>
        </w:rPr>
      </w:pPr>
      <w:r>
        <w:rPr>
          <w:b/>
          <w:i/>
          <w:color w:val="A21F1F"/>
          <w:sz w:val="18"/>
        </w:rPr>
        <w:t>N</w:t>
      </w:r>
      <w:r>
        <w:rPr>
          <w:i/>
          <w:color w:val="A21F1F"/>
          <w:sz w:val="18"/>
        </w:rPr>
        <w:t>: 2016: 25 og 2012: 25</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Ser man nærmere på de deltagende forsyningsselskabers vurdering af, hvilken betydning de frie geodata</w:t>
      </w:r>
    </w:p>
    <w:p>
      <w:pPr>
        <w:pStyle w:val="BodyText"/>
        <w:spacing w:line="360" w:lineRule="auto" w:before="114"/>
        <w:ind w:left="278" w:right="1039"/>
      </w:pPr>
      <w:r>
        <w:rPr/>
        <w:t>har for at sikre bedre interne processer i virksomhederne, er der en tendens til, at betydningen af geodata er</w:t>
      </w:r>
      <w:r>
        <w:rPr>
          <w:spacing w:val="-5"/>
        </w:rPr>
        <w:t> </w:t>
      </w:r>
      <w:r>
        <w:rPr/>
        <w:t>steget</w:t>
      </w:r>
      <w:r>
        <w:rPr>
          <w:spacing w:val="-3"/>
        </w:rPr>
        <w:t> </w:t>
      </w:r>
      <w:r>
        <w:rPr/>
        <w:t>siden</w:t>
      </w:r>
      <w:r>
        <w:rPr>
          <w:spacing w:val="-3"/>
        </w:rPr>
        <w:t> </w:t>
      </w:r>
      <w:r>
        <w:rPr/>
        <w:t>2012.</w:t>
      </w:r>
      <w:r>
        <w:rPr>
          <w:spacing w:val="-5"/>
        </w:rPr>
        <w:t> </w:t>
      </w:r>
      <w:r>
        <w:rPr/>
        <w:t>I</w:t>
      </w:r>
      <w:r>
        <w:rPr>
          <w:spacing w:val="-2"/>
        </w:rPr>
        <w:t> </w:t>
      </w:r>
      <w:r>
        <w:rPr/>
        <w:t>nedenstående</w:t>
      </w:r>
      <w:r>
        <w:rPr>
          <w:spacing w:val="-2"/>
        </w:rPr>
        <w:t> </w:t>
      </w:r>
      <w:hyperlink w:history="true" w:anchor="_bookmark57">
        <w:r>
          <w:rPr/>
          <w:t>Figur</w:t>
        </w:r>
        <w:r>
          <w:rPr>
            <w:spacing w:val="-3"/>
          </w:rPr>
          <w:t> </w:t>
        </w:r>
        <w:r>
          <w:rPr/>
          <w:t>31</w:t>
        </w:r>
        <w:r>
          <w:rPr>
            <w:spacing w:val="-4"/>
          </w:rPr>
          <w:t> </w:t>
        </w:r>
      </w:hyperlink>
      <w:r>
        <w:rPr/>
        <w:t>ses</w:t>
      </w:r>
      <w:r>
        <w:rPr>
          <w:spacing w:val="-3"/>
        </w:rPr>
        <w:t> </w:t>
      </w:r>
      <w:r>
        <w:rPr/>
        <w:t>respondenternes</w:t>
      </w:r>
      <w:r>
        <w:rPr>
          <w:spacing w:val="-1"/>
        </w:rPr>
        <w:t> </w:t>
      </w:r>
      <w:r>
        <w:rPr/>
        <w:t>gennemsnitlige</w:t>
      </w:r>
      <w:r>
        <w:rPr>
          <w:spacing w:val="-3"/>
        </w:rPr>
        <w:t> </w:t>
      </w:r>
      <w:r>
        <w:rPr/>
        <w:t>vægtning</w:t>
      </w:r>
      <w:r>
        <w:rPr>
          <w:spacing w:val="-4"/>
        </w:rPr>
        <w:t> </w:t>
      </w:r>
      <w:r>
        <w:rPr/>
        <w:t>af</w:t>
      </w:r>
      <w:r>
        <w:rPr>
          <w:spacing w:val="-5"/>
        </w:rPr>
        <w:t> </w:t>
      </w:r>
      <w:r>
        <w:rPr/>
        <w:t>betydningen af geodata for henholdsvis interne arbejdsgange, risikostyring, planlægning og kundeservice. En score over nul angiver, at de frie geodata gennemsnitligt har stor eller meget stor betydning for</w:t>
      </w:r>
      <w:r>
        <w:rPr>
          <w:spacing w:val="-24"/>
        </w:rPr>
        <w:t> </w:t>
      </w:r>
      <w:r>
        <w:rPr/>
        <w:t>virksomheden.</w:t>
      </w:r>
    </w:p>
    <w:p>
      <w:pPr>
        <w:pStyle w:val="BodyText"/>
        <w:rPr>
          <w:sz w:val="21"/>
        </w:rPr>
      </w:pPr>
    </w:p>
    <w:p>
      <w:pPr>
        <w:spacing w:before="0"/>
        <w:ind w:left="278" w:right="1060" w:firstLine="0"/>
        <w:jc w:val="left"/>
        <w:rPr>
          <w:i/>
          <w:sz w:val="18"/>
        </w:rPr>
      </w:pPr>
      <w:r>
        <w:rPr/>
        <w:pict>
          <v:group style="position:absolute;margin-left:70.525002pt;margin-top:26.187916pt;width:468.15pt;height:186.2pt;mso-position-horizontal-relative:page;mso-position-vertical-relative:paragraph;z-index:5456;mso-wrap-distance-left:0;mso-wrap-distance-right:0" coordorigin="1411,524" coordsize="9363,3724">
            <v:rect style="position:absolute;left:1418;top:531;width:9348;height:3708" filled="true" fillcolor="#f1f1f1" stroked="false">
              <v:fill type="solid"/>
            </v:rect>
            <v:line style="position:absolute" from="2026,3577" to="10546,3577" stroked="true" strokeweight=".72pt" strokecolor="#d9d9d9">
              <v:stroke dashstyle="solid"/>
            </v:line>
            <v:line style="position:absolute" from="2026,2872" to="10546,2872" stroked="true" strokeweight=".72pt" strokecolor="#d9d9d9">
              <v:stroke dashstyle="solid"/>
            </v:line>
            <v:line style="position:absolute" from="2026,2164" to="10546,2164" stroked="true" strokeweight=".72pt" strokecolor="#d9d9d9">
              <v:stroke dashstyle="solid"/>
            </v:line>
            <v:line style="position:absolute" from="2026,1458" to="10546,1458" stroked="true" strokeweight=".72pt" strokecolor="#d9d9d9">
              <v:stroke dashstyle="solid"/>
            </v:line>
            <v:line style="position:absolute" from="2026,750" to="10546,750" stroked="true" strokeweight=".72pt" strokecolor="#d9d9d9">
              <v:stroke dashstyle="solid"/>
            </v:line>
            <v:rect style="position:absolute;left:2548;top:1669;width:478;height:495" filled="true" fillcolor="#901b1b" stroked="false">
              <v:fill type="solid"/>
            </v:rect>
            <v:rect style="position:absolute;left:4680;top:2163;width:478;height:188" filled="true" fillcolor="#901b1b" stroked="false">
              <v:fill type="solid"/>
            </v:rect>
            <v:line style="position:absolute" from="6809,2182" to="7286,2182" stroked="true" strokeweight="1.8pt" strokecolor="#901b1b">
              <v:stroke dashstyle="solid"/>
            </v:line>
            <v:rect style="position:absolute;left:8940;top:1827;width:478;height:336" filled="true" fillcolor="#901b1b" stroked="false">
              <v:fill type="solid"/>
            </v:rect>
            <v:rect style="position:absolute;left:3156;top:2022;width:478;height:142" filled="true" fillcolor="#bd8686" stroked="false">
              <v:fill type="solid"/>
            </v:rect>
            <v:rect style="position:absolute;left:9544;top:2022;width:478;height:142" filled="true" fillcolor="#bd8686" stroked="false">
              <v:fill type="solid"/>
            </v:rect>
            <v:rect style="position:absolute;left:5541;top:3913;width:92;height:92" filled="true" fillcolor="#901b1b" stroked="false">
              <v:fill type="solid"/>
            </v:rect>
            <v:rect style="position:absolute;left:6192;top:3913;width:92;height:92" filled="true" fillcolor="#bd8686" stroked="false">
              <v:fill type="solid"/>
            </v:rect>
            <v:rect style="position:absolute;left:1418;top:531;width:9348;height:3709" filled="false" stroked="true" strokeweight=".75pt" strokecolor="#d9d9d9">
              <v:stroke dashstyle="solid"/>
            </v:rect>
            <v:shape style="position:absolute;left:2078;top:2695;width:1959;height:342" type="#_x0000_t75" stroked="false">
              <v:imagedata r:id="rId19" o:title=""/>
            </v:shape>
            <v:shape style="position:absolute;left:3938;top:2716;width:2103;height:724" type="#_x0000_t75" stroked="false">
              <v:imagedata r:id="rId20" o:title=""/>
            </v:shape>
            <v:shape style="position:absolute;left:6266;top:2726;width:2228;height:537" type="#_x0000_t75" stroked="false">
              <v:imagedata r:id="rId21" o:title=""/>
            </v:shape>
            <v:shape style="position:absolute;left:8714;top:2736;width:1546;height:537" type="#_x0000_t75" stroked="false">
              <v:imagedata r:id="rId22" o:title=""/>
            </v:shape>
            <v:shape style="position:absolute;left:1425;top:531;width:9333;height:3701" type="#_x0000_t202" filled="false" stroked="false">
              <v:textbox inset="0,0,0,0">
                <w:txbxContent>
                  <w:p>
                    <w:pPr>
                      <w:spacing w:before="112"/>
                      <w:ind w:left="0" w:right="8520" w:firstLine="0"/>
                      <w:jc w:val="center"/>
                      <w:rPr>
                        <w:sz w:val="18"/>
                      </w:rPr>
                    </w:pPr>
                    <w:r>
                      <w:rPr>
                        <w:color w:val="585858"/>
                        <w:sz w:val="18"/>
                      </w:rPr>
                      <w:t>1</w:t>
                    </w:r>
                  </w:p>
                  <w:p>
                    <w:pPr>
                      <w:spacing w:line="240" w:lineRule="auto" w:before="0"/>
                      <w:rPr>
                        <w:i/>
                        <w:sz w:val="20"/>
                      </w:rPr>
                    </w:pPr>
                  </w:p>
                  <w:p>
                    <w:pPr>
                      <w:spacing w:line="240" w:lineRule="auto" w:before="2"/>
                      <w:rPr>
                        <w:i/>
                        <w:sz w:val="24"/>
                      </w:rPr>
                    </w:pPr>
                  </w:p>
                  <w:p>
                    <w:pPr>
                      <w:spacing w:before="0"/>
                      <w:ind w:left="103" w:right="8800" w:firstLine="0"/>
                      <w:jc w:val="center"/>
                      <w:rPr>
                        <w:sz w:val="18"/>
                      </w:rPr>
                    </w:pPr>
                    <w:r>
                      <w:rPr>
                        <w:color w:val="585858"/>
                        <w:sz w:val="18"/>
                      </w:rPr>
                      <w:t>0,5</w:t>
                    </w:r>
                  </w:p>
                  <w:p>
                    <w:pPr>
                      <w:spacing w:line="240" w:lineRule="auto" w:before="0"/>
                      <w:rPr>
                        <w:i/>
                        <w:sz w:val="20"/>
                      </w:rPr>
                    </w:pPr>
                  </w:p>
                  <w:p>
                    <w:pPr>
                      <w:spacing w:line="240" w:lineRule="auto" w:before="2"/>
                      <w:rPr>
                        <w:i/>
                        <w:sz w:val="24"/>
                      </w:rPr>
                    </w:pPr>
                  </w:p>
                  <w:p>
                    <w:pPr>
                      <w:spacing w:before="0"/>
                      <w:ind w:left="0" w:right="8553" w:firstLine="0"/>
                      <w:jc w:val="center"/>
                      <w:rPr>
                        <w:sz w:val="18"/>
                      </w:rPr>
                    </w:pPr>
                    <w:r>
                      <w:rPr>
                        <w:color w:val="585858"/>
                        <w:sz w:val="18"/>
                      </w:rPr>
                      <w:t>0</w:t>
                    </w:r>
                  </w:p>
                  <w:p>
                    <w:pPr>
                      <w:spacing w:line="240" w:lineRule="auto" w:before="0"/>
                      <w:rPr>
                        <w:i/>
                        <w:sz w:val="20"/>
                      </w:rPr>
                    </w:pPr>
                  </w:p>
                  <w:p>
                    <w:pPr>
                      <w:spacing w:line="240" w:lineRule="auto" w:before="2"/>
                      <w:rPr>
                        <w:i/>
                        <w:sz w:val="24"/>
                      </w:rPr>
                    </w:pPr>
                  </w:p>
                  <w:p>
                    <w:pPr>
                      <w:spacing w:before="0"/>
                      <w:ind w:left="103" w:right="8867" w:firstLine="0"/>
                      <w:jc w:val="center"/>
                      <w:rPr>
                        <w:sz w:val="18"/>
                      </w:rPr>
                    </w:pPr>
                    <w:r>
                      <w:rPr>
                        <w:color w:val="585858"/>
                        <w:sz w:val="18"/>
                      </w:rPr>
                      <w:t>-0,5</w:t>
                    </w:r>
                  </w:p>
                  <w:p>
                    <w:pPr>
                      <w:spacing w:line="240" w:lineRule="auto" w:before="0"/>
                      <w:rPr>
                        <w:i/>
                        <w:sz w:val="20"/>
                      </w:rPr>
                    </w:pPr>
                  </w:p>
                  <w:p>
                    <w:pPr>
                      <w:spacing w:line="240" w:lineRule="auto" w:before="3"/>
                      <w:rPr>
                        <w:i/>
                        <w:sz w:val="24"/>
                      </w:rPr>
                    </w:pPr>
                  </w:p>
                  <w:p>
                    <w:pPr>
                      <w:spacing w:before="0"/>
                      <w:ind w:left="103" w:right="8690" w:firstLine="0"/>
                      <w:jc w:val="center"/>
                      <w:rPr>
                        <w:sz w:val="18"/>
                      </w:rPr>
                    </w:pPr>
                    <w:r>
                      <w:rPr>
                        <w:color w:val="585858"/>
                        <w:sz w:val="18"/>
                      </w:rPr>
                      <w:t>-1</w:t>
                    </w:r>
                  </w:p>
                  <w:p>
                    <w:pPr>
                      <w:tabs>
                        <w:tab w:pos="851" w:val="left" w:leader="none"/>
                      </w:tabs>
                      <w:spacing w:before="176"/>
                      <w:ind w:left="200" w:right="0" w:firstLine="0"/>
                      <w:jc w:val="center"/>
                      <w:rPr>
                        <w:sz w:val="18"/>
                      </w:rPr>
                    </w:pPr>
                    <w:r>
                      <w:rPr>
                        <w:color w:val="585858"/>
                        <w:sz w:val="18"/>
                      </w:rPr>
                      <w:t>2016</w:t>
                      <w:tab/>
                      <w:t>2012</w:t>
                    </w:r>
                  </w:p>
                </w:txbxContent>
              </v:textbox>
              <w10:wrap type="none"/>
            </v:shape>
            <w10:wrap type="topAndBottom"/>
          </v:group>
        </w:pict>
      </w:r>
      <w:bookmarkStart w:name="_bookmark57" w:id="81"/>
      <w:bookmarkEnd w:id="81"/>
      <w:r>
        <w:rPr/>
      </w:r>
      <w:r>
        <w:rPr>
          <w:i/>
          <w:color w:val="A21F1F"/>
          <w:sz w:val="18"/>
        </w:rPr>
        <w:t>Figur 31: Betydningen af de frie geodata for sikring af bedre interne processer i forsyningsselskaberne, henholdsvis i </w:t>
      </w:r>
      <w:r>
        <w:rPr>
          <w:i/>
          <w:color w:val="A21F1F"/>
          <w:sz w:val="18"/>
        </w:rPr>
        <w:t>2012 og i 2016</w:t>
      </w:r>
    </w:p>
    <w:p>
      <w:pPr>
        <w:pStyle w:val="BodyText"/>
        <w:spacing w:before="9"/>
        <w:rPr>
          <w:i/>
          <w:sz w:val="18"/>
        </w:rPr>
      </w:pPr>
    </w:p>
    <w:p>
      <w:pPr>
        <w:spacing w:before="0"/>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19"/>
        <w:ind w:left="278" w:right="0" w:firstLine="0"/>
        <w:jc w:val="left"/>
        <w:rPr>
          <w:i/>
          <w:sz w:val="18"/>
        </w:rPr>
      </w:pPr>
      <w:r>
        <w:rPr>
          <w:b/>
          <w:i/>
          <w:color w:val="A21F1F"/>
          <w:sz w:val="18"/>
        </w:rPr>
        <w:t>N</w:t>
      </w:r>
      <w:r>
        <w:rPr>
          <w:i/>
          <w:color w:val="A21F1F"/>
          <w:sz w:val="18"/>
        </w:rPr>
        <w:t>: 2016: 25 og 2012: 22-24</w:t>
      </w:r>
    </w:p>
    <w:p>
      <w:pPr>
        <w:pStyle w:val="BodyText"/>
        <w:spacing w:before="11"/>
        <w:rPr>
          <w:i/>
          <w:sz w:val="17"/>
        </w:rPr>
      </w:pPr>
    </w:p>
    <w:p>
      <w:pPr>
        <w:spacing w:before="0"/>
        <w:ind w:left="278" w:right="1095" w:firstLine="0"/>
        <w:jc w:val="left"/>
        <w:rPr>
          <w:i/>
          <w:sz w:val="18"/>
        </w:rPr>
      </w:pPr>
      <w:r>
        <w:rPr>
          <w:b/>
          <w:i/>
          <w:color w:val="A21F1F"/>
          <w:sz w:val="18"/>
        </w:rPr>
        <w:t>Note: </w:t>
      </w:r>
      <w:r>
        <w:rPr>
          <w:i/>
          <w:color w:val="A21F1F"/>
          <w:sz w:val="18"/>
        </w:rPr>
        <w:t>Den vægtede betydning af de frie geodata for de interne processer er beregnet ved at tildele hver besvarelse </w:t>
      </w:r>
      <w:r>
        <w:rPr>
          <w:i/>
          <w:color w:val="A21F1F"/>
          <w:sz w:val="18"/>
        </w:rPr>
        <w:t>en numerisk værdi og beregne gennemsnittet for besvarelserne. Følgende numeriske værdier er anvendt: Slet ikke: - 1, i mindre grad: -0,5, hverken eller: 0, i nogen grad: 0,5 og i høj grad: 1</w:t>
      </w:r>
    </w:p>
    <w:p>
      <w:pPr>
        <w:pStyle w:val="BodyText"/>
        <w:spacing w:before="7"/>
        <w:rPr>
          <w:i/>
          <w:sz w:val="28"/>
        </w:rPr>
      </w:pPr>
    </w:p>
    <w:p>
      <w:pPr>
        <w:pStyle w:val="BodyText"/>
        <w:spacing w:line="360" w:lineRule="auto" w:before="1"/>
        <w:ind w:left="278" w:right="1276"/>
      </w:pPr>
      <w:r>
        <w:rPr/>
        <w:t>Samlet set anvendes de frie geodata i forsyningsselskaberne i højere grad til interne processer og arbejdsgange, om end flere selskaber er begyndt at anvende geodata til markedsføring og kunderettede ydelser. De afledte økonomiske effekter af de frie geodata samt den samfundsøkonomiske værdi af disse, der er genereret i forsyningssektoren, beregnes i henholdsvis kapitel 6 og 7. I næste afsnit afrapporteres spørgeskemaundersøgelsen for de offentlige myndigheder.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4"/>
        </w:numPr>
        <w:tabs>
          <w:tab w:pos="855" w:val="left" w:leader="none"/>
        </w:tabs>
        <w:spacing w:line="319" w:lineRule="exact" w:before="0" w:after="0"/>
        <w:ind w:left="854" w:right="0" w:hanging="576"/>
        <w:jc w:val="left"/>
        <w:rPr>
          <w:i/>
        </w:rPr>
      </w:pPr>
      <w:bookmarkStart w:name="_bookmark58" w:id="82"/>
      <w:bookmarkEnd w:id="82"/>
      <w:r>
        <w:rPr>
          <w:b w:val="0"/>
          <w:i w:val="0"/>
        </w:rPr>
      </w:r>
      <w:bookmarkStart w:name="_bookmark58" w:id="83"/>
      <w:bookmarkEnd w:id="83"/>
      <w:r>
        <w:rPr>
          <w:i/>
          <w:color w:val="A21F1F"/>
        </w:rPr>
        <w:t>E</w:t>
      </w:r>
      <w:r>
        <w:rPr>
          <w:i/>
          <w:color w:val="A21F1F"/>
        </w:rPr>
        <w:t>ffekterne af de frie geodata i den offentlige</w:t>
      </w:r>
      <w:r>
        <w:rPr>
          <w:i/>
          <w:color w:val="A21F1F"/>
          <w:spacing w:val="-7"/>
        </w:rPr>
        <w:t> </w:t>
      </w:r>
      <w:r>
        <w:rPr>
          <w:i/>
          <w:color w:val="A21F1F"/>
        </w:rPr>
        <w:t>sektor</w:t>
      </w:r>
    </w:p>
    <w:p>
      <w:pPr>
        <w:pStyle w:val="BodyText"/>
        <w:spacing w:line="360" w:lineRule="auto" w:before="243"/>
        <w:ind w:left="278" w:right="1072"/>
      </w:pPr>
      <w:r>
        <w:rPr/>
        <w:t>En lang række offentlige myndigheder og selvejende institutioner anvender geodata. Et stort antal kommuner, regioner, ministerier og statslige styrelser er registreret som såkaldte kollektive medlemmer i Geoforum, der er den danske brancheorganisation for geografisk information for både offentlige og private virksomheder. Fx anvender Skatteministeriet de frie geodata i arbejdet med udviklingen af et nyt ejendomsvurderingssystem, og mange kommuner anvender geodata i forbindelse med behandling af byggesager.</w:t>
      </w:r>
    </w:p>
    <w:p>
      <w:pPr>
        <w:pStyle w:val="BodyText"/>
        <w:spacing w:before="1"/>
        <w:rPr>
          <w:sz w:val="21"/>
        </w:rPr>
      </w:pPr>
    </w:p>
    <w:p>
      <w:pPr>
        <w:pStyle w:val="BodyText"/>
        <w:spacing w:line="360" w:lineRule="auto"/>
        <w:ind w:left="278" w:right="1166"/>
      </w:pPr>
      <w:r>
        <w:rPr/>
        <w:t>Anvendelsen af geodata forgrener sig til en lang række forvaltningsområder, og som det også var tilfældet for private virksomhed og forsyningsselskaber er en fuldstændig kortlægning af offentlige myndigheders anvendelse af geodata ikke mulig. For at belyse de overordnede tendenser i anvendelsen af geodata og identificere udviklingen i anvendelsen siden 2012 har PwC gennemført en spørgeskemaundersøgelse blandt offentlige brugere af geodata. For en nærmere beskrivelse af populationen henvises til kapitel 3.</w:t>
      </w:r>
    </w:p>
    <w:p>
      <w:pPr>
        <w:pStyle w:val="BodyText"/>
        <w:rPr>
          <w:sz w:val="21"/>
        </w:rPr>
      </w:pPr>
    </w:p>
    <w:p>
      <w:pPr>
        <w:pStyle w:val="Heading3"/>
        <w:numPr>
          <w:ilvl w:val="2"/>
          <w:numId w:val="14"/>
        </w:numPr>
        <w:tabs>
          <w:tab w:pos="999" w:val="left" w:leader="none"/>
        </w:tabs>
        <w:spacing w:line="240" w:lineRule="auto" w:before="0" w:after="0"/>
        <w:ind w:left="998" w:right="0" w:hanging="720"/>
        <w:jc w:val="left"/>
        <w:rPr>
          <w:i/>
        </w:rPr>
      </w:pPr>
      <w:bookmarkStart w:name="_bookmark59" w:id="84"/>
      <w:bookmarkEnd w:id="84"/>
      <w:r>
        <w:rPr>
          <w:i w:val="0"/>
        </w:rPr>
      </w:r>
      <w:bookmarkStart w:name="_bookmark59" w:id="85"/>
      <w:bookmarkEnd w:id="85"/>
      <w:r>
        <w:rPr>
          <w:i/>
          <w:color w:val="A21F1F"/>
        </w:rPr>
        <w:t>A</w:t>
      </w:r>
      <w:r>
        <w:rPr>
          <w:i/>
          <w:color w:val="A21F1F"/>
        </w:rPr>
        <w:t>nvendelse af geodata i myndighedernes</w:t>
      </w:r>
      <w:r>
        <w:rPr>
          <w:i/>
          <w:color w:val="A21F1F"/>
          <w:spacing w:val="-8"/>
        </w:rPr>
        <w:t> </w:t>
      </w:r>
      <w:r>
        <w:rPr>
          <w:i/>
          <w:color w:val="A21F1F"/>
        </w:rPr>
        <w:t>opgavevaretagelse</w:t>
      </w:r>
    </w:p>
    <w:p>
      <w:pPr>
        <w:pStyle w:val="BodyText"/>
        <w:spacing w:line="360" w:lineRule="auto" w:before="241"/>
        <w:ind w:left="278" w:right="1100"/>
      </w:pPr>
      <w:r>
        <w:rPr/>
        <w:t>For at kunne beregne effekten af de frie geodata i beregningsmodellens første led er det nødvendigt at kortlægge de offentlige myndigheders anvendelse af de frie geodata. Som nævnt i gennemgangen af beregningsmodellen er det nødvendigt at kortlægge, hvor mange medarbejdere, der er kritisk afhængige af geodata for at kunne udføre deres arbejdsfunktioner. Som nævnt tidligere er dette en indikator for produktionsomfanget i den offentlige sektor, der kan henføres til de frie geodata.</w:t>
      </w:r>
    </w:p>
    <w:p>
      <w:pPr>
        <w:pStyle w:val="BodyText"/>
        <w:spacing w:before="3"/>
        <w:rPr>
          <w:sz w:val="21"/>
        </w:rPr>
      </w:pPr>
    </w:p>
    <w:p>
      <w:pPr>
        <w:pStyle w:val="BodyText"/>
        <w:spacing w:line="360" w:lineRule="auto"/>
        <w:ind w:left="278" w:right="1021"/>
      </w:pPr>
      <w:r>
        <w:rPr/>
        <w:t>I nedenstående </w:t>
      </w:r>
      <w:hyperlink w:history="true" w:anchor="_bookmark60">
        <w:r>
          <w:rPr/>
          <w:t>Figur 32 </w:t>
        </w:r>
      </w:hyperlink>
      <w:r>
        <w:rPr/>
        <w:t>er der opgivet, hvor stor en andel årsværk, der henholdsvis har adgang til og er afhængige af de frie geodata i 2016. Det fremgår, at godt 3 pct. af de kommunalt ansatte, der indgår i undersøgelsen, er kritisk afhængige af de frie geodata. Det samme gælder for de medarbejdere, der er ansat i staten. For de ansatte i regionerne, der har deltaget i undersøgelsen, er det knap en halv pct., der er kritisk afhængig af geodata, og endelig er der knap 6 pct., der er kritisk afhængige i de selvejende institutioner, der har deltaget i undersøgelsen. Samlet set er det et udtryk for, at der ikke i forhold til før-målingen er sket nogen nævneværdig udvikling i antallet af medarbejdere i den offentlige sektor, der er kritisk afhængige af geodata i deres opgavevaretagelse. Årsagen skal findes i, at de offentlige myndigheder også før frisættelsen havde adgang til at anvende de frie geodata via de såkaldte stats-, regions- og kommuneaftaler.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0" w:lineRule="exact" w:before="0"/>
        <w:ind w:left="278" w:right="0" w:firstLine="0"/>
        <w:jc w:val="left"/>
        <w:rPr>
          <w:i/>
          <w:sz w:val="18"/>
        </w:rPr>
      </w:pPr>
      <w:bookmarkStart w:name="_bookmark60" w:id="86"/>
      <w:bookmarkEnd w:id="86"/>
      <w:r>
        <w:rPr/>
      </w:r>
      <w:r>
        <w:rPr>
          <w:i/>
          <w:color w:val="A21F1F"/>
          <w:sz w:val="18"/>
        </w:rPr>
        <w:t>Figur 32: Årsværk hos offentlige brugere fordelt på myndighedsniveau med adgang til og afhængighed af de frie</w:t>
      </w:r>
    </w:p>
    <w:p>
      <w:pPr>
        <w:spacing w:line="204" w:lineRule="exact" w:before="0"/>
        <w:ind w:left="278" w:right="0" w:firstLine="0"/>
        <w:jc w:val="left"/>
        <w:rPr>
          <w:i/>
          <w:sz w:val="18"/>
        </w:rPr>
      </w:pPr>
      <w:r>
        <w:rPr/>
        <w:pict>
          <v:group style="position:absolute;margin-left:70.525002pt;margin-top:15.974903pt;width:462.75pt;height:153.75pt;mso-position-horizontal-relative:page;mso-position-vertical-relative:paragraph;z-index:5792;mso-wrap-distance-left:0;mso-wrap-distance-right:0" coordorigin="1411,319" coordsize="9255,3075">
            <v:rect style="position:absolute;left:1418;top:328;width:9240;height:3060" filled="true" fillcolor="#f1f1f1" stroked="false">
              <v:fill type="solid"/>
            </v:rect>
            <v:line style="position:absolute" from="9917,2046" to="10438,2046" stroked="true" strokeweight=".72pt" strokecolor="#d9d9d9">
              <v:stroke dashstyle="solid"/>
            </v:line>
            <v:line style="position:absolute" from="9314,2046" to="9442,2046" stroked="true" strokeweight=".72pt" strokecolor="#d9d9d9">
              <v:stroke dashstyle="solid"/>
            </v:line>
            <v:line style="position:absolute" from="7800,2046" to="8839,2046" stroked="true" strokeweight=".72pt" strokecolor="#d9d9d9">
              <v:stroke dashstyle="solid"/>
            </v:line>
            <v:line style="position:absolute" from="7195,2046" to="7325,2046" stroked="true" strokeweight=".72pt" strokecolor="#d9d9d9">
              <v:stroke dashstyle="solid"/>
            </v:line>
            <v:line style="position:absolute" from="3562,2046" to="6720,2046" stroked="true" strokeweight=".72pt" strokecolor="#d9d9d9">
              <v:stroke dashstyle="solid"/>
            </v:line>
            <v:line style="position:absolute" from="2959,2046" to="3086,2046" stroked="true" strokeweight=".72pt" strokecolor="#d9d9d9">
              <v:stroke dashstyle="solid"/>
            </v:line>
            <v:line style="position:absolute" from="1963,2046" to="2484,2046" stroked="true" strokeweight=".72pt" strokecolor="#d9d9d9">
              <v:stroke dashstyle="solid"/>
            </v:line>
            <v:line style="position:absolute" from="9917,1797" to="10438,1797" stroked="true" strokeweight=".72pt" strokecolor="#d9d9d9">
              <v:stroke dashstyle="solid"/>
            </v:line>
            <v:line style="position:absolute" from="9314,1797" to="9442,1797" stroked="true" strokeweight=".72pt" strokecolor="#d9d9d9">
              <v:stroke dashstyle="solid"/>
            </v:line>
            <v:line style="position:absolute" from="7800,1797" to="8839,1797" stroked="true" strokeweight=".72pt" strokecolor="#d9d9d9">
              <v:stroke dashstyle="solid"/>
            </v:line>
            <v:line style="position:absolute" from="7195,1797" to="7325,1797" stroked="true" strokeweight=".72pt" strokecolor="#d9d9d9">
              <v:stroke dashstyle="solid"/>
            </v:line>
            <v:line style="position:absolute" from="3562,1797" to="6720,1797" stroked="true" strokeweight=".72pt" strokecolor="#d9d9d9">
              <v:stroke dashstyle="solid"/>
            </v:line>
            <v:line style="position:absolute" from="2959,1797" to="3086,1797" stroked="true" strokeweight=".72pt" strokecolor="#d9d9d9">
              <v:stroke dashstyle="solid"/>
            </v:line>
            <v:line style="position:absolute" from="1963,1797" to="2484,1797" stroked="true" strokeweight=".72pt" strokecolor="#d9d9d9">
              <v:stroke dashstyle="solid"/>
            </v:line>
            <v:line style="position:absolute" from="9917,1547" to="10438,1547" stroked="true" strokeweight=".72pt" strokecolor="#d9d9d9">
              <v:stroke dashstyle="solid"/>
            </v:line>
            <v:line style="position:absolute" from="9314,1547" to="9442,1547" stroked="true" strokeweight=".72pt" strokecolor="#d9d9d9">
              <v:stroke dashstyle="solid"/>
            </v:line>
            <v:line style="position:absolute" from="7800,1547" to="8839,1547" stroked="true" strokeweight=".72pt" strokecolor="#d9d9d9">
              <v:stroke dashstyle="solid"/>
            </v:line>
            <v:line style="position:absolute" from="7195,1547" to="7325,1547" stroked="true" strokeweight=".72pt" strokecolor="#d9d9d9">
              <v:stroke dashstyle="solid"/>
            </v:line>
            <v:line style="position:absolute" from="3562,1547" to="6720,1547" stroked="true" strokeweight=".72pt" strokecolor="#d9d9d9">
              <v:stroke dashstyle="solid"/>
            </v:line>
            <v:line style="position:absolute" from="2959,1547" to="3086,1547" stroked="true" strokeweight=".72pt" strokecolor="#d9d9d9">
              <v:stroke dashstyle="solid"/>
            </v:line>
            <v:line style="position:absolute" from="1963,1547" to="2484,1547" stroked="true" strokeweight=".72pt" strokecolor="#d9d9d9">
              <v:stroke dashstyle="solid"/>
            </v:line>
            <v:line style="position:absolute" from="9917,1295" to="10438,1295" stroked="true" strokeweight=".72pt" strokecolor="#d9d9d9">
              <v:stroke dashstyle="solid"/>
            </v:line>
            <v:line style="position:absolute" from="9314,1295" to="9442,1295" stroked="true" strokeweight=".72pt" strokecolor="#d9d9d9">
              <v:stroke dashstyle="solid"/>
            </v:line>
            <v:line style="position:absolute" from="7195,1295" to="8839,1295" stroked="true" strokeweight=".72pt" strokecolor="#d9d9d9">
              <v:stroke dashstyle="solid"/>
            </v:line>
            <v:line style="position:absolute" from="2959,1295" to="6720,1295" stroked="true" strokeweight=".72pt" strokecolor="#d9d9d9">
              <v:stroke dashstyle="solid"/>
            </v:line>
            <v:line style="position:absolute" from="1963,1295" to="2484,1295" stroked="true" strokeweight=".72pt" strokecolor="#d9d9d9">
              <v:stroke dashstyle="solid"/>
            </v:line>
            <v:line style="position:absolute" from="9917,1046" to="10438,1046" stroked="true" strokeweight=".72pt" strokecolor="#d9d9d9">
              <v:stroke dashstyle="solid"/>
            </v:line>
            <v:line style="position:absolute" from="9314,1046" to="9442,1046" stroked="true" strokeweight=".72pt" strokecolor="#d9d9d9">
              <v:stroke dashstyle="solid"/>
            </v:line>
            <v:line style="position:absolute" from="2959,1046" to="8839,1046" stroked="true" strokeweight=".72pt" strokecolor="#d9d9d9">
              <v:stroke dashstyle="solid"/>
            </v:line>
            <v:line style="position:absolute" from="1963,1046" to="2484,1046" stroked="true" strokeweight=".72pt" strokecolor="#d9d9d9">
              <v:stroke dashstyle="solid"/>
            </v:line>
            <v:line style="position:absolute" from="9314,796" to="10438,796" stroked="true" strokeweight=".72pt" strokecolor="#d9d9d9">
              <v:stroke dashstyle="solid"/>
            </v:line>
            <v:line style="position:absolute" from="1963,796" to="8839,796" stroked="true" strokeweight=".72pt" strokecolor="#d9d9d9">
              <v:stroke dashstyle="solid"/>
            </v:line>
            <v:line style="position:absolute" from="1963,546" to="10438,546" stroked="true" strokeweight=".72pt" strokecolor="#d9d9d9">
              <v:stroke dashstyle="solid"/>
            </v:line>
            <v:rect style="position:absolute;left:2484;top:901;width:476;height:1395" filled="true" fillcolor="#901b1b" stroked="false">
              <v:fill type="solid"/>
            </v:rect>
            <v:line style="position:absolute" from="4601,2249" to="5076,2249" stroked="true" strokeweight="4.68pt" strokecolor="#901b1b">
              <v:stroke dashstyle="solid"/>
            </v:line>
            <v:rect style="position:absolute;left:6720;top:1098;width:476;height:1198" filled="true" fillcolor="#901b1b" stroked="false">
              <v:fill type="solid"/>
            </v:rect>
            <v:rect style="position:absolute;left:8839;top:733;width:476;height:1563" filled="true" fillcolor="#901b1b" stroked="false">
              <v:fill type="solid"/>
            </v:rect>
            <v:rect style="position:absolute;left:3086;top:1444;width:476;height:852" filled="true" fillcolor="#bd8686" stroked="false">
              <v:fill type="solid"/>
            </v:rect>
            <v:line style="position:absolute" from="5206,2249" to="5681,2249" stroked="true" strokeweight="4.68pt" strokecolor="#bd8686">
              <v:stroke dashstyle="solid"/>
            </v:line>
            <v:rect style="position:absolute;left:7324;top:1456;width:476;height:840" filled="true" fillcolor="#bd8686" stroked="false">
              <v:fill type="solid"/>
            </v:rect>
            <v:rect style="position:absolute;left:9441;top:844;width:476;height:1452" filled="true" fillcolor="#bd8686" stroked="false">
              <v:fill type="solid"/>
            </v:rect>
            <v:line style="position:absolute" from="1963,2296" to="10438,2296" stroked="true" strokeweight=".72pt" strokecolor="#d9d9d9">
              <v:stroke dashstyle="solid"/>
            </v:line>
            <v:rect style="position:absolute;left:3340;top:3059;width:92;height:94" filled="true" fillcolor="#901b1b" stroked="false">
              <v:fill type="solid"/>
            </v:rect>
            <v:rect style="position:absolute;left:5971;top:3059;width:94;height:94" filled="true" fillcolor="#bd8686" stroked="false">
              <v:fill type="solid"/>
            </v:rect>
            <v:rect style="position:absolute;left:1418;top:327;width:9240;height:3060" filled="false" stroked="true" strokeweight=".75pt" strokecolor="#d9d9d9">
              <v:stroke dashstyle="solid"/>
            </v:rect>
            <v:rect style="position:absolute;left:3465;top:2989;width:2400;height:225" filled="true" fillcolor="#f1f1f1" stroked="false">
              <v:fill type="solid"/>
            </v:rect>
            <v:rect style="position:absolute;left:6104;top:2989;width:4005;height:285" filled="true" fillcolor="#f1f1f1" stroked="false">
              <v:fill type="solid"/>
            </v:rect>
            <v:shape style="position:absolute;left:6109;top:3028;width:2741;height:205" type="#_x0000_t202" filled="false" stroked="false">
              <v:textbox inset="0,0,0,0">
                <w:txbxContent>
                  <w:p>
                    <w:pPr>
                      <w:spacing w:before="0"/>
                      <w:ind w:left="0" w:right="0" w:firstLine="0"/>
                      <w:jc w:val="left"/>
                      <w:rPr>
                        <w:sz w:val="18"/>
                      </w:rPr>
                    </w:pPr>
                    <w:r>
                      <w:rPr>
                        <w:color w:val="404040"/>
                        <w:sz w:val="18"/>
                      </w:rPr>
                      <w:t>Kritisk afhængig af de frie geodata</w:t>
                    </w:r>
                  </w:p>
                </w:txbxContent>
              </v:textbox>
              <w10:wrap type="none"/>
            </v:shape>
            <v:shape style="position:absolute;left:3470;top:3028;width:2048;height:205" type="#_x0000_t202" filled="false" stroked="false">
              <v:textbox inset="0,0,0,0">
                <w:txbxContent>
                  <w:p>
                    <w:pPr>
                      <w:spacing w:before="0"/>
                      <w:ind w:left="0" w:right="0" w:firstLine="0"/>
                      <w:jc w:val="left"/>
                      <w:rPr>
                        <w:sz w:val="18"/>
                      </w:rPr>
                    </w:pPr>
                    <w:r>
                      <w:rPr>
                        <w:color w:val="404040"/>
                        <w:sz w:val="18"/>
                      </w:rPr>
                      <w:t>Adgang til de frie geodata</w:t>
                    </w:r>
                  </w:p>
                </w:txbxContent>
              </v:textbox>
              <w10:wrap type="none"/>
            </v:shape>
            <v:shape style="position:absolute;left:2134;top:2406;width:8211;height:409" type="#_x0000_t202" filled="false" stroked="false">
              <v:textbox inset="0,0,0,0">
                <w:txbxContent>
                  <w:p>
                    <w:pPr>
                      <w:tabs>
                        <w:tab w:pos="2352" w:val="left" w:leader="none"/>
                        <w:tab w:pos="2647" w:val="left" w:leader="none"/>
                        <w:tab w:pos="4413" w:val="left" w:leader="none"/>
                        <w:tab w:pos="4672" w:val="left" w:leader="none"/>
                        <w:tab w:pos="6300" w:val="left" w:leader="none"/>
                        <w:tab w:pos="6588" w:val="left" w:leader="none"/>
                      </w:tabs>
                      <w:spacing w:before="0"/>
                      <w:ind w:left="202" w:right="18" w:hanging="203"/>
                      <w:jc w:val="left"/>
                      <w:rPr>
                        <w:sz w:val="18"/>
                      </w:rPr>
                    </w:pPr>
                    <w:r>
                      <w:rPr>
                        <w:color w:val="585858"/>
                        <w:sz w:val="18"/>
                      </w:rPr>
                      <w:t>Statslige</w:t>
                    </w:r>
                    <w:r>
                      <w:rPr>
                        <w:color w:val="585858"/>
                        <w:spacing w:val="-4"/>
                        <w:sz w:val="18"/>
                      </w:rPr>
                      <w:t> </w:t>
                    </w:r>
                    <w:r>
                      <w:rPr>
                        <w:color w:val="585858"/>
                        <w:sz w:val="18"/>
                      </w:rPr>
                      <w:t>myndigheder</w:t>
                      <w:tab/>
                      <w:tab/>
                      <w:t>Regioner</w:t>
                      <w:tab/>
                      <w:tab/>
                      <w:t>Kommuner</w:t>
                      <w:tab/>
                      <w:t>Selvejende</w:t>
                    </w:r>
                    <w:r>
                      <w:rPr>
                        <w:color w:val="585858"/>
                        <w:spacing w:val="-8"/>
                        <w:sz w:val="18"/>
                      </w:rPr>
                      <w:t> </w:t>
                    </w:r>
                    <w:r>
                      <w:rPr>
                        <w:color w:val="585858"/>
                        <w:sz w:val="18"/>
                      </w:rPr>
                      <w:t>institutioner (48.285</w:t>
                    </w:r>
                    <w:r>
                      <w:rPr>
                        <w:color w:val="585858"/>
                        <w:spacing w:val="-2"/>
                        <w:sz w:val="18"/>
                      </w:rPr>
                      <w:t> </w:t>
                    </w:r>
                    <w:r>
                      <w:rPr>
                        <w:color w:val="585858"/>
                        <w:sz w:val="18"/>
                      </w:rPr>
                      <w:t>årsværk)</w:t>
                      <w:tab/>
                      <w:t>(65.057</w:t>
                    </w:r>
                    <w:r>
                      <w:rPr>
                        <w:color w:val="585858"/>
                        <w:spacing w:val="-2"/>
                        <w:sz w:val="18"/>
                      </w:rPr>
                      <w:t> </w:t>
                    </w:r>
                    <w:r>
                      <w:rPr>
                        <w:color w:val="585858"/>
                        <w:sz w:val="18"/>
                      </w:rPr>
                      <w:t>årsværk)</w:t>
                      <w:tab/>
                      <w:t>(124.681</w:t>
                    </w:r>
                    <w:r>
                      <w:rPr>
                        <w:color w:val="585858"/>
                        <w:spacing w:val="-2"/>
                        <w:sz w:val="18"/>
                      </w:rPr>
                      <w:t> </w:t>
                    </w:r>
                    <w:r>
                      <w:rPr>
                        <w:color w:val="585858"/>
                        <w:sz w:val="18"/>
                      </w:rPr>
                      <w:t>årsværk)</w:t>
                      <w:tab/>
                      <w:tab/>
                      <w:t>(20.752</w:t>
                    </w:r>
                    <w:r>
                      <w:rPr>
                        <w:color w:val="585858"/>
                        <w:spacing w:val="-1"/>
                        <w:sz w:val="18"/>
                      </w:rPr>
                      <w:t> </w:t>
                    </w:r>
                    <w:r>
                      <w:rPr>
                        <w:color w:val="585858"/>
                        <w:sz w:val="18"/>
                      </w:rPr>
                      <w:t>årsværk)</w:t>
                    </w:r>
                  </w:p>
                </w:txbxContent>
              </v:textbox>
              <w10:wrap type="none"/>
            </v:shape>
            <v:shape style="position:absolute;left:4636;top:1909;width:1030;height:205" type="#_x0000_t202" filled="false" stroked="false">
              <v:textbox inset="0,0,0,0">
                <w:txbxContent>
                  <w:p>
                    <w:pPr>
                      <w:spacing w:before="0"/>
                      <w:ind w:left="0" w:right="0" w:firstLine="0"/>
                      <w:jc w:val="left"/>
                      <w:rPr>
                        <w:sz w:val="18"/>
                      </w:rPr>
                    </w:pPr>
                    <w:r>
                      <w:rPr>
                        <w:color w:val="404040"/>
                        <w:sz w:val="18"/>
                      </w:rPr>
                      <w:t>0,4% 0,4%</w:t>
                    </w:r>
                  </w:p>
                </w:txbxContent>
              </v:textbox>
              <w10:wrap type="none"/>
            </v:shape>
            <v:shape style="position:absolute;left:7366;top:1162;width:415;height:205" type="#_x0000_t202" filled="false" stroked="false">
              <v:textbox inset="0,0,0,0">
                <w:txbxContent>
                  <w:p>
                    <w:pPr>
                      <w:spacing w:before="0"/>
                      <w:ind w:left="0" w:right="0" w:firstLine="0"/>
                      <w:jc w:val="left"/>
                      <w:rPr>
                        <w:sz w:val="18"/>
                      </w:rPr>
                    </w:pPr>
                    <w:r>
                      <w:rPr>
                        <w:color w:val="404040"/>
                        <w:sz w:val="18"/>
                      </w:rPr>
                      <w:t>3,4%</w:t>
                    </w:r>
                  </w:p>
                </w:txbxContent>
              </v:textbox>
              <w10:wrap type="none"/>
            </v:shape>
            <v:shape style="position:absolute;left:3127;top:1150;width:415;height:205" type="#_x0000_t202" filled="false" stroked="false">
              <v:textbox inset="0,0,0,0">
                <w:txbxContent>
                  <w:p>
                    <w:pPr>
                      <w:spacing w:before="0"/>
                      <w:ind w:left="0" w:right="0" w:firstLine="0"/>
                      <w:jc w:val="left"/>
                      <w:rPr>
                        <w:sz w:val="18"/>
                      </w:rPr>
                    </w:pPr>
                    <w:r>
                      <w:rPr>
                        <w:color w:val="404040"/>
                        <w:sz w:val="18"/>
                      </w:rPr>
                      <w:t>3,4%</w:t>
                    </w:r>
                  </w:p>
                </w:txbxContent>
              </v:textbox>
              <w10:wrap type="none"/>
            </v:shape>
            <v:shape style="position:absolute;left:6758;top:804;width:424;height:205" type="#_x0000_t202" filled="false" stroked="false">
              <v:textbox inset="0,0,0,0">
                <w:txbxContent>
                  <w:p>
                    <w:pPr>
                      <w:spacing w:before="0"/>
                      <w:ind w:left="0" w:right="0" w:firstLine="0"/>
                      <w:jc w:val="left"/>
                      <w:rPr>
                        <w:sz w:val="18"/>
                      </w:rPr>
                    </w:pPr>
                    <w:r>
                      <w:rPr>
                        <w:color w:val="404040"/>
                        <w:sz w:val="18"/>
                      </w:rPr>
                      <w:t>4,8%</w:t>
                    </w:r>
                  </w:p>
                </w:txbxContent>
              </v:textbox>
              <w10:wrap type="none"/>
            </v:shape>
            <v:shape style="position:absolute;left:9482;top:550;width:419;height:205" type="#_x0000_t202" filled="false" stroked="false">
              <v:textbox inset="0,0,0,0">
                <w:txbxContent>
                  <w:p>
                    <w:pPr>
                      <w:spacing w:before="0"/>
                      <w:ind w:left="0" w:right="0" w:firstLine="0"/>
                      <w:jc w:val="left"/>
                      <w:rPr>
                        <w:sz w:val="18"/>
                      </w:rPr>
                    </w:pPr>
                    <w:r>
                      <w:rPr>
                        <w:color w:val="404040"/>
                        <w:sz w:val="18"/>
                      </w:rPr>
                      <w:t>5,8%</w:t>
                    </w:r>
                  </w:p>
                </w:txbxContent>
              </v:textbox>
              <w10:wrap type="none"/>
            </v:shape>
            <v:shape style="position:absolute;left:2524;top:608;width:412;height:205" type="#_x0000_t202" filled="false" stroked="false">
              <v:textbox inset="0,0,0,0">
                <w:txbxContent>
                  <w:p>
                    <w:pPr>
                      <w:spacing w:before="0"/>
                      <w:ind w:left="0" w:right="0" w:firstLine="0"/>
                      <w:jc w:val="left"/>
                      <w:rPr>
                        <w:sz w:val="18"/>
                      </w:rPr>
                    </w:pPr>
                    <w:r>
                      <w:rPr>
                        <w:color w:val="404040"/>
                        <w:sz w:val="18"/>
                      </w:rPr>
                      <w:t>5,6%</w:t>
                    </w:r>
                  </w:p>
                </w:txbxContent>
              </v:textbox>
              <w10:wrap type="none"/>
            </v:shape>
            <v:shape style="position:absolute;left:8882;top:440;width:415;height:205" type="#_x0000_t202" filled="false" stroked="false">
              <v:textbox inset="0,0,0,0">
                <w:txbxContent>
                  <w:p>
                    <w:pPr>
                      <w:spacing w:before="0"/>
                      <w:ind w:left="0" w:right="0" w:firstLine="0"/>
                      <w:jc w:val="left"/>
                      <w:rPr>
                        <w:sz w:val="18"/>
                      </w:rPr>
                    </w:pPr>
                    <w:r>
                      <w:rPr>
                        <w:color w:val="404040"/>
                        <w:sz w:val="18"/>
                      </w:rPr>
                      <w:t>6,3%</w:t>
                    </w:r>
                  </w:p>
                </w:txbxContent>
              </v:textbox>
              <w10:wrap type="none"/>
            </v:shape>
            <v:shape style="position:absolute;left:1548;top:439;width:280;height:1954" type="#_x0000_t202" filled="false" stroked="false">
              <v:textbox inset="0,0,0,0">
                <w:txbxContent>
                  <w:p>
                    <w:pPr>
                      <w:spacing w:before="0"/>
                      <w:ind w:left="19" w:right="0" w:firstLine="0"/>
                      <w:jc w:val="left"/>
                      <w:rPr>
                        <w:sz w:val="18"/>
                      </w:rPr>
                    </w:pPr>
                    <w:r>
                      <w:rPr>
                        <w:color w:val="585858"/>
                        <w:sz w:val="18"/>
                      </w:rPr>
                      <w:t>7%</w:t>
                    </w:r>
                  </w:p>
                  <w:p>
                    <w:pPr>
                      <w:spacing w:before="45"/>
                      <w:ind w:left="8" w:right="0" w:firstLine="0"/>
                      <w:jc w:val="left"/>
                      <w:rPr>
                        <w:sz w:val="18"/>
                      </w:rPr>
                    </w:pPr>
                    <w:r>
                      <w:rPr>
                        <w:color w:val="585858"/>
                        <w:sz w:val="18"/>
                      </w:rPr>
                      <w:t>6%</w:t>
                    </w:r>
                  </w:p>
                  <w:p>
                    <w:pPr>
                      <w:spacing w:before="45"/>
                      <w:ind w:left="15" w:right="0" w:firstLine="0"/>
                      <w:jc w:val="left"/>
                      <w:rPr>
                        <w:sz w:val="18"/>
                      </w:rPr>
                    </w:pPr>
                    <w:r>
                      <w:rPr>
                        <w:color w:val="585858"/>
                        <w:sz w:val="18"/>
                      </w:rPr>
                      <w:t>5%</w:t>
                    </w:r>
                  </w:p>
                  <w:p>
                    <w:pPr>
                      <w:spacing w:before="46"/>
                      <w:ind w:left="8" w:right="0" w:firstLine="0"/>
                      <w:jc w:val="left"/>
                      <w:rPr>
                        <w:sz w:val="18"/>
                      </w:rPr>
                    </w:pPr>
                    <w:r>
                      <w:rPr>
                        <w:color w:val="585858"/>
                        <w:sz w:val="18"/>
                      </w:rPr>
                      <w:t>4%</w:t>
                    </w:r>
                  </w:p>
                  <w:p>
                    <w:pPr>
                      <w:spacing w:before="45"/>
                      <w:ind w:left="11" w:right="0" w:firstLine="0"/>
                      <w:jc w:val="left"/>
                      <w:rPr>
                        <w:sz w:val="18"/>
                      </w:rPr>
                    </w:pPr>
                    <w:r>
                      <w:rPr>
                        <w:color w:val="585858"/>
                        <w:sz w:val="18"/>
                      </w:rPr>
                      <w:t>3%</w:t>
                    </w:r>
                  </w:p>
                  <w:p>
                    <w:pPr>
                      <w:spacing w:before="45"/>
                      <w:ind w:left="9" w:right="0" w:firstLine="0"/>
                      <w:jc w:val="left"/>
                      <w:rPr>
                        <w:sz w:val="18"/>
                      </w:rPr>
                    </w:pPr>
                    <w:r>
                      <w:rPr>
                        <w:color w:val="585858"/>
                        <w:sz w:val="18"/>
                      </w:rPr>
                      <w:t>2%</w:t>
                    </w:r>
                  </w:p>
                  <w:p>
                    <w:pPr>
                      <w:spacing w:before="45"/>
                      <w:ind w:left="33" w:right="0" w:firstLine="0"/>
                      <w:jc w:val="left"/>
                      <w:rPr>
                        <w:sz w:val="18"/>
                      </w:rPr>
                    </w:pPr>
                    <w:r>
                      <w:rPr>
                        <w:color w:val="585858"/>
                        <w:sz w:val="18"/>
                      </w:rPr>
                      <w:t>1%</w:t>
                    </w:r>
                  </w:p>
                  <w:p>
                    <w:pPr>
                      <w:spacing w:before="46"/>
                      <w:ind w:left="0" w:right="0" w:firstLine="0"/>
                      <w:jc w:val="left"/>
                      <w:rPr>
                        <w:sz w:val="18"/>
                      </w:rPr>
                    </w:pPr>
                    <w:r>
                      <w:rPr>
                        <w:color w:val="585858"/>
                        <w:sz w:val="18"/>
                      </w:rPr>
                      <w:t>0%</w:t>
                    </w:r>
                  </w:p>
                </w:txbxContent>
              </v:textbox>
              <w10:wrap type="none"/>
            </v:shape>
            <w10:wrap type="topAndBottom"/>
          </v:group>
        </w:pict>
      </w:r>
      <w:r>
        <w:rPr>
          <w:i/>
          <w:color w:val="A21F1F"/>
          <w:sz w:val="18"/>
        </w:rPr>
        <w:t>geodata i 2016</w:t>
      </w:r>
    </w:p>
    <w:p>
      <w:pPr>
        <w:spacing w:before="0"/>
        <w:ind w:left="278" w:right="0" w:firstLine="0"/>
        <w:jc w:val="left"/>
        <w:rPr>
          <w:i/>
          <w:sz w:val="18"/>
        </w:rPr>
      </w:pPr>
      <w:r>
        <w:rPr>
          <w:b/>
          <w:i/>
          <w:color w:val="A21F1F"/>
          <w:sz w:val="18"/>
        </w:rPr>
        <w:t>Kilde</w:t>
      </w:r>
      <w:r>
        <w:rPr>
          <w:i/>
          <w:color w:val="A21F1F"/>
          <w:sz w:val="18"/>
        </w:rPr>
        <w:t>: Spørgeskemaundersøgelse udført blandt offentlige myndigheder</w:t>
      </w:r>
    </w:p>
    <w:p>
      <w:pPr>
        <w:spacing w:before="119"/>
        <w:ind w:left="278" w:right="0" w:firstLine="0"/>
        <w:jc w:val="left"/>
        <w:rPr>
          <w:i/>
          <w:sz w:val="18"/>
        </w:rPr>
      </w:pPr>
      <w:r>
        <w:rPr/>
        <w:pict>
          <v:shape style="position:absolute;margin-left:173.619995pt;margin-top:-29.659973pt;width:105pt;height:10.25pt;mso-position-horizontal-relative:page;mso-position-vertical-relative:paragraph;z-index:-174568" type="#_x0000_t202" filled="false" stroked="false">
            <v:textbox inset="0,0,0,0">
              <w:txbxContent>
                <w:p>
                  <w:pPr>
                    <w:spacing w:before="0"/>
                    <w:ind w:left="0" w:right="0" w:firstLine="0"/>
                    <w:jc w:val="left"/>
                    <w:rPr>
                      <w:sz w:val="18"/>
                    </w:rPr>
                  </w:pPr>
                  <w:r>
                    <w:rPr>
                      <w:color w:val="585858"/>
                      <w:sz w:val="18"/>
                    </w:rPr>
                    <w:t>Adgagng til geodata i</w:t>
                  </w:r>
                  <w:r>
                    <w:rPr>
                      <w:color w:val="585858"/>
                      <w:spacing w:val="-12"/>
                      <w:sz w:val="18"/>
                    </w:rPr>
                    <w:t> </w:t>
                  </w:r>
                  <w:r>
                    <w:rPr>
                      <w:color w:val="585858"/>
                      <w:sz w:val="18"/>
                    </w:rPr>
                    <w:t>2016</w:t>
                  </w:r>
                </w:p>
              </w:txbxContent>
            </v:textbox>
            <w10:wrap type="none"/>
          </v:shape>
        </w:pict>
      </w:r>
      <w:r>
        <w:rPr/>
        <w:pict>
          <v:shape style="position:absolute;margin-left:305.160004pt;margin-top:-29.659973pt;width:135.050pt;height:10.25pt;mso-position-horizontal-relative:page;mso-position-vertical-relative:paragraph;z-index:-174520" type="#_x0000_t202" filled="false" stroked="false">
            <v:textbox inset="0,0,0,0">
              <w:txbxContent>
                <w:p>
                  <w:pPr>
                    <w:spacing w:before="0"/>
                    <w:ind w:left="0" w:right="0" w:firstLine="0"/>
                    <w:jc w:val="left"/>
                    <w:rPr>
                      <w:sz w:val="18"/>
                    </w:rPr>
                  </w:pPr>
                  <w:r>
                    <w:rPr>
                      <w:color w:val="585858"/>
                      <w:sz w:val="18"/>
                    </w:rPr>
                    <w:t>Kritisk afhængig af geodata i</w:t>
                  </w:r>
                  <w:r>
                    <w:rPr>
                      <w:color w:val="585858"/>
                      <w:spacing w:val="-14"/>
                      <w:sz w:val="18"/>
                    </w:rPr>
                    <w:t> </w:t>
                  </w:r>
                  <w:r>
                    <w:rPr>
                      <w:color w:val="585858"/>
                      <w:sz w:val="18"/>
                    </w:rPr>
                    <w:t>2016</w:t>
                  </w:r>
                </w:p>
              </w:txbxContent>
            </v:textbox>
            <w10:wrap type="none"/>
          </v:shape>
        </w:pict>
      </w:r>
      <w:r>
        <w:rPr>
          <w:b/>
          <w:i/>
          <w:color w:val="A21F1F"/>
          <w:sz w:val="18"/>
        </w:rPr>
        <w:t>N</w:t>
      </w:r>
      <w:r>
        <w:rPr>
          <w:i/>
          <w:color w:val="A21F1F"/>
          <w:sz w:val="18"/>
        </w:rPr>
        <w:t>: 80</w:t>
      </w:r>
    </w:p>
    <w:p>
      <w:pPr>
        <w:pStyle w:val="BodyText"/>
        <w:rPr>
          <w:i/>
        </w:rPr>
      </w:pPr>
    </w:p>
    <w:p>
      <w:pPr>
        <w:pStyle w:val="BodyText"/>
        <w:spacing w:before="2"/>
        <w:rPr>
          <w:i/>
          <w:sz w:val="19"/>
        </w:rPr>
      </w:pPr>
    </w:p>
    <w:p>
      <w:pPr>
        <w:pStyle w:val="BodyText"/>
        <w:spacing w:line="360" w:lineRule="auto"/>
        <w:ind w:left="278" w:right="1055"/>
      </w:pPr>
      <w:r>
        <w:rPr/>
        <w:t>Som det var tilfældet med de private brugere, er der ligeledes en stor andel af de offentlige brugere, der anvender geodata fra andre leverandører end SDFE, herunder egen-producerede kort. Det er således uændret gældende for ca. 80 pct. af kommunerne, jf. </w:t>
      </w:r>
      <w:hyperlink w:history="true" w:anchor="_bookmark61">
        <w:r>
          <w:rPr/>
          <w:t>Figur 33. </w:t>
        </w:r>
      </w:hyperlink>
      <w:r>
        <w:rPr/>
        <w:t>Det ses også i figuren, at andelen af statslige myndigheder, der anvender geodata fra andre leverandører er faldet fra mere end 80 pct. til knap 50 pct.</w:t>
      </w:r>
    </w:p>
    <w:p>
      <w:pPr>
        <w:pStyle w:val="BodyText"/>
        <w:rPr>
          <w:sz w:val="21"/>
        </w:rPr>
      </w:pPr>
    </w:p>
    <w:p>
      <w:pPr>
        <w:spacing w:before="0"/>
        <w:ind w:left="278" w:right="1080" w:firstLine="0"/>
        <w:jc w:val="left"/>
        <w:rPr>
          <w:i/>
          <w:sz w:val="18"/>
        </w:rPr>
      </w:pPr>
      <w:r>
        <w:rPr/>
        <w:pict>
          <v:group style="position:absolute;margin-left:70.525002pt;margin-top:26.167931pt;width:472.35pt;height:216.75pt;mso-position-horizontal-relative:page;mso-position-vertical-relative:paragraph;z-index:5840;mso-wrap-distance-left:0;mso-wrap-distance-right:0" coordorigin="1411,523" coordsize="9447,4335">
            <v:rect style="position:absolute;left:1418;top:531;width:9432;height:4320" filled="true" fillcolor="#f1f1f1" stroked="false">
              <v:fill type="solid"/>
            </v:rect>
            <v:line style="position:absolute" from="4277,750" to="4277,942" stroked="true" strokeweight=".72pt" strokecolor="#d9d9d9">
              <v:stroke dashstyle="solid"/>
            </v:line>
            <v:line style="position:absolute" from="4277,1362" to="4277,1746" stroked="true" strokeweight=".72pt" strokecolor="#d9d9d9">
              <v:stroke dashstyle="solid"/>
            </v:line>
            <v:line style="position:absolute" from="4277,2166" to="4277,2550" stroked="true" strokeweight=".72pt" strokecolor="#d9d9d9">
              <v:stroke dashstyle="solid"/>
            </v:line>
            <v:line style="position:absolute" from="4277,2970" to="4277,3351" stroked="true" strokeweight=".72pt" strokecolor="#d9d9d9">
              <v:stroke dashstyle="solid"/>
            </v:line>
            <v:line style="position:absolute" from="4277,3771" to="4277,3963" stroked="true" strokeweight=".72pt" strokecolor="#d9d9d9">
              <v:stroke dashstyle="solid"/>
            </v:line>
            <v:line style="position:absolute" from="4958,750" to="4958,942" stroked="true" strokeweight=".72pt" strokecolor="#d9d9d9">
              <v:stroke dashstyle="solid"/>
            </v:line>
            <v:line style="position:absolute" from="4958,1362" to="4958,1746" stroked="true" strokeweight=".72pt" strokecolor="#d9d9d9">
              <v:stroke dashstyle="solid"/>
            </v:line>
            <v:line style="position:absolute" from="4958,2166" to="4958,2550" stroked="true" strokeweight=".72pt" strokecolor="#d9d9d9">
              <v:stroke dashstyle="solid"/>
            </v:line>
            <v:line style="position:absolute" from="4958,2970" to="4958,3351" stroked="true" strokeweight=".72pt" strokecolor="#d9d9d9">
              <v:stroke dashstyle="solid"/>
            </v:line>
            <v:line style="position:absolute" from="4958,3771" to="4958,3963" stroked="true" strokeweight=".72pt" strokecolor="#d9d9d9">
              <v:stroke dashstyle="solid"/>
            </v:line>
            <v:line style="position:absolute" from="5640,750" to="5640,942" stroked="true" strokeweight=".72pt" strokecolor="#d9d9d9">
              <v:stroke dashstyle="solid"/>
            </v:line>
            <v:line style="position:absolute" from="5640,1362" to="5640,1746" stroked="true" strokeweight=".72pt" strokecolor="#d9d9d9">
              <v:stroke dashstyle="solid"/>
            </v:line>
            <v:line style="position:absolute" from="5640,2166" to="5640,2550" stroked="true" strokeweight=".72pt" strokecolor="#d9d9d9">
              <v:stroke dashstyle="solid"/>
            </v:line>
            <v:line style="position:absolute" from="5640,2970" to="5640,3351" stroked="true" strokeweight=".72pt" strokecolor="#d9d9d9">
              <v:stroke dashstyle="solid"/>
            </v:line>
            <v:line style="position:absolute" from="5640,3771" to="5640,3963" stroked="true" strokeweight=".72pt" strokecolor="#d9d9d9">
              <v:stroke dashstyle="solid"/>
            </v:line>
            <v:line style="position:absolute" from="6322,750" to="6322,942" stroked="true" strokeweight=".72pt" strokecolor="#d9d9d9">
              <v:stroke dashstyle="solid"/>
            </v:line>
            <v:line style="position:absolute" from="6322,1362" to="6322,1746" stroked="true" strokeweight=".72pt" strokecolor="#d9d9d9">
              <v:stroke dashstyle="solid"/>
            </v:line>
            <v:line style="position:absolute" from="6322,2166" to="6322,2550" stroked="true" strokeweight=".72pt" strokecolor="#d9d9d9">
              <v:stroke dashstyle="solid"/>
            </v:line>
            <v:line style="position:absolute" from="6322,2970" to="6322,3351" stroked="true" strokeweight=".72pt" strokecolor="#d9d9d9">
              <v:stroke dashstyle="solid"/>
            </v:line>
            <v:line style="position:absolute" from="6322,3771" to="6322,3963" stroked="true" strokeweight=".72pt" strokecolor="#d9d9d9">
              <v:stroke dashstyle="solid"/>
            </v:line>
            <v:line style="position:absolute" from="7003,750" to="7003,942" stroked="true" strokeweight=".72pt" strokecolor="#d9d9d9">
              <v:stroke dashstyle="solid"/>
            </v:line>
            <v:line style="position:absolute" from="7003,1362" to="7003,1746" stroked="true" strokeweight=".72pt" strokecolor="#d9d9d9">
              <v:stroke dashstyle="solid"/>
            </v:line>
            <v:line style="position:absolute" from="7003,2166" to="7003,2550" stroked="true" strokeweight=".72pt" strokecolor="#d9d9d9">
              <v:stroke dashstyle="solid"/>
            </v:line>
            <v:line style="position:absolute" from="7003,2970" to="7003,3351" stroked="true" strokeweight=".72pt" strokecolor="#d9d9d9">
              <v:stroke dashstyle="solid"/>
            </v:line>
            <v:line style="position:absolute" from="7003,3562" to="7003,3963" stroked="true" strokeweight=".72pt" strokecolor="#d9d9d9">
              <v:stroke dashstyle="solid"/>
            </v:line>
            <v:line style="position:absolute" from="7682,750" to="7682,942" stroked="true" strokeweight=".72pt" strokecolor="#d9d9d9">
              <v:stroke dashstyle="solid"/>
            </v:line>
            <v:line style="position:absolute" from="7682,1362" to="7682,1746" stroked="true" strokeweight=".72pt" strokecolor="#d9d9d9">
              <v:stroke dashstyle="solid"/>
            </v:line>
            <v:line style="position:absolute" from="7682,2166" to="7682,2550" stroked="true" strokeweight=".72pt" strokecolor="#d9d9d9">
              <v:stroke dashstyle="solid"/>
            </v:line>
            <v:line style="position:absolute" from="7682,2970" to="7682,3351" stroked="true" strokeweight=".72pt" strokecolor="#d9d9d9">
              <v:stroke dashstyle="solid"/>
            </v:line>
            <v:line style="position:absolute" from="7682,3562" to="7682,3963" stroked="true" strokeweight=".72pt" strokecolor="#d9d9d9">
              <v:stroke dashstyle="solid"/>
            </v:line>
            <v:line style="position:absolute" from="8364,750" to="8364,942" stroked="true" strokeweight=".72pt" strokecolor="#d9d9d9">
              <v:stroke dashstyle="solid"/>
            </v:line>
            <v:line style="position:absolute" from="8364,1362" to="8364,1746" stroked="true" strokeweight=".72pt" strokecolor="#d9d9d9">
              <v:stroke dashstyle="solid"/>
            </v:line>
            <v:line style="position:absolute" from="8364,2166" to="8364,2550" stroked="true" strokeweight=".72pt" strokecolor="#d9d9d9">
              <v:stroke dashstyle="solid"/>
            </v:line>
            <v:line style="position:absolute" from="8364,2970" to="8364,3351" stroked="true" strokeweight=".72pt" strokecolor="#d9d9d9">
              <v:stroke dashstyle="solid"/>
            </v:line>
            <v:line style="position:absolute" from="8364,3562" to="8364,3963" stroked="true" strokeweight=".72pt" strokecolor="#d9d9d9">
              <v:stroke dashstyle="solid"/>
            </v:line>
            <v:line style="position:absolute" from="9046,750" to="9046,1153" stroked="true" strokeweight=".72pt" strokecolor="#d9d9d9">
              <v:stroke dashstyle="solid"/>
            </v:line>
            <v:line style="position:absolute" from="9046,1362" to="9046,1954" stroked="true" strokeweight=".72pt" strokecolor="#d9d9d9">
              <v:stroke dashstyle="solid"/>
            </v:line>
            <v:line style="position:absolute" from="9046,2166" to="9046,2550" stroked="true" strokeweight=".72pt" strokecolor="#d9d9d9">
              <v:stroke dashstyle="solid"/>
            </v:line>
            <v:line style="position:absolute" from="9046,2758" to="9046,3351" stroked="true" strokeweight=".72pt" strokecolor="#d9d9d9">
              <v:stroke dashstyle="solid"/>
            </v:line>
            <v:line style="position:absolute" from="9046,3562" to="9046,3963" stroked="true" strokeweight=".72pt" strokecolor="#d9d9d9">
              <v:stroke dashstyle="solid"/>
            </v:line>
            <v:line style="position:absolute" from="9727,750" to="9727,1954" stroked="true" strokeweight=".72pt" strokecolor="#d9d9d9">
              <v:stroke dashstyle="solid"/>
            </v:line>
            <v:line style="position:absolute" from="9727,2166" to="9727,2550" stroked="true" strokeweight=".72pt" strokecolor="#d9d9d9">
              <v:stroke dashstyle="solid"/>
            </v:line>
            <v:line style="position:absolute" from="9727,2758" to="9727,3963" stroked="true" strokeweight=".72pt" strokecolor="#d9d9d9">
              <v:stroke dashstyle="solid"/>
            </v:line>
            <v:line style="position:absolute" from="10406,750" to="10406,3963" stroked="true" strokeweight=".72pt" strokecolor="#d9d9d9">
              <v:stroke dashstyle="solid"/>
            </v:line>
            <v:rect style="position:absolute;left:3597;top:3562;width:3130;height:209" filled="true" fillcolor="#901b1b" stroked="false">
              <v:fill type="solid"/>
            </v:rect>
            <v:rect style="position:absolute;left:3597;top:2758;width:4808;height:212" filled="true" fillcolor="#901b1b" stroked="false">
              <v:fill type="solid"/>
            </v:rect>
            <v:rect style="position:absolute;left:3597;top:1954;width:6809;height:212" filled="true" fillcolor="#901b1b" stroked="false">
              <v:fill type="solid"/>
            </v:rect>
            <v:rect style="position:absolute;left:3597;top:1152;width:5496;height:209" filled="true" fillcolor="#901b1b" stroked="false">
              <v:fill type="solid"/>
            </v:rect>
            <v:rect style="position:absolute;left:3597;top:3351;width:5856;height:212" filled="true" fillcolor="#bd8686" stroked="false">
              <v:fill type="solid"/>
            </v:rect>
            <v:rect style="position:absolute;left:3597;top:2549;width:6809;height:209" filled="true" fillcolor="#bd8686" stroked="false">
              <v:fill type="solid"/>
            </v:rect>
            <v:rect style="position:absolute;left:3597;top:1745;width:5108;height:209" filled="true" fillcolor="#bd8686" stroked="false">
              <v:fill type="solid"/>
            </v:rect>
            <v:rect style="position:absolute;left:3597;top:941;width:5379;height:212" filled="true" fillcolor="#bd8686" stroked="false">
              <v:fill type="solid"/>
            </v:rect>
            <v:line style="position:absolute" from="3598,3963" to="3598,750" stroked="true" strokeweight=".72pt" strokecolor="#d9d9d9">
              <v:stroke dashstyle="solid"/>
            </v:line>
            <v:rect style="position:absolute;left:5582;top:4522;width:94;height:94" filled="true" fillcolor="#bd8686" stroked="false">
              <v:fill type="solid"/>
            </v:rect>
            <v:rect style="position:absolute;left:6232;top:4522;width:92;height:94" filled="true" fillcolor="#901b1b" stroked="false">
              <v:fill type="solid"/>
            </v:rect>
            <v:rect style="position:absolute;left:1418;top:530;width:9432;height:4320" filled="false" stroked="true" strokeweight=".75pt" strokecolor="#d9d9d9">
              <v:stroke dashstyle="solid"/>
            </v:rect>
            <v:rect style="position:absolute;left:1535;top:2589;width:1969;height:217" filled="true" fillcolor="#f1f1f1" stroked="false">
              <v:fill type="solid"/>
            </v:rect>
            <v:shape style="position:absolute;left:1425;top:531;width:9417;height:4313" type="#_x0000_t202" filled="false" stroked="false">
              <v:textbox inset="0,0,0,0">
                <w:txbxContent>
                  <w:p>
                    <w:pPr>
                      <w:spacing w:line="240" w:lineRule="auto" w:before="0"/>
                      <w:rPr>
                        <w:i/>
                        <w:sz w:val="20"/>
                      </w:rPr>
                    </w:pPr>
                  </w:p>
                  <w:p>
                    <w:pPr>
                      <w:spacing w:line="240" w:lineRule="auto" w:before="3"/>
                      <w:rPr>
                        <w:i/>
                        <w:sz w:val="25"/>
                      </w:rPr>
                    </w:pPr>
                  </w:p>
                  <w:p>
                    <w:pPr>
                      <w:spacing w:before="0"/>
                      <w:ind w:left="201" w:right="6497" w:firstLine="0"/>
                      <w:jc w:val="center"/>
                      <w:rPr>
                        <w:sz w:val="18"/>
                      </w:rPr>
                    </w:pPr>
                    <w:r>
                      <w:rPr>
                        <w:color w:val="585858"/>
                        <w:sz w:val="18"/>
                      </w:rPr>
                      <w:t>Kommuner</w:t>
                    </w:r>
                  </w:p>
                  <w:p>
                    <w:pPr>
                      <w:spacing w:line="240" w:lineRule="auto" w:before="0"/>
                      <w:rPr>
                        <w:i/>
                        <w:sz w:val="20"/>
                      </w:rPr>
                    </w:pPr>
                  </w:p>
                  <w:p>
                    <w:pPr>
                      <w:spacing w:line="240" w:lineRule="auto" w:before="0"/>
                      <w:rPr>
                        <w:i/>
                        <w:sz w:val="20"/>
                      </w:rPr>
                    </w:pPr>
                  </w:p>
                  <w:p>
                    <w:pPr>
                      <w:spacing w:before="144"/>
                      <w:ind w:left="201" w:right="6309" w:firstLine="0"/>
                      <w:jc w:val="center"/>
                      <w:rPr>
                        <w:sz w:val="18"/>
                      </w:rPr>
                    </w:pPr>
                    <w:r>
                      <w:rPr>
                        <w:color w:val="585858"/>
                        <w:sz w:val="18"/>
                      </w:rPr>
                      <w:t>Regioner</w:t>
                    </w:r>
                  </w:p>
                  <w:p>
                    <w:pPr>
                      <w:spacing w:line="240" w:lineRule="auto" w:before="0"/>
                      <w:rPr>
                        <w:i/>
                        <w:sz w:val="20"/>
                      </w:rPr>
                    </w:pPr>
                  </w:p>
                  <w:p>
                    <w:pPr>
                      <w:spacing w:line="240" w:lineRule="auto" w:before="0"/>
                      <w:rPr>
                        <w:i/>
                        <w:sz w:val="20"/>
                      </w:rPr>
                    </w:pPr>
                  </w:p>
                  <w:p>
                    <w:pPr>
                      <w:spacing w:before="123"/>
                      <w:ind w:left="115" w:right="0" w:firstLine="0"/>
                      <w:jc w:val="left"/>
                      <w:rPr>
                        <w:sz w:val="18"/>
                      </w:rPr>
                    </w:pPr>
                    <w:r>
                      <w:rPr>
                        <w:color w:val="404040"/>
                        <w:sz w:val="18"/>
                      </w:rPr>
                      <w:t>Selvejende</w:t>
                    </w:r>
                    <w:r>
                      <w:rPr>
                        <w:color w:val="404040"/>
                        <w:spacing w:val="-14"/>
                        <w:sz w:val="18"/>
                      </w:rPr>
                      <w:t> </w:t>
                    </w:r>
                    <w:r>
                      <w:rPr>
                        <w:color w:val="404040"/>
                        <w:sz w:val="18"/>
                      </w:rPr>
                      <w:t>institutioner</w:t>
                    </w:r>
                  </w:p>
                  <w:p>
                    <w:pPr>
                      <w:spacing w:line="240" w:lineRule="auto" w:before="0"/>
                      <w:rPr>
                        <w:i/>
                        <w:sz w:val="20"/>
                      </w:rPr>
                    </w:pPr>
                  </w:p>
                  <w:p>
                    <w:pPr>
                      <w:spacing w:line="240" w:lineRule="auto" w:before="0"/>
                      <w:rPr>
                        <w:i/>
                        <w:sz w:val="20"/>
                      </w:rPr>
                    </w:pPr>
                  </w:p>
                  <w:p>
                    <w:pPr>
                      <w:spacing w:before="165"/>
                      <w:ind w:left="324" w:right="0" w:firstLine="0"/>
                      <w:jc w:val="left"/>
                      <w:rPr>
                        <w:sz w:val="18"/>
                      </w:rPr>
                    </w:pPr>
                    <w:r>
                      <w:rPr>
                        <w:color w:val="585858"/>
                        <w:sz w:val="18"/>
                      </w:rPr>
                      <w:t>Statslig</w:t>
                    </w:r>
                    <w:r>
                      <w:rPr>
                        <w:color w:val="585858"/>
                        <w:spacing w:val="-9"/>
                        <w:sz w:val="18"/>
                      </w:rPr>
                      <w:t> </w:t>
                    </w:r>
                    <w:r>
                      <w:rPr>
                        <w:color w:val="585858"/>
                        <w:sz w:val="18"/>
                      </w:rPr>
                      <w:t>myndigheder</w:t>
                    </w:r>
                  </w:p>
                  <w:p>
                    <w:pPr>
                      <w:spacing w:line="240" w:lineRule="auto" w:before="0"/>
                      <w:rPr>
                        <w:i/>
                        <w:sz w:val="20"/>
                      </w:rPr>
                    </w:pPr>
                  </w:p>
                  <w:p>
                    <w:pPr>
                      <w:spacing w:line="240" w:lineRule="auto" w:before="7"/>
                      <w:rPr>
                        <w:i/>
                        <w:sz w:val="16"/>
                      </w:rPr>
                    </w:pPr>
                  </w:p>
                  <w:p>
                    <w:pPr>
                      <w:tabs>
                        <w:tab w:pos="2685" w:val="left" w:leader="none"/>
                        <w:tab w:pos="3355" w:val="left" w:leader="none"/>
                        <w:tab w:pos="4036" w:val="left" w:leader="none"/>
                        <w:tab w:pos="4717" w:val="left" w:leader="none"/>
                        <w:tab w:pos="5401" w:val="left" w:leader="none"/>
                        <w:tab w:pos="6079" w:val="left" w:leader="none"/>
                        <w:tab w:pos="6766" w:val="left" w:leader="none"/>
                        <w:tab w:pos="7438" w:val="left" w:leader="none"/>
                        <w:tab w:pos="8122" w:val="left" w:leader="none"/>
                        <w:tab w:pos="8761" w:val="left" w:leader="none"/>
                      </w:tabs>
                      <w:spacing w:before="0"/>
                      <w:ind w:left="2043" w:right="0" w:firstLine="0"/>
                      <w:jc w:val="left"/>
                      <w:rPr>
                        <w:sz w:val="18"/>
                      </w:rPr>
                    </w:pPr>
                    <w:r>
                      <w:rPr>
                        <w:color w:val="585858"/>
                        <w:sz w:val="18"/>
                      </w:rPr>
                      <w:t>0%</w:t>
                      <w:tab/>
                      <w:t>10%</w:t>
                      <w:tab/>
                      <w:t>20%</w:t>
                      <w:tab/>
                      <w:t>30%</w:t>
                      <w:tab/>
                      <w:t>40%</w:t>
                      <w:tab/>
                      <w:t>50%</w:t>
                      <w:tab/>
                      <w:t>60%</w:t>
                      <w:tab/>
                      <w:t>70%</w:t>
                      <w:tab/>
                      <w:t>80%</w:t>
                      <w:tab/>
                      <w:t>90%</w:t>
                      <w:tab/>
                      <w:t>100%</w:t>
                    </w:r>
                  </w:p>
                  <w:p>
                    <w:pPr>
                      <w:spacing w:line="240" w:lineRule="auto" w:before="1"/>
                      <w:rPr>
                        <w:i/>
                        <w:sz w:val="16"/>
                      </w:rPr>
                    </w:pPr>
                  </w:p>
                  <w:p>
                    <w:pPr>
                      <w:tabs>
                        <w:tab w:pos="850" w:val="left" w:leader="none"/>
                      </w:tabs>
                      <w:spacing w:before="0"/>
                      <w:ind w:left="201" w:right="0" w:firstLine="0"/>
                      <w:jc w:val="center"/>
                      <w:rPr>
                        <w:sz w:val="18"/>
                      </w:rPr>
                    </w:pPr>
                    <w:r>
                      <w:rPr>
                        <w:color w:val="585858"/>
                        <w:sz w:val="18"/>
                      </w:rPr>
                      <w:t>2012</w:t>
                      <w:tab/>
                      <w:t>2016</w:t>
                    </w:r>
                  </w:p>
                </w:txbxContent>
              </v:textbox>
              <w10:wrap type="none"/>
            </v:shape>
            <w10:wrap type="topAndBottom"/>
          </v:group>
        </w:pict>
      </w:r>
      <w:r>
        <w:rPr/>
        <w:pict>
          <v:shape style="position:absolute;margin-left:77.424004pt;margin-top:132.619995pt;width:94.5pt;height:10.25pt;mso-position-horizontal-relative:page;mso-position-vertical-relative:paragraph;z-index:-174544" type="#_x0000_t202" filled="false" stroked="false">
            <v:textbox inset="0,0,0,0">
              <w:txbxContent>
                <w:p>
                  <w:pPr>
                    <w:spacing w:before="0"/>
                    <w:ind w:left="0" w:right="0" w:firstLine="0"/>
                    <w:jc w:val="left"/>
                    <w:rPr>
                      <w:sz w:val="18"/>
                    </w:rPr>
                  </w:pPr>
                  <w:r>
                    <w:rPr>
                      <w:color w:val="585858"/>
                      <w:sz w:val="18"/>
                    </w:rPr>
                    <w:t>Selvejende</w:t>
                  </w:r>
                  <w:r>
                    <w:rPr>
                      <w:color w:val="585858"/>
                      <w:spacing w:val="-16"/>
                      <w:sz w:val="18"/>
                    </w:rPr>
                    <w:t> </w:t>
                  </w:r>
                  <w:r>
                    <w:rPr>
                      <w:color w:val="585858"/>
                      <w:sz w:val="18"/>
                    </w:rPr>
                    <w:t>insittutioner</w:t>
                  </w:r>
                </w:p>
              </w:txbxContent>
            </v:textbox>
            <w10:wrap type="none"/>
          </v:shape>
        </w:pict>
      </w:r>
      <w:bookmarkStart w:name="_bookmark61" w:id="87"/>
      <w:bookmarkEnd w:id="87"/>
      <w:r>
        <w:rPr/>
      </w:r>
      <w:r>
        <w:rPr>
          <w:i/>
          <w:color w:val="A21F1F"/>
          <w:sz w:val="18"/>
        </w:rPr>
        <w:t>Figur 33: Offentlige brugere fordelt på myndighedsniveau, der anvender geodata fra andre leverandører end SDFE, </w:t>
      </w:r>
      <w:r>
        <w:rPr>
          <w:i/>
          <w:color w:val="A21F1F"/>
          <w:sz w:val="18"/>
        </w:rPr>
        <w:t>henholdsvis i 2012 og i 2016</w:t>
      </w:r>
    </w:p>
    <w:p>
      <w:pPr>
        <w:pStyle w:val="BodyText"/>
        <w:spacing w:before="9"/>
        <w:rPr>
          <w:i/>
          <w:sz w:val="17"/>
        </w:rPr>
      </w:pP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21"/>
        <w:ind w:left="278" w:right="0" w:firstLine="0"/>
        <w:jc w:val="left"/>
        <w:rPr>
          <w:i/>
          <w:sz w:val="18"/>
        </w:rPr>
      </w:pPr>
      <w:r>
        <w:rPr>
          <w:b/>
          <w:i/>
          <w:color w:val="A21F1F"/>
          <w:sz w:val="18"/>
        </w:rPr>
        <w:t>N</w:t>
      </w:r>
      <w:r>
        <w:rPr>
          <w:i/>
          <w:color w:val="A21F1F"/>
          <w:sz w:val="18"/>
        </w:rPr>
        <w:t>: 2016: 80 og 2012: 55</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Omkring to tredjedele af de offentlige brugere, der indgår i undersøgelsen, har angivet, at de selv</w:t>
      </w:r>
    </w:p>
    <w:p>
      <w:pPr>
        <w:pStyle w:val="BodyText"/>
        <w:spacing w:line="360" w:lineRule="auto" w:before="114"/>
        <w:ind w:left="278" w:right="1054"/>
      </w:pPr>
      <w:r>
        <w:rPr/>
        <w:t>producerer geodata, som det ses i </w:t>
      </w:r>
      <w:hyperlink w:history="true" w:anchor="_bookmark62">
        <w:r>
          <w:rPr/>
          <w:t>Figur 34. </w:t>
        </w:r>
      </w:hyperlink>
      <w:r>
        <w:rPr/>
        <w:t>Det kan skyldes, at de frie geodata er produceret til generelle formål, og at der derfor kan være myndighedsspecifikke formål, der ikke dækkes af de frie geodata. Der har ikke siden 2012været nogen væsentlig udvikling i andelen af myndigheder, der producerer sine egne geodata.</w:t>
      </w:r>
    </w:p>
    <w:p>
      <w:pPr>
        <w:pStyle w:val="BodyText"/>
        <w:rPr>
          <w:sz w:val="21"/>
        </w:rPr>
      </w:pPr>
    </w:p>
    <w:p>
      <w:pPr>
        <w:spacing w:before="0"/>
        <w:ind w:left="278" w:right="0" w:firstLine="0"/>
        <w:jc w:val="left"/>
        <w:rPr>
          <w:i/>
          <w:sz w:val="18"/>
        </w:rPr>
      </w:pPr>
      <w:r>
        <w:rPr/>
        <w:pict>
          <v:group style="position:absolute;margin-left:70.919998pt;margin-top:16.392916pt;width:466.8pt;height:180.6pt;mso-position-horizontal-relative:page;mso-position-vertical-relative:paragraph;z-index:6056;mso-wrap-distance-left:0;mso-wrap-distance-right:0" coordorigin="1418,328" coordsize="9336,3612">
            <v:rect style="position:absolute;left:1418;top:327;width:9336;height:3612" filled="true" fillcolor="#f1f1f1" stroked="false">
              <v:fill type="solid"/>
            </v:rect>
            <v:shape style="position:absolute;left:4333;top:772;width:2461;height:2721" coordorigin="4334,772" coordsize="2461,2721" path="m5434,772l5434,2133,4334,2932,4379,2991,4427,3047,4478,3100,4531,3150,4586,3196,4643,3239,4701,3279,4762,3316,4824,3349,4888,3379,4952,3405,5018,3428,5085,3448,5153,3464,5221,3476,5290,3485,5360,3491,5430,3493,5499,3492,5569,3487,5639,3478,5708,3466,5777,3450,5845,3430,5913,3407,5979,3379,6045,3349,6109,3314,6172,3276,6234,3233,6293,3188,6349,3140,6402,3089,6451,3036,6498,2981,6541,2924,6581,2866,6617,2805,6650,2743,6680,2679,6706,2615,6729,2549,6749,2482,6765,2414,6778,2346,6787,2277,6792,2207,6794,2137,6793,2068,6788,1998,6779,1928,6767,1859,6751,1790,6731,1722,6708,1654,6681,1588,6650,1522,6615,1458,6577,1395,6535,1333,6488,1273,6438,1215,6386,1161,6330,1109,6272,1061,6212,1017,6149,976,6085,938,6018,904,5950,874,5880,848,5808,825,5736,806,5662,792,5587,781,5511,775,5434,772xe" filled="true" fillcolor="#851717" stroked="false">
              <v:path arrowok="t"/>
              <v:fill type="solid"/>
            </v:shape>
            <v:shape style="position:absolute;left:4333;top:772;width:2461;height:2721" coordorigin="4334,772" coordsize="2461,2721" path="m5434,2133l4334,2932,4379,2991,4427,3047,4478,3100,4531,3150,4586,3196,4643,3239,4701,3279,4762,3316,4824,3349,4888,3379,4952,3405,5018,3428,5085,3448,5153,3464,5221,3476,5290,3485,5360,3491,5430,3493,5499,3492,5569,3487,5639,3478,5708,3466,5777,3450,5845,3430,5913,3407,5979,3379,6045,3349,6109,3314,6172,3276,6234,3233,6293,3188,6349,3140,6402,3089,6451,3036,6498,2981,6541,2924,6581,2866,6617,2805,6650,2743,6680,2679,6706,2615,6729,2549,6749,2482,6765,2414,6778,2346,6787,2277,6792,2207,6794,2137,6793,2068,6788,1998,6779,1928,6767,1859,6751,1790,6731,1722,6708,1654,6681,1588,6650,1522,6615,1458,6577,1395,6535,1333,6488,1273,6438,1215,6386,1161,6330,1109,6272,1061,6212,1017,6149,976,6085,938,6018,904,5950,874,5880,848,5808,825,5736,806,5662,792,5587,781,5511,775,5434,772,5434,2133xe" filled="false" stroked="true" strokeweight="1.44pt" strokecolor="#ffffff">
              <v:path arrowok="t"/>
              <v:stroke dashstyle="solid"/>
            </v:shape>
            <v:shape style="position:absolute;left:4074;top:972;width:1361;height:1960" coordorigin="4074,973" coordsize="1361,1960" path="m4723,973l4661,1014,4601,1057,4545,1103,4491,1152,4441,1203,4393,1257,4349,1312,4308,1370,4270,1429,4235,1490,4204,1552,4176,1616,4151,1682,4129,1748,4112,1815,4097,1883,4086,1952,4078,2021,4074,2091,4074,2161,4077,2231,4084,2301,4095,2371,4109,2441,4127,2510,4149,2578,4174,2646,4204,2713,4237,2779,4274,2843,4318,2911,4334,2932,5434,2133,4723,973xe" filled="true" fillcolor="#a21f1f" stroked="false">
              <v:path arrowok="t"/>
              <v:fill type="solid"/>
            </v:shape>
            <v:shape style="position:absolute;left:4074;top:972;width:1361;height:1960" coordorigin="4074,973" coordsize="1361,1960" path="m5434,2133l4723,973,4661,1014,4601,1057,4545,1103,4491,1152,4441,1203,4393,1257,4349,1312,4308,1370,4270,1429,4235,1490,4204,1552,4176,1616,4151,1682,4129,1748,4112,1815,4097,1883,4086,1952,4078,2021,4074,2091,4074,2161,4077,2231,4084,2301,4095,2371,4109,2441,4127,2510,4149,2578,4174,2646,4204,2713,4237,2779,4274,2843,4318,2911,4334,2932,5434,2133xe" filled="false" stroked="true" strokeweight="1.44pt" strokecolor="#ffffff">
              <v:path arrowok="t"/>
              <v:stroke dashstyle="solid"/>
            </v:shape>
            <v:shape style="position:absolute;left:4723;top:772;width:711;height:1361" coordorigin="4723,772" coordsize="711,1361" path="m5434,772l5351,775,5268,783,5186,795,5105,813,5025,835,4947,863,4871,895,4796,931,4723,973,5434,2133,5434,772xe" filled="true" fillcolor="#c9a1a1" stroked="false">
              <v:path arrowok="t"/>
              <v:fill type="solid"/>
            </v:shape>
            <v:shape style="position:absolute;left:4723;top:772;width:711;height:1361" coordorigin="4723,772" coordsize="711,1361" path="m5434,2133l5434,772,5351,775,5268,783,5186,795,5105,813,5025,835,4947,863,4871,895,4796,931,4723,973,5434,2133xe" filled="false" stroked="true" strokeweight="1.44pt" strokecolor="#ffffff">
              <v:path arrowok="t"/>
              <v:stroke dashstyle="solid"/>
            </v:shape>
            <v:rect style="position:absolute;left:7204;top:1719;width:113;height:113" filled="true" fillcolor="#851717" stroked="false">
              <v:fill type="solid"/>
            </v:rect>
            <v:rect style="position:absolute;left:7204;top:1719;width:113;height:113" filled="false" stroked="true" strokeweight="1.44pt" strokecolor="#ffffff">
              <v:stroke dashstyle="solid"/>
            </v:rect>
            <v:rect style="position:absolute;left:7204;top:2017;width:113;height:111" filled="true" fillcolor="#a21f1f" stroked="false">
              <v:fill type="solid"/>
            </v:rect>
            <v:rect style="position:absolute;left:7204;top:2017;width:113;height:111" filled="false" stroked="true" strokeweight="1.44pt" strokecolor="#ffffff">
              <v:stroke dashstyle="solid"/>
            </v:rect>
            <v:rect style="position:absolute;left:7204;top:2312;width:113;height:113" filled="true" fillcolor="#c9a1a1" stroked="false">
              <v:fill type="solid"/>
            </v:rect>
            <v:rect style="position:absolute;left:7204;top:2312;width:113;height:113" filled="false" stroked="true" strokeweight="1.44pt" strokecolor="#ffffff">
              <v:stroke dashstyle="solid"/>
            </v:rect>
            <v:shape style="position:absolute;left:6142;top:2486;width:443;height:251" type="#_x0000_t202" filled="false" stroked="false">
              <v:textbox inset="0,0,0,0">
                <w:txbxContent>
                  <w:p>
                    <w:pPr>
                      <w:spacing w:before="0"/>
                      <w:ind w:left="0" w:right="0" w:firstLine="0"/>
                      <w:jc w:val="left"/>
                      <w:rPr>
                        <w:sz w:val="22"/>
                      </w:rPr>
                    </w:pPr>
                    <w:r>
                      <w:rPr>
                        <w:color w:val="FFFFFF"/>
                        <w:sz w:val="22"/>
                      </w:rPr>
                      <w:t>65%</w:t>
                    </w:r>
                  </w:p>
                </w:txbxContent>
              </v:textbox>
              <w10:wrap type="none"/>
            </v:shape>
            <v:shape style="position:absolute;left:7368;top:1643;width:859;height:845" type="#_x0000_t202" filled="false" stroked="false">
              <v:textbox inset="0,0,0,0">
                <w:txbxContent>
                  <w:p>
                    <w:pPr>
                      <w:spacing w:line="285" w:lineRule="auto" w:before="0"/>
                      <w:ind w:left="0" w:right="499" w:firstLine="0"/>
                      <w:jc w:val="left"/>
                      <w:rPr>
                        <w:sz w:val="22"/>
                      </w:rPr>
                    </w:pPr>
                    <w:r>
                      <w:rPr>
                        <w:sz w:val="22"/>
                      </w:rPr>
                      <w:t>Ja Nej</w:t>
                    </w:r>
                  </w:p>
                  <w:p>
                    <w:pPr>
                      <w:spacing w:line="248" w:lineRule="exact" w:before="0"/>
                      <w:ind w:left="0" w:right="0" w:firstLine="0"/>
                      <w:jc w:val="left"/>
                      <w:rPr>
                        <w:sz w:val="22"/>
                      </w:rPr>
                    </w:pPr>
                    <w:r>
                      <w:rPr>
                        <w:sz w:val="22"/>
                      </w:rPr>
                      <w:t>Ved ikke</w:t>
                    </w:r>
                  </w:p>
                </w:txbxContent>
              </v:textbox>
              <w10:wrap type="none"/>
            </v:shape>
            <v:shape style="position:absolute;left:4177;top:1811;width:448;height:251" type="#_x0000_t202" filled="false" stroked="false">
              <v:textbox inset="0,0,0,0">
                <w:txbxContent>
                  <w:p>
                    <w:pPr>
                      <w:spacing w:before="0"/>
                      <w:ind w:left="0" w:right="0" w:firstLine="0"/>
                      <w:jc w:val="left"/>
                      <w:rPr>
                        <w:sz w:val="22"/>
                      </w:rPr>
                    </w:pPr>
                    <w:r>
                      <w:rPr>
                        <w:color w:val="FFFFFF"/>
                        <w:sz w:val="22"/>
                      </w:rPr>
                      <w:t>26%</w:t>
                    </w:r>
                  </w:p>
                </w:txbxContent>
              </v:textbox>
              <w10:wrap type="none"/>
            </v:shape>
            <v:shape style="position:absolute;left:4988;top:926;width:326;height:251" type="#_x0000_t202" filled="false" stroked="false">
              <v:textbox inset="0,0,0,0">
                <w:txbxContent>
                  <w:p>
                    <w:pPr>
                      <w:spacing w:before="0"/>
                      <w:ind w:left="0" w:right="0" w:firstLine="0"/>
                      <w:jc w:val="left"/>
                      <w:rPr>
                        <w:sz w:val="22"/>
                      </w:rPr>
                    </w:pPr>
                    <w:r>
                      <w:rPr>
                        <w:color w:val="FFFFFF"/>
                        <w:sz w:val="22"/>
                      </w:rPr>
                      <w:t>9%</w:t>
                    </w:r>
                  </w:p>
                </w:txbxContent>
              </v:textbox>
              <w10:wrap type="none"/>
            </v:shape>
            <w10:wrap type="topAndBottom"/>
          </v:group>
        </w:pict>
      </w:r>
      <w:bookmarkStart w:name="_bookmark62" w:id="88"/>
      <w:bookmarkEnd w:id="88"/>
      <w:r>
        <w:rPr/>
      </w:r>
      <w:r>
        <w:rPr>
          <w:i/>
          <w:color w:val="A21F1F"/>
          <w:sz w:val="18"/>
        </w:rPr>
        <w:t>Figur 34: Offentlige brugere, der selv producerer geodata i 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19"/>
        <w:ind w:left="278" w:right="0" w:firstLine="0"/>
        <w:jc w:val="left"/>
        <w:rPr>
          <w:i/>
          <w:sz w:val="18"/>
        </w:rPr>
      </w:pPr>
      <w:r>
        <w:rPr>
          <w:b/>
          <w:i/>
          <w:color w:val="A21F1F"/>
          <w:sz w:val="18"/>
        </w:rPr>
        <w:t>N</w:t>
      </w:r>
      <w:r>
        <w:rPr>
          <w:i/>
          <w:color w:val="A21F1F"/>
          <w:sz w:val="18"/>
        </w:rPr>
        <w:t>: 80</w:t>
      </w:r>
    </w:p>
    <w:p>
      <w:pPr>
        <w:pStyle w:val="BodyText"/>
        <w:spacing w:before="6"/>
        <w:rPr>
          <w:i/>
          <w:sz w:val="28"/>
        </w:rPr>
      </w:pPr>
    </w:p>
    <w:p>
      <w:pPr>
        <w:pStyle w:val="BodyText"/>
        <w:spacing w:line="360" w:lineRule="auto"/>
        <w:ind w:left="278" w:right="1030"/>
      </w:pPr>
      <w:r>
        <w:rPr/>
        <w:t>Et eksempel på geodata, som kommuner selv producerer og vedligeholder, er de datatyper, der indgår i det fælleskommunale geodatasamarbejde (FKG), der bl.a. omfatter temaer som vej og trafik, affald og genbrug, beredskab, park og grønne områder mv.</w:t>
      </w:r>
      <w:r>
        <w:rPr>
          <w:position w:val="5"/>
          <w:sz w:val="13"/>
        </w:rPr>
        <w:t>5 </w:t>
      </w:r>
      <w:r>
        <w:rPr/>
        <w:t>I staten findes også en række styrelser, som producerer og vedligeholder egne geodata – eksempelvis udarbejder NaturErhvervstyrelsen de såkaldte markblokkort, og Naturstyrelsen udarbejder en lang række geodata-temaer som en del af vandplanerne.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r>
        <w:rPr/>
        <w:pict>
          <v:line style="position:absolute;mso-position-horizontal-relative:page;mso-position-vertical-relative:paragraph;z-index:6080;mso-wrap-distance-left:0;mso-wrap-distance-right:0" from="70.944pt,17.703884pt" to="214.964pt,17.703884pt" stroked="true" strokeweight=".47998pt" strokecolor="#000000">
            <v:stroke dashstyle="solid"/>
            <w10:wrap type="topAndBottom"/>
          </v:line>
        </w:pict>
      </w:r>
    </w:p>
    <w:p>
      <w:pPr>
        <w:pStyle w:val="BodyText"/>
        <w:spacing w:before="63"/>
        <w:ind w:left="278"/>
      </w:pPr>
      <w:r>
        <w:rPr>
          <w:position w:val="5"/>
          <w:sz w:val="13"/>
        </w:rPr>
        <w:t>5 </w:t>
      </w:r>
      <w:hyperlink r:id="rId23">
        <w:r>
          <w:rPr/>
          <w:t>http://www.kl.dk/Kommunale-opgaver/Teknik-og-miljo/Digital-forvaltning/Geodata/</w:t>
        </w:r>
      </w:hyperlink>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Som det fremgår af nedenstående </w:t>
      </w:r>
      <w:hyperlink w:history="true" w:anchor="_bookmark63">
        <w:r>
          <w:rPr/>
          <w:t>Figur 35, </w:t>
        </w:r>
      </w:hyperlink>
      <w:r>
        <w:rPr/>
        <w:t>er aftagerne af de offentlige myndigheders geodatarelaterede</w:t>
      </w:r>
    </w:p>
    <w:p>
      <w:pPr>
        <w:pStyle w:val="BodyText"/>
        <w:spacing w:line="360" w:lineRule="auto" w:before="114"/>
        <w:ind w:left="278" w:right="1488"/>
      </w:pPr>
      <w:r>
        <w:rPr/>
        <w:t>produkter og ydelser primært myndigheden selv. Samme tendens gjorde sig gældende i før-målingen i 2012, hvilket desuden bekræfter, at myndighederne i begge målingen anvender de frie geodata som et redskab i deres myndighedsudøvelse. Der er dog også en tendens til, at de offentlige myndigheder anvender geodata i virksomheds- og borgerrettede opgaver.</w:t>
      </w:r>
    </w:p>
    <w:p>
      <w:pPr>
        <w:pStyle w:val="BodyText"/>
        <w:rPr>
          <w:sz w:val="21"/>
        </w:rPr>
      </w:pPr>
    </w:p>
    <w:p>
      <w:pPr>
        <w:spacing w:before="0"/>
        <w:ind w:left="278" w:right="1109" w:firstLine="0"/>
        <w:jc w:val="left"/>
        <w:rPr>
          <w:i/>
          <w:sz w:val="18"/>
        </w:rPr>
      </w:pPr>
      <w:r>
        <w:rPr/>
        <w:pict>
          <v:group style="position:absolute;margin-left:70.525002pt;margin-top:26.187916pt;width:464.75pt;height:291.4pt;mso-position-horizontal-relative:page;mso-position-vertical-relative:paragraph;z-index:6152;mso-wrap-distance-left:0;mso-wrap-distance-right:0" coordorigin="1411,524" coordsize="9295,5828">
            <v:rect style="position:absolute;left:1418;top:531;width:9279;height:5813" filled="true" fillcolor="#f1f1f1" stroked="false">
              <v:fill type="solid"/>
            </v:rect>
            <v:line style="position:absolute" from="6139,750" to="6139,875" stroked="true" strokeweight=".72pt" strokecolor="#d9d9d9">
              <v:stroke dashstyle="solid"/>
            </v:line>
            <v:line style="position:absolute" from="6139,1149" to="6139,1398" stroked="true" strokeweight=".72pt" strokecolor="#d9d9d9">
              <v:stroke dashstyle="solid"/>
            </v:line>
            <v:line style="position:absolute" from="6139,1672" to="6139,1921" stroked="true" strokeweight=".72pt" strokecolor="#d9d9d9">
              <v:stroke dashstyle="solid"/>
            </v:line>
            <v:line style="position:absolute" from="6139,2195" to="6139,2445" stroked="true" strokeweight=".72pt" strokecolor="#d9d9d9">
              <v:stroke dashstyle="solid"/>
            </v:line>
            <v:line style="position:absolute" from="6139,2718" to="6139,2968" stroked="true" strokeweight=".72pt" strokecolor="#d9d9d9">
              <v:stroke dashstyle="solid"/>
            </v:line>
            <v:line style="position:absolute" from="6139,3241" to="6139,3491" stroked="true" strokeweight=".72pt" strokecolor="#d9d9d9">
              <v:stroke dashstyle="solid"/>
            </v:line>
            <v:line style="position:absolute" from="6139,3765" to="6139,4012" stroked="true" strokeweight=".72pt" strokecolor="#d9d9d9">
              <v:stroke dashstyle="solid"/>
            </v:line>
            <v:line style="position:absolute" from="6139,4288" to="6139,4535" stroked="true" strokeweight=".72pt" strokecolor="#d9d9d9">
              <v:stroke dashstyle="solid"/>
            </v:line>
            <v:line style="position:absolute" from="6139,4809" to="6139,5058" stroked="true" strokeweight=".72pt" strokecolor="#d9d9d9">
              <v:stroke dashstyle="solid"/>
            </v:line>
            <v:line style="position:absolute" from="6139,5332" to="6139,5457" stroked="true" strokeweight=".72pt" strokecolor="#d9d9d9">
              <v:stroke dashstyle="solid"/>
            </v:line>
            <v:line style="position:absolute" from="6598,750" to="6598,875" stroked="true" strokeweight=".72pt" strokecolor="#d9d9d9">
              <v:stroke dashstyle="solid"/>
            </v:line>
            <v:line style="position:absolute" from="6598,1149" to="6598,1398" stroked="true" strokeweight=".72pt" strokecolor="#d9d9d9">
              <v:stroke dashstyle="solid"/>
            </v:line>
            <v:line style="position:absolute" from="6598,1672" to="6598,1921" stroked="true" strokeweight=".72pt" strokecolor="#d9d9d9">
              <v:stroke dashstyle="solid"/>
            </v:line>
            <v:line style="position:absolute" from="6598,2195" to="6598,2445" stroked="true" strokeweight=".72pt" strokecolor="#d9d9d9">
              <v:stroke dashstyle="solid"/>
            </v:line>
            <v:line style="position:absolute" from="6598,2718" to="6598,2968" stroked="true" strokeweight=".72pt" strokecolor="#d9d9d9">
              <v:stroke dashstyle="solid"/>
            </v:line>
            <v:line style="position:absolute" from="6598,3241" to="6598,3491" stroked="true" strokeweight=".72pt" strokecolor="#d9d9d9">
              <v:stroke dashstyle="solid"/>
            </v:line>
            <v:line style="position:absolute" from="6598,3765" to="6598,4012" stroked="true" strokeweight=".72pt" strokecolor="#d9d9d9">
              <v:stroke dashstyle="solid"/>
            </v:line>
            <v:line style="position:absolute" from="6598,4288" to="6598,4535" stroked="true" strokeweight=".72pt" strokecolor="#d9d9d9">
              <v:stroke dashstyle="solid"/>
            </v:line>
            <v:line style="position:absolute" from="6598,4809" to="6598,5457" stroked="true" strokeweight=".72pt" strokecolor="#d9d9d9">
              <v:stroke dashstyle="solid"/>
            </v:line>
            <v:line style="position:absolute" from="7054,750" to="7054,875" stroked="true" strokeweight=".72pt" strokecolor="#d9d9d9">
              <v:stroke dashstyle="solid"/>
            </v:line>
            <v:line style="position:absolute" from="7054,1149" to="7054,1398" stroked="true" strokeweight=".72pt" strokecolor="#d9d9d9">
              <v:stroke dashstyle="solid"/>
            </v:line>
            <v:line style="position:absolute" from="7054,1672" to="7054,1921" stroked="true" strokeweight=".72pt" strokecolor="#d9d9d9">
              <v:stroke dashstyle="solid"/>
            </v:line>
            <v:line style="position:absolute" from="7054,2195" to="7054,2445" stroked="true" strokeweight=".72pt" strokecolor="#d9d9d9">
              <v:stroke dashstyle="solid"/>
            </v:line>
            <v:line style="position:absolute" from="7054,2718" to="7054,2968" stroked="true" strokeweight=".72pt" strokecolor="#d9d9d9">
              <v:stroke dashstyle="solid"/>
            </v:line>
            <v:line style="position:absolute" from="7054,3105" to="7054,3491" stroked="true" strokeweight=".72pt" strokecolor="#d9d9d9">
              <v:stroke dashstyle="solid"/>
            </v:line>
            <v:line style="position:absolute" from="7054,3765" to="7054,4012" stroked="true" strokeweight=".72pt" strokecolor="#d9d9d9">
              <v:stroke dashstyle="solid"/>
            </v:line>
            <v:line style="position:absolute" from="7054,4288" to="7054,4535" stroked="true" strokeweight=".72pt" strokecolor="#d9d9d9">
              <v:stroke dashstyle="solid"/>
            </v:line>
            <v:line style="position:absolute" from="7054,4809" to="7054,5457" stroked="true" strokeweight=".72pt" strokecolor="#d9d9d9">
              <v:stroke dashstyle="solid"/>
            </v:line>
            <v:line style="position:absolute" from="7512,750" to="7512,875" stroked="true" strokeweight=".72pt" strokecolor="#d9d9d9">
              <v:stroke dashstyle="solid"/>
            </v:line>
            <v:line style="position:absolute" from="7512,1149" to="7512,1398" stroked="true" strokeweight=".72pt" strokecolor="#d9d9d9">
              <v:stroke dashstyle="solid"/>
            </v:line>
            <v:line style="position:absolute" from="7512,1672" to="7512,1921" stroked="true" strokeweight=".72pt" strokecolor="#d9d9d9">
              <v:stroke dashstyle="solid"/>
            </v:line>
            <v:line style="position:absolute" from="7512,2195" to="7512,2445" stroked="true" strokeweight=".72pt" strokecolor="#d9d9d9">
              <v:stroke dashstyle="solid"/>
            </v:line>
            <v:line style="position:absolute" from="7512,2718" to="7512,3628" stroked="true" strokeweight=".72pt" strokecolor="#d9d9d9">
              <v:stroke dashstyle="solid"/>
            </v:line>
            <v:line style="position:absolute" from="7512,3765" to="7512,4012" stroked="true" strokeweight=".72pt" strokecolor="#d9d9d9">
              <v:stroke dashstyle="solid"/>
            </v:line>
            <v:line style="position:absolute" from="7512,4288" to="7512,4535" stroked="true" strokeweight=".72pt" strokecolor="#d9d9d9">
              <v:stroke dashstyle="solid"/>
            </v:line>
            <v:line style="position:absolute" from="7512,4809" to="7512,5457" stroked="true" strokeweight=".72pt" strokecolor="#d9d9d9">
              <v:stroke dashstyle="solid"/>
            </v:line>
            <v:line style="position:absolute" from="7968,750" to="7968,875" stroked="true" strokeweight=".72pt" strokecolor="#d9d9d9">
              <v:stroke dashstyle="solid"/>
            </v:line>
            <v:line style="position:absolute" from="7968,1149" to="7968,1535" stroked="true" strokeweight=".72pt" strokecolor="#d9d9d9">
              <v:stroke dashstyle="solid"/>
            </v:line>
            <v:line style="position:absolute" from="7968,1672" to="7968,1921" stroked="true" strokeweight=".72pt" strokecolor="#d9d9d9">
              <v:stroke dashstyle="solid"/>
            </v:line>
            <v:line style="position:absolute" from="7968,2195" to="7968,2445" stroked="true" strokeweight=".72pt" strokecolor="#d9d9d9">
              <v:stroke dashstyle="solid"/>
            </v:line>
            <v:line style="position:absolute" from="7968,2718" to="7968,4012" stroked="true" strokeweight=".72pt" strokecolor="#d9d9d9">
              <v:stroke dashstyle="solid"/>
            </v:line>
            <v:line style="position:absolute" from="7968,4288" to="7968,5457" stroked="true" strokeweight=".72pt" strokecolor="#d9d9d9">
              <v:stroke dashstyle="solid"/>
            </v:line>
            <v:line style="position:absolute" from="8426,750" to="8426,875" stroked="true" strokeweight=".72pt" strokecolor="#d9d9d9">
              <v:stroke dashstyle="solid"/>
            </v:line>
            <v:line style="position:absolute" from="8426,1149" to="8426,1921" stroked="true" strokeweight=".72pt" strokecolor="#d9d9d9">
              <v:stroke dashstyle="solid"/>
            </v:line>
            <v:line style="position:absolute" from="8426,2195" to="8426,2445" stroked="true" strokeweight=".72pt" strokecolor="#d9d9d9">
              <v:stroke dashstyle="solid"/>
            </v:line>
            <v:line style="position:absolute" from="8426,2581" to="8426,5457" stroked="true" strokeweight=".72pt" strokecolor="#d9d9d9">
              <v:stroke dashstyle="solid"/>
            </v:line>
            <v:line style="position:absolute" from="8882,750" to="8882,875" stroked="true" strokeweight=".72pt" strokecolor="#d9d9d9">
              <v:stroke dashstyle="solid"/>
            </v:line>
            <v:line style="position:absolute" from="8882,1149" to="8882,1921" stroked="true" strokeweight=".72pt" strokecolor="#d9d9d9">
              <v:stroke dashstyle="solid"/>
            </v:line>
            <v:line style="position:absolute" from="8882,2195" to="8882,5457" stroked="true" strokeweight=".72pt" strokecolor="#d9d9d9">
              <v:stroke dashstyle="solid"/>
            </v:line>
            <v:line style="position:absolute" from="9341,750" to="9341,875" stroked="true" strokeweight=".72pt" strokecolor="#d9d9d9">
              <v:stroke dashstyle="solid"/>
            </v:line>
            <v:line style="position:absolute" from="9341,1149" to="9341,5457" stroked="true" strokeweight=".72pt" strokecolor="#d9d9d9">
              <v:stroke dashstyle="solid"/>
            </v:line>
            <v:line style="position:absolute" from="9797,750" to="9797,875" stroked="true" strokeweight=".72pt" strokecolor="#d9d9d9">
              <v:stroke dashstyle="solid"/>
            </v:line>
            <v:line style="position:absolute" from="9797,1149" to="9797,5457" stroked="true" strokeweight=".72pt" strokecolor="#d9d9d9">
              <v:stroke dashstyle="solid"/>
            </v:line>
            <v:line style="position:absolute" from="10255,750" to="10255,5457" stroked="true" strokeweight=".72pt" strokecolor="#d9d9d9">
              <v:stroke dashstyle="solid"/>
            </v:line>
            <v:rect style="position:absolute;left:5683;top:5195;width:502;height:137" filled="true" fillcolor="#bd8686" stroked="false">
              <v:fill type="solid"/>
            </v:rect>
            <v:rect style="position:absolute;left:5683;top:4671;width:2057;height:137" filled="true" fillcolor="#bd8686" stroked="false">
              <v:fill type="solid"/>
            </v:rect>
            <v:rect style="position:absolute;left:5683;top:4151;width:2516;height:137" filled="true" fillcolor="#bd8686" stroked="false">
              <v:fill type="solid"/>
            </v:rect>
            <v:rect style="position:absolute;left:5683;top:3627;width:2148;height:137" filled="true" fillcolor="#bd8686" stroked="false">
              <v:fill type="solid"/>
            </v:rect>
            <v:rect style="position:absolute;left:5683;top:3104;width:1234;height:137" filled="true" fillcolor="#bd8686" stroked="false">
              <v:fill type="solid"/>
            </v:rect>
            <v:rect style="position:absolute;left:5683;top:2581;width:2422;height:137" filled="true" fillcolor="#bd8686" stroked="false">
              <v:fill type="solid"/>
            </v:rect>
            <v:rect style="position:absolute;left:5683;top:2058;width:3658;height:137" filled="true" fillcolor="#bd8686" stroked="false">
              <v:fill type="solid"/>
            </v:rect>
            <v:rect style="position:absolute;left:5683;top:1535;width:2422;height:137" filled="true" fillcolor="#bd8686" stroked="false">
              <v:fill type="solid"/>
            </v:rect>
            <v:rect style="position:absolute;left:5683;top:1011;width:4390;height:137" filled="true" fillcolor="#bd8686" stroked="false">
              <v:fill type="solid"/>
            </v:rect>
            <v:rect style="position:absolute;left:5683;top:5058;width:761;height:137" filled="true" fillcolor="#901b1b" stroked="false">
              <v:fill type="solid"/>
            </v:rect>
            <v:rect style="position:absolute;left:5683;top:4535;width:2168;height:137" filled="true" fillcolor="#901b1b" stroked="false">
              <v:fill type="solid"/>
            </v:rect>
            <v:rect style="position:absolute;left:5683;top:4011;width:2463;height:140" filled="true" fillcolor="#901b1b" stroked="false">
              <v:fill type="solid"/>
            </v:rect>
            <v:rect style="position:absolute;left:5683;top:3491;width:1524;height:137" filled="true" fillcolor="#901b1b" stroked="false">
              <v:fill type="solid"/>
            </v:rect>
            <v:rect style="position:absolute;left:5683;top:2967;width:1817;height:137" filled="true" fillcolor="#901b1b" stroked="false">
              <v:fill type="solid"/>
            </v:rect>
            <v:rect style="position:absolute;left:5683;top:2444;width:2756;height:137" filled="true" fillcolor="#901b1b" stroked="false">
              <v:fill type="solid"/>
            </v:rect>
            <v:rect style="position:absolute;left:5683;top:1921;width:3399;height:137" filled="true" fillcolor="#901b1b" stroked="false">
              <v:fill type="solid"/>
            </v:rect>
            <v:rect style="position:absolute;left:5683;top:1398;width:2285;height:137" filled="true" fillcolor="#901b1b" stroked="false">
              <v:fill type="solid"/>
            </v:rect>
            <v:rect style="position:absolute;left:5683;top:875;width:4220;height:137" filled="true" fillcolor="#901b1b" stroked="false">
              <v:fill type="solid"/>
            </v:rect>
            <v:line style="position:absolute" from="5683,5457" to="5683,750" stroked="true" strokeweight=".72pt" strokecolor="#d9d9d9">
              <v:stroke dashstyle="solid"/>
            </v:line>
            <v:rect style="position:absolute;left:5508;top:6015;width:92;height:94" filled="true" fillcolor="#901b1b" stroked="false">
              <v:fill type="solid"/>
            </v:rect>
            <v:rect style="position:absolute;left:6158;top:6015;width:92;height:94" filled="true" fillcolor="#bd8686" stroked="false">
              <v:fill type="solid"/>
            </v:rect>
            <v:rect style="position:absolute;left:1418;top:531;width:9280;height:5813" filled="false" stroked="true" strokeweight=".75pt" strokecolor="#d9d9d9">
              <v:stroke dashstyle="solid"/>
            </v:rect>
            <v:shape style="position:absolute;left:1425;top:531;width:9265;height:5805" type="#_x0000_t202" filled="false" stroked="false">
              <v:textbox inset="0,0,0,0">
                <w:txbxContent>
                  <w:p>
                    <w:pPr>
                      <w:spacing w:line="240" w:lineRule="auto" w:before="0"/>
                      <w:rPr>
                        <w:i/>
                        <w:sz w:val="20"/>
                      </w:rPr>
                    </w:pPr>
                  </w:p>
                  <w:p>
                    <w:pPr>
                      <w:spacing w:line="614" w:lineRule="auto" w:before="146"/>
                      <w:ind w:left="2389" w:right="5145" w:firstLine="263"/>
                      <w:jc w:val="left"/>
                      <w:rPr>
                        <w:sz w:val="18"/>
                      </w:rPr>
                    </w:pPr>
                    <w:r>
                      <w:rPr>
                        <w:color w:val="585858"/>
                        <w:sz w:val="18"/>
                      </w:rPr>
                      <w:t>Myndigheden selv Private</w:t>
                    </w:r>
                    <w:r>
                      <w:rPr>
                        <w:color w:val="585858"/>
                        <w:spacing w:val="-8"/>
                        <w:sz w:val="18"/>
                      </w:rPr>
                      <w:t> </w:t>
                    </w:r>
                    <w:r>
                      <w:rPr>
                        <w:color w:val="585858"/>
                        <w:sz w:val="18"/>
                      </w:rPr>
                      <w:t>virksomheder</w:t>
                    </w:r>
                  </w:p>
                  <w:p>
                    <w:pPr>
                      <w:spacing w:line="203" w:lineRule="exact" w:before="0"/>
                      <w:ind w:left="201" w:right="1892" w:firstLine="0"/>
                      <w:jc w:val="center"/>
                      <w:rPr>
                        <w:sz w:val="18"/>
                      </w:rPr>
                    </w:pPr>
                    <w:r>
                      <w:rPr>
                        <w:color w:val="585858"/>
                        <w:sz w:val="18"/>
                      </w:rPr>
                      <w:t>Borgere</w:t>
                    </w:r>
                  </w:p>
                  <w:p>
                    <w:pPr>
                      <w:spacing w:line="420" w:lineRule="atLeast" w:before="103"/>
                      <w:ind w:left="600" w:right="5145" w:firstLine="253"/>
                      <w:jc w:val="left"/>
                      <w:rPr>
                        <w:sz w:val="18"/>
                      </w:rPr>
                    </w:pPr>
                    <w:r>
                      <w:rPr>
                        <w:color w:val="585858"/>
                        <w:sz w:val="18"/>
                      </w:rPr>
                      <w:t>Andre statslige forvaltningsmyndigheder Andre øvrige statslige institutioner (fx</w:t>
                    </w:r>
                  </w:p>
                  <w:p>
                    <w:pPr>
                      <w:spacing w:before="1"/>
                      <w:ind w:left="122" w:right="0" w:firstLine="0"/>
                      <w:jc w:val="left"/>
                      <w:rPr>
                        <w:sz w:val="18"/>
                      </w:rPr>
                    </w:pPr>
                    <w:r>
                      <w:rPr>
                        <w:color w:val="585858"/>
                        <w:sz w:val="18"/>
                      </w:rPr>
                      <w:t>kulturinstitutioner, uddannelsesinstitutioner</w:t>
                    </w:r>
                    <w:r>
                      <w:rPr>
                        <w:color w:val="585858"/>
                        <w:spacing w:val="-28"/>
                        <w:sz w:val="18"/>
                      </w:rPr>
                      <w:t> </w:t>
                    </w:r>
                    <w:r>
                      <w:rPr>
                        <w:color w:val="585858"/>
                        <w:sz w:val="18"/>
                      </w:rPr>
                      <w:t>mv.)</w:t>
                    </w:r>
                  </w:p>
                  <w:p>
                    <w:pPr>
                      <w:spacing w:line="240" w:lineRule="auto" w:before="0"/>
                      <w:rPr>
                        <w:i/>
                        <w:sz w:val="19"/>
                      </w:rPr>
                    </w:pPr>
                  </w:p>
                  <w:p>
                    <w:pPr>
                      <w:spacing w:line="614" w:lineRule="auto" w:before="0"/>
                      <w:ind w:left="1514" w:right="5146" w:firstLine="212"/>
                      <w:jc w:val="left"/>
                      <w:rPr>
                        <w:sz w:val="18"/>
                      </w:rPr>
                    </w:pPr>
                    <w:r>
                      <w:rPr>
                        <w:color w:val="585858"/>
                        <w:sz w:val="18"/>
                      </w:rPr>
                      <w:t>Andre regionale myndigheder Andre kommunale</w:t>
                    </w:r>
                    <w:r>
                      <w:rPr>
                        <w:color w:val="585858"/>
                        <w:spacing w:val="-16"/>
                        <w:sz w:val="18"/>
                      </w:rPr>
                      <w:t> </w:t>
                    </w:r>
                    <w:r>
                      <w:rPr>
                        <w:color w:val="585858"/>
                        <w:sz w:val="18"/>
                      </w:rPr>
                      <w:t>myndigheder</w:t>
                    </w:r>
                  </w:p>
                  <w:p>
                    <w:pPr>
                      <w:spacing w:line="203" w:lineRule="exact" w:before="0"/>
                      <w:ind w:left="649" w:right="0" w:firstLine="0"/>
                      <w:jc w:val="left"/>
                      <w:rPr>
                        <w:sz w:val="18"/>
                      </w:rPr>
                    </w:pPr>
                    <w:r>
                      <w:rPr>
                        <w:color w:val="585858"/>
                        <w:sz w:val="18"/>
                      </w:rPr>
                      <w:t>Private og udskilte</w:t>
                    </w:r>
                    <w:r>
                      <w:rPr>
                        <w:color w:val="585858"/>
                        <w:spacing w:val="-21"/>
                        <w:sz w:val="18"/>
                      </w:rPr>
                      <w:t> </w:t>
                    </w:r>
                    <w:r>
                      <w:rPr>
                        <w:color w:val="585858"/>
                        <w:sz w:val="18"/>
                      </w:rPr>
                      <w:t>forsyningsvirksomheder</w:t>
                    </w:r>
                  </w:p>
                  <w:p>
                    <w:pPr>
                      <w:spacing w:line="240" w:lineRule="auto" w:before="0"/>
                      <w:rPr>
                        <w:i/>
                        <w:sz w:val="28"/>
                      </w:rPr>
                    </w:pPr>
                  </w:p>
                  <w:p>
                    <w:pPr>
                      <w:spacing w:before="0"/>
                      <w:ind w:left="201" w:right="1756" w:firstLine="0"/>
                      <w:jc w:val="center"/>
                      <w:rPr>
                        <w:sz w:val="18"/>
                      </w:rPr>
                    </w:pPr>
                    <w:r>
                      <w:rPr>
                        <w:color w:val="585858"/>
                        <w:sz w:val="18"/>
                      </w:rPr>
                      <w:t>Andre</w:t>
                    </w:r>
                  </w:p>
                  <w:p>
                    <w:pPr>
                      <w:spacing w:line="240" w:lineRule="auto" w:before="3"/>
                      <w:rPr>
                        <w:i/>
                        <w:sz w:val="24"/>
                      </w:rPr>
                    </w:pPr>
                  </w:p>
                  <w:p>
                    <w:pPr>
                      <w:spacing w:before="0"/>
                      <w:ind w:left="4128" w:right="0" w:firstLine="0"/>
                      <w:jc w:val="left"/>
                      <w:rPr>
                        <w:sz w:val="18"/>
                      </w:rPr>
                    </w:pPr>
                    <w:r>
                      <w:rPr>
                        <w:color w:val="585858"/>
                        <w:sz w:val="18"/>
                      </w:rPr>
                      <w:t>0% 10% 20% 30% 40% 50% 60% 70% 80% 90% 100%</w:t>
                    </w:r>
                  </w:p>
                  <w:p>
                    <w:pPr>
                      <w:spacing w:line="240" w:lineRule="auto" w:before="1"/>
                      <w:rPr>
                        <w:i/>
                        <w:sz w:val="16"/>
                      </w:rPr>
                    </w:pPr>
                  </w:p>
                  <w:p>
                    <w:pPr>
                      <w:tabs>
                        <w:tab w:pos="852" w:val="left" w:leader="none"/>
                      </w:tabs>
                      <w:spacing w:before="0"/>
                      <w:ind w:left="201" w:right="0" w:firstLine="0"/>
                      <w:jc w:val="center"/>
                      <w:rPr>
                        <w:sz w:val="18"/>
                      </w:rPr>
                    </w:pPr>
                    <w:r>
                      <w:rPr>
                        <w:color w:val="585858"/>
                        <w:sz w:val="18"/>
                      </w:rPr>
                      <w:t>2016</w:t>
                      <w:tab/>
                      <w:t>2012</w:t>
                    </w:r>
                  </w:p>
                </w:txbxContent>
              </v:textbox>
              <w10:wrap type="none"/>
            </v:shape>
            <w10:wrap type="topAndBottom"/>
          </v:group>
        </w:pict>
      </w:r>
      <w:bookmarkStart w:name="_bookmark63" w:id="89"/>
      <w:bookmarkEnd w:id="89"/>
      <w:r>
        <w:rPr/>
      </w:r>
      <w:r>
        <w:rPr>
          <w:i/>
          <w:color w:val="A21F1F"/>
          <w:sz w:val="18"/>
        </w:rPr>
        <w:t>Figur 35: Aftagere af myndighedernes produkter eller ydelser, hvori der indgår frie geodata, henholdsvis i 2012 og i </w:t>
      </w:r>
      <w:r>
        <w:rPr>
          <w:i/>
          <w:color w:val="A21F1F"/>
          <w:sz w:val="18"/>
        </w:rPr>
        <w:t>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19"/>
        <w:ind w:left="278" w:right="0" w:firstLine="0"/>
        <w:jc w:val="left"/>
        <w:rPr>
          <w:i/>
          <w:sz w:val="18"/>
        </w:rPr>
      </w:pPr>
      <w:r>
        <w:rPr>
          <w:b/>
          <w:i/>
          <w:color w:val="A21F1F"/>
          <w:sz w:val="18"/>
        </w:rPr>
        <w:t>N</w:t>
      </w:r>
      <w:r>
        <w:rPr>
          <w:i/>
          <w:color w:val="A21F1F"/>
          <w:sz w:val="18"/>
        </w:rPr>
        <w:t>: 2016: 80 og 2012: 55</w:t>
      </w:r>
    </w:p>
    <w:p>
      <w:pPr>
        <w:pStyle w:val="BodyText"/>
        <w:rPr>
          <w:i/>
        </w:rPr>
      </w:pPr>
    </w:p>
    <w:p>
      <w:pPr>
        <w:pStyle w:val="BodyText"/>
        <w:spacing w:line="360" w:lineRule="auto" w:before="121"/>
        <w:ind w:left="278" w:right="1026"/>
      </w:pPr>
      <w:r>
        <w:rPr/>
        <w:t>Dykker man ned i den kommunale forvaltning og ser nærmere på kommunernes anvendelse af de frie geodata, ser man, at de frie geodata anvendes til et væld af forskellige forvaltningsopgaver. I </w:t>
      </w:r>
      <w:hyperlink w:history="true" w:anchor="_bookmark64">
        <w:r>
          <w:rPr>
            <w:sz w:val="18"/>
          </w:rPr>
          <w:t>Figur 36</w:t>
        </w:r>
      </w:hyperlink>
      <w:r>
        <w:rPr>
          <w:sz w:val="18"/>
        </w:rPr>
        <w:t> </w:t>
      </w:r>
      <w:r>
        <w:rPr/>
        <w:t>herunder ses det, at kommunerne anvender geodata på forvaltningsområder, der er virksomheds- og borgerettede.</w:t>
      </w:r>
      <w:r>
        <w:rPr>
          <w:spacing w:val="-6"/>
        </w:rPr>
        <w:t> </w:t>
      </w:r>
      <w:r>
        <w:rPr/>
        <w:t>Nærmest</w:t>
      </w:r>
      <w:r>
        <w:rPr>
          <w:spacing w:val="-3"/>
        </w:rPr>
        <w:t> </w:t>
      </w:r>
      <w:r>
        <w:rPr/>
        <w:t>alle</w:t>
      </w:r>
      <w:r>
        <w:rPr>
          <w:spacing w:val="-3"/>
        </w:rPr>
        <w:t> </w:t>
      </w:r>
      <w:r>
        <w:rPr/>
        <w:t>de</w:t>
      </w:r>
      <w:r>
        <w:rPr>
          <w:spacing w:val="-4"/>
        </w:rPr>
        <w:t> </w:t>
      </w:r>
      <w:r>
        <w:rPr/>
        <w:t>deltagende</w:t>
      </w:r>
      <w:r>
        <w:rPr>
          <w:spacing w:val="-1"/>
        </w:rPr>
        <w:t> </w:t>
      </w:r>
      <w:r>
        <w:rPr/>
        <w:t>kommunale</w:t>
      </w:r>
      <w:r>
        <w:rPr>
          <w:spacing w:val="-5"/>
        </w:rPr>
        <w:t> </w:t>
      </w:r>
      <w:r>
        <w:rPr/>
        <w:t>forvaltninger</w:t>
      </w:r>
      <w:r>
        <w:rPr>
          <w:spacing w:val="-4"/>
        </w:rPr>
        <w:t> </w:t>
      </w:r>
      <w:r>
        <w:rPr/>
        <w:t>i</w:t>
      </w:r>
      <w:r>
        <w:rPr>
          <w:spacing w:val="-5"/>
        </w:rPr>
        <w:t> </w:t>
      </w:r>
      <w:r>
        <w:rPr/>
        <w:t>undersøgelsen</w:t>
      </w:r>
      <w:r>
        <w:rPr>
          <w:spacing w:val="-5"/>
        </w:rPr>
        <w:t> </w:t>
      </w:r>
      <w:r>
        <w:rPr/>
        <w:t>har</w:t>
      </w:r>
      <w:r>
        <w:rPr>
          <w:spacing w:val="-4"/>
        </w:rPr>
        <w:t> </w:t>
      </w:r>
      <w:r>
        <w:rPr/>
        <w:t>angivet,</w:t>
      </w:r>
      <w:r>
        <w:rPr>
          <w:spacing w:val="-5"/>
        </w:rPr>
        <w:t> </w:t>
      </w:r>
      <w:r>
        <w:rPr/>
        <w:t>at</w:t>
      </w:r>
      <w:r>
        <w:rPr>
          <w:spacing w:val="-3"/>
        </w:rPr>
        <w:t> </w:t>
      </w:r>
      <w:r>
        <w:rPr/>
        <w:t>geodata anvendes i teknik- og miljøforvaltningen. Der er ligeledes mange kommuner, der angiver, at de frie geodata anvendes fx på skoleområdet og i beredskabet. Tendensen er lig den, der blev fundet i før-målingen. Siden før-målingen er der sket en lille stigning i andelen af kommuner, der angiver, at de anvender de frie geodata til økonomi og</w:t>
      </w:r>
      <w:r>
        <w:rPr>
          <w:spacing w:val="-3"/>
        </w:rPr>
        <w:t> </w:t>
      </w:r>
      <w:r>
        <w:rPr/>
        <w:t>styring.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525002pt;margin-top:13.775pt;width:474.1pt;height:301.850pt;mso-position-horizontal-relative:page;mso-position-vertical-relative:paragraph;z-index:6392;mso-wrap-distance-left:0;mso-wrap-distance-right:0" coordorigin="1411,275" coordsize="9482,6037">
            <v:rect style="position:absolute;left:1418;top:282;width:9466;height:6024" filled="true" fillcolor="#f1f1f1" stroked="false">
              <v:fill type="solid"/>
            </v:rect>
            <v:line style="position:absolute" from="6108,503" to="6108,1033" stroked="true" strokeweight=".72pt" strokecolor="#d9d9d9">
              <v:stroke dashstyle="solid"/>
            </v:line>
            <v:line style="position:absolute" from="6108,1220" to="6108,1482" stroked="true" strokeweight=".72pt" strokecolor="#d9d9d9">
              <v:stroke dashstyle="solid"/>
            </v:line>
            <v:line style="position:absolute" from="6108,1667" to="6108,1928" stroked="true" strokeweight=".72pt" strokecolor="#d9d9d9">
              <v:stroke dashstyle="solid"/>
            </v:line>
            <v:line style="position:absolute" from="6108,2113" to="6108,2375" stroked="true" strokeweight=".72pt" strokecolor="#d9d9d9">
              <v:stroke dashstyle="solid"/>
            </v:line>
            <v:line style="position:absolute" from="6108,2560" to="6108,3268" stroked="true" strokeweight=".72pt" strokecolor="#d9d9d9">
              <v:stroke dashstyle="solid"/>
            </v:line>
            <v:line style="position:absolute" from="6108,3452" to="6108,3714" stroked="true" strokeweight=".72pt" strokecolor="#d9d9d9">
              <v:stroke dashstyle="solid"/>
            </v:line>
            <v:line style="position:absolute" from="6108,3901" to="6108,4163" stroked="true" strokeweight=".72pt" strokecolor="#d9d9d9">
              <v:stroke dashstyle="solid"/>
            </v:line>
            <v:line style="position:absolute" from="6108,4348" to="6108,4609" stroked="true" strokeweight=".72pt" strokecolor="#d9d9d9">
              <v:stroke dashstyle="solid"/>
            </v:line>
            <v:line style="position:absolute" from="6108,4794" to="6108,5418" stroked="true" strokeweight=".72pt" strokecolor="#d9d9d9">
              <v:stroke dashstyle="solid"/>
            </v:line>
            <v:line style="position:absolute" from="7193,503" to="7193,1033" stroked="true" strokeweight=".72pt" strokecolor="#d9d9d9">
              <v:stroke dashstyle="solid"/>
            </v:line>
            <v:line style="position:absolute" from="7193,1220" to="7193,1482" stroked="true" strokeweight=".72pt" strokecolor="#d9d9d9">
              <v:stroke dashstyle="solid"/>
            </v:line>
            <v:line style="position:absolute" from="7193,1667" to="7193,1928" stroked="true" strokeweight=".72pt" strokecolor="#d9d9d9">
              <v:stroke dashstyle="solid"/>
            </v:line>
            <v:line style="position:absolute" from="7193,2113" to="7193,2375" stroked="true" strokeweight=".72pt" strokecolor="#d9d9d9">
              <v:stroke dashstyle="solid"/>
            </v:line>
            <v:line style="position:absolute" from="7193,2560" to="7193,3714" stroked="true" strokeweight=".72pt" strokecolor="#d9d9d9">
              <v:stroke dashstyle="solid"/>
            </v:line>
            <v:line style="position:absolute" from="7193,3901" to="7193,4163" stroked="true" strokeweight=".72pt" strokecolor="#d9d9d9">
              <v:stroke dashstyle="solid"/>
            </v:line>
            <v:line style="position:absolute" from="7193,4348" to="7193,5418" stroked="true" strokeweight=".72pt" strokecolor="#d9d9d9">
              <v:stroke dashstyle="solid"/>
            </v:line>
            <v:line style="position:absolute" from="8275,503" to="8275,1482" stroked="true" strokeweight=".72pt" strokecolor="#d9d9d9">
              <v:stroke dashstyle="solid"/>
            </v:line>
            <v:line style="position:absolute" from="8275,1667" to="8275,1928" stroked="true" strokeweight=".72pt" strokecolor="#d9d9d9">
              <v:stroke dashstyle="solid"/>
            </v:line>
            <v:line style="position:absolute" from="8275,2113" to="8275,2375" stroked="true" strokeweight=".72pt" strokecolor="#d9d9d9">
              <v:stroke dashstyle="solid"/>
            </v:line>
            <v:line style="position:absolute" from="8275,2560" to="8275,3714" stroked="true" strokeweight=".72pt" strokecolor="#d9d9d9">
              <v:stroke dashstyle="solid"/>
            </v:line>
            <v:line style="position:absolute" from="8275,3901" to="8275,4163" stroked="true" strokeweight=".72pt" strokecolor="#d9d9d9">
              <v:stroke dashstyle="solid"/>
            </v:line>
            <v:line style="position:absolute" from="8275,4348" to="8275,5418" stroked="true" strokeweight=".72pt" strokecolor="#d9d9d9">
              <v:stroke dashstyle="solid"/>
            </v:line>
            <v:line style="position:absolute" from="9360,503" to="9360,3714" stroked="true" strokeweight=".72pt" strokecolor="#d9d9d9">
              <v:stroke dashstyle="solid"/>
            </v:line>
            <v:line style="position:absolute" from="9360,3901" to="9360,4254" stroked="true" strokeweight=".72pt" strokecolor="#d9d9d9">
              <v:stroke dashstyle="solid"/>
            </v:line>
            <v:line style="position:absolute" from="9360,4348" to="9360,5418" stroked="true" strokeweight=".72pt" strokecolor="#d9d9d9">
              <v:stroke dashstyle="solid"/>
            </v:line>
            <v:line style="position:absolute" from="10442,503" to="10442,5418" stroked="true" strokeweight=".72pt" strokecolor="#d9d9d9">
              <v:stroke dashstyle="solid"/>
            </v:line>
            <v:line style="position:absolute" from="5026,4747" to="6814,4747" stroked="true" strokeweight="4.68pt" strokecolor="#bd8686">
              <v:stroke dashstyle="solid"/>
            </v:line>
            <v:line style="position:absolute" from="5026,4301" to="9792,4301" stroked="true" strokeweight="4.68pt" strokecolor="#bd8686">
              <v:stroke dashstyle="solid"/>
            </v:line>
            <v:line style="position:absolute" from="5026,3854" to="10279,3854" stroked="true" strokeweight="4.68pt" strokecolor="#bd8686">
              <v:stroke dashstyle="solid"/>
            </v:line>
            <v:line style="position:absolute" from="5026,3407" to="7138,3407" stroked="true" strokeweight="4.560pt" strokecolor="#bd8686">
              <v:stroke dashstyle="solid"/>
            </v:line>
            <v:line style="position:absolute" from="5026,2960" to="5839,2960" stroked="true" strokeweight="4.560pt" strokecolor="#bd8686">
              <v:stroke dashstyle="solid"/>
            </v:line>
            <v:line style="position:absolute" from="5026,2513" to="8818,2513" stroked="true" strokeweight="4.68pt" strokecolor="#bd8686">
              <v:stroke dashstyle="solid"/>
            </v:line>
            <v:line style="position:absolute" from="5026,2066" to="9305,2066" stroked="true" strokeweight="4.68pt" strokecolor="#bd8686">
              <v:stroke dashstyle="solid"/>
            </v:line>
            <v:line style="position:absolute" from="5026,1620" to="8491,1620" stroked="true" strokeweight="4.68pt" strokecolor="#bd8686">
              <v:stroke dashstyle="solid"/>
            </v:line>
            <v:line style="position:absolute" from="5026,1174" to="7301,1174" stroked="true" strokeweight="4.68pt" strokecolor="#bd8686">
              <v:stroke dashstyle="solid"/>
            </v:line>
            <v:line style="position:absolute" from="5026,726" to="5513,726" stroked="true" strokeweight="4.560pt" strokecolor="#bd8686">
              <v:stroke dashstyle="solid"/>
            </v:line>
            <v:line style="position:absolute" from="5026,5101" to="5839,5101" stroked="true" strokeweight="4.560pt" strokecolor="#901b1b">
              <v:stroke dashstyle="solid"/>
            </v:line>
            <v:line style="position:absolute" from="5026,4655" to="7193,4655" stroked="true" strokeweight="4.560pt" strokecolor="#901b1b">
              <v:stroke dashstyle="solid"/>
            </v:line>
            <v:line style="position:absolute" from="5026,4208" to="8952,4208" stroked="true" strokeweight="4.560pt" strokecolor="#901b1b">
              <v:stroke dashstyle="solid"/>
            </v:line>
            <v:line style="position:absolute" from="5026,3761" to="9766,3761" stroked="true" strokeweight="4.68pt" strokecolor="#901b1b">
              <v:stroke dashstyle="solid"/>
            </v:line>
            <v:line style="position:absolute" from="5026,3314" to="6922,3314" stroked="true" strokeweight="4.68pt" strokecolor="#901b1b">
              <v:stroke dashstyle="solid"/>
            </v:line>
            <v:line style="position:absolute" from="5026,2868" to="6108,2868" stroked="true" strokeweight="4.68pt" strokecolor="#901b1b">
              <v:stroke dashstyle="solid"/>
            </v:line>
            <v:line style="position:absolute" from="5026,2420" to="8546,2420" stroked="true" strokeweight="4.560pt" strokecolor="#901b1b">
              <v:stroke dashstyle="solid"/>
            </v:line>
            <v:line style="position:absolute" from="5026,1974" to="9223,1974" stroked="true" strokeweight="4.560pt" strokecolor="#901b1b">
              <v:stroke dashstyle="solid"/>
            </v:line>
            <v:line style="position:absolute" from="5026,1528" to="8546,1528" stroked="true" strokeweight="4.560pt" strokecolor="#901b1b">
              <v:stroke dashstyle="solid"/>
            </v:line>
            <v:line style="position:absolute" from="5026,1080" to="7735,1080" stroked="true" strokeweight="4.68pt" strokecolor="#901b1b">
              <v:stroke dashstyle="solid"/>
            </v:line>
            <v:line style="position:absolute" from="5026,634" to="5974,634" stroked="true" strokeweight="4.68pt" strokecolor="#901b1b">
              <v:stroke dashstyle="solid"/>
            </v:line>
            <v:line style="position:absolute" from="5026,5418" to="5026,503" stroked="true" strokeweight=".72pt" strokecolor="#d9d9d9">
              <v:stroke dashstyle="solid"/>
            </v:line>
            <v:rect style="position:absolute;left:5601;top:5977;width:92;height:94" filled="true" fillcolor="#901b1b" stroked="false">
              <v:fill type="solid"/>
            </v:rect>
            <v:rect style="position:absolute;left:6252;top:5977;width:92;height:94" filled="true" fillcolor="#bd8686" stroked="false">
              <v:fill type="solid"/>
            </v:rect>
            <v:rect style="position:absolute;left:1418;top:283;width:9467;height:6022" filled="false" stroked="true" strokeweight=".75pt" strokecolor="#d9d9d9">
              <v:stroke dashstyle="solid"/>
            </v:rect>
            <v:shape style="position:absolute;left:5732;top:5916;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10221;top:5529;width:46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shape style="position:absolute;left:9178;top:5529;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8097;top:5529;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013;top:5529;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5930;top:5529;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4898;top:552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18;width:3342;height:4674" type="#_x0000_t202" filled="false" stroked="false">
              <v:textbox inset="0,0,0,0">
                <w:txbxContent>
                  <w:p>
                    <w:pPr>
                      <w:spacing w:before="0"/>
                      <w:ind w:left="1082" w:right="0" w:firstLine="0"/>
                      <w:jc w:val="left"/>
                      <w:rPr>
                        <w:sz w:val="18"/>
                      </w:rPr>
                    </w:pPr>
                    <w:r>
                      <w:rPr>
                        <w:color w:val="585858"/>
                        <w:sz w:val="18"/>
                      </w:rPr>
                      <w:t>Beskæftigelse og</w:t>
                    </w:r>
                    <w:r>
                      <w:rPr>
                        <w:color w:val="585858"/>
                        <w:spacing w:val="-12"/>
                        <w:sz w:val="18"/>
                      </w:rPr>
                      <w:t> </w:t>
                    </w:r>
                    <w:r>
                      <w:rPr>
                        <w:color w:val="585858"/>
                        <w:sz w:val="18"/>
                      </w:rPr>
                      <w:t>integration</w:t>
                    </w:r>
                  </w:p>
                  <w:p>
                    <w:pPr>
                      <w:spacing w:line="240" w:lineRule="auto" w:before="3"/>
                      <w:rPr>
                        <w:i/>
                        <w:sz w:val="21"/>
                      </w:rPr>
                    </w:pPr>
                  </w:p>
                  <w:p>
                    <w:pPr>
                      <w:spacing w:line="525" w:lineRule="auto" w:before="0"/>
                      <w:ind w:left="1859" w:right="18" w:firstLine="402"/>
                      <w:jc w:val="right"/>
                      <w:rPr>
                        <w:sz w:val="18"/>
                      </w:rPr>
                    </w:pPr>
                    <w:r>
                      <w:rPr>
                        <w:color w:val="585858"/>
                        <w:sz w:val="18"/>
                      </w:rPr>
                      <w:t>Børn og</w:t>
                    </w:r>
                    <w:r>
                      <w:rPr>
                        <w:color w:val="585858"/>
                        <w:spacing w:val="-1"/>
                        <w:sz w:val="18"/>
                      </w:rPr>
                      <w:t> </w:t>
                    </w:r>
                    <w:r>
                      <w:rPr>
                        <w:color w:val="585858"/>
                        <w:spacing w:val="-4"/>
                        <w:sz w:val="18"/>
                      </w:rPr>
                      <w:t>unge</w:t>
                    </w:r>
                    <w:r>
                      <w:rPr>
                        <w:color w:val="585858"/>
                        <w:spacing w:val="-1"/>
                        <w:sz w:val="18"/>
                      </w:rPr>
                      <w:t> Erhvervsudvikling Skoleområdet </w:t>
                    </w:r>
                    <w:r>
                      <w:rPr>
                        <w:color w:val="585858"/>
                        <w:sz w:val="18"/>
                      </w:rPr>
                      <w:t>Kultur</w:t>
                    </w:r>
                    <w:r>
                      <w:rPr>
                        <w:color w:val="585858"/>
                        <w:spacing w:val="-4"/>
                        <w:sz w:val="18"/>
                      </w:rPr>
                      <w:t> </w:t>
                    </w:r>
                    <w:r>
                      <w:rPr>
                        <w:color w:val="585858"/>
                        <w:sz w:val="18"/>
                      </w:rPr>
                      <w:t>og</w:t>
                    </w:r>
                    <w:r>
                      <w:rPr>
                        <w:color w:val="585858"/>
                        <w:spacing w:val="-3"/>
                        <w:sz w:val="18"/>
                      </w:rPr>
                      <w:t> </w:t>
                    </w:r>
                    <w:r>
                      <w:rPr>
                        <w:color w:val="585858"/>
                        <w:sz w:val="18"/>
                      </w:rPr>
                      <w:t>fritid Social</w:t>
                    </w:r>
                    <w:r>
                      <w:rPr>
                        <w:color w:val="585858"/>
                        <w:spacing w:val="-6"/>
                        <w:sz w:val="18"/>
                      </w:rPr>
                      <w:t> </w:t>
                    </w:r>
                    <w:r>
                      <w:rPr>
                        <w:color w:val="585858"/>
                        <w:sz w:val="18"/>
                      </w:rPr>
                      <w:t>service</w:t>
                    </w:r>
                  </w:p>
                  <w:p>
                    <w:pPr>
                      <w:spacing w:line="199" w:lineRule="exact" w:before="0"/>
                      <w:ind w:left="0" w:right="18" w:firstLine="0"/>
                      <w:jc w:val="right"/>
                      <w:rPr>
                        <w:sz w:val="18"/>
                      </w:rPr>
                    </w:pPr>
                    <w:r>
                      <w:rPr>
                        <w:color w:val="585858"/>
                        <w:spacing w:val="-1"/>
                        <w:sz w:val="18"/>
                      </w:rPr>
                      <w:t>Sundhed</w:t>
                    </w:r>
                  </w:p>
                  <w:p>
                    <w:pPr>
                      <w:spacing w:before="141"/>
                      <w:ind w:left="867" w:right="2" w:hanging="868"/>
                      <w:jc w:val="left"/>
                      <w:rPr>
                        <w:sz w:val="18"/>
                      </w:rPr>
                    </w:pPr>
                    <w:r>
                      <w:rPr>
                        <w:color w:val="585858"/>
                        <w:sz w:val="18"/>
                      </w:rPr>
                      <w:t>Teknik og miljø, inklusive naturbevarelse, klimatilpasning mv.</w:t>
                    </w:r>
                  </w:p>
                  <w:p>
                    <w:pPr>
                      <w:spacing w:line="525" w:lineRule="auto" w:before="140"/>
                      <w:ind w:left="1750" w:right="18" w:firstLine="736"/>
                      <w:jc w:val="right"/>
                      <w:rPr>
                        <w:sz w:val="18"/>
                      </w:rPr>
                    </w:pPr>
                    <w:r>
                      <w:rPr>
                        <w:color w:val="585858"/>
                        <w:spacing w:val="-1"/>
                        <w:sz w:val="18"/>
                      </w:rPr>
                      <w:t>Beredskab </w:t>
                    </w:r>
                    <w:r>
                      <w:rPr>
                        <w:color w:val="585858"/>
                        <w:sz w:val="18"/>
                      </w:rPr>
                      <w:t>Økonomi og</w:t>
                    </w:r>
                    <w:r>
                      <w:rPr>
                        <w:color w:val="585858"/>
                        <w:spacing w:val="-9"/>
                        <w:sz w:val="18"/>
                      </w:rPr>
                      <w:t> </w:t>
                    </w:r>
                    <w:r>
                      <w:rPr>
                        <w:color w:val="585858"/>
                        <w:sz w:val="18"/>
                      </w:rPr>
                      <w:t>styring</w:t>
                    </w:r>
                  </w:p>
                  <w:p>
                    <w:pPr>
                      <w:spacing w:line="203" w:lineRule="exact" w:before="0"/>
                      <w:ind w:left="0" w:right="19" w:firstLine="0"/>
                      <w:jc w:val="right"/>
                      <w:rPr>
                        <w:sz w:val="18"/>
                      </w:rPr>
                    </w:pPr>
                    <w:r>
                      <w:rPr>
                        <w:color w:val="585858"/>
                        <w:spacing w:val="-1"/>
                        <w:sz w:val="18"/>
                      </w:rPr>
                      <w:t>Andre</w:t>
                    </w:r>
                  </w:p>
                </w:txbxContent>
              </v:textbox>
              <w10:wrap type="none"/>
            </v:shape>
            <w10:wrap type="topAndBottom"/>
          </v:group>
        </w:pict>
      </w:r>
      <w:bookmarkStart w:name="_bookmark64" w:id="90"/>
      <w:bookmarkEnd w:id="90"/>
      <w:r>
        <w:rPr/>
      </w:r>
      <w:r>
        <w:rPr>
          <w:i/>
          <w:color w:val="A21F1F"/>
          <w:sz w:val="18"/>
        </w:rPr>
        <w:t>Figur 36: Kommuner fordelt på områder, hvor de frie geodata fandt anvendelse, henholdsvis i 2012 og i 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19"/>
        <w:ind w:left="278" w:right="0" w:firstLine="0"/>
        <w:jc w:val="left"/>
        <w:rPr>
          <w:i/>
          <w:sz w:val="18"/>
        </w:rPr>
      </w:pPr>
      <w:r>
        <w:rPr>
          <w:b/>
          <w:i/>
          <w:color w:val="A21F1F"/>
          <w:sz w:val="18"/>
        </w:rPr>
        <w:t>N</w:t>
      </w:r>
      <w:r>
        <w:rPr>
          <w:i/>
          <w:color w:val="A21F1F"/>
          <w:sz w:val="18"/>
        </w:rPr>
        <w:t>: 2016: 34 og 2012: 33</w:t>
      </w:r>
    </w:p>
    <w:p>
      <w:pPr>
        <w:pStyle w:val="BodyText"/>
        <w:spacing w:before="9"/>
        <w:rPr>
          <w:i/>
          <w:sz w:val="28"/>
        </w:rPr>
      </w:pPr>
    </w:p>
    <w:p>
      <w:pPr>
        <w:pStyle w:val="BodyText"/>
        <w:spacing w:line="360" w:lineRule="auto"/>
        <w:ind w:left="278" w:right="1045"/>
      </w:pPr>
      <w:r>
        <w:rPr/>
        <w:t>I</w:t>
      </w:r>
      <w:r>
        <w:rPr>
          <w:spacing w:val="-5"/>
        </w:rPr>
        <w:t> </w:t>
      </w:r>
      <w:r>
        <w:rPr/>
        <w:t>et</w:t>
      </w:r>
      <w:r>
        <w:rPr>
          <w:spacing w:val="-3"/>
        </w:rPr>
        <w:t> </w:t>
      </w:r>
      <w:r>
        <w:rPr/>
        <w:t>interview</w:t>
      </w:r>
      <w:r>
        <w:rPr>
          <w:spacing w:val="-3"/>
        </w:rPr>
        <w:t> </w:t>
      </w:r>
      <w:r>
        <w:rPr/>
        <w:t>med</w:t>
      </w:r>
      <w:r>
        <w:rPr>
          <w:spacing w:val="-4"/>
        </w:rPr>
        <w:t> </w:t>
      </w:r>
      <w:r>
        <w:rPr/>
        <w:t>Hillerød Kommune</w:t>
      </w:r>
      <w:r>
        <w:rPr>
          <w:spacing w:val="-3"/>
        </w:rPr>
        <w:t> </w:t>
      </w:r>
      <w:r>
        <w:rPr/>
        <w:t>var</w:t>
      </w:r>
      <w:r>
        <w:rPr>
          <w:spacing w:val="-4"/>
        </w:rPr>
        <w:t> </w:t>
      </w:r>
      <w:r>
        <w:rPr/>
        <w:t>det</w:t>
      </w:r>
      <w:r>
        <w:rPr>
          <w:spacing w:val="-4"/>
        </w:rPr>
        <w:t> </w:t>
      </w:r>
      <w:r>
        <w:rPr/>
        <w:t>interviewpersonernes</w:t>
      </w:r>
      <w:r>
        <w:rPr>
          <w:spacing w:val="-4"/>
        </w:rPr>
        <w:t> </w:t>
      </w:r>
      <w:r>
        <w:rPr/>
        <w:t>opfattelse,</w:t>
      </w:r>
      <w:r>
        <w:rPr>
          <w:spacing w:val="-6"/>
        </w:rPr>
        <w:t> </w:t>
      </w:r>
      <w:r>
        <w:rPr/>
        <w:t>at der</w:t>
      </w:r>
      <w:r>
        <w:rPr>
          <w:spacing w:val="-5"/>
        </w:rPr>
        <w:t> </w:t>
      </w:r>
      <w:r>
        <w:rPr/>
        <w:t>var</w:t>
      </w:r>
      <w:r>
        <w:rPr>
          <w:spacing w:val="-4"/>
        </w:rPr>
        <w:t> </w:t>
      </w:r>
      <w:r>
        <w:rPr/>
        <w:t>store</w:t>
      </w:r>
      <w:r>
        <w:rPr>
          <w:spacing w:val="-3"/>
        </w:rPr>
        <w:t> </w:t>
      </w:r>
      <w:r>
        <w:rPr/>
        <w:t>potentialer</w:t>
      </w:r>
      <w:r>
        <w:rPr>
          <w:spacing w:val="-4"/>
        </w:rPr>
        <w:t> </w:t>
      </w:r>
      <w:r>
        <w:rPr/>
        <w:t>i at udbrede anvendelsen af geodata til nye forvaltningsområder, men at der fortsat lå et stort oplysningsarbejde i at sprede anvendelsen af geodata til nye områder. Det er dog en udvikling, der er i gang, og som forventes at accelerere i takt med, at geodata bliver gjort lettere tilgængelige, og at flere og flere fagområder kan gøre brug af dem.</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De frie geodata spiller en relativt stor rolle for de interne processer i de offentlige myndigheder, og særligt i</w:t>
      </w:r>
    </w:p>
    <w:p>
      <w:pPr>
        <w:pStyle w:val="BodyText"/>
        <w:spacing w:line="360" w:lineRule="auto" w:before="114"/>
        <w:ind w:left="278" w:right="1049"/>
      </w:pPr>
      <w:r>
        <w:rPr/>
        <w:t>de processer, der vedrører den konkrete opgavevaretagelse. Siden 2012 har de frie geodata fx spillet en stadig større rolle i forhold til visualisering af sager og større sikkerhed i afgørelser. Styring af ressourcer er dog klart det område, hvor de frie geodata spiller den mindste rolle for de myndigheder, der har deltaget i undersøgelsen.</w:t>
      </w:r>
    </w:p>
    <w:p>
      <w:pPr>
        <w:pStyle w:val="BodyText"/>
        <w:rPr>
          <w:sz w:val="21"/>
        </w:rPr>
      </w:pPr>
    </w:p>
    <w:p>
      <w:pPr>
        <w:spacing w:before="0"/>
        <w:ind w:left="278" w:right="1498" w:firstLine="0"/>
        <w:jc w:val="left"/>
        <w:rPr>
          <w:i/>
          <w:sz w:val="18"/>
        </w:rPr>
      </w:pPr>
      <w:r>
        <w:rPr/>
        <w:pict>
          <v:group style="position:absolute;margin-left:70.525002pt;margin-top:26.187916pt;width:474.1pt;height:260.55pt;mso-position-horizontal-relative:page;mso-position-vertical-relative:paragraph;z-index:6464;mso-wrap-distance-left:0;mso-wrap-distance-right:0" coordorigin="1411,524" coordsize="9482,5211">
            <v:rect style="position:absolute;left:1418;top:531;width:9466;height:5196" filled="true" fillcolor="#f1f1f1" stroked="false">
              <v:fill type="solid"/>
            </v:rect>
            <v:line style="position:absolute" from="2150,5065" to="10553,5065" stroked="true" strokeweight=".72pt" strokecolor="#d9d9d9">
              <v:stroke dashstyle="solid"/>
            </v:line>
            <v:line style="position:absolute" from="2150,4633" to="10553,4633" stroked="true" strokeweight=".72pt" strokecolor="#d9d9d9">
              <v:stroke dashstyle="solid"/>
            </v:line>
            <v:line style="position:absolute" from="2150,4201" to="10553,4201" stroked="true" strokeweight=".72pt" strokecolor="#d9d9d9">
              <v:stroke dashstyle="solid"/>
            </v:line>
            <v:line style="position:absolute" from="2150,3772" to="10553,3772" stroked="true" strokeweight=".72pt" strokecolor="#d9d9d9">
              <v:stroke dashstyle="solid"/>
            </v:line>
            <v:line style="position:absolute" from="2150,3340" to="10553,3340" stroked="true" strokeweight=".72pt" strokecolor="#d9d9d9">
              <v:stroke dashstyle="solid"/>
            </v:line>
            <v:line style="position:absolute" from="10296,2476" to="10553,2476" stroked="true" strokeweight=".72pt" strokecolor="#d9d9d9">
              <v:stroke dashstyle="solid"/>
            </v:line>
            <v:line style="position:absolute" from="9996,2476" to="10061,2476" stroked="true" strokeweight=".72pt" strokecolor="#d9d9d9">
              <v:stroke dashstyle="solid"/>
            </v:line>
            <v:line style="position:absolute" from="8194,2476" to="9761,2476" stroked="true" strokeweight=".72pt" strokecolor="#d9d9d9">
              <v:stroke dashstyle="solid"/>
            </v:line>
            <v:line style="position:absolute" from="7896,2476" to="7958,2476" stroked="true" strokeweight=".72pt" strokecolor="#d9d9d9">
              <v:stroke dashstyle="solid"/>
            </v:line>
            <v:line style="position:absolute" from="7145,2476" to="7661,2476" stroked="true" strokeweight=".72pt" strokecolor="#d9d9d9">
              <v:stroke dashstyle="solid"/>
            </v:line>
            <v:line style="position:absolute" from="6845,2476" to="6907,2476" stroked="true" strokeweight=".72pt" strokecolor="#d9d9d9">
              <v:stroke dashstyle="solid"/>
            </v:line>
            <v:line style="position:absolute" from="6094,2476" to="6610,2476" stroked="true" strokeweight=".72pt" strokecolor="#d9d9d9">
              <v:stroke dashstyle="solid"/>
            </v:line>
            <v:line style="position:absolute" from="5794,2476" to="5858,2476" stroked="true" strokeweight=".72pt" strokecolor="#d9d9d9">
              <v:stroke dashstyle="solid"/>
            </v:line>
            <v:line style="position:absolute" from="5042,2476" to="5558,2476" stroked="true" strokeweight=".72pt" strokecolor="#d9d9d9">
              <v:stroke dashstyle="solid"/>
            </v:line>
            <v:line style="position:absolute" from="4745,2476" to="4807,2476" stroked="true" strokeweight=".72pt" strokecolor="#d9d9d9">
              <v:stroke dashstyle="solid"/>
            </v:line>
            <v:line style="position:absolute" from="3994,2476" to="4507,2476" stroked="true" strokeweight=".72pt" strokecolor="#d9d9d9">
              <v:stroke dashstyle="solid"/>
            </v:line>
            <v:line style="position:absolute" from="3694,2476" to="3756,2476" stroked="true" strokeweight=".72pt" strokecolor="#d9d9d9">
              <v:stroke dashstyle="solid"/>
            </v:line>
            <v:line style="position:absolute" from="2942,2476" to="3458,2476" stroked="true" strokeweight=".72pt" strokecolor="#d9d9d9">
              <v:stroke dashstyle="solid"/>
            </v:line>
            <v:line style="position:absolute" from="2642,2476" to="2707,2476" stroked="true" strokeweight=".72pt" strokecolor="#d9d9d9">
              <v:stroke dashstyle="solid"/>
            </v:line>
            <v:line style="position:absolute" from="2150,2476" to="2407,2476" stroked="true" strokeweight=".72pt" strokecolor="#d9d9d9">
              <v:stroke dashstyle="solid"/>
            </v:line>
            <v:line style="position:absolute" from="10296,2046" to="10553,2046" stroked="true" strokeweight=".72pt" strokecolor="#d9d9d9">
              <v:stroke dashstyle="solid"/>
            </v:line>
            <v:line style="position:absolute" from="9996,2046" to="10061,2046" stroked="true" strokeweight=".72pt" strokecolor="#d9d9d9">
              <v:stroke dashstyle="solid"/>
            </v:line>
            <v:line style="position:absolute" from="7896,2046" to="9761,2046" stroked="true" strokeweight=".72pt" strokecolor="#d9d9d9">
              <v:stroke dashstyle="solid"/>
            </v:line>
            <v:line style="position:absolute" from="6845,2046" to="7661,2046" stroked="true" strokeweight=".72pt" strokecolor="#d9d9d9">
              <v:stroke dashstyle="solid"/>
            </v:line>
            <v:line style="position:absolute" from="6094,2046" to="6610,2046" stroked="true" strokeweight=".72pt" strokecolor="#d9d9d9">
              <v:stroke dashstyle="solid"/>
            </v:line>
            <v:line style="position:absolute" from="5794,2046" to="5858,2046" stroked="true" strokeweight=".72pt" strokecolor="#d9d9d9">
              <v:stroke dashstyle="solid"/>
            </v:line>
            <v:line style="position:absolute" from="4745,2046" to="5558,2046" stroked="true" strokeweight=".72pt" strokecolor="#d9d9d9">
              <v:stroke dashstyle="solid"/>
            </v:line>
            <v:line style="position:absolute" from="2150,2046" to="4507,2046" stroked="true" strokeweight=".72pt" strokecolor="#d9d9d9">
              <v:stroke dashstyle="solid"/>
            </v:line>
            <v:line style="position:absolute" from="9996,1614" to="10553,1614" stroked="true" strokeweight=".72pt" strokecolor="#d9d9d9">
              <v:stroke dashstyle="solid"/>
            </v:line>
            <v:line style="position:absolute" from="2150,1614" to="9761,1614" stroked="true" strokeweight=".72pt" strokecolor="#d9d9d9">
              <v:stroke dashstyle="solid"/>
            </v:line>
            <v:line style="position:absolute" from="2150,1182" to="10553,1182" stroked="true" strokeweight=".72pt" strokecolor="#d9d9d9">
              <v:stroke dashstyle="solid"/>
            </v:line>
            <v:line style="position:absolute" from="2150,750" to="10553,750" stroked="true" strokeweight=".72pt" strokecolor="#d9d9d9">
              <v:stroke dashstyle="solid"/>
            </v:line>
            <v:rect style="position:absolute;left:2407;top:2291;width:236;height:617" filled="true" fillcolor="#901b1b" stroked="false">
              <v:fill type="solid"/>
            </v:rect>
            <v:rect style="position:absolute;left:3458;top:2135;width:236;height:773" filled="true" fillcolor="#901b1b" stroked="false">
              <v:fill type="solid"/>
            </v:rect>
            <v:rect style="position:absolute;left:4507;top:1683;width:238;height:1224" filled="true" fillcolor="#901b1b" stroked="false">
              <v:fill type="solid"/>
            </v:rect>
            <v:rect style="position:absolute;left:5558;top:1765;width:236;height:1143" filled="true" fillcolor="#901b1b" stroked="false">
              <v:fill type="solid"/>
            </v:rect>
            <v:rect style="position:absolute;left:6609;top:2000;width:236;height:908" filled="true" fillcolor="#901b1b" stroked="false">
              <v:fill type="solid"/>
            </v:rect>
            <v:rect style="position:absolute;left:7660;top:1957;width:236;height:951" filled="true" fillcolor="#901b1b" stroked="false">
              <v:fill type="solid"/>
            </v:rect>
            <v:line style="position:absolute" from="8710,2952" to="8945,2952" stroked="true" strokeweight="4.440pt" strokecolor="#901b1b">
              <v:stroke dashstyle="solid"/>
            </v:line>
            <v:rect style="position:absolute;left:9760;top:1559;width:236;height:1349" filled="true" fillcolor="#901b1b" stroked="false">
              <v:fill type="solid"/>
            </v:rect>
            <v:rect style="position:absolute;left:2707;top:2221;width:236;height:687" filled="true" fillcolor="#bd8686" stroked="false">
              <v:fill type="solid"/>
            </v:rect>
            <v:rect style="position:absolute;left:3756;top:2257;width:238;height:651" filled="true" fillcolor="#bd8686" stroked="false">
              <v:fill type="solid"/>
            </v:rect>
            <v:rect style="position:absolute;left:4807;top:2113;width:236;height:795" filled="true" fillcolor="#bd8686" stroked="false">
              <v:fill type="solid"/>
            </v:rect>
            <v:rect style="position:absolute;left:5858;top:1995;width:236;height:912" filled="true" fillcolor="#bd8686" stroked="false">
              <v:fill type="solid"/>
            </v:rect>
            <v:rect style="position:absolute;left:6907;top:2125;width:238;height:783" filled="true" fillcolor="#bd8686" stroked="false">
              <v:fill type="solid"/>
            </v:rect>
            <v:rect style="position:absolute;left:7958;top:2259;width:236;height:648" filled="true" fillcolor="#bd8686" stroked="false">
              <v:fill type="solid"/>
            </v:rect>
            <v:rect style="position:absolute;left:9009;top:2739;width:236;height:168" filled="true" fillcolor="#bd8686" stroked="false">
              <v:fill type="solid"/>
            </v:rect>
            <v:rect style="position:absolute;left:10060;top:1955;width:236;height:953" filled="true" fillcolor="#bd8686" stroked="false">
              <v:fill type="solid"/>
            </v:rect>
            <v:line style="position:absolute" from="2150,2908" to="10553,2908" stroked="true" strokeweight=".72pt" strokecolor="#d9d9d9">
              <v:stroke dashstyle="solid"/>
            </v:line>
            <v:shape style="position:absolute;left:2624;top:3047;width:875;height:1466" type="#_x0000_t75" stroked="false">
              <v:imagedata r:id="rId24" o:title=""/>
            </v:shape>
            <v:shape style="position:absolute;left:3675;top:3060;width:979;height:1624" type="#_x0000_t75" stroked="false">
              <v:imagedata r:id="rId25" o:title=""/>
            </v:shape>
            <v:shape style="position:absolute;left:4719;top:3048;width:1949;height:1796" type="#_x0000_t75" stroked="false">
              <v:imagedata r:id="rId26" o:title=""/>
            </v:shape>
            <v:shape style="position:absolute;left:6826;top:3060;width:933;height:1520" type="#_x0000_t75" stroked="false">
              <v:imagedata r:id="rId27" o:title=""/>
            </v:shape>
            <v:shape style="position:absolute;left:7876;top:3046;width:962;height:1605" type="#_x0000_t75" stroked="false">
              <v:imagedata r:id="rId28" o:title=""/>
            </v:shape>
            <v:shape style="position:absolute;left:8927;top:3061;width:891;height:1446" type="#_x0000_t75" stroked="false">
              <v:imagedata r:id="rId29" o:title=""/>
            </v:shape>
            <v:shape style="position:absolute;left:9999;top:3036;width:737;height:1242" type="#_x0000_t75" stroked="false">
              <v:imagedata r:id="rId30" o:title=""/>
            </v:shape>
            <v:rect style="position:absolute;left:5601;top:5399;width:92;height:94" filled="true" fillcolor="#901b1b" stroked="false">
              <v:fill type="solid"/>
            </v:rect>
            <v:rect style="position:absolute;left:6252;top:5399;width:92;height:94" filled="true" fillcolor="#bd8686" stroked="false">
              <v:fill type="solid"/>
            </v:rect>
            <v:rect style="position:absolute;left:1418;top:531;width:9467;height:5196" filled="false" stroked="true" strokeweight=".75pt" strokecolor="#d9d9d9">
              <v:stroke dashstyle="solid"/>
            </v:rect>
            <v:shape style="position:absolute;left:1425;top:531;width:9452;height:5188" type="#_x0000_t202" filled="false" stroked="false">
              <v:textbox inset="0,0,0,0">
                <w:txbxContent>
                  <w:p>
                    <w:pPr>
                      <w:spacing w:before="112"/>
                      <w:ind w:left="219" w:right="0" w:firstLine="0"/>
                      <w:jc w:val="left"/>
                      <w:rPr>
                        <w:sz w:val="18"/>
                      </w:rPr>
                    </w:pPr>
                    <w:r>
                      <w:rPr>
                        <w:color w:val="585858"/>
                        <w:sz w:val="18"/>
                      </w:rPr>
                      <w:t>1,00</w:t>
                    </w:r>
                  </w:p>
                  <w:p>
                    <w:pPr>
                      <w:spacing w:line="240" w:lineRule="auto" w:before="10"/>
                      <w:rPr>
                        <w:i/>
                        <w:sz w:val="19"/>
                      </w:rPr>
                    </w:pPr>
                  </w:p>
                  <w:p>
                    <w:pPr>
                      <w:spacing w:before="1"/>
                      <w:ind w:left="190" w:right="0" w:firstLine="0"/>
                      <w:jc w:val="left"/>
                      <w:rPr>
                        <w:sz w:val="18"/>
                      </w:rPr>
                    </w:pPr>
                    <w:r>
                      <w:rPr>
                        <w:color w:val="585858"/>
                        <w:sz w:val="18"/>
                      </w:rPr>
                      <w:t>0,80</w:t>
                    </w:r>
                  </w:p>
                  <w:p>
                    <w:pPr>
                      <w:spacing w:line="240" w:lineRule="auto" w:before="11"/>
                      <w:rPr>
                        <w:i/>
                        <w:sz w:val="19"/>
                      </w:rPr>
                    </w:pPr>
                  </w:p>
                  <w:p>
                    <w:pPr>
                      <w:spacing w:before="0"/>
                      <w:ind w:left="195" w:right="0" w:firstLine="0"/>
                      <w:jc w:val="left"/>
                      <w:rPr>
                        <w:sz w:val="18"/>
                      </w:rPr>
                    </w:pPr>
                    <w:r>
                      <w:rPr>
                        <w:color w:val="585858"/>
                        <w:sz w:val="18"/>
                      </w:rPr>
                      <w:t>0,60</w:t>
                    </w:r>
                  </w:p>
                  <w:p>
                    <w:pPr>
                      <w:spacing w:line="240" w:lineRule="auto" w:before="11"/>
                      <w:rPr>
                        <w:i/>
                        <w:sz w:val="19"/>
                      </w:rPr>
                    </w:pPr>
                  </w:p>
                  <w:p>
                    <w:pPr>
                      <w:spacing w:before="0"/>
                      <w:ind w:left="195" w:right="0" w:firstLine="0"/>
                      <w:jc w:val="left"/>
                      <w:rPr>
                        <w:sz w:val="18"/>
                      </w:rPr>
                    </w:pPr>
                    <w:r>
                      <w:rPr>
                        <w:color w:val="585858"/>
                        <w:sz w:val="18"/>
                      </w:rPr>
                      <w:t>0,40</w:t>
                    </w:r>
                  </w:p>
                  <w:p>
                    <w:pPr>
                      <w:spacing w:line="240" w:lineRule="auto" w:before="10"/>
                      <w:rPr>
                        <w:i/>
                        <w:sz w:val="19"/>
                      </w:rPr>
                    </w:pPr>
                  </w:p>
                  <w:p>
                    <w:pPr>
                      <w:spacing w:before="1"/>
                      <w:ind w:left="196" w:right="0" w:firstLine="0"/>
                      <w:jc w:val="left"/>
                      <w:rPr>
                        <w:sz w:val="18"/>
                      </w:rPr>
                    </w:pPr>
                    <w:r>
                      <w:rPr>
                        <w:color w:val="585858"/>
                        <w:sz w:val="18"/>
                      </w:rPr>
                      <w:t>0,20</w:t>
                    </w:r>
                  </w:p>
                  <w:p>
                    <w:pPr>
                      <w:spacing w:line="240" w:lineRule="auto" w:before="10"/>
                      <w:rPr>
                        <w:i/>
                        <w:sz w:val="19"/>
                      </w:rPr>
                    </w:pPr>
                  </w:p>
                  <w:p>
                    <w:pPr>
                      <w:spacing w:before="1"/>
                      <w:ind w:left="186" w:right="0" w:firstLine="0"/>
                      <w:jc w:val="left"/>
                      <w:rPr>
                        <w:sz w:val="18"/>
                      </w:rPr>
                    </w:pPr>
                    <w:r>
                      <w:rPr>
                        <w:color w:val="585858"/>
                        <w:sz w:val="18"/>
                      </w:rPr>
                      <w:t>0,00</w:t>
                    </w:r>
                  </w:p>
                  <w:p>
                    <w:pPr>
                      <w:spacing w:line="240" w:lineRule="auto" w:before="11"/>
                      <w:rPr>
                        <w:i/>
                        <w:sz w:val="19"/>
                      </w:rPr>
                    </w:pPr>
                  </w:p>
                  <w:p>
                    <w:pPr>
                      <w:spacing w:before="0"/>
                      <w:ind w:left="129" w:right="0" w:firstLine="0"/>
                      <w:jc w:val="left"/>
                      <w:rPr>
                        <w:sz w:val="18"/>
                      </w:rPr>
                    </w:pPr>
                    <w:r>
                      <w:rPr>
                        <w:color w:val="585858"/>
                        <w:sz w:val="18"/>
                      </w:rPr>
                      <w:t>-0,20</w:t>
                    </w:r>
                  </w:p>
                  <w:p>
                    <w:pPr>
                      <w:spacing w:line="240" w:lineRule="auto" w:before="11"/>
                      <w:rPr>
                        <w:i/>
                        <w:sz w:val="19"/>
                      </w:rPr>
                    </w:pPr>
                  </w:p>
                  <w:p>
                    <w:pPr>
                      <w:spacing w:before="0"/>
                      <w:ind w:left="128" w:right="0" w:firstLine="0"/>
                      <w:jc w:val="left"/>
                      <w:rPr>
                        <w:sz w:val="18"/>
                      </w:rPr>
                    </w:pPr>
                    <w:r>
                      <w:rPr>
                        <w:color w:val="585858"/>
                        <w:sz w:val="18"/>
                      </w:rPr>
                      <w:t>-0,40</w:t>
                    </w:r>
                  </w:p>
                  <w:p>
                    <w:pPr>
                      <w:spacing w:line="240" w:lineRule="auto" w:before="10"/>
                      <w:rPr>
                        <w:i/>
                        <w:sz w:val="19"/>
                      </w:rPr>
                    </w:pPr>
                  </w:p>
                  <w:p>
                    <w:pPr>
                      <w:spacing w:before="1"/>
                      <w:ind w:left="128" w:right="0" w:firstLine="0"/>
                      <w:jc w:val="left"/>
                      <w:rPr>
                        <w:sz w:val="18"/>
                      </w:rPr>
                    </w:pPr>
                    <w:r>
                      <w:rPr>
                        <w:color w:val="585858"/>
                        <w:sz w:val="18"/>
                      </w:rPr>
                      <w:t>-0,60</w:t>
                    </w:r>
                  </w:p>
                  <w:p>
                    <w:pPr>
                      <w:spacing w:line="240" w:lineRule="auto" w:before="10"/>
                      <w:rPr>
                        <w:i/>
                        <w:sz w:val="19"/>
                      </w:rPr>
                    </w:pPr>
                  </w:p>
                  <w:p>
                    <w:pPr>
                      <w:spacing w:before="1"/>
                      <w:ind w:left="122" w:right="0" w:firstLine="0"/>
                      <w:jc w:val="left"/>
                      <w:rPr>
                        <w:sz w:val="18"/>
                      </w:rPr>
                    </w:pPr>
                    <w:r>
                      <w:rPr>
                        <w:color w:val="585858"/>
                        <w:sz w:val="18"/>
                      </w:rPr>
                      <w:t>-0,80</w:t>
                    </w:r>
                  </w:p>
                  <w:p>
                    <w:pPr>
                      <w:spacing w:line="240" w:lineRule="auto" w:before="11"/>
                      <w:rPr>
                        <w:i/>
                        <w:sz w:val="19"/>
                      </w:rPr>
                    </w:pPr>
                  </w:p>
                  <w:p>
                    <w:pPr>
                      <w:spacing w:before="0"/>
                      <w:ind w:left="152" w:right="0" w:firstLine="0"/>
                      <w:jc w:val="left"/>
                      <w:rPr>
                        <w:sz w:val="18"/>
                      </w:rPr>
                    </w:pPr>
                    <w:r>
                      <w:rPr>
                        <w:color w:val="585858"/>
                        <w:sz w:val="18"/>
                      </w:rPr>
                      <w:t>-1,00</w:t>
                    </w:r>
                  </w:p>
                  <w:p>
                    <w:pPr>
                      <w:tabs>
                        <w:tab w:pos="851" w:val="left" w:leader="none"/>
                      </w:tabs>
                      <w:spacing w:before="176"/>
                      <w:ind w:left="200" w:right="0" w:firstLine="0"/>
                      <w:jc w:val="center"/>
                      <w:rPr>
                        <w:sz w:val="18"/>
                      </w:rPr>
                    </w:pPr>
                    <w:r>
                      <w:rPr>
                        <w:color w:val="585858"/>
                        <w:sz w:val="18"/>
                      </w:rPr>
                      <w:t>2016</w:t>
                      <w:tab/>
                      <w:t>2012</w:t>
                    </w:r>
                  </w:p>
                </w:txbxContent>
              </v:textbox>
              <w10:wrap type="none"/>
            </v:shape>
            <w10:wrap type="topAndBottom"/>
          </v:group>
        </w:pict>
      </w:r>
      <w:r>
        <w:rPr>
          <w:i/>
          <w:color w:val="A21F1F"/>
          <w:sz w:val="18"/>
        </w:rPr>
        <w:t>Figur 37: Vægtet betydning af de frie geodata til sikring af bedre interne processer i de offentlige myndigheder, </w:t>
      </w:r>
      <w:r>
        <w:rPr>
          <w:i/>
          <w:color w:val="A21F1F"/>
          <w:sz w:val="18"/>
        </w:rPr>
        <w:t>henholdsvis i 2012 og i 2016</w:t>
      </w:r>
    </w:p>
    <w:p>
      <w:pPr>
        <w:spacing w:before="10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pStyle w:val="BodyText"/>
        <w:spacing w:before="1"/>
        <w:rPr>
          <w:i/>
          <w:sz w:val="18"/>
        </w:rPr>
      </w:pPr>
    </w:p>
    <w:p>
      <w:pPr>
        <w:spacing w:before="0"/>
        <w:ind w:left="278" w:right="0" w:firstLine="0"/>
        <w:jc w:val="left"/>
        <w:rPr>
          <w:i/>
          <w:sz w:val="18"/>
        </w:rPr>
      </w:pPr>
      <w:r>
        <w:rPr>
          <w:b/>
          <w:i/>
          <w:color w:val="A21F1F"/>
          <w:sz w:val="18"/>
        </w:rPr>
        <w:t>N</w:t>
      </w:r>
      <w:r>
        <w:rPr>
          <w:i/>
          <w:color w:val="A21F1F"/>
          <w:sz w:val="18"/>
        </w:rPr>
        <w:t>: 2016: 60-69 og 2012: 44-53</w:t>
      </w:r>
    </w:p>
    <w:p>
      <w:pPr>
        <w:pStyle w:val="BodyText"/>
        <w:spacing w:before="10"/>
        <w:rPr>
          <w:i/>
          <w:sz w:val="17"/>
        </w:rPr>
      </w:pPr>
    </w:p>
    <w:p>
      <w:pPr>
        <w:spacing w:before="0"/>
        <w:ind w:left="278" w:right="1104" w:firstLine="0"/>
        <w:jc w:val="both"/>
        <w:rPr>
          <w:i/>
          <w:sz w:val="18"/>
        </w:rPr>
      </w:pPr>
      <w:r>
        <w:rPr>
          <w:b/>
          <w:i/>
          <w:color w:val="A21F1F"/>
          <w:sz w:val="18"/>
        </w:rPr>
        <w:t>Note: </w:t>
      </w:r>
      <w:r>
        <w:rPr>
          <w:i/>
          <w:color w:val="A21F1F"/>
          <w:sz w:val="18"/>
        </w:rPr>
        <w:t>Den vægtede betydning af de frie geodata for myndighedsudøvelsen er beregnet ved at tildele hver besvarelse </w:t>
      </w:r>
      <w:r>
        <w:rPr>
          <w:i/>
          <w:color w:val="A21F1F"/>
          <w:sz w:val="18"/>
        </w:rPr>
        <w:t>en numerisk værdi og beregne gennemsnittet for besvarelserne. Følgende numeriske værdier er anvendt: Slet ikke: - 1, i mindre grad: -0,5, hverken eller: 0, i nogen grad: 0,5 og i høj grad: 1.</w:t>
      </w:r>
    </w:p>
    <w:p>
      <w:pPr>
        <w:spacing w:after="0"/>
        <w:jc w:val="both"/>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3"/>
        <w:numPr>
          <w:ilvl w:val="2"/>
          <w:numId w:val="14"/>
        </w:numPr>
        <w:tabs>
          <w:tab w:pos="1076" w:val="left" w:leader="none"/>
        </w:tabs>
        <w:spacing w:line="319" w:lineRule="exact" w:before="0" w:after="0"/>
        <w:ind w:left="1075" w:right="0" w:hanging="797"/>
        <w:jc w:val="left"/>
        <w:rPr>
          <w:i/>
        </w:rPr>
      </w:pPr>
      <w:bookmarkStart w:name="_bookmark65" w:id="91"/>
      <w:bookmarkEnd w:id="91"/>
      <w:r>
        <w:rPr>
          <w:i/>
          <w:color w:val="A21F1F"/>
        </w:rPr>
        <w:t>Betydn</w:t>
      </w:r>
      <w:r>
        <w:rPr>
          <w:i/>
          <w:color w:val="A21F1F"/>
        </w:rPr>
        <w:t>ing af geodata for interne</w:t>
      </w:r>
      <w:r>
        <w:rPr>
          <w:i/>
          <w:color w:val="A21F1F"/>
          <w:spacing w:val="-2"/>
        </w:rPr>
        <w:t> </w:t>
      </w:r>
      <w:r>
        <w:rPr>
          <w:i/>
          <w:color w:val="A21F1F"/>
        </w:rPr>
        <w:t>arbejdsprocesser</w:t>
      </w:r>
    </w:p>
    <w:p>
      <w:pPr>
        <w:pStyle w:val="BodyText"/>
        <w:spacing w:line="360" w:lineRule="auto" w:before="243"/>
        <w:ind w:left="278" w:right="1475"/>
      </w:pPr>
      <w:r>
        <w:rPr/>
        <w:t>For at kunne beregne den samfundsøkonomiske gevinst af geodata for offentlige myndigheder er det foruden ovenstående gennemgang af de forhold, der påvirker produktionseffekten, også nødvendigt at gennemgå de parametre, der indgår i beregningen af effektiviseringsgevinsten i den offentlige sektor. Derfor kortlægger vi i nedenstående afsnit, hvordan de frie geodata har påvirket de interne arbejdsprocesser i myndighederne.</w:t>
      </w:r>
    </w:p>
    <w:p>
      <w:pPr>
        <w:pStyle w:val="BodyText"/>
        <w:spacing w:before="1"/>
        <w:rPr>
          <w:sz w:val="21"/>
        </w:rPr>
      </w:pPr>
    </w:p>
    <w:p>
      <w:pPr>
        <w:pStyle w:val="BodyText"/>
        <w:spacing w:line="360" w:lineRule="auto"/>
        <w:ind w:left="278" w:right="1021"/>
      </w:pPr>
      <w:r>
        <w:rPr/>
        <w:t>Siden 2012 har geodata fået større betydning i forhold til at opnå målbare gevinster ved tilrettelæggelsen af interne processer og myndighedsudøvelse. Som det ses i </w:t>
      </w:r>
      <w:hyperlink w:history="true" w:anchor="_bookmark66">
        <w:r>
          <w:rPr>
            <w:sz w:val="18"/>
          </w:rPr>
          <w:t>Figur 38 </w:t>
        </w:r>
      </w:hyperlink>
      <w:r>
        <w:rPr/>
        <w:t>herunder, har ca. 60 pct. af de deltagende myndigheder angivet, at de i 2016 har opnået større effektivitet eller bedre beslutningsgrundlag som følge af de frie geodata – i forhold til både interne processer og myndighedsudøvelsen. I 2012 var tallet under 15 pct. Dette underbygges af case-undersøgelserne, hvor fx Hillerød Kommune anvender facility management, indeholdende de frie geodata, til at prioritere vedligeholdelsesindsatsen af deres samlede bygningsmasse.</w:t>
      </w:r>
    </w:p>
    <w:p>
      <w:pPr>
        <w:spacing w:before="120"/>
        <w:ind w:left="278" w:right="1474" w:firstLine="0"/>
        <w:jc w:val="left"/>
        <w:rPr>
          <w:i/>
          <w:sz w:val="18"/>
        </w:rPr>
      </w:pPr>
      <w:r>
        <w:rPr/>
        <w:pict>
          <v:group style="position:absolute;margin-left:70.525002pt;margin-top:32.117905pt;width:458.05pt;height:162.050pt;mso-position-horizontal-relative:page;mso-position-vertical-relative:paragraph;z-index:6800;mso-wrap-distance-left:0;mso-wrap-distance-right:0" coordorigin="1411,642" coordsize="9161,3241">
            <v:rect style="position:absolute;left:1418;top:648;width:9147;height:3228" filled="true" fillcolor="#f1f1f1" stroked="false">
              <v:fill type="solid"/>
            </v:rect>
            <v:line style="position:absolute" from="4637,870" to="4637,2696" stroked="true" strokeweight=".72pt" strokecolor="#d9d9d9">
              <v:stroke dashstyle="solid"/>
            </v:line>
            <v:line style="position:absolute" from="5426,870" to="5426,2696" stroked="true" strokeweight=".72pt" strokecolor="#d9d9d9">
              <v:stroke dashstyle="solid"/>
            </v:line>
            <v:line style="position:absolute" from="6216,870" to="6216,2696" stroked="true" strokeweight=".72pt" strokecolor="#d9d9d9">
              <v:stroke dashstyle="solid"/>
            </v:line>
            <v:line style="position:absolute" from="7006,870" to="7006,2696" stroked="true" strokeweight=".72pt" strokecolor="#d9d9d9">
              <v:stroke dashstyle="solid"/>
            </v:line>
            <v:line style="position:absolute" from="7793,870" to="7793,2696" stroked="true" strokeweight=".72pt" strokecolor="#d9d9d9">
              <v:stroke dashstyle="solid"/>
            </v:line>
            <v:line style="position:absolute" from="8582,870" to="8582,2696" stroked="true" strokeweight=".72pt" strokecolor="#d9d9d9">
              <v:stroke dashstyle="solid"/>
            </v:line>
            <v:line style="position:absolute" from="9372,870" to="9372,2696" stroked="true" strokeweight=".72pt" strokecolor="#d9d9d9">
              <v:stroke dashstyle="solid"/>
            </v:line>
            <v:line style="position:absolute" from="10162,870" to="10162,2696" stroked="true" strokeweight=".72pt" strokecolor="#d9d9d9">
              <v:stroke dashstyle="solid"/>
            </v:line>
            <v:line style="position:absolute" from="3847,2586" to="4164,2586" stroked="true" strokeweight="3.84pt" strokecolor="#d0aeae">
              <v:stroke dashstyle="solid"/>
            </v:line>
            <v:line style="position:absolute" from="3847,2128" to="8424,2128" stroked="true" strokeweight="3.96pt" strokecolor="#d0aeae">
              <v:stroke dashstyle="solid"/>
            </v:line>
            <v:rect style="position:absolute;left:3847;top:1632;width:1184;height:80" filled="true" fillcolor="#d0aeae" stroked="false">
              <v:fill type="solid"/>
            </v:rect>
            <v:line style="position:absolute" from="3847,1216" to="4558,1216" stroked="true" strokeweight="3.96pt" strokecolor="#d0aeae">
              <v:stroke dashstyle="solid"/>
            </v:line>
            <v:line style="position:absolute" from="3847,2508" to="4006,2508" stroked="true" strokeweight="3.96pt" strokecolor="#b46c6c">
              <v:stroke dashstyle="solid"/>
            </v:line>
            <v:line style="position:absolute" from="3847,2050" to="9134,2050" stroked="true" strokeweight="3.84pt" strokecolor="#b46c6c">
              <v:stroke dashstyle="solid"/>
            </v:line>
            <v:rect style="position:absolute;left:3847;top:1553;width:1184;height:80" filled="true" fillcolor="#b46c6c" stroked="false">
              <v:fill type="solid"/>
            </v:rect>
            <v:line style="position:absolute" from="3847,1137" to="4006,1137" stroked="true" strokeweight="3.96pt" strokecolor="#b46c6c">
              <v:stroke dashstyle="solid"/>
            </v:line>
            <v:line style="position:absolute" from="3847,2428" to="4555,2428" stroked="true" strokeweight="3.96pt" strokecolor="#971d1d">
              <v:stroke dashstyle="solid"/>
            </v:line>
            <v:line style="position:absolute" from="3847,1972" to="6074,1972" stroked="true" strokeweight="3.96pt" strokecolor="#971d1d">
              <v:stroke dashstyle="solid"/>
            </v:line>
            <v:line style="position:absolute" from="3847,1515" to="9110,1515" stroked="true" strokeweight="3.84pt" strokecolor="#971d1d">
              <v:stroke dashstyle="solid"/>
            </v:line>
            <v:line style="position:absolute" from="3847,1059" to="8400,1059" stroked="true" strokeweight="3.84pt" strokecolor="#971d1d">
              <v:stroke dashstyle="solid"/>
            </v:line>
            <v:line style="position:absolute" from="3847,2350" to="4454,2350" stroked="true" strokeweight="3.84pt" strokecolor="#7e1717">
              <v:stroke dashstyle="solid"/>
            </v:line>
            <v:line style="position:absolute" from="3847,1893" to="5366,1893" stroked="true" strokeweight="3.96pt" strokecolor="#7e1717">
              <v:stroke dashstyle="solid"/>
            </v:line>
            <v:line style="position:absolute" from="3847,1437" to="8705,1437" stroked="true" strokeweight="3.96pt" strokecolor="#7e1717">
              <v:stroke dashstyle="solid"/>
            </v:line>
            <v:line style="position:absolute" from="3847,981" to="7692,981" stroked="true" strokeweight="3.96pt" strokecolor="#7e1717">
              <v:stroke dashstyle="solid"/>
            </v:line>
            <v:line style="position:absolute" from="3847,2696" to="3847,870" stroked="true" strokeweight=".72pt" strokecolor="#d9d9d9">
              <v:stroke dashstyle="solid"/>
            </v:line>
            <v:rect style="position:absolute;left:3453;top:3255;width:92;height:94" filled="true" fillcolor="#7e1717" stroked="false">
              <v:fill type="solid"/>
            </v:rect>
            <v:rect style="position:absolute;left:6052;top:3255;width:92;height:94" filled="true" fillcolor="#971d1d" stroked="false">
              <v:fill type="solid"/>
            </v:rect>
            <v:rect style="position:absolute;left:3453;top:3579;width:92;height:92" filled="true" fillcolor="#b46c6c" stroked="false">
              <v:fill type="solid"/>
            </v:rect>
            <v:rect style="position:absolute;left:6052;top:3579;width:92;height:92" filled="true" fillcolor="#d0aeae" stroked="false">
              <v:fill type="solid"/>
            </v:rect>
            <v:rect style="position:absolute;left:1418;top:649;width:9146;height:3226" filled="false" stroked="true" strokeweight=".75pt" strokecolor="#d9d9d9">
              <v:stroke dashstyle="solid"/>
            </v:rect>
            <v:shape style="position:absolute;left:6183;top:3195;width:2432;height:527" type="#_x0000_t202" filled="false" stroked="false">
              <v:textbox inset="0,0,0,0">
                <w:txbxContent>
                  <w:p>
                    <w:pPr>
                      <w:spacing w:before="0"/>
                      <w:ind w:left="0" w:right="0" w:firstLine="0"/>
                      <w:jc w:val="left"/>
                      <w:rPr>
                        <w:sz w:val="18"/>
                      </w:rPr>
                    </w:pPr>
                    <w:r>
                      <w:rPr>
                        <w:color w:val="585858"/>
                        <w:sz w:val="18"/>
                      </w:rPr>
                      <w:t>Interne arbejdsprocesser</w:t>
                    </w:r>
                    <w:r>
                      <w:rPr>
                        <w:color w:val="585858"/>
                        <w:spacing w:val="-14"/>
                        <w:sz w:val="18"/>
                      </w:rPr>
                      <w:t> </w:t>
                    </w:r>
                    <w:r>
                      <w:rPr>
                        <w:color w:val="585858"/>
                        <w:sz w:val="18"/>
                      </w:rPr>
                      <w:t>2016</w:t>
                    </w:r>
                  </w:p>
                  <w:p>
                    <w:pPr>
                      <w:spacing w:before="118"/>
                      <w:ind w:left="0" w:right="0" w:firstLine="0"/>
                      <w:jc w:val="left"/>
                      <w:rPr>
                        <w:sz w:val="18"/>
                      </w:rPr>
                    </w:pPr>
                    <w:r>
                      <w:rPr>
                        <w:color w:val="585858"/>
                        <w:sz w:val="18"/>
                      </w:rPr>
                      <w:t>Interne arbejdsprocesser</w:t>
                    </w:r>
                    <w:r>
                      <w:rPr>
                        <w:color w:val="585858"/>
                        <w:spacing w:val="-14"/>
                        <w:sz w:val="18"/>
                      </w:rPr>
                      <w:t> </w:t>
                    </w:r>
                    <w:r>
                      <w:rPr>
                        <w:color w:val="585858"/>
                        <w:sz w:val="18"/>
                      </w:rPr>
                      <w:t>2012</w:t>
                    </w:r>
                  </w:p>
                </w:txbxContent>
              </v:textbox>
              <w10:wrap type="none"/>
            </v:shape>
            <v:shape style="position:absolute;left:3585;top:3195;width:2133;height:527" type="#_x0000_t202" filled="false" stroked="false">
              <v:textbox inset="0,0,0,0">
                <w:txbxContent>
                  <w:p>
                    <w:pPr>
                      <w:spacing w:before="0"/>
                      <w:ind w:left="0" w:right="0" w:firstLine="0"/>
                      <w:jc w:val="left"/>
                      <w:rPr>
                        <w:sz w:val="18"/>
                      </w:rPr>
                    </w:pPr>
                    <w:r>
                      <w:rPr>
                        <w:color w:val="585858"/>
                        <w:sz w:val="18"/>
                      </w:rPr>
                      <w:t>Myndighedsudøvelse</w:t>
                    </w:r>
                    <w:r>
                      <w:rPr>
                        <w:color w:val="585858"/>
                        <w:spacing w:val="-15"/>
                        <w:sz w:val="18"/>
                      </w:rPr>
                      <w:t> </w:t>
                    </w:r>
                    <w:r>
                      <w:rPr>
                        <w:color w:val="585858"/>
                        <w:sz w:val="18"/>
                      </w:rPr>
                      <w:t>2016</w:t>
                    </w:r>
                  </w:p>
                  <w:p>
                    <w:pPr>
                      <w:spacing w:before="118"/>
                      <w:ind w:left="0" w:right="0" w:firstLine="0"/>
                      <w:jc w:val="left"/>
                      <w:rPr>
                        <w:sz w:val="18"/>
                      </w:rPr>
                    </w:pPr>
                    <w:r>
                      <w:rPr>
                        <w:color w:val="585858"/>
                        <w:sz w:val="18"/>
                      </w:rPr>
                      <w:t>Myndighedsudøvelse</w:t>
                    </w:r>
                    <w:r>
                      <w:rPr>
                        <w:color w:val="585858"/>
                        <w:spacing w:val="-15"/>
                        <w:sz w:val="18"/>
                      </w:rPr>
                      <w:t> </w:t>
                    </w:r>
                    <w:r>
                      <w:rPr>
                        <w:color w:val="585858"/>
                        <w:sz w:val="18"/>
                      </w:rPr>
                      <w:t>2012</w:t>
                    </w:r>
                  </w:p>
                </w:txbxContent>
              </v:textbox>
              <w10:wrap type="none"/>
            </v:shape>
            <v:shape style="position:absolute;left:9981;top:2808;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9200;top:2808;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8404;top:2808;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619;top:2808;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6826;top:2808;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6038;top:2808;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5247;top:2808;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4470;top:2808;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3719;top:2808;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991;width:2162;height:1575" type="#_x0000_t202" filled="false" stroked="false">
              <v:textbox inset="0,0,0,0">
                <w:txbxContent>
                  <w:p>
                    <w:pPr>
                      <w:spacing w:line="535" w:lineRule="auto" w:before="0"/>
                      <w:ind w:left="0" w:right="18" w:firstLine="699"/>
                      <w:jc w:val="right"/>
                      <w:rPr>
                        <w:sz w:val="18"/>
                      </w:rPr>
                    </w:pPr>
                    <w:r>
                      <w:rPr>
                        <w:color w:val="585858"/>
                        <w:sz w:val="18"/>
                      </w:rPr>
                      <w:t>Højere effektivitet Bedre beslutningsgrundlag Ingen målbare gevinster</w:t>
                    </w:r>
                  </w:p>
                  <w:p>
                    <w:pPr>
                      <w:spacing w:before="1"/>
                      <w:ind w:left="0" w:right="60" w:firstLine="0"/>
                      <w:jc w:val="right"/>
                      <w:rPr>
                        <w:sz w:val="18"/>
                      </w:rPr>
                    </w:pPr>
                    <w:r>
                      <w:rPr>
                        <w:color w:val="585858"/>
                        <w:sz w:val="18"/>
                      </w:rPr>
                      <w:t>Andet</w:t>
                    </w:r>
                  </w:p>
                </w:txbxContent>
              </v:textbox>
              <w10:wrap type="none"/>
            </v:shape>
            <w10:wrap type="topAndBottom"/>
          </v:group>
        </w:pict>
      </w:r>
      <w:bookmarkStart w:name="_bookmark66" w:id="92"/>
      <w:bookmarkEnd w:id="92"/>
      <w:r>
        <w:rPr/>
      </w:r>
      <w:r>
        <w:rPr>
          <w:i/>
          <w:color w:val="A21F1F"/>
          <w:sz w:val="18"/>
        </w:rPr>
        <w:t>Figur 38: Offentlige myndigheder fordelt på opnåelse af målbare gevinster ved brug af de frie geodata i interne </w:t>
      </w:r>
      <w:r>
        <w:rPr>
          <w:i/>
          <w:color w:val="A21F1F"/>
          <w:sz w:val="18"/>
        </w:rPr>
        <w:t>processer og myndighedsudøvelse, henholdsvis i 2012 og i 2016</w:t>
      </w:r>
    </w:p>
    <w:p>
      <w:pPr>
        <w:spacing w:before="0"/>
        <w:ind w:left="278" w:right="0" w:firstLine="0"/>
        <w:jc w:val="left"/>
        <w:rPr>
          <w:i/>
          <w:sz w:val="18"/>
        </w:rPr>
      </w:pPr>
      <w:r>
        <w:rPr>
          <w:b/>
          <w:i/>
          <w:color w:val="A21F1F"/>
          <w:sz w:val="18"/>
        </w:rPr>
        <w:t>Kilde</w:t>
      </w:r>
      <w:r>
        <w:rPr>
          <w:i/>
          <w:color w:val="A21F1F"/>
          <w:sz w:val="18"/>
        </w:rPr>
        <w:t>: Før-måling og spørgeskemaundersøgelse udført blandt offentlige myndigheder</w:t>
      </w:r>
    </w:p>
    <w:p>
      <w:pPr>
        <w:spacing w:before="122"/>
        <w:ind w:left="278" w:right="0" w:firstLine="0"/>
        <w:jc w:val="left"/>
        <w:rPr>
          <w:i/>
          <w:sz w:val="18"/>
        </w:rPr>
      </w:pPr>
      <w:r>
        <w:rPr>
          <w:b/>
          <w:i/>
          <w:color w:val="A21F1F"/>
          <w:sz w:val="18"/>
        </w:rPr>
        <w:t>N</w:t>
      </w:r>
      <w:r>
        <w:rPr>
          <w:i/>
          <w:color w:val="A21F1F"/>
          <w:sz w:val="18"/>
        </w:rPr>
        <w:t>: 2016: 78 og 2012: 55</w:t>
      </w:r>
    </w:p>
    <w:p>
      <w:pPr>
        <w:pStyle w:val="BodyText"/>
        <w:spacing w:before="6"/>
        <w:rPr>
          <w:i/>
          <w:sz w:val="28"/>
        </w:rPr>
      </w:pPr>
    </w:p>
    <w:p>
      <w:pPr>
        <w:pStyle w:val="BodyText"/>
        <w:spacing w:line="360" w:lineRule="auto"/>
        <w:ind w:left="278" w:right="1200"/>
      </w:pPr>
      <w:r>
        <w:rPr/>
        <w:t>I den offentlige sektor er den andel af medarbejdere, hvis opgavevaretagelse er kritisk afhængig af de frie geodata, ikke ændret markant i forhold til før-målingen. Dog ses det, at de frie geodata spiller en stigende rolle i forhold til effektivisering af interne arbejdsprocesser. De afledte økonomiske effekter af de frie geodata samt den samfundsøkonomiske værdi, der er genereret heraf i den offentlige sektor, beregnes i henholdsvis kapitel 6 og kapitel 7.</w:t>
      </w:r>
    </w:p>
    <w:p>
      <w:pPr>
        <w:spacing w:after="0" w:line="360" w:lineRule="auto"/>
        <w:sectPr>
          <w:pgSz w:w="11910" w:h="16840"/>
          <w:pgMar w:header="572" w:footer="577" w:top="1220" w:bottom="760" w:left="1140" w:right="0"/>
        </w:sectPr>
      </w:pPr>
    </w:p>
    <w:p>
      <w:pPr>
        <w:pStyle w:val="BodyText"/>
        <w:ind w:left="278"/>
      </w:pPr>
      <w:bookmarkStart w:name="_bookmark68" w:id="93"/>
      <w:bookmarkEnd w:id="93"/>
      <w:r>
        <w:rPr/>
      </w: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14"/>
        </w:numPr>
        <w:tabs>
          <w:tab w:pos="711" w:val="left" w:leader="none"/>
        </w:tabs>
        <w:spacing w:line="595" w:lineRule="exact" w:before="0" w:after="0"/>
        <w:ind w:left="710" w:right="0" w:hanging="432"/>
        <w:jc w:val="left"/>
        <w:rPr>
          <w:b/>
          <w:i/>
          <w:sz w:val="56"/>
        </w:rPr>
      </w:pPr>
      <w:bookmarkStart w:name="_bookmark67" w:id="94"/>
      <w:bookmarkEnd w:id="94"/>
      <w:r>
        <w:rPr/>
      </w:r>
      <w:bookmarkStart w:name="_bookmark67" w:id="95"/>
      <w:bookmarkEnd w:id="95"/>
      <w:r>
        <w:rPr>
          <w:b/>
          <w:i/>
          <w:sz w:val="56"/>
        </w:rPr>
        <w:t>Økon</w:t>
      </w:r>
      <w:r>
        <w:rPr>
          <w:b/>
          <w:i/>
          <w:sz w:val="56"/>
        </w:rPr>
        <w:t>omiske effekter af de</w:t>
      </w:r>
      <w:r>
        <w:rPr>
          <w:b/>
          <w:i/>
          <w:spacing w:val="-1"/>
          <w:sz w:val="56"/>
        </w:rPr>
        <w:t> </w:t>
      </w:r>
      <w:r>
        <w:rPr>
          <w:b/>
          <w:i/>
          <w:sz w:val="56"/>
        </w:rPr>
        <w:t>frie</w:t>
      </w:r>
    </w:p>
    <w:p>
      <w:pPr>
        <w:spacing w:before="0"/>
        <w:ind w:left="710" w:right="0" w:firstLine="0"/>
        <w:jc w:val="left"/>
        <w:rPr>
          <w:b/>
          <w:i/>
          <w:sz w:val="56"/>
        </w:rPr>
      </w:pPr>
      <w:r>
        <w:rPr>
          <w:b/>
          <w:i/>
          <w:sz w:val="56"/>
        </w:rPr>
        <w:t>geodata i 2016</w:t>
      </w:r>
    </w:p>
    <w:p>
      <w:pPr>
        <w:pStyle w:val="BodyText"/>
        <w:spacing w:line="360" w:lineRule="auto" w:before="478"/>
        <w:ind w:left="278" w:right="1095"/>
      </w:pPr>
      <w:r>
        <w:rPr/>
        <w:t>På baggrund af gennemgangen private virksomheders, forsyningsselskabers og offentlige myndigheders anvendelsen af de frie geodata i 2016 i foregående kapitel vil vi i dette kapitel gennemgå de økonomiske effekter af de frie geodata i 2016. Fokus for kapitlet er på at opregne 1. led i beregningsmodellen, der omhandler henholdsvis markeds-, beskæftigelses- og effektiviseringseffekterne af de frie geodata for de tre forskellige brugergrupper, jf. beskrivelsen af beregningsmodellen i kapitel 2. Det vil altså sige, at dette kapitel beskæftiger sig med det, der er inden for den stiplede linje i nedenstående Boks 3.</w:t>
      </w:r>
    </w:p>
    <w:p>
      <w:pPr>
        <w:pStyle w:val="BodyText"/>
        <w:spacing w:before="2"/>
        <w:rPr>
          <w:sz w:val="30"/>
        </w:rPr>
      </w:pPr>
    </w:p>
    <w:p>
      <w:pPr>
        <w:spacing w:before="0"/>
        <w:ind w:left="278" w:right="0" w:firstLine="0"/>
        <w:jc w:val="left"/>
        <w:rPr>
          <w:i/>
          <w:sz w:val="18"/>
        </w:rPr>
      </w:pPr>
      <w:r>
        <w:rPr/>
        <w:pict>
          <v:group style="position:absolute;margin-left:71.300003pt;margin-top:16.242958pt;width:472.65pt;height:245.75pt;mso-position-horizontal-relative:page;mso-position-vertical-relative:paragraph;z-index:6848;mso-wrap-distance-left:0;mso-wrap-distance-right:0" coordorigin="1426,325" coordsize="9453,4915">
            <v:rect style="position:absolute;left:1426;top:325;width:9453;height:4914" filled="true" fillcolor="#f1f1f1" stroked="false">
              <v:fill type="solid"/>
            </v:rect>
            <v:shape style="position:absolute;left:1426;top:324;width:9370;height:4800" type="#_x0000_t75" stroked="false">
              <v:imagedata r:id="rId31" o:title=""/>
            </v:shape>
            <w10:wrap type="topAndBottom"/>
          </v:group>
        </w:pict>
      </w:r>
      <w:r>
        <w:rPr>
          <w:i/>
          <w:color w:val="A21F1F"/>
          <w:sz w:val="18"/>
        </w:rPr>
        <w:t>Boks 3. Metode til beregning af den samfundsøkonomiske værdi med fokus på første led i beregningsmodellen</w:t>
      </w:r>
    </w:p>
    <w:p>
      <w:pPr>
        <w:spacing w:line="174" w:lineRule="exact" w:before="0"/>
        <w:ind w:left="278" w:right="0" w:firstLine="0"/>
        <w:jc w:val="left"/>
        <w:rPr>
          <w:i/>
          <w:sz w:val="18"/>
        </w:rPr>
      </w:pPr>
      <w:r>
        <w:rPr>
          <w:b/>
          <w:i/>
          <w:color w:val="A21F1F"/>
          <w:sz w:val="18"/>
        </w:rPr>
        <w:t>Kilde: </w:t>
      </w:r>
      <w:r>
        <w:rPr>
          <w:i/>
          <w:color w:val="A21F1F"/>
          <w:sz w:val="18"/>
        </w:rPr>
        <w:t>Før-måling</w:t>
      </w:r>
    </w:p>
    <w:p>
      <w:pPr>
        <w:pStyle w:val="BodyText"/>
        <w:rPr>
          <w:i/>
        </w:rPr>
      </w:pPr>
    </w:p>
    <w:p>
      <w:pPr>
        <w:pStyle w:val="BodyText"/>
        <w:spacing w:before="6"/>
        <w:rPr>
          <w:i/>
        </w:rPr>
      </w:pPr>
    </w:p>
    <w:p>
      <w:pPr>
        <w:pStyle w:val="BodyText"/>
        <w:spacing w:line="360" w:lineRule="auto"/>
        <w:ind w:left="278" w:right="1228"/>
      </w:pPr>
      <w:r>
        <w:rPr/>
        <w:t>Gennemgang af beregningsmodellens 2. led vil ske i kapitel 7, hvor vi, jf. modellen, vil bruge markeds- og effektiviseringseffekterne til at beregne den samfundsøkonomiske værdi af geodata i 2016.</w:t>
      </w:r>
    </w:p>
    <w:p>
      <w:pPr>
        <w:pStyle w:val="BodyText"/>
        <w:spacing w:before="2"/>
        <w:rPr>
          <w:sz w:val="30"/>
        </w:rPr>
      </w:pPr>
    </w:p>
    <w:p>
      <w:pPr>
        <w:pStyle w:val="BodyText"/>
        <w:spacing w:line="360" w:lineRule="auto" w:before="1"/>
        <w:ind w:left="278" w:right="1019"/>
      </w:pPr>
      <w:r>
        <w:rPr/>
        <w:t>Resultaterne af de økonomiske effekter, altså markeds-, beskæftigelses- og effektiviseringseffekterne, inden for de tre brugergrupper i 2012 og 2016 er oplistet </w:t>
      </w:r>
      <w:hyperlink w:history="true" w:anchor="_bookmark68">
        <w:r>
          <w:rPr/>
          <w:t>i</w:t>
        </w:r>
      </w:hyperlink>
    </w:p>
    <w:p>
      <w:pPr>
        <w:pStyle w:val="BodyText"/>
        <w:spacing w:line="360" w:lineRule="auto"/>
        <w:ind w:left="278" w:right="1105"/>
      </w:pPr>
      <w:hyperlink w:history="true" w:anchor="_bookmark68">
        <w:r>
          <w:rPr/>
          <w:t>Tabel 3. </w:t>
        </w:r>
      </w:hyperlink>
      <w:r>
        <w:rPr/>
        <w:t>Resultaterne for 2016 er fremkommet på baggrund af besvarelserne i spørgeskemaundersøgelsen, som PwC har gennemført med de tre brugergrupper.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0" w:lineRule="exact" w:before="0"/>
        <w:ind w:left="278" w:right="0" w:firstLine="0"/>
        <w:jc w:val="left"/>
        <w:rPr>
          <w:i/>
          <w:sz w:val="18"/>
        </w:rPr>
      </w:pPr>
      <w:r>
        <w:rPr>
          <w:i/>
          <w:color w:val="A21F1F"/>
          <w:sz w:val="18"/>
        </w:rPr>
        <w:t>Tabel 3: Oversigt over beregninger af effekter for henholdsvis private virksomheder, forsyningsselskaber og</w:t>
      </w:r>
    </w:p>
    <w:p>
      <w:pPr>
        <w:spacing w:line="204" w:lineRule="exact" w:before="0"/>
        <w:ind w:left="278" w:right="0" w:firstLine="0"/>
        <w:jc w:val="left"/>
        <w:rPr>
          <w:i/>
          <w:sz w:val="18"/>
        </w:rPr>
      </w:pPr>
      <w:r>
        <w:rPr>
          <w:i/>
          <w:color w:val="A21F1F"/>
          <w:sz w:val="18"/>
        </w:rPr>
        <w:t>offentlige myndigheder, henholdsvis i 2012 og i 2016</w:t>
      </w:r>
    </w:p>
    <w:p>
      <w:pPr>
        <w:pStyle w:val="BodyText"/>
        <w:spacing w:before="10"/>
        <w:rPr>
          <w:i/>
          <w:sz w:val="10"/>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4"/>
        <w:gridCol w:w="1218"/>
        <w:gridCol w:w="1121"/>
        <w:gridCol w:w="1319"/>
        <w:gridCol w:w="1215"/>
        <w:gridCol w:w="1226"/>
        <w:gridCol w:w="1243"/>
      </w:tblGrid>
      <w:tr>
        <w:trPr>
          <w:trHeight w:val="550" w:hRule="atLeast"/>
        </w:trPr>
        <w:tc>
          <w:tcPr>
            <w:tcW w:w="4463" w:type="dxa"/>
            <w:gridSpan w:val="3"/>
            <w:shd w:val="clear" w:color="auto" w:fill="A21F1F"/>
          </w:tcPr>
          <w:p>
            <w:pPr>
              <w:pStyle w:val="TableParagraph"/>
              <w:spacing w:line="249" w:lineRule="auto" w:before="7"/>
              <w:ind w:left="2990" w:right="97" w:hanging="346"/>
              <w:rPr>
                <w:rFonts w:ascii="Arial"/>
                <w:b/>
                <w:sz w:val="20"/>
              </w:rPr>
            </w:pPr>
            <w:r>
              <w:rPr>
                <w:rFonts w:ascii="Arial"/>
                <w:b/>
                <w:color w:val="FFFFFF"/>
                <w:w w:val="95"/>
                <w:sz w:val="20"/>
              </w:rPr>
              <w:t>Markedseffekt, </w:t>
            </w:r>
            <w:r>
              <w:rPr>
                <w:rFonts w:ascii="Arial"/>
                <w:b/>
                <w:color w:val="FFFFFF"/>
                <w:sz w:val="20"/>
              </w:rPr>
              <w:t>mio. kr.</w:t>
            </w:r>
          </w:p>
        </w:tc>
        <w:tc>
          <w:tcPr>
            <w:tcW w:w="2534" w:type="dxa"/>
            <w:gridSpan w:val="2"/>
            <w:shd w:val="clear" w:color="auto" w:fill="A21F1F"/>
          </w:tcPr>
          <w:p>
            <w:pPr>
              <w:pStyle w:val="TableParagraph"/>
              <w:spacing w:line="249" w:lineRule="auto" w:before="7"/>
              <w:ind w:left="933" w:hanging="642"/>
              <w:rPr>
                <w:rFonts w:ascii="Arial" w:hAnsi="Arial"/>
                <w:b/>
                <w:sz w:val="20"/>
              </w:rPr>
            </w:pPr>
            <w:r>
              <w:rPr>
                <w:rFonts w:ascii="Arial" w:hAnsi="Arial"/>
                <w:b/>
                <w:color w:val="FFFFFF"/>
                <w:w w:val="95"/>
                <w:sz w:val="20"/>
              </w:rPr>
              <w:t>Beskæftigelseseffekt, </w:t>
            </w:r>
            <w:r>
              <w:rPr>
                <w:rFonts w:ascii="Arial" w:hAnsi="Arial"/>
                <w:b/>
                <w:color w:val="FFFFFF"/>
                <w:sz w:val="20"/>
              </w:rPr>
              <w:t>årsværk</w:t>
            </w:r>
          </w:p>
        </w:tc>
        <w:tc>
          <w:tcPr>
            <w:tcW w:w="2469" w:type="dxa"/>
            <w:gridSpan w:val="2"/>
            <w:shd w:val="clear" w:color="auto" w:fill="A21F1F"/>
          </w:tcPr>
          <w:p>
            <w:pPr>
              <w:pStyle w:val="TableParagraph"/>
              <w:spacing w:before="7"/>
              <w:ind w:left="189"/>
              <w:rPr>
                <w:rFonts w:ascii="Arial"/>
                <w:b/>
                <w:sz w:val="20"/>
              </w:rPr>
            </w:pPr>
            <w:r>
              <w:rPr>
                <w:rFonts w:ascii="Arial"/>
                <w:b/>
                <w:color w:val="FFFFFF"/>
                <w:sz w:val="20"/>
              </w:rPr>
              <w:t>Effektiviseringseffekt,</w:t>
            </w:r>
          </w:p>
          <w:p>
            <w:pPr>
              <w:pStyle w:val="TableParagraph"/>
              <w:tabs>
                <w:tab w:pos="2448" w:val="left" w:leader="none"/>
              </w:tabs>
              <w:spacing w:before="10"/>
              <w:ind w:left="873"/>
              <w:rPr>
                <w:rFonts w:ascii="Arial"/>
                <w:b/>
                <w:sz w:val="20"/>
              </w:rPr>
            </w:pPr>
            <w:r>
              <w:rPr>
                <w:rFonts w:ascii="Arial"/>
                <w:b/>
                <w:color w:val="FFFFFF"/>
                <w:sz w:val="20"/>
              </w:rPr>
              <w:t>mio</w:t>
            </w:r>
            <w:r>
              <w:rPr>
                <w:rFonts w:ascii="Arial"/>
                <w:b/>
                <w:color w:val="FFFFFF"/>
                <w:sz w:val="20"/>
                <w:u w:val="single" w:color="000000"/>
              </w:rPr>
              <w:t>.</w:t>
            </w:r>
            <w:r>
              <w:rPr>
                <w:rFonts w:ascii="Arial"/>
                <w:b/>
                <w:color w:val="FFFFFF"/>
                <w:spacing w:val="-6"/>
                <w:sz w:val="20"/>
                <w:u w:val="single" w:color="000000"/>
              </w:rPr>
              <w:t> </w:t>
            </w:r>
            <w:r>
              <w:rPr>
                <w:rFonts w:ascii="Arial"/>
                <w:b/>
                <w:color w:val="FFFFFF"/>
                <w:sz w:val="20"/>
                <w:u w:val="single" w:color="000000"/>
              </w:rPr>
              <w:t>kr.</w:t>
              <w:tab/>
            </w:r>
          </w:p>
        </w:tc>
      </w:tr>
      <w:tr>
        <w:trPr>
          <w:trHeight w:val="419" w:hRule="atLeast"/>
        </w:trPr>
        <w:tc>
          <w:tcPr>
            <w:tcW w:w="2124" w:type="dxa"/>
            <w:shd w:val="clear" w:color="auto" w:fill="A21F1F"/>
          </w:tcPr>
          <w:p>
            <w:pPr>
              <w:pStyle w:val="TableParagraph"/>
              <w:rPr>
                <w:rFonts w:ascii="Times New Roman"/>
                <w:sz w:val="18"/>
              </w:rPr>
            </w:pPr>
          </w:p>
        </w:tc>
        <w:tc>
          <w:tcPr>
            <w:tcW w:w="1218" w:type="dxa"/>
            <w:shd w:val="clear" w:color="auto" w:fill="A21F1F"/>
          </w:tcPr>
          <w:p>
            <w:pPr>
              <w:pStyle w:val="TableParagraph"/>
              <w:spacing w:before="66"/>
              <w:ind w:left="367" w:right="366"/>
              <w:jc w:val="center"/>
              <w:rPr>
                <w:rFonts w:ascii="Arial"/>
                <w:b/>
                <w:sz w:val="20"/>
              </w:rPr>
            </w:pPr>
            <w:r>
              <w:rPr>
                <w:rFonts w:ascii="Arial"/>
                <w:b/>
                <w:color w:val="FFFFFF"/>
                <w:sz w:val="20"/>
              </w:rPr>
              <w:t>2012</w:t>
            </w:r>
          </w:p>
        </w:tc>
        <w:tc>
          <w:tcPr>
            <w:tcW w:w="1121" w:type="dxa"/>
            <w:shd w:val="clear" w:color="auto" w:fill="A21F1F"/>
          </w:tcPr>
          <w:p>
            <w:pPr>
              <w:pStyle w:val="TableParagraph"/>
              <w:spacing w:before="66"/>
              <w:ind w:right="289"/>
              <w:jc w:val="right"/>
              <w:rPr>
                <w:rFonts w:ascii="Arial"/>
                <w:b/>
                <w:sz w:val="20"/>
              </w:rPr>
            </w:pPr>
            <w:r>
              <w:rPr>
                <w:rFonts w:ascii="Arial"/>
                <w:b/>
                <w:color w:val="FFFFFF"/>
                <w:w w:val="95"/>
                <w:sz w:val="20"/>
              </w:rPr>
              <w:t>2016</w:t>
            </w:r>
          </w:p>
        </w:tc>
        <w:tc>
          <w:tcPr>
            <w:tcW w:w="1319" w:type="dxa"/>
            <w:shd w:val="clear" w:color="auto" w:fill="A21F1F"/>
          </w:tcPr>
          <w:p>
            <w:pPr>
              <w:pStyle w:val="TableParagraph"/>
              <w:spacing w:before="66"/>
              <w:ind w:left="488"/>
              <w:rPr>
                <w:rFonts w:ascii="Arial"/>
                <w:b/>
                <w:sz w:val="20"/>
              </w:rPr>
            </w:pPr>
            <w:r>
              <w:rPr>
                <w:rFonts w:ascii="Arial"/>
                <w:b/>
                <w:color w:val="FFFFFF"/>
                <w:sz w:val="20"/>
              </w:rPr>
              <w:t>2012</w:t>
            </w:r>
          </w:p>
        </w:tc>
        <w:tc>
          <w:tcPr>
            <w:tcW w:w="1215" w:type="dxa"/>
            <w:shd w:val="clear" w:color="auto" w:fill="A21F1F"/>
          </w:tcPr>
          <w:p>
            <w:pPr>
              <w:pStyle w:val="TableParagraph"/>
              <w:spacing w:before="66"/>
              <w:ind w:left="367" w:right="362"/>
              <w:jc w:val="center"/>
              <w:rPr>
                <w:rFonts w:ascii="Arial"/>
                <w:b/>
                <w:sz w:val="20"/>
              </w:rPr>
            </w:pPr>
            <w:r>
              <w:rPr>
                <w:rFonts w:ascii="Arial"/>
                <w:b/>
                <w:color w:val="FFFFFF"/>
                <w:sz w:val="20"/>
              </w:rPr>
              <w:t>2016</w:t>
            </w:r>
          </w:p>
        </w:tc>
        <w:tc>
          <w:tcPr>
            <w:tcW w:w="1226" w:type="dxa"/>
            <w:shd w:val="clear" w:color="auto" w:fill="A21F1F"/>
          </w:tcPr>
          <w:p>
            <w:pPr>
              <w:pStyle w:val="TableParagraph"/>
              <w:spacing w:before="66"/>
              <w:ind w:left="374" w:right="367"/>
              <w:jc w:val="center"/>
              <w:rPr>
                <w:rFonts w:ascii="Arial"/>
                <w:b/>
                <w:sz w:val="20"/>
              </w:rPr>
            </w:pPr>
            <w:r>
              <w:rPr>
                <w:rFonts w:ascii="Arial"/>
                <w:b/>
                <w:color w:val="FFFFFF"/>
                <w:sz w:val="20"/>
              </w:rPr>
              <w:t>2012</w:t>
            </w:r>
          </w:p>
        </w:tc>
        <w:tc>
          <w:tcPr>
            <w:tcW w:w="1243" w:type="dxa"/>
            <w:shd w:val="clear" w:color="auto" w:fill="A21F1F"/>
          </w:tcPr>
          <w:p>
            <w:pPr>
              <w:pStyle w:val="TableParagraph"/>
              <w:spacing w:before="66"/>
              <w:ind w:right="409"/>
              <w:jc w:val="right"/>
              <w:rPr>
                <w:rFonts w:ascii="Arial"/>
                <w:b/>
                <w:sz w:val="20"/>
              </w:rPr>
            </w:pPr>
            <w:r>
              <w:rPr>
                <w:rFonts w:ascii="Arial"/>
                <w:b/>
                <w:color w:val="FFFFFF"/>
                <w:w w:val="95"/>
                <w:sz w:val="20"/>
              </w:rPr>
              <w:t>2016</w:t>
            </w:r>
          </w:p>
        </w:tc>
      </w:tr>
      <w:tr>
        <w:trPr>
          <w:trHeight w:val="487" w:hRule="atLeast"/>
        </w:trPr>
        <w:tc>
          <w:tcPr>
            <w:tcW w:w="2124" w:type="dxa"/>
            <w:shd w:val="clear" w:color="auto" w:fill="A21F1F"/>
          </w:tcPr>
          <w:p>
            <w:pPr>
              <w:pStyle w:val="TableParagraph"/>
              <w:spacing w:before="129"/>
              <w:ind w:left="7"/>
              <w:rPr>
                <w:rFonts w:ascii="Arial"/>
                <w:sz w:val="20"/>
              </w:rPr>
            </w:pPr>
            <w:r>
              <w:rPr>
                <w:rFonts w:ascii="Arial"/>
                <w:color w:val="FFFFFF"/>
                <w:sz w:val="20"/>
              </w:rPr>
              <w:t>Private virksomheder</w:t>
            </w:r>
          </w:p>
        </w:tc>
        <w:tc>
          <w:tcPr>
            <w:tcW w:w="1218" w:type="dxa"/>
          </w:tcPr>
          <w:p>
            <w:pPr>
              <w:pStyle w:val="TableParagraph"/>
              <w:spacing w:before="129"/>
              <w:ind w:left="367" w:right="366"/>
              <w:jc w:val="center"/>
              <w:rPr>
                <w:rFonts w:ascii="Arial"/>
                <w:sz w:val="20"/>
              </w:rPr>
            </w:pPr>
            <w:r>
              <w:rPr>
                <w:rFonts w:ascii="Arial"/>
                <w:sz w:val="20"/>
              </w:rPr>
              <w:t>237</w:t>
            </w:r>
          </w:p>
        </w:tc>
        <w:tc>
          <w:tcPr>
            <w:tcW w:w="1121" w:type="dxa"/>
          </w:tcPr>
          <w:p>
            <w:pPr>
              <w:pStyle w:val="TableParagraph"/>
              <w:spacing w:before="129"/>
              <w:ind w:right="344"/>
              <w:jc w:val="right"/>
              <w:rPr>
                <w:rFonts w:ascii="Arial"/>
                <w:sz w:val="20"/>
              </w:rPr>
            </w:pPr>
            <w:r>
              <w:rPr>
                <w:rFonts w:ascii="Arial"/>
                <w:w w:val="95"/>
                <w:sz w:val="20"/>
              </w:rPr>
              <w:t>893</w:t>
            </w:r>
          </w:p>
        </w:tc>
        <w:tc>
          <w:tcPr>
            <w:tcW w:w="1319" w:type="dxa"/>
          </w:tcPr>
          <w:p>
            <w:pPr>
              <w:pStyle w:val="TableParagraph"/>
              <w:spacing w:before="129"/>
              <w:ind w:left="543"/>
              <w:rPr>
                <w:rFonts w:ascii="Arial"/>
                <w:sz w:val="20"/>
              </w:rPr>
            </w:pPr>
            <w:r>
              <w:rPr>
                <w:rFonts w:ascii="Arial"/>
                <w:sz w:val="20"/>
              </w:rPr>
              <w:t>840</w:t>
            </w:r>
          </w:p>
        </w:tc>
        <w:tc>
          <w:tcPr>
            <w:tcW w:w="1215" w:type="dxa"/>
          </w:tcPr>
          <w:p>
            <w:pPr>
              <w:pStyle w:val="TableParagraph"/>
              <w:spacing w:before="129"/>
              <w:ind w:left="367" w:right="362"/>
              <w:jc w:val="center"/>
              <w:rPr>
                <w:rFonts w:ascii="Arial"/>
                <w:sz w:val="20"/>
              </w:rPr>
            </w:pPr>
            <w:r>
              <w:rPr>
                <w:rFonts w:ascii="Arial"/>
                <w:sz w:val="20"/>
              </w:rPr>
              <w:t>225</w:t>
            </w:r>
          </w:p>
        </w:tc>
        <w:tc>
          <w:tcPr>
            <w:tcW w:w="1226" w:type="dxa"/>
          </w:tcPr>
          <w:p>
            <w:pPr>
              <w:pStyle w:val="TableParagraph"/>
              <w:spacing w:before="129"/>
              <w:ind w:left="374" w:right="367"/>
              <w:jc w:val="center"/>
              <w:rPr>
                <w:rFonts w:ascii="Arial"/>
                <w:sz w:val="20"/>
              </w:rPr>
            </w:pPr>
            <w:r>
              <w:rPr>
                <w:rFonts w:ascii="Arial"/>
                <w:sz w:val="20"/>
              </w:rPr>
              <w:t>40</w:t>
            </w:r>
          </w:p>
        </w:tc>
        <w:tc>
          <w:tcPr>
            <w:tcW w:w="1243" w:type="dxa"/>
          </w:tcPr>
          <w:p>
            <w:pPr>
              <w:pStyle w:val="TableParagraph"/>
              <w:spacing w:before="129"/>
              <w:ind w:right="464"/>
              <w:jc w:val="right"/>
              <w:rPr>
                <w:rFonts w:ascii="Arial"/>
                <w:sz w:val="20"/>
              </w:rPr>
            </w:pPr>
            <w:r>
              <w:rPr>
                <w:rFonts w:ascii="Arial"/>
                <w:w w:val="95"/>
                <w:sz w:val="20"/>
              </w:rPr>
              <w:t>726</w:t>
            </w:r>
          </w:p>
        </w:tc>
      </w:tr>
      <w:tr>
        <w:trPr>
          <w:trHeight w:val="480" w:hRule="atLeast"/>
        </w:trPr>
        <w:tc>
          <w:tcPr>
            <w:tcW w:w="2124" w:type="dxa"/>
            <w:shd w:val="clear" w:color="auto" w:fill="A21F1F"/>
          </w:tcPr>
          <w:p>
            <w:pPr>
              <w:pStyle w:val="TableParagraph"/>
              <w:spacing w:before="121"/>
              <w:ind w:left="7"/>
              <w:rPr>
                <w:rFonts w:ascii="Arial"/>
                <w:sz w:val="20"/>
              </w:rPr>
            </w:pPr>
            <w:r>
              <w:rPr>
                <w:rFonts w:ascii="Arial"/>
                <w:color w:val="FFFFFF"/>
                <w:sz w:val="20"/>
              </w:rPr>
              <w:t>Forsyningsselskaber</w:t>
            </w:r>
          </w:p>
        </w:tc>
        <w:tc>
          <w:tcPr>
            <w:tcW w:w="1218" w:type="dxa"/>
          </w:tcPr>
          <w:p>
            <w:pPr>
              <w:pStyle w:val="TableParagraph"/>
              <w:spacing w:before="121"/>
              <w:ind w:left="1"/>
              <w:jc w:val="center"/>
              <w:rPr>
                <w:rFonts w:ascii="Arial"/>
                <w:sz w:val="20"/>
              </w:rPr>
            </w:pPr>
            <w:r>
              <w:rPr>
                <w:rFonts w:ascii="Arial"/>
                <w:w w:val="99"/>
                <w:sz w:val="20"/>
              </w:rPr>
              <w:t>-</w:t>
            </w:r>
          </w:p>
        </w:tc>
        <w:tc>
          <w:tcPr>
            <w:tcW w:w="1121" w:type="dxa"/>
          </w:tcPr>
          <w:p>
            <w:pPr>
              <w:pStyle w:val="TableParagraph"/>
              <w:spacing w:before="121"/>
              <w:ind w:left="100"/>
              <w:jc w:val="center"/>
              <w:rPr>
                <w:rFonts w:ascii="Arial"/>
                <w:sz w:val="20"/>
              </w:rPr>
            </w:pPr>
            <w:r>
              <w:rPr>
                <w:rFonts w:ascii="Arial"/>
                <w:w w:val="99"/>
                <w:sz w:val="20"/>
              </w:rPr>
              <w:t>-</w:t>
            </w:r>
          </w:p>
        </w:tc>
        <w:tc>
          <w:tcPr>
            <w:tcW w:w="1319" w:type="dxa"/>
          </w:tcPr>
          <w:p>
            <w:pPr>
              <w:pStyle w:val="TableParagraph"/>
              <w:spacing w:before="121"/>
              <w:ind w:left="99"/>
              <w:jc w:val="center"/>
              <w:rPr>
                <w:rFonts w:ascii="Arial"/>
                <w:sz w:val="20"/>
              </w:rPr>
            </w:pPr>
            <w:r>
              <w:rPr>
                <w:rFonts w:ascii="Arial"/>
                <w:w w:val="99"/>
                <w:sz w:val="20"/>
              </w:rPr>
              <w:t>-</w:t>
            </w:r>
          </w:p>
        </w:tc>
        <w:tc>
          <w:tcPr>
            <w:tcW w:w="1215" w:type="dxa"/>
          </w:tcPr>
          <w:p>
            <w:pPr>
              <w:pStyle w:val="TableParagraph"/>
              <w:spacing w:before="121"/>
              <w:ind w:left="9"/>
              <w:jc w:val="center"/>
              <w:rPr>
                <w:rFonts w:ascii="Arial"/>
                <w:sz w:val="20"/>
              </w:rPr>
            </w:pPr>
            <w:r>
              <w:rPr>
                <w:rFonts w:ascii="Arial"/>
                <w:w w:val="99"/>
                <w:sz w:val="20"/>
              </w:rPr>
              <w:t>-</w:t>
            </w:r>
          </w:p>
        </w:tc>
        <w:tc>
          <w:tcPr>
            <w:tcW w:w="1226" w:type="dxa"/>
          </w:tcPr>
          <w:p>
            <w:pPr>
              <w:pStyle w:val="TableParagraph"/>
              <w:spacing w:before="121"/>
              <w:ind w:left="374" w:right="367"/>
              <w:jc w:val="center"/>
              <w:rPr>
                <w:rFonts w:ascii="Arial"/>
                <w:sz w:val="20"/>
              </w:rPr>
            </w:pPr>
            <w:r>
              <w:rPr>
                <w:rFonts w:ascii="Arial"/>
                <w:sz w:val="20"/>
              </w:rPr>
              <w:t>100</w:t>
            </w:r>
          </w:p>
        </w:tc>
        <w:tc>
          <w:tcPr>
            <w:tcW w:w="1243" w:type="dxa"/>
          </w:tcPr>
          <w:p>
            <w:pPr>
              <w:pStyle w:val="TableParagraph"/>
              <w:spacing w:before="121"/>
              <w:ind w:right="464"/>
              <w:jc w:val="right"/>
              <w:rPr>
                <w:rFonts w:ascii="Arial"/>
                <w:sz w:val="20"/>
              </w:rPr>
            </w:pPr>
            <w:r>
              <w:rPr>
                <w:rFonts w:ascii="Arial"/>
                <w:w w:val="95"/>
                <w:sz w:val="20"/>
              </w:rPr>
              <w:t>229</w:t>
            </w:r>
          </w:p>
        </w:tc>
      </w:tr>
      <w:tr>
        <w:trPr>
          <w:trHeight w:val="478" w:hRule="atLeast"/>
        </w:trPr>
        <w:tc>
          <w:tcPr>
            <w:tcW w:w="2124" w:type="dxa"/>
            <w:shd w:val="clear" w:color="auto" w:fill="A21F1F"/>
          </w:tcPr>
          <w:p>
            <w:pPr>
              <w:pStyle w:val="TableParagraph"/>
              <w:spacing w:before="121"/>
              <w:ind w:left="7"/>
              <w:rPr>
                <w:rFonts w:ascii="Arial"/>
                <w:sz w:val="20"/>
              </w:rPr>
            </w:pPr>
            <w:r>
              <w:rPr>
                <w:rFonts w:ascii="Arial"/>
                <w:color w:val="FFFFFF"/>
                <w:sz w:val="20"/>
              </w:rPr>
              <w:t>Offentlige myndigheder</w:t>
            </w:r>
          </w:p>
        </w:tc>
        <w:tc>
          <w:tcPr>
            <w:tcW w:w="1218" w:type="dxa"/>
          </w:tcPr>
          <w:p>
            <w:pPr>
              <w:pStyle w:val="TableParagraph"/>
              <w:spacing w:before="121"/>
              <w:ind w:left="1"/>
              <w:jc w:val="center"/>
              <w:rPr>
                <w:rFonts w:ascii="Arial"/>
                <w:sz w:val="20"/>
              </w:rPr>
            </w:pPr>
            <w:r>
              <w:rPr>
                <w:rFonts w:ascii="Arial"/>
                <w:w w:val="99"/>
                <w:sz w:val="20"/>
              </w:rPr>
              <w:t>-</w:t>
            </w:r>
          </w:p>
        </w:tc>
        <w:tc>
          <w:tcPr>
            <w:tcW w:w="1121" w:type="dxa"/>
          </w:tcPr>
          <w:p>
            <w:pPr>
              <w:pStyle w:val="TableParagraph"/>
              <w:spacing w:before="121"/>
              <w:ind w:left="100"/>
              <w:jc w:val="center"/>
              <w:rPr>
                <w:rFonts w:ascii="Arial"/>
                <w:sz w:val="20"/>
              </w:rPr>
            </w:pPr>
            <w:r>
              <w:rPr>
                <w:rFonts w:ascii="Arial"/>
                <w:w w:val="99"/>
                <w:sz w:val="20"/>
              </w:rPr>
              <w:t>-</w:t>
            </w:r>
          </w:p>
        </w:tc>
        <w:tc>
          <w:tcPr>
            <w:tcW w:w="1319" w:type="dxa"/>
          </w:tcPr>
          <w:p>
            <w:pPr>
              <w:pStyle w:val="TableParagraph"/>
              <w:spacing w:before="121"/>
              <w:ind w:left="99"/>
              <w:jc w:val="center"/>
              <w:rPr>
                <w:rFonts w:ascii="Arial"/>
                <w:sz w:val="20"/>
              </w:rPr>
            </w:pPr>
            <w:r>
              <w:rPr>
                <w:rFonts w:ascii="Arial"/>
                <w:w w:val="99"/>
                <w:sz w:val="20"/>
              </w:rPr>
              <w:t>-</w:t>
            </w:r>
          </w:p>
        </w:tc>
        <w:tc>
          <w:tcPr>
            <w:tcW w:w="1215" w:type="dxa"/>
          </w:tcPr>
          <w:p>
            <w:pPr>
              <w:pStyle w:val="TableParagraph"/>
              <w:spacing w:before="121"/>
              <w:ind w:left="9"/>
              <w:jc w:val="center"/>
              <w:rPr>
                <w:rFonts w:ascii="Arial"/>
                <w:sz w:val="20"/>
              </w:rPr>
            </w:pPr>
            <w:r>
              <w:rPr>
                <w:rFonts w:ascii="Arial"/>
                <w:w w:val="99"/>
                <w:sz w:val="20"/>
              </w:rPr>
              <w:t>-</w:t>
            </w:r>
          </w:p>
        </w:tc>
        <w:tc>
          <w:tcPr>
            <w:tcW w:w="1226" w:type="dxa"/>
          </w:tcPr>
          <w:p>
            <w:pPr>
              <w:pStyle w:val="TableParagraph"/>
              <w:spacing w:before="121"/>
              <w:ind w:left="374" w:right="367"/>
              <w:jc w:val="center"/>
              <w:rPr>
                <w:rFonts w:ascii="Arial"/>
                <w:sz w:val="20"/>
              </w:rPr>
            </w:pPr>
            <w:r>
              <w:rPr>
                <w:rFonts w:ascii="Arial"/>
                <w:sz w:val="20"/>
              </w:rPr>
              <w:t>50</w:t>
            </w:r>
          </w:p>
        </w:tc>
        <w:tc>
          <w:tcPr>
            <w:tcW w:w="1243" w:type="dxa"/>
          </w:tcPr>
          <w:p>
            <w:pPr>
              <w:pStyle w:val="TableParagraph"/>
              <w:spacing w:before="121"/>
              <w:ind w:right="519"/>
              <w:jc w:val="right"/>
              <w:rPr>
                <w:rFonts w:ascii="Arial"/>
                <w:sz w:val="20"/>
              </w:rPr>
            </w:pPr>
            <w:r>
              <w:rPr>
                <w:rFonts w:ascii="Arial"/>
                <w:sz w:val="20"/>
              </w:rPr>
              <w:t>44</w:t>
            </w:r>
          </w:p>
        </w:tc>
      </w:tr>
      <w:tr>
        <w:trPr>
          <w:trHeight w:val="473" w:hRule="atLeast"/>
        </w:trPr>
        <w:tc>
          <w:tcPr>
            <w:tcW w:w="2124" w:type="dxa"/>
            <w:shd w:val="clear" w:color="auto" w:fill="A21F1F"/>
          </w:tcPr>
          <w:p>
            <w:pPr>
              <w:pStyle w:val="TableParagraph"/>
              <w:spacing w:before="120"/>
              <w:ind w:left="7"/>
              <w:rPr>
                <w:rFonts w:ascii="Arial"/>
                <w:b/>
                <w:sz w:val="20"/>
              </w:rPr>
            </w:pPr>
            <w:r>
              <w:rPr>
                <w:rFonts w:ascii="Arial"/>
                <w:b/>
                <w:color w:val="FFFFFF"/>
                <w:sz w:val="20"/>
              </w:rPr>
              <w:t>Total</w:t>
            </w:r>
          </w:p>
        </w:tc>
        <w:tc>
          <w:tcPr>
            <w:tcW w:w="1218" w:type="dxa"/>
          </w:tcPr>
          <w:p>
            <w:pPr>
              <w:pStyle w:val="TableParagraph"/>
              <w:spacing w:before="120"/>
              <w:ind w:left="367" w:right="366"/>
              <w:jc w:val="center"/>
              <w:rPr>
                <w:rFonts w:ascii="Arial"/>
                <w:b/>
                <w:sz w:val="20"/>
              </w:rPr>
            </w:pPr>
            <w:r>
              <w:rPr>
                <w:rFonts w:ascii="Arial"/>
                <w:b/>
                <w:sz w:val="20"/>
              </w:rPr>
              <w:t>237</w:t>
            </w:r>
          </w:p>
        </w:tc>
        <w:tc>
          <w:tcPr>
            <w:tcW w:w="1121" w:type="dxa"/>
          </w:tcPr>
          <w:p>
            <w:pPr>
              <w:pStyle w:val="TableParagraph"/>
              <w:spacing w:before="120"/>
              <w:ind w:right="344"/>
              <w:jc w:val="right"/>
              <w:rPr>
                <w:rFonts w:ascii="Arial"/>
                <w:b/>
                <w:sz w:val="20"/>
              </w:rPr>
            </w:pPr>
            <w:r>
              <w:rPr>
                <w:rFonts w:ascii="Arial"/>
                <w:b/>
                <w:w w:val="95"/>
                <w:sz w:val="20"/>
              </w:rPr>
              <w:t>893</w:t>
            </w:r>
          </w:p>
        </w:tc>
        <w:tc>
          <w:tcPr>
            <w:tcW w:w="1319" w:type="dxa"/>
          </w:tcPr>
          <w:p>
            <w:pPr>
              <w:pStyle w:val="TableParagraph"/>
              <w:spacing w:before="120"/>
              <w:ind w:left="543"/>
              <w:rPr>
                <w:rFonts w:ascii="Arial"/>
                <w:b/>
                <w:sz w:val="20"/>
              </w:rPr>
            </w:pPr>
            <w:r>
              <w:rPr>
                <w:rFonts w:ascii="Arial"/>
                <w:b/>
                <w:sz w:val="20"/>
              </w:rPr>
              <w:t>840</w:t>
            </w:r>
          </w:p>
        </w:tc>
        <w:tc>
          <w:tcPr>
            <w:tcW w:w="1215" w:type="dxa"/>
          </w:tcPr>
          <w:p>
            <w:pPr>
              <w:pStyle w:val="TableParagraph"/>
              <w:spacing w:before="120"/>
              <w:ind w:left="367" w:right="362"/>
              <w:jc w:val="center"/>
              <w:rPr>
                <w:rFonts w:ascii="Arial"/>
                <w:b/>
                <w:sz w:val="20"/>
              </w:rPr>
            </w:pPr>
            <w:r>
              <w:rPr>
                <w:rFonts w:ascii="Arial"/>
                <w:b/>
                <w:sz w:val="20"/>
              </w:rPr>
              <w:t>225</w:t>
            </w:r>
          </w:p>
        </w:tc>
        <w:tc>
          <w:tcPr>
            <w:tcW w:w="1226" w:type="dxa"/>
          </w:tcPr>
          <w:p>
            <w:pPr>
              <w:pStyle w:val="TableParagraph"/>
              <w:spacing w:before="120"/>
              <w:ind w:left="374" w:right="367"/>
              <w:jc w:val="center"/>
              <w:rPr>
                <w:rFonts w:ascii="Arial"/>
                <w:b/>
                <w:sz w:val="20"/>
              </w:rPr>
            </w:pPr>
            <w:r>
              <w:rPr>
                <w:rFonts w:ascii="Arial"/>
                <w:b/>
                <w:sz w:val="20"/>
              </w:rPr>
              <w:t>190</w:t>
            </w:r>
          </w:p>
        </w:tc>
        <w:tc>
          <w:tcPr>
            <w:tcW w:w="1243" w:type="dxa"/>
          </w:tcPr>
          <w:p>
            <w:pPr>
              <w:pStyle w:val="TableParagraph"/>
              <w:spacing w:before="120"/>
              <w:ind w:right="464"/>
              <w:jc w:val="right"/>
              <w:rPr>
                <w:rFonts w:ascii="Arial"/>
                <w:b/>
                <w:sz w:val="20"/>
              </w:rPr>
            </w:pPr>
            <w:r>
              <w:rPr>
                <w:rFonts w:ascii="Arial"/>
                <w:b/>
                <w:w w:val="95"/>
                <w:sz w:val="20"/>
              </w:rPr>
              <w:t>999</w:t>
            </w:r>
          </w:p>
        </w:tc>
      </w:tr>
    </w:tbl>
    <w:p>
      <w:pPr>
        <w:pStyle w:val="BodyText"/>
        <w:spacing w:before="10"/>
        <w:rPr>
          <w:i/>
          <w:sz w:val="29"/>
        </w:rPr>
      </w:pPr>
    </w:p>
    <w:p>
      <w:pPr>
        <w:pStyle w:val="BodyText"/>
        <w:spacing w:line="360" w:lineRule="auto"/>
        <w:ind w:left="278" w:right="1053"/>
      </w:pPr>
      <w:r>
        <w:rPr/>
        <w:t>Som</w:t>
      </w:r>
      <w:r>
        <w:rPr>
          <w:spacing w:val="-4"/>
        </w:rPr>
        <w:t> </w:t>
      </w:r>
      <w:r>
        <w:rPr/>
        <w:t>det</w:t>
      </w:r>
      <w:r>
        <w:rPr>
          <w:spacing w:val="-3"/>
        </w:rPr>
        <w:t> </w:t>
      </w:r>
      <w:r>
        <w:rPr/>
        <w:t>fremgår</w:t>
      </w:r>
      <w:r>
        <w:rPr>
          <w:spacing w:val="-4"/>
        </w:rPr>
        <w:t> </w:t>
      </w:r>
      <w:r>
        <w:rPr/>
        <w:t>af</w:t>
      </w:r>
      <w:r>
        <w:rPr>
          <w:spacing w:val="-3"/>
        </w:rPr>
        <w:t> </w:t>
      </w:r>
      <w:r>
        <w:rPr/>
        <w:t>tabellen</w:t>
      </w:r>
      <w:r>
        <w:rPr>
          <w:spacing w:val="-2"/>
        </w:rPr>
        <w:t> </w:t>
      </w:r>
      <w:r>
        <w:rPr/>
        <w:t>har</w:t>
      </w:r>
      <w:r>
        <w:rPr>
          <w:spacing w:val="-4"/>
        </w:rPr>
        <w:t> </w:t>
      </w:r>
      <w:r>
        <w:rPr/>
        <w:t>der</w:t>
      </w:r>
      <w:r>
        <w:rPr>
          <w:spacing w:val="-2"/>
        </w:rPr>
        <w:t> </w:t>
      </w:r>
      <w:r>
        <w:rPr/>
        <w:t>været</w:t>
      </w:r>
      <w:r>
        <w:rPr>
          <w:spacing w:val="-1"/>
        </w:rPr>
        <w:t> </w:t>
      </w:r>
      <w:r>
        <w:rPr/>
        <w:t>en</w:t>
      </w:r>
      <w:r>
        <w:rPr>
          <w:spacing w:val="-4"/>
        </w:rPr>
        <w:t> </w:t>
      </w:r>
      <w:r>
        <w:rPr/>
        <w:t>væsentlig</w:t>
      </w:r>
      <w:r>
        <w:rPr>
          <w:spacing w:val="-1"/>
        </w:rPr>
        <w:t> </w:t>
      </w:r>
      <w:r>
        <w:rPr/>
        <w:t>stigning</w:t>
      </w:r>
      <w:r>
        <w:rPr>
          <w:spacing w:val="-4"/>
        </w:rPr>
        <w:t> </w:t>
      </w:r>
      <w:r>
        <w:rPr/>
        <w:t>i</w:t>
      </w:r>
      <w:r>
        <w:rPr>
          <w:spacing w:val="-2"/>
        </w:rPr>
        <w:t> </w:t>
      </w:r>
      <w:r>
        <w:rPr/>
        <w:t>markedseffekten</w:t>
      </w:r>
      <w:r>
        <w:rPr>
          <w:spacing w:val="-2"/>
        </w:rPr>
        <w:t> </w:t>
      </w:r>
      <w:r>
        <w:rPr/>
        <w:t>fra</w:t>
      </w:r>
      <w:r>
        <w:rPr>
          <w:spacing w:val="-4"/>
        </w:rPr>
        <w:t> </w:t>
      </w:r>
      <w:r>
        <w:rPr/>
        <w:t>237</w:t>
      </w:r>
      <w:r>
        <w:rPr>
          <w:spacing w:val="-2"/>
        </w:rPr>
        <w:t> </w:t>
      </w:r>
      <w:r>
        <w:rPr/>
        <w:t>mio.</w:t>
      </w:r>
      <w:r>
        <w:rPr>
          <w:spacing w:val="-2"/>
        </w:rPr>
        <w:t> </w:t>
      </w:r>
      <w:r>
        <w:rPr/>
        <w:t>kr.</w:t>
      </w:r>
      <w:r>
        <w:rPr>
          <w:spacing w:val="-2"/>
        </w:rPr>
        <w:t> </w:t>
      </w:r>
      <w:r>
        <w:rPr/>
        <w:t>i</w:t>
      </w:r>
      <w:r>
        <w:rPr>
          <w:spacing w:val="-2"/>
        </w:rPr>
        <w:t> </w:t>
      </w:r>
      <w:r>
        <w:rPr/>
        <w:t>2012</w:t>
      </w:r>
      <w:r>
        <w:rPr>
          <w:spacing w:val="-5"/>
        </w:rPr>
        <w:t> </w:t>
      </w:r>
      <w:r>
        <w:rPr/>
        <w:t>til 893 mio. kr. i 2016. Stigningen i markedseffekten er forventeligt, da en væsentlig adgangsbarriere for anvendelsen af geodata, nemlig pris, er reduceret fra målingen i 2012 og frem til i dag. I case- undersøgelserne bekræftede de interviewede også, at anvendelsen af geodata er øget gennem de seneste år. Beskæftigelseseffekten gav i 2012 anledning til, at der var ca. 840 årsværk i private virksomheder, der kunne tilskrives de frie geodata. I 2016 er der til sammenligning en beskæftigelseseffekt på ca. 225 årsværk i den private sektor, der følger af de frie geodata. Faldet i antallet af årsværk beskæftiget med geodata i de private virksomheder kan skyldes, at færre er beskæftiget med at fremstille geodata, fordi de nu er offentligt tilgængelige. Det kan også skyldes, at geodata i højere grad end tidligere indgår som en integreret del af arbejdsprocesserne og løsningerne i virksomheder, hvorfor det kan være vanskeligt for virksomhederne at isolere effekterne af de frie geodata. Ligeledes har Niras i interviews bekræftet, at integrationen af geodata i processer og løsninger frigør ressourcer til andre opgaver, hvorfor geodata så at sige er kommet længere ud i</w:t>
      </w:r>
      <w:r>
        <w:rPr>
          <w:spacing w:val="-3"/>
        </w:rPr>
        <w:t> </w:t>
      </w:r>
      <w:r>
        <w:rPr/>
        <w:t>organisationen.</w:t>
      </w:r>
    </w:p>
    <w:p>
      <w:pPr>
        <w:pStyle w:val="BodyText"/>
        <w:spacing w:before="1"/>
        <w:rPr>
          <w:sz w:val="21"/>
        </w:rPr>
      </w:pPr>
    </w:p>
    <w:p>
      <w:pPr>
        <w:pStyle w:val="BodyText"/>
        <w:spacing w:line="360" w:lineRule="auto"/>
        <w:ind w:left="278" w:right="1101"/>
      </w:pPr>
      <w:r>
        <w:rPr/>
        <w:t>Den samlede effektiviseringsgevinst for de tre segmenter er i 2016 er ca. 1 mia. kr. Det er ligeledes en væsentlig stigning siden 2012, hvor den samlede effektiviseringsgevinst, der var en følge af de frie geodata, var ca. 200 mio. kr. Det er særligt blandt de private virksomheder, at effektiviseringseffekten er øget markant siden 2012, men også de forsyningsselskaber, der har deltaget i undersøgelsen, har vurderet, at effektiviseringseffekt i 2016 er ca. dobbelt så stor som i 2012. For de offentlige myndigheder er effektiviseringseffekten stort set uændret i de to målinger.</w:t>
      </w:r>
    </w:p>
    <w:p>
      <w:pPr>
        <w:pStyle w:val="BodyText"/>
        <w:spacing w:before="1"/>
        <w:rPr>
          <w:sz w:val="21"/>
        </w:rPr>
      </w:pPr>
    </w:p>
    <w:p>
      <w:pPr>
        <w:pStyle w:val="BodyText"/>
        <w:spacing w:line="360" w:lineRule="auto"/>
        <w:ind w:left="278" w:right="1235"/>
      </w:pPr>
      <w:r>
        <w:rPr/>
        <w:t>Det er forventeligt, at de største vurderede effektiviseringseffekter er at finde i henholdsvis private virksomheder og forsyningsselskaber, da geodata forud for frisættelsen var betalingspålagte – og dermed vanskeligt opnåelige. De offentlige myndigheder har derimod haft fri adgang til geodata – også før frisættelsen til det private erhvervsliv. Derfor er der forventeligt status quo i forhold til myndighedernes effektiviseringseffekt.</w:t>
      </w:r>
    </w:p>
    <w:p>
      <w:pPr>
        <w:pStyle w:val="BodyText"/>
        <w:spacing w:before="2"/>
        <w:rPr>
          <w:sz w:val="21"/>
        </w:rPr>
      </w:pPr>
    </w:p>
    <w:p>
      <w:pPr>
        <w:pStyle w:val="BodyText"/>
        <w:spacing w:line="360" w:lineRule="auto"/>
        <w:ind w:left="278" w:right="1191"/>
      </w:pPr>
      <w:r>
        <w:rPr/>
        <w:t>I det følgende vil vi gennemgå, hvordan vi har beregnet hver af de ovenstående effekter. Beregningerne er baseret på metoden fra før-målingen for dermed at kunne sammenligne de to målinger. Derfor er nedenstående beskrivelser af beregningsmetoderne baseret på før-målingen.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5"/>
        </w:numPr>
        <w:tabs>
          <w:tab w:pos="855" w:val="left" w:leader="none"/>
        </w:tabs>
        <w:spacing w:line="319" w:lineRule="exact" w:before="0" w:after="0"/>
        <w:ind w:left="854" w:right="0" w:hanging="576"/>
        <w:jc w:val="left"/>
        <w:rPr>
          <w:i/>
        </w:rPr>
      </w:pPr>
      <w:bookmarkStart w:name="_bookmark69" w:id="96"/>
      <w:bookmarkEnd w:id="96"/>
      <w:r>
        <w:rPr>
          <w:b w:val="0"/>
          <w:i w:val="0"/>
        </w:rPr>
      </w:r>
      <w:bookmarkStart w:name="_bookmark69" w:id="97"/>
      <w:bookmarkEnd w:id="97"/>
      <w:r>
        <w:rPr>
          <w:i/>
          <w:color w:val="A21F1F"/>
        </w:rPr>
        <w:t>Mar</w:t>
      </w:r>
      <w:r>
        <w:rPr>
          <w:i/>
          <w:color w:val="A21F1F"/>
        </w:rPr>
        <w:t>kedseffekten i private</w:t>
      </w:r>
      <w:r>
        <w:rPr>
          <w:i/>
          <w:color w:val="A21F1F"/>
          <w:spacing w:val="-3"/>
        </w:rPr>
        <w:t> </w:t>
      </w:r>
      <w:r>
        <w:rPr>
          <w:i/>
          <w:color w:val="A21F1F"/>
        </w:rPr>
        <w:t>virksomheder</w:t>
      </w:r>
    </w:p>
    <w:p>
      <w:pPr>
        <w:pStyle w:val="BodyText"/>
        <w:spacing w:line="360" w:lineRule="auto" w:before="243"/>
        <w:ind w:left="278" w:right="1031"/>
      </w:pPr>
      <w:r>
        <w:rPr/>
        <w:t>Markedseffekten er et udtryk for størrelsen af det marked, som kan tilskrives de frie geodata. Det betyder, at de private virksomheders omsætning, der er knyttet til de frie geodata, er udtryk for størrelsen af markedet, der kan tilskrives de frie geodata og dermed markedseffekten. Markedseffekten indgår i beregningen af den samfundsøkonomiske værdi af de frie geodata med den produktionsværdi, som markedseffekten er et udtryk for. Beregningen af markedseffekter udføres på samme måde som før- målingen for at kunne sammenligne de to analyser og identificere udviklingen mellem de to målinger. I nedenstående </w:t>
      </w:r>
      <w:hyperlink w:history="true" w:anchor="_bookmark70">
        <w:r>
          <w:rPr/>
          <w:t>Figur 39 </w:t>
        </w:r>
      </w:hyperlink>
      <w:r>
        <w:rPr/>
        <w:t>viser vi, hvordan vi gennem tre trin har beregnet den samlede markedseffekt af de frie geodata i 2016. De tre trin udgør en gengivelse af måden, hvorpå markedseffekten blev beregnet i 2012.</w:t>
      </w:r>
    </w:p>
    <w:p>
      <w:pPr>
        <w:pStyle w:val="BodyText"/>
        <w:rPr>
          <w:sz w:val="21"/>
        </w:rPr>
      </w:pPr>
    </w:p>
    <w:p>
      <w:pPr>
        <w:spacing w:before="0"/>
        <w:ind w:left="278" w:right="0" w:firstLine="0"/>
        <w:jc w:val="left"/>
        <w:rPr>
          <w:i/>
          <w:sz w:val="18"/>
        </w:rPr>
      </w:pPr>
      <w:r>
        <w:rPr/>
        <w:pict>
          <v:group style="position:absolute;margin-left:70.944pt;margin-top:16.292931pt;width:472.4pt;height:247.75pt;mso-position-horizontal-relative:page;mso-position-vertical-relative:paragraph;z-index:6944;mso-wrap-distance-left:0;mso-wrap-distance-right:0" coordorigin="1419,326" coordsize="9448,4955">
            <v:rect style="position:absolute;left:1418;top:553;width:9448;height:4499" filled="true" fillcolor="#f1f1f1" stroked="false">
              <v:fill type="solid"/>
            </v:rect>
            <v:rect style="position:absolute;left:1644;top:553;width:8995;height:582" filled="true" fillcolor="#f1f1f1" stroked="false">
              <v:fill type="solid"/>
            </v:rect>
            <v:rect style="position:absolute;left:1644;top:1135;width:8995;height:245" filled="true" fillcolor="#f1f1f1" stroked="false">
              <v:fill type="solid"/>
            </v:rect>
            <v:rect style="position:absolute;left:1644;top:1380;width:8995;height:466" filled="true" fillcolor="#f1f1f1" stroked="false">
              <v:fill type="solid"/>
            </v:rect>
            <v:rect style="position:absolute;left:1644;top:1845;width:8995;height:248" filled="true" fillcolor="#f1f1f1" stroked="false">
              <v:fill type="solid"/>
            </v:rect>
            <v:rect style="position:absolute;left:1644;top:2092;width:8995;height:466" filled="true" fillcolor="#f1f1f1" stroked="false">
              <v:fill type="solid"/>
            </v:rect>
            <v:rect style="position:absolute;left:1644;top:2558;width:8995;height:245" filled="true" fillcolor="#f1f1f1" stroked="false">
              <v:fill type="solid"/>
            </v:rect>
            <v:rect style="position:absolute;left:1644;top:2803;width:8995;height:228" filled="true" fillcolor="#f1f1f1" stroked="false">
              <v:fill type="solid"/>
            </v:rect>
            <v:rect style="position:absolute;left:1644;top:3031;width:8995;height:468" filled="true" fillcolor="#f1f1f1" stroked="false">
              <v:fill type="solid"/>
            </v:rect>
            <v:rect style="position:absolute;left:1418;top:325;width:9448;height:228" filled="true" fillcolor="#f1f1f1" stroked="false">
              <v:fill type="solid"/>
            </v:rect>
            <v:rect style="position:absolute;left:1418;top:5052;width:9448;height:228" filled="true" fillcolor="#f1f1f1" stroked="false">
              <v:fill type="solid"/>
            </v:rect>
            <v:shape style="position:absolute;left:1806;top:3341;width:8688;height:1698" type="#_x0000_t75" stroked="false">
              <v:imagedata r:id="rId32" o:title=""/>
            </v:shape>
            <v:shape style="position:absolute;left:1418;top:325;width:9448;height:4955" type="#_x0000_t202" filled="false" stroked="false">
              <v:textbox inset="0,0,0,0">
                <w:txbxContent>
                  <w:p>
                    <w:pPr>
                      <w:spacing w:line="240" w:lineRule="auto" w:before="0"/>
                      <w:rPr>
                        <w:i/>
                        <w:sz w:val="20"/>
                      </w:rPr>
                    </w:pPr>
                  </w:p>
                  <w:p>
                    <w:pPr>
                      <w:spacing w:before="0"/>
                      <w:ind w:left="273" w:right="0" w:firstLine="0"/>
                      <w:jc w:val="left"/>
                      <w:rPr>
                        <w:i/>
                        <w:sz w:val="20"/>
                      </w:rPr>
                    </w:pPr>
                    <w:r>
                      <w:rPr>
                        <w:i/>
                        <w:sz w:val="20"/>
                      </w:rPr>
                      <w:t>Beregningen af markedseffekten foretages i følgende tre trin:</w:t>
                    </w:r>
                  </w:p>
                  <w:p>
                    <w:pPr>
                      <w:spacing w:line="240" w:lineRule="auto" w:before="0"/>
                      <w:rPr>
                        <w:i/>
                        <w:sz w:val="31"/>
                      </w:rPr>
                    </w:pPr>
                  </w:p>
                  <w:p>
                    <w:pPr>
                      <w:numPr>
                        <w:ilvl w:val="0"/>
                        <w:numId w:val="16"/>
                      </w:numPr>
                      <w:tabs>
                        <w:tab w:pos="945" w:val="left" w:leader="none"/>
                        <w:tab w:pos="946" w:val="left" w:leader="none"/>
                      </w:tabs>
                      <w:spacing w:before="1"/>
                      <w:ind w:left="945" w:right="1505" w:hanging="360"/>
                      <w:jc w:val="left"/>
                      <w:rPr>
                        <w:sz w:val="20"/>
                      </w:rPr>
                    </w:pPr>
                    <w:r>
                      <w:rPr>
                        <w:sz w:val="20"/>
                      </w:rPr>
                      <w:t>I</w:t>
                    </w:r>
                    <w:r>
                      <w:rPr>
                        <w:spacing w:val="-2"/>
                        <w:sz w:val="20"/>
                      </w:rPr>
                      <w:t> </w:t>
                    </w:r>
                    <w:r>
                      <w:rPr>
                        <w:b/>
                        <w:sz w:val="20"/>
                      </w:rPr>
                      <w:t>trin</w:t>
                    </w:r>
                    <w:r>
                      <w:rPr>
                        <w:b/>
                        <w:spacing w:val="-3"/>
                        <w:sz w:val="20"/>
                      </w:rPr>
                      <w:t> </w:t>
                    </w:r>
                    <w:r>
                      <w:rPr>
                        <w:b/>
                        <w:sz w:val="20"/>
                      </w:rPr>
                      <w:t>1</w:t>
                    </w:r>
                    <w:r>
                      <w:rPr>
                        <w:b/>
                        <w:spacing w:val="-2"/>
                        <w:sz w:val="20"/>
                      </w:rPr>
                      <w:t> </w:t>
                    </w:r>
                    <w:r>
                      <w:rPr>
                        <w:sz w:val="20"/>
                      </w:rPr>
                      <w:t>beregnes</w:t>
                    </w:r>
                    <w:r>
                      <w:rPr>
                        <w:spacing w:val="-3"/>
                        <w:sz w:val="20"/>
                      </w:rPr>
                      <w:t> </w:t>
                    </w:r>
                    <w:r>
                      <w:rPr>
                        <w:sz w:val="20"/>
                      </w:rPr>
                      <w:t>summen</w:t>
                    </w:r>
                    <w:r>
                      <w:rPr>
                        <w:spacing w:val="-2"/>
                        <w:sz w:val="20"/>
                      </w:rPr>
                      <w:t> </w:t>
                    </w:r>
                    <w:r>
                      <w:rPr>
                        <w:sz w:val="20"/>
                      </w:rPr>
                      <w:t>af</w:t>
                    </w:r>
                    <w:r>
                      <w:rPr>
                        <w:spacing w:val="-3"/>
                        <w:sz w:val="20"/>
                      </w:rPr>
                      <w:t> </w:t>
                    </w:r>
                    <w:r>
                      <w:rPr>
                        <w:sz w:val="20"/>
                      </w:rPr>
                      <w:t>den</w:t>
                    </w:r>
                    <w:r>
                      <w:rPr>
                        <w:spacing w:val="-3"/>
                        <w:sz w:val="20"/>
                      </w:rPr>
                      <w:t> </w:t>
                    </w:r>
                    <w:r>
                      <w:rPr>
                        <w:sz w:val="20"/>
                      </w:rPr>
                      <w:t>omsætning,</w:t>
                    </w:r>
                    <w:r>
                      <w:rPr>
                        <w:spacing w:val="-4"/>
                        <w:sz w:val="20"/>
                      </w:rPr>
                      <w:t> </w:t>
                    </w:r>
                    <w:r>
                      <w:rPr>
                        <w:sz w:val="20"/>
                      </w:rPr>
                      <w:t>der</w:t>
                    </w:r>
                    <w:r>
                      <w:rPr>
                        <w:spacing w:val="-1"/>
                        <w:sz w:val="20"/>
                      </w:rPr>
                      <w:t> </w:t>
                    </w:r>
                    <w:r>
                      <w:rPr>
                        <w:sz w:val="20"/>
                      </w:rPr>
                      <w:t>er</w:t>
                    </w:r>
                    <w:r>
                      <w:rPr>
                        <w:spacing w:val="-4"/>
                        <w:sz w:val="20"/>
                      </w:rPr>
                      <w:t> </w:t>
                    </w:r>
                    <w:r>
                      <w:rPr>
                        <w:sz w:val="20"/>
                      </w:rPr>
                      <w:t>generet</w:t>
                    </w:r>
                    <w:r>
                      <w:rPr>
                        <w:spacing w:val="-2"/>
                        <w:sz w:val="20"/>
                      </w:rPr>
                      <w:t> </w:t>
                    </w:r>
                    <w:r>
                      <w:rPr>
                        <w:sz w:val="20"/>
                      </w:rPr>
                      <w:t>i</w:t>
                    </w:r>
                    <w:r>
                      <w:rPr>
                        <w:spacing w:val="-1"/>
                        <w:sz w:val="20"/>
                      </w:rPr>
                      <w:t> </w:t>
                    </w:r>
                    <w:r>
                      <w:rPr>
                        <w:sz w:val="20"/>
                      </w:rPr>
                      <w:t>Danmark,</w:t>
                    </w:r>
                    <w:r>
                      <w:rPr>
                        <w:spacing w:val="-4"/>
                        <w:sz w:val="20"/>
                      </w:rPr>
                      <w:t> </w:t>
                    </w:r>
                    <w:r>
                      <w:rPr>
                        <w:sz w:val="20"/>
                      </w:rPr>
                      <w:t>som</w:t>
                    </w:r>
                    <w:r>
                      <w:rPr>
                        <w:spacing w:val="-3"/>
                        <w:sz w:val="20"/>
                      </w:rPr>
                      <w:t> </w:t>
                    </w:r>
                    <w:r>
                      <w:rPr>
                        <w:sz w:val="20"/>
                      </w:rPr>
                      <w:t>de virksomheder, der har deltaget i undersøgelsen, har</w:t>
                    </w:r>
                    <w:r>
                      <w:rPr>
                        <w:spacing w:val="-10"/>
                        <w:sz w:val="20"/>
                      </w:rPr>
                      <w:t> </w:t>
                    </w:r>
                    <w:r>
                      <w:rPr>
                        <w:sz w:val="20"/>
                      </w:rPr>
                      <w:t>angivet.</w:t>
                    </w:r>
                  </w:p>
                  <w:p>
                    <w:pPr>
                      <w:spacing w:line="240" w:lineRule="auto" w:before="10"/>
                      <w:rPr>
                        <w:i/>
                        <w:sz w:val="20"/>
                      </w:rPr>
                    </w:pPr>
                  </w:p>
                  <w:p>
                    <w:pPr>
                      <w:numPr>
                        <w:ilvl w:val="0"/>
                        <w:numId w:val="16"/>
                      </w:numPr>
                      <w:tabs>
                        <w:tab w:pos="945" w:val="left" w:leader="none"/>
                        <w:tab w:pos="946" w:val="left" w:leader="none"/>
                      </w:tabs>
                      <w:spacing w:before="0"/>
                      <w:ind w:left="945" w:right="500" w:hanging="360"/>
                      <w:jc w:val="left"/>
                      <w:rPr>
                        <w:sz w:val="20"/>
                      </w:rPr>
                    </w:pPr>
                    <w:r>
                      <w:rPr>
                        <w:sz w:val="20"/>
                      </w:rPr>
                      <w:t>I</w:t>
                    </w:r>
                    <w:r>
                      <w:rPr>
                        <w:spacing w:val="-5"/>
                        <w:sz w:val="20"/>
                      </w:rPr>
                      <w:t> </w:t>
                    </w:r>
                    <w:r>
                      <w:rPr>
                        <w:b/>
                        <w:sz w:val="20"/>
                      </w:rPr>
                      <w:t>trin</w:t>
                    </w:r>
                    <w:r>
                      <w:rPr>
                        <w:b/>
                        <w:spacing w:val="-4"/>
                        <w:sz w:val="20"/>
                      </w:rPr>
                      <w:t> </w:t>
                    </w:r>
                    <w:r>
                      <w:rPr>
                        <w:b/>
                        <w:sz w:val="20"/>
                      </w:rPr>
                      <w:t>2 </w:t>
                    </w:r>
                    <w:r>
                      <w:rPr>
                        <w:sz w:val="20"/>
                      </w:rPr>
                      <w:t>beregnes</w:t>
                    </w:r>
                    <w:r>
                      <w:rPr>
                        <w:spacing w:val="-4"/>
                        <w:sz w:val="20"/>
                      </w:rPr>
                      <w:t> </w:t>
                    </w:r>
                    <w:r>
                      <w:rPr>
                        <w:sz w:val="20"/>
                      </w:rPr>
                      <w:t>summen</w:t>
                    </w:r>
                    <w:r>
                      <w:rPr>
                        <w:spacing w:val="-2"/>
                        <w:sz w:val="20"/>
                      </w:rPr>
                      <w:t> </w:t>
                    </w:r>
                    <w:r>
                      <w:rPr>
                        <w:sz w:val="20"/>
                      </w:rPr>
                      <w:t>af</w:t>
                    </w:r>
                    <w:r>
                      <w:rPr>
                        <w:spacing w:val="-3"/>
                        <w:sz w:val="20"/>
                      </w:rPr>
                      <w:t> </w:t>
                    </w:r>
                    <w:r>
                      <w:rPr>
                        <w:sz w:val="20"/>
                      </w:rPr>
                      <w:t>den</w:t>
                    </w:r>
                    <w:r>
                      <w:rPr>
                        <w:spacing w:val="-4"/>
                        <w:sz w:val="20"/>
                      </w:rPr>
                      <w:t> </w:t>
                    </w:r>
                    <w:r>
                      <w:rPr>
                        <w:sz w:val="20"/>
                      </w:rPr>
                      <w:t>omsætning,</w:t>
                    </w:r>
                    <w:r>
                      <w:rPr>
                        <w:spacing w:val="-4"/>
                        <w:sz w:val="20"/>
                      </w:rPr>
                      <w:t> </w:t>
                    </w:r>
                    <w:r>
                      <w:rPr>
                        <w:sz w:val="20"/>
                      </w:rPr>
                      <w:t>der</w:t>
                    </w:r>
                    <w:r>
                      <w:rPr>
                        <w:spacing w:val="-2"/>
                        <w:sz w:val="20"/>
                      </w:rPr>
                      <w:t> </w:t>
                    </w:r>
                    <w:r>
                      <w:rPr>
                        <w:sz w:val="20"/>
                      </w:rPr>
                      <w:t>kan</w:t>
                    </w:r>
                    <w:r>
                      <w:rPr>
                        <w:spacing w:val="-1"/>
                        <w:sz w:val="20"/>
                      </w:rPr>
                      <w:t> </w:t>
                    </w:r>
                    <w:r>
                      <w:rPr>
                        <w:sz w:val="20"/>
                      </w:rPr>
                      <w:t>relateres</w:t>
                    </w:r>
                    <w:r>
                      <w:rPr>
                        <w:spacing w:val="-3"/>
                        <w:sz w:val="20"/>
                      </w:rPr>
                      <w:t> </w:t>
                    </w:r>
                    <w:r>
                      <w:rPr>
                        <w:sz w:val="20"/>
                      </w:rPr>
                      <w:t>til</w:t>
                    </w:r>
                    <w:r>
                      <w:rPr>
                        <w:spacing w:val="-3"/>
                        <w:sz w:val="20"/>
                      </w:rPr>
                      <w:t> </w:t>
                    </w:r>
                    <w:r>
                      <w:rPr>
                        <w:sz w:val="20"/>
                      </w:rPr>
                      <w:t>anvendelsen</w:t>
                    </w:r>
                    <w:r>
                      <w:rPr>
                        <w:spacing w:val="-3"/>
                        <w:sz w:val="20"/>
                      </w:rPr>
                      <w:t> </w:t>
                    </w:r>
                    <w:r>
                      <w:rPr>
                        <w:sz w:val="20"/>
                      </w:rPr>
                      <w:t>af</w:t>
                    </w:r>
                    <w:r>
                      <w:rPr>
                        <w:spacing w:val="-1"/>
                        <w:sz w:val="20"/>
                      </w:rPr>
                      <w:t> </w:t>
                    </w:r>
                    <w:r>
                      <w:rPr>
                        <w:sz w:val="20"/>
                      </w:rPr>
                      <w:t>geodata</w:t>
                    </w:r>
                    <w:r>
                      <w:rPr>
                        <w:spacing w:val="-3"/>
                        <w:sz w:val="20"/>
                      </w:rPr>
                      <w:t> </w:t>
                    </w:r>
                    <w:r>
                      <w:rPr>
                        <w:sz w:val="20"/>
                      </w:rPr>
                      <w:t>i virksomhederne, som de virksomheder, der har deltaget i undersøgelsen, har</w:t>
                    </w:r>
                    <w:r>
                      <w:rPr>
                        <w:spacing w:val="-25"/>
                        <w:sz w:val="20"/>
                      </w:rPr>
                      <w:t> </w:t>
                    </w:r>
                    <w:r>
                      <w:rPr>
                        <w:sz w:val="20"/>
                      </w:rPr>
                      <w:t>angivet.</w:t>
                    </w:r>
                  </w:p>
                  <w:p>
                    <w:pPr>
                      <w:spacing w:line="240" w:lineRule="auto" w:before="2"/>
                      <w:rPr>
                        <w:i/>
                        <w:sz w:val="21"/>
                      </w:rPr>
                    </w:pPr>
                  </w:p>
                  <w:p>
                    <w:pPr>
                      <w:numPr>
                        <w:ilvl w:val="0"/>
                        <w:numId w:val="16"/>
                      </w:numPr>
                      <w:tabs>
                        <w:tab w:pos="945" w:val="left" w:leader="none"/>
                        <w:tab w:pos="946" w:val="left" w:leader="none"/>
                      </w:tabs>
                      <w:spacing w:before="0"/>
                      <w:ind w:left="945" w:right="243" w:hanging="360"/>
                      <w:jc w:val="left"/>
                      <w:rPr>
                        <w:sz w:val="20"/>
                      </w:rPr>
                    </w:pPr>
                    <w:r>
                      <w:rPr>
                        <w:sz w:val="20"/>
                      </w:rPr>
                      <w:t>I </w:t>
                    </w:r>
                    <w:r>
                      <w:rPr>
                        <w:b/>
                        <w:sz w:val="20"/>
                      </w:rPr>
                      <w:t>trin 3 </w:t>
                    </w:r>
                    <w:r>
                      <w:rPr>
                        <w:sz w:val="20"/>
                      </w:rPr>
                      <w:t>beregnes den samlede omsætning, der kan relateres til anvendelsen af de frie geodata på baggrund af besvarelserne fra de virksomheder, der har deltaget i undersøgelsen. Dette betragtes som udtryk for</w:t>
                    </w:r>
                    <w:r>
                      <w:rPr>
                        <w:spacing w:val="-3"/>
                        <w:sz w:val="20"/>
                      </w:rPr>
                      <w:t> </w:t>
                    </w:r>
                    <w:r>
                      <w:rPr>
                        <w:sz w:val="20"/>
                      </w:rPr>
                      <w:t>markedseffekten.</w:t>
                    </w:r>
                  </w:p>
                </w:txbxContent>
              </v:textbox>
              <w10:wrap type="none"/>
            </v:shape>
            <w10:wrap type="topAndBottom"/>
          </v:group>
        </w:pict>
      </w:r>
      <w:bookmarkStart w:name="_bookmark70" w:id="98"/>
      <w:bookmarkEnd w:id="98"/>
      <w:r>
        <w:rPr/>
      </w:r>
      <w:r>
        <w:rPr>
          <w:i/>
          <w:color w:val="A21F1F"/>
          <w:sz w:val="18"/>
        </w:rPr>
        <w:t>Figur 39: Beregning af markedseffekten af de frie geodata</w:t>
      </w:r>
    </w:p>
    <w:p>
      <w:pPr>
        <w:pStyle w:val="BodyText"/>
        <w:spacing w:before="7"/>
        <w:rPr>
          <w:i/>
          <w:sz w:val="18"/>
        </w:rPr>
      </w:pPr>
    </w:p>
    <w:p>
      <w:pPr>
        <w:pStyle w:val="BodyText"/>
        <w:spacing w:line="360" w:lineRule="auto" w:before="99"/>
        <w:ind w:left="278" w:right="1092"/>
      </w:pPr>
      <w:r>
        <w:rPr/>
        <w:t>I før-målingen var det nødvendigt at opregne markedseffekten for stikprøven til hele populationen af private virksomheder, der anvender geodata. Som følge af det relativt stort antal virksomheder, der har deltaget i eftermålingen, er det dog vurderingen, at der ikke er behov for at opregne markedseffekten til en større population end de virksomheder, der har deltaget i undersøgelsen. Samtidig har tre af Danmarks største ingeniørvirksomheder, Niras, Cowi og Rambøll (som tilsvarende er store anvendere af de frie geodata), deltaget i nærværende analyse, hvilket ikke var tilfældet i før-målingen. Beregningen af markedseffekten af de frie geodata i 2016 for private virksomheder foretages således på baggrund af 119 besvarelser, der er modtaget fra private virksomheder.</w:t>
      </w:r>
    </w:p>
    <w:p>
      <w:pPr>
        <w:pStyle w:val="BodyText"/>
        <w:spacing w:before="1"/>
        <w:rPr>
          <w:sz w:val="21"/>
        </w:rPr>
      </w:pPr>
    </w:p>
    <w:p>
      <w:pPr>
        <w:pStyle w:val="BodyText"/>
        <w:spacing w:line="360" w:lineRule="auto"/>
        <w:ind w:left="278" w:right="1079"/>
      </w:pPr>
      <w:r>
        <w:rPr/>
        <w:t>I </w:t>
      </w:r>
      <w:hyperlink w:history="true" w:anchor="_bookmark71">
        <w:r>
          <w:rPr/>
          <w:t>Figur 40 </w:t>
        </w:r>
      </w:hyperlink>
      <w:r>
        <w:rPr/>
        <w:t>herunder er vist fordelingen af den danske omsætning, som de deltagende virksomheder har angivet i besvarelserne i spørgeskemaundersøgelserne i 2012 og 2016. Omsætningen kan være relateret til geodata eller ej. Dette udgør trin 1 i beregningen af markedseffekterne. Det ses i </w:t>
      </w:r>
      <w:hyperlink w:history="true" w:anchor="_bookmark71">
        <w:r>
          <w:rPr/>
          <w:t>Figur 40, </w:t>
        </w:r>
      </w:hyperlink>
      <w:r>
        <w:rPr/>
        <w:t>at der er en overvægt af virksomheder i 2016-undersøgelsen, der har en omsætning på mindre end 10 mio. kr., og at der</w:t>
      </w:r>
      <w:r>
        <w:rPr>
          <w:spacing w:val="-4"/>
        </w:rPr>
        <w:t> </w:t>
      </w:r>
      <w:r>
        <w:rPr/>
        <w:t>ellers</w:t>
      </w:r>
      <w:r>
        <w:rPr>
          <w:spacing w:val="-4"/>
        </w:rPr>
        <w:t> </w:t>
      </w:r>
      <w:r>
        <w:rPr/>
        <w:t>er</w:t>
      </w:r>
      <w:r>
        <w:rPr>
          <w:spacing w:val="-1"/>
        </w:rPr>
        <w:t> </w:t>
      </w:r>
      <w:r>
        <w:rPr/>
        <w:t>en</w:t>
      </w:r>
      <w:r>
        <w:rPr>
          <w:spacing w:val="-4"/>
        </w:rPr>
        <w:t> </w:t>
      </w:r>
      <w:r>
        <w:rPr/>
        <w:t>relativt</w:t>
      </w:r>
      <w:r>
        <w:rPr>
          <w:spacing w:val="-2"/>
        </w:rPr>
        <w:t> </w:t>
      </w:r>
      <w:r>
        <w:rPr/>
        <w:t>jævn</w:t>
      </w:r>
      <w:r>
        <w:rPr>
          <w:spacing w:val="-4"/>
        </w:rPr>
        <w:t> </w:t>
      </w:r>
      <w:r>
        <w:rPr/>
        <w:t>fordeling</w:t>
      </w:r>
      <w:r>
        <w:rPr>
          <w:spacing w:val="-3"/>
        </w:rPr>
        <w:t> </w:t>
      </w:r>
      <w:r>
        <w:rPr/>
        <w:t>af</w:t>
      </w:r>
      <w:r>
        <w:rPr>
          <w:spacing w:val="-4"/>
        </w:rPr>
        <w:t> </w:t>
      </w:r>
      <w:r>
        <w:rPr/>
        <w:t>størrelsen</w:t>
      </w:r>
      <w:r>
        <w:rPr>
          <w:spacing w:val="-3"/>
        </w:rPr>
        <w:t> </w:t>
      </w:r>
      <w:r>
        <w:rPr/>
        <w:t>på</w:t>
      </w:r>
      <w:r>
        <w:rPr>
          <w:spacing w:val="-1"/>
        </w:rPr>
        <w:t> </w:t>
      </w:r>
      <w:r>
        <w:rPr/>
        <w:t>omsætningen,</w:t>
      </w:r>
      <w:r>
        <w:rPr>
          <w:spacing w:val="-5"/>
        </w:rPr>
        <w:t> </w:t>
      </w:r>
      <w:r>
        <w:rPr/>
        <w:t>der</w:t>
      </w:r>
      <w:r>
        <w:rPr>
          <w:spacing w:val="-1"/>
        </w:rPr>
        <w:t> </w:t>
      </w:r>
      <w:r>
        <w:rPr/>
        <w:t>er</w:t>
      </w:r>
      <w:r>
        <w:rPr>
          <w:spacing w:val="-4"/>
        </w:rPr>
        <w:t> </w:t>
      </w:r>
      <w:r>
        <w:rPr/>
        <w:t>angivet</w:t>
      </w:r>
      <w:r>
        <w:rPr>
          <w:spacing w:val="-2"/>
        </w:rPr>
        <w:t> </w:t>
      </w:r>
      <w:r>
        <w:rPr/>
        <w:t>af</w:t>
      </w:r>
      <w:r>
        <w:rPr>
          <w:spacing w:val="-4"/>
        </w:rPr>
        <w:t> </w:t>
      </w:r>
      <w:r>
        <w:rPr/>
        <w:t>de</w:t>
      </w:r>
      <w:r>
        <w:rPr>
          <w:spacing w:val="-3"/>
        </w:rPr>
        <w:t> </w:t>
      </w:r>
      <w:r>
        <w:rPr/>
        <w:t>virksomheder,</w:t>
      </w:r>
      <w:r>
        <w:rPr>
          <w:spacing w:val="-5"/>
        </w:rPr>
        <w:t> </w:t>
      </w:r>
      <w:r>
        <w:rPr/>
        <w:t>der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har deltaget i undersøgelsen. De 119 private virksomheder, der har deltaget i undersøgelsen, har samlet set</w:t>
      </w:r>
    </w:p>
    <w:p>
      <w:pPr>
        <w:pStyle w:val="BodyText"/>
        <w:spacing w:before="114"/>
        <w:ind w:left="278"/>
      </w:pPr>
      <w:r>
        <w:rPr/>
        <w:t>en dansk omsætning på 91 mia. kr. I 2012 var det 54 mia. kr. efter opregning til populationsniveau.</w:t>
      </w:r>
    </w:p>
    <w:p>
      <w:pPr>
        <w:pStyle w:val="BodyText"/>
        <w:rPr>
          <w:sz w:val="31"/>
        </w:rPr>
      </w:pPr>
    </w:p>
    <w:p>
      <w:pPr>
        <w:spacing w:before="0"/>
        <w:ind w:left="278" w:right="0" w:firstLine="0"/>
        <w:jc w:val="left"/>
        <w:rPr>
          <w:i/>
          <w:sz w:val="18"/>
        </w:rPr>
      </w:pPr>
      <w:r>
        <w:rPr/>
        <w:pict>
          <v:group style="position:absolute;margin-left:70.525002pt;margin-top:15.94791pt;width:466.05pt;height:170.25pt;mso-position-horizontal-relative:page;mso-position-vertical-relative:paragraph;z-index:7112;mso-wrap-distance-left:0;mso-wrap-distance-right:0" coordorigin="1411,319" coordsize="9321,3405">
            <v:rect style="position:absolute;left:1418;top:325;width:9305;height:3392" filled="true" fillcolor="#f1f1f1" stroked="false">
              <v:fill type="solid"/>
            </v:rect>
            <v:line style="position:absolute" from="10090,2502" to="10505,2502" stroked="true" strokeweight=".72pt" strokecolor="#d9d9d9">
              <v:stroke dashstyle="solid"/>
            </v:line>
            <v:line style="position:absolute" from="9610,2502" to="9710,2502" stroked="true" strokeweight=".72pt" strokecolor="#d9d9d9">
              <v:stroke dashstyle="solid"/>
            </v:line>
            <v:line style="position:absolute" from="8400,2502" to="9230,2502" stroked="true" strokeweight=".72pt" strokecolor="#d9d9d9">
              <v:stroke dashstyle="solid"/>
            </v:line>
            <v:line style="position:absolute" from="7920,2502" to="8023,2502" stroked="true" strokeweight=".72pt" strokecolor="#d9d9d9">
              <v:stroke dashstyle="solid"/>
            </v:line>
            <v:line style="position:absolute" from="6713,2502" to="7541,2502" stroked="true" strokeweight=".72pt" strokecolor="#d9d9d9">
              <v:stroke dashstyle="solid"/>
            </v:line>
            <v:line style="position:absolute" from="6233,2502" to="6334,2502" stroked="true" strokeweight=".72pt" strokecolor="#d9d9d9">
              <v:stroke dashstyle="solid"/>
            </v:line>
            <v:line style="position:absolute" from="5026,2502" to="5854,2502" stroked="true" strokeweight=".72pt" strokecolor="#d9d9d9">
              <v:stroke dashstyle="solid"/>
            </v:line>
            <v:line style="position:absolute" from="4543,2502" to="4646,2502" stroked="true" strokeweight=".72pt" strokecolor="#d9d9d9">
              <v:stroke dashstyle="solid"/>
            </v:line>
            <v:line style="position:absolute" from="3336,2502" to="4164,2502" stroked="true" strokeweight=".72pt" strokecolor="#d9d9d9">
              <v:stroke dashstyle="solid"/>
            </v:line>
            <v:line style="position:absolute" from="2856,2502" to="2957,2502" stroked="true" strokeweight=".72pt" strokecolor="#d9d9d9">
              <v:stroke dashstyle="solid"/>
            </v:line>
            <v:line style="position:absolute" from="2062,2502" to="2477,2502" stroked="true" strokeweight=".72pt" strokecolor="#d9d9d9">
              <v:stroke dashstyle="solid"/>
            </v:line>
            <v:line style="position:absolute" from="10090,2178" to="10505,2178" stroked="true" strokeweight=".72pt" strokecolor="#d9d9d9">
              <v:stroke dashstyle="solid"/>
            </v:line>
            <v:line style="position:absolute" from="9610,2178" to="9710,2178" stroked="true" strokeweight=".72pt" strokecolor="#d9d9d9">
              <v:stroke dashstyle="solid"/>
            </v:line>
            <v:line style="position:absolute" from="6713,2178" to="9230,2178" stroked="true" strokeweight=".72pt" strokecolor="#d9d9d9">
              <v:stroke dashstyle="solid"/>
            </v:line>
            <v:line style="position:absolute" from="6233,2178" to="6334,2178" stroked="true" strokeweight=".72pt" strokecolor="#d9d9d9">
              <v:stroke dashstyle="solid"/>
            </v:line>
            <v:line style="position:absolute" from="5026,2178" to="5854,2178" stroked="true" strokeweight=".72pt" strokecolor="#d9d9d9">
              <v:stroke dashstyle="solid"/>
            </v:line>
            <v:line style="position:absolute" from="4543,2178" to="4646,2178" stroked="true" strokeweight=".72pt" strokecolor="#d9d9d9">
              <v:stroke dashstyle="solid"/>
            </v:line>
            <v:line style="position:absolute" from="3336,2178" to="4164,2178" stroked="true" strokeweight=".72pt" strokecolor="#d9d9d9">
              <v:stroke dashstyle="solid"/>
            </v:line>
            <v:line style="position:absolute" from="2856,2178" to="2957,2178" stroked="true" strokeweight=".72pt" strokecolor="#d9d9d9">
              <v:stroke dashstyle="solid"/>
            </v:line>
            <v:line style="position:absolute" from="2062,2178" to="2477,2178" stroked="true" strokeweight=".72pt" strokecolor="#d9d9d9">
              <v:stroke dashstyle="solid"/>
            </v:line>
            <v:line style="position:absolute" from="9610,1852" to="10505,1852" stroked="true" strokeweight=".72pt" strokecolor="#d9d9d9">
              <v:stroke dashstyle="solid"/>
            </v:line>
            <v:line style="position:absolute" from="6713,1852" to="9230,1852" stroked="true" strokeweight=".72pt" strokecolor="#d9d9d9">
              <v:stroke dashstyle="solid"/>
            </v:line>
            <v:line style="position:absolute" from="6233,1852" to="6334,1852" stroked="true" strokeweight=".72pt" strokecolor="#d9d9d9">
              <v:stroke dashstyle="solid"/>
            </v:line>
            <v:line style="position:absolute" from="5026,1852" to="5854,1852" stroked="true" strokeweight=".72pt" strokecolor="#d9d9d9">
              <v:stroke dashstyle="solid"/>
            </v:line>
            <v:line style="position:absolute" from="4543,1852" to="4646,1852" stroked="true" strokeweight=".72pt" strokecolor="#d9d9d9">
              <v:stroke dashstyle="solid"/>
            </v:line>
            <v:line style="position:absolute" from="3336,1852" to="4164,1852" stroked="true" strokeweight=".72pt" strokecolor="#d9d9d9">
              <v:stroke dashstyle="solid"/>
            </v:line>
            <v:line style="position:absolute" from="2856,1852" to="2957,1852" stroked="true" strokeweight=".72pt" strokecolor="#d9d9d9">
              <v:stroke dashstyle="solid"/>
            </v:line>
            <v:line style="position:absolute" from="2062,1852" to="2477,1852" stroked="true" strokeweight=".72pt" strokecolor="#d9d9d9">
              <v:stroke dashstyle="solid"/>
            </v:line>
            <v:line style="position:absolute" from="6713,1525" to="10505,1525" stroked="true" strokeweight=".72pt" strokecolor="#d9d9d9">
              <v:stroke dashstyle="solid"/>
            </v:line>
            <v:line style="position:absolute" from="6233,1525" to="6334,1525" stroked="true" strokeweight=".72pt" strokecolor="#d9d9d9">
              <v:stroke dashstyle="solid"/>
            </v:line>
            <v:line style="position:absolute" from="5026,1525" to="5854,1525" stroked="true" strokeweight=".72pt" strokecolor="#d9d9d9">
              <v:stroke dashstyle="solid"/>
            </v:line>
            <v:line style="position:absolute" from="4543,1525" to="4646,1525" stroked="true" strokeweight=".72pt" strokecolor="#d9d9d9">
              <v:stroke dashstyle="solid"/>
            </v:line>
            <v:line style="position:absolute" from="3336,1525" to="4164,1525" stroked="true" strokeweight=".72pt" strokecolor="#d9d9d9">
              <v:stroke dashstyle="solid"/>
            </v:line>
            <v:line style="position:absolute" from="2856,1525" to="2957,1525" stroked="true" strokeweight=".72pt" strokecolor="#d9d9d9">
              <v:stroke dashstyle="solid"/>
            </v:line>
            <v:line style="position:absolute" from="2062,1525" to="2477,1525" stroked="true" strokeweight=".72pt" strokecolor="#d9d9d9">
              <v:stroke dashstyle="solid"/>
            </v:line>
            <v:line style="position:absolute" from="5026,1199" to="10505,1199" stroked="true" strokeweight=".72pt" strokecolor="#d9d9d9">
              <v:stroke dashstyle="solid"/>
            </v:line>
            <v:line style="position:absolute" from="3336,1199" to="4646,1199" stroked="true" strokeweight=".72pt" strokecolor="#d9d9d9">
              <v:stroke dashstyle="solid"/>
            </v:line>
            <v:line style="position:absolute" from="2856,1199" to="2957,1199" stroked="true" strokeweight=".72pt" strokecolor="#d9d9d9">
              <v:stroke dashstyle="solid"/>
            </v:line>
            <v:line style="position:absolute" from="2062,1199" to="2477,1199" stroked="true" strokeweight=".72pt" strokecolor="#d9d9d9">
              <v:stroke dashstyle="solid"/>
            </v:line>
            <v:line style="position:absolute" from="3336,873" to="10505,873" stroked="true" strokeweight=".72pt" strokecolor="#d9d9d9">
              <v:stroke dashstyle="solid"/>
            </v:line>
            <v:line style="position:absolute" from="2856,873" to="2957,873" stroked="true" strokeweight=".72pt" strokecolor="#d9d9d9">
              <v:stroke dashstyle="solid"/>
            </v:line>
            <v:line style="position:absolute" from="2062,873" to="2477,873" stroked="true" strokeweight=".72pt" strokecolor="#d9d9d9">
              <v:stroke dashstyle="solid"/>
            </v:line>
            <v:line style="position:absolute" from="2062,546" to="10505,546" stroked="true" strokeweight=".72pt" strokecolor="#d9d9d9">
              <v:stroke dashstyle="solid"/>
            </v:line>
            <v:rect style="position:absolute;left:2476;top:855;width:380;height:1973" filled="true" fillcolor="#901b1b" stroked="false">
              <v:fill type="solid"/>
            </v:rect>
            <v:rect style="position:absolute;left:4164;top:1295;width:380;height:1534" filled="true" fillcolor="#901b1b" stroked="false">
              <v:fill type="solid"/>
            </v:rect>
            <v:rect style="position:absolute;left:5853;top:1405;width:380;height:1424" filled="true" fillcolor="#901b1b" stroked="false">
              <v:fill type="solid"/>
            </v:rect>
            <v:rect style="position:absolute;left:7540;top:2226;width:380;height:603" filled="true" fillcolor="#901b1b" stroked="false">
              <v:fill type="solid"/>
            </v:rect>
            <v:rect style="position:absolute;left:9230;top:1842;width:380;height:987" filled="true" fillcolor="#901b1b" stroked="false">
              <v:fill type="solid"/>
            </v:rect>
            <v:rect style="position:absolute;left:2956;top:675;width:380;height:2153" filled="true" fillcolor="#bd8686" stroked="false">
              <v:fill type="solid"/>
            </v:rect>
            <v:rect style="position:absolute;left:4646;top:937;width:380;height:1892" filled="true" fillcolor="#bd8686" stroked="false">
              <v:fill type="solid"/>
            </v:rect>
            <v:rect style="position:absolute;left:6333;top:1460;width:380;height:1368" filled="true" fillcolor="#bd8686" stroked="false">
              <v:fill type="solid"/>
            </v:rect>
            <v:rect style="position:absolute;left:8023;top:2437;width:377;height:392" filled="true" fillcolor="#bd8686" stroked="false">
              <v:fill type="solid"/>
            </v:rect>
            <v:rect style="position:absolute;left:9710;top:2111;width:380;height:718" filled="true" fillcolor="#bd8686" stroked="false">
              <v:fill type="solid"/>
            </v:rect>
            <v:line style="position:absolute" from="2062,2829" to="10505,2829" stroked="true" strokeweight=".72pt" strokecolor="#d9d9d9">
              <v:stroke dashstyle="solid"/>
            </v:line>
            <v:rect style="position:absolute;left:5520;top:3390;width:92;height:92" filled="true" fillcolor="#901b1b" stroked="false">
              <v:fill type="solid"/>
            </v:rect>
            <v:rect style="position:absolute;left:6170;top:3390;width:94;height:92" filled="true" fillcolor="#bd8686" stroked="false">
              <v:fill type="solid"/>
            </v:rect>
            <v:rect style="position:absolute;left:1418;top:326;width:9306;height:3390" filled="false" stroked="true" strokeweight=".75pt" strokecolor="#d9d9d9">
              <v:stroke dashstyle="solid"/>
            </v:rect>
            <v:shape style="position:absolute;left:5652;top:3328;width:1060;height:205" type="#_x0000_t202" filled="false" stroked="false">
              <v:textbox inset="0,0,0,0">
                <w:txbxContent>
                  <w:p>
                    <w:pPr>
                      <w:tabs>
                        <w:tab w:pos="650" w:val="left" w:leader="none"/>
                      </w:tabs>
                      <w:spacing w:before="0"/>
                      <w:ind w:left="0" w:right="0" w:firstLine="0"/>
                      <w:jc w:val="left"/>
                      <w:rPr>
                        <w:sz w:val="18"/>
                      </w:rPr>
                    </w:pPr>
                    <w:r>
                      <w:rPr>
                        <w:color w:val="585858"/>
                        <w:sz w:val="18"/>
                      </w:rPr>
                      <w:t>2016</w:t>
                      <w:tab/>
                      <w:t>2012</w:t>
                    </w:r>
                  </w:p>
                </w:txbxContent>
              </v:textbox>
              <w10:wrap type="none"/>
            </v:shape>
            <v:shape style="position:absolute;left:5594;top:2940;width:4860;height:205" type="#_x0000_t202" filled="false" stroked="false">
              <v:textbox inset="0,0,0,0">
                <w:txbxContent>
                  <w:p>
                    <w:pPr>
                      <w:spacing w:before="0"/>
                      <w:ind w:left="0" w:right="0" w:firstLine="0"/>
                      <w:jc w:val="left"/>
                      <w:rPr>
                        <w:sz w:val="18"/>
                      </w:rPr>
                    </w:pPr>
                    <w:r>
                      <w:rPr>
                        <w:color w:val="585858"/>
                        <w:sz w:val="18"/>
                      </w:rPr>
                      <w:t>&lt;10&lt;100 mio. kr. &lt;100&lt;1.000 mio. kr. Over 1.000 mio. kr.</w:t>
                    </w:r>
                  </w:p>
                </w:txbxContent>
              </v:textbox>
              <w10:wrap type="none"/>
            </v:shape>
            <v:shape style="position:absolute;left:4016;top:2940;width:1180;height:205" type="#_x0000_t202" filled="false" stroked="false">
              <v:textbox inset="0,0,0,0">
                <w:txbxContent>
                  <w:p>
                    <w:pPr>
                      <w:spacing w:before="0"/>
                      <w:ind w:left="0" w:right="0" w:firstLine="0"/>
                      <w:jc w:val="left"/>
                      <w:rPr>
                        <w:sz w:val="18"/>
                      </w:rPr>
                    </w:pPr>
                    <w:r>
                      <w:rPr>
                        <w:color w:val="585858"/>
                        <w:sz w:val="18"/>
                      </w:rPr>
                      <w:t>&lt;1&lt;10 mio. kr.</w:t>
                    </w:r>
                  </w:p>
                </w:txbxContent>
              </v:textbox>
              <w10:wrap type="none"/>
            </v:shape>
            <v:shape style="position:absolute;left:2262;top:2940;width:1309;height:205" type="#_x0000_t202" filled="false" stroked="false">
              <v:textbox inset="0,0,0,0">
                <w:txbxContent>
                  <w:p>
                    <w:pPr>
                      <w:spacing w:before="0"/>
                      <w:ind w:left="0" w:right="0" w:firstLine="0"/>
                      <w:jc w:val="left"/>
                      <w:rPr>
                        <w:sz w:val="18"/>
                      </w:rPr>
                    </w:pPr>
                    <w:r>
                      <w:rPr>
                        <w:color w:val="585858"/>
                        <w:sz w:val="18"/>
                      </w:rPr>
                      <w:t>Under 1 mio. kr.</w:t>
                    </w:r>
                  </w:p>
                </w:txbxContent>
              </v:textbox>
              <w10:wrap type="none"/>
            </v:shape>
            <v:shape style="position:absolute;left:1547;top:438;width:381;height:2488" type="#_x0000_t202" filled="false" stroked="false">
              <v:textbox inset="0,0,0,0">
                <w:txbxContent>
                  <w:p>
                    <w:pPr>
                      <w:spacing w:before="0"/>
                      <w:ind w:left="16" w:right="0" w:firstLine="0"/>
                      <w:jc w:val="left"/>
                      <w:rPr>
                        <w:sz w:val="18"/>
                      </w:rPr>
                    </w:pPr>
                    <w:r>
                      <w:rPr>
                        <w:color w:val="585858"/>
                        <w:sz w:val="18"/>
                      </w:rPr>
                      <w:t>35%</w:t>
                    </w:r>
                  </w:p>
                  <w:p>
                    <w:pPr>
                      <w:spacing w:before="122"/>
                      <w:ind w:left="0" w:right="19" w:firstLine="0"/>
                      <w:jc w:val="center"/>
                      <w:rPr>
                        <w:sz w:val="18"/>
                      </w:rPr>
                    </w:pPr>
                    <w:r>
                      <w:rPr>
                        <w:color w:val="585858"/>
                        <w:sz w:val="18"/>
                      </w:rPr>
                      <w:t>30%</w:t>
                    </w:r>
                  </w:p>
                  <w:p>
                    <w:pPr>
                      <w:spacing w:before="121"/>
                      <w:ind w:left="0" w:right="3" w:firstLine="0"/>
                      <w:jc w:val="center"/>
                      <w:rPr>
                        <w:sz w:val="18"/>
                      </w:rPr>
                    </w:pPr>
                    <w:r>
                      <w:rPr>
                        <w:color w:val="585858"/>
                        <w:sz w:val="18"/>
                      </w:rPr>
                      <w:t>25%</w:t>
                    </w:r>
                  </w:p>
                  <w:p>
                    <w:pPr>
                      <w:spacing w:before="122"/>
                      <w:ind w:left="0" w:right="19" w:firstLine="0"/>
                      <w:jc w:val="center"/>
                      <w:rPr>
                        <w:sz w:val="18"/>
                      </w:rPr>
                    </w:pPr>
                    <w:r>
                      <w:rPr>
                        <w:color w:val="585858"/>
                        <w:sz w:val="18"/>
                      </w:rPr>
                      <w:t>20%</w:t>
                    </w:r>
                  </w:p>
                  <w:p>
                    <w:pPr>
                      <w:spacing w:before="121"/>
                      <w:ind w:left="38" w:right="0" w:firstLine="0"/>
                      <w:jc w:val="left"/>
                      <w:rPr>
                        <w:sz w:val="18"/>
                      </w:rPr>
                    </w:pPr>
                    <w:r>
                      <w:rPr>
                        <w:color w:val="585858"/>
                        <w:sz w:val="18"/>
                      </w:rPr>
                      <w:t>15%</w:t>
                    </w:r>
                  </w:p>
                  <w:p>
                    <w:pPr>
                      <w:spacing w:before="122"/>
                      <w:ind w:left="23" w:right="0" w:firstLine="0"/>
                      <w:jc w:val="left"/>
                      <w:rPr>
                        <w:sz w:val="18"/>
                      </w:rPr>
                    </w:pPr>
                    <w:r>
                      <w:rPr>
                        <w:color w:val="585858"/>
                        <w:sz w:val="18"/>
                      </w:rPr>
                      <w:t>10%</w:t>
                    </w:r>
                  </w:p>
                  <w:p>
                    <w:pPr>
                      <w:spacing w:before="122"/>
                      <w:ind w:left="97" w:right="1" w:firstLine="0"/>
                      <w:jc w:val="center"/>
                      <w:rPr>
                        <w:sz w:val="18"/>
                      </w:rPr>
                    </w:pPr>
                    <w:r>
                      <w:rPr>
                        <w:color w:val="585858"/>
                        <w:sz w:val="18"/>
                      </w:rPr>
                      <w:t>5%</w:t>
                    </w:r>
                  </w:p>
                  <w:p>
                    <w:pPr>
                      <w:spacing w:before="121"/>
                      <w:ind w:left="79" w:right="1" w:firstLine="0"/>
                      <w:jc w:val="center"/>
                      <w:rPr>
                        <w:sz w:val="18"/>
                      </w:rPr>
                    </w:pPr>
                    <w:r>
                      <w:rPr>
                        <w:color w:val="585858"/>
                        <w:sz w:val="18"/>
                      </w:rPr>
                      <w:t>0%</w:t>
                    </w:r>
                  </w:p>
                </w:txbxContent>
              </v:textbox>
              <w10:wrap type="none"/>
            </v:shape>
            <w10:wrap type="topAndBottom"/>
          </v:group>
        </w:pict>
      </w:r>
      <w:bookmarkStart w:name="_bookmark71" w:id="99"/>
      <w:bookmarkEnd w:id="99"/>
      <w:r>
        <w:rPr/>
      </w:r>
      <w:r>
        <w:rPr>
          <w:i/>
          <w:color w:val="A21F1F"/>
          <w:sz w:val="18"/>
        </w:rPr>
        <w:t>Figur 40: Private virksomheder fordelt på samlet dansk omsætning, henholdsvis i 2012 og i 2016</w:t>
      </w:r>
    </w:p>
    <w:p>
      <w:pPr>
        <w:spacing w:before="75"/>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2"/>
        <w:ind w:left="278" w:right="0" w:firstLine="0"/>
        <w:jc w:val="left"/>
        <w:rPr>
          <w:i/>
          <w:sz w:val="18"/>
        </w:rPr>
      </w:pPr>
      <w:r>
        <w:rPr>
          <w:b/>
          <w:i/>
          <w:color w:val="A21F1F"/>
          <w:sz w:val="18"/>
        </w:rPr>
        <w:t>N</w:t>
      </w:r>
      <w:r>
        <w:rPr>
          <w:i/>
          <w:color w:val="A21F1F"/>
          <w:sz w:val="18"/>
        </w:rPr>
        <w:t>: 2016: 119 og 2012: 71</w:t>
      </w:r>
    </w:p>
    <w:p>
      <w:pPr>
        <w:pStyle w:val="BodyText"/>
        <w:rPr>
          <w:i/>
        </w:rPr>
      </w:pPr>
    </w:p>
    <w:p>
      <w:pPr>
        <w:pStyle w:val="BodyText"/>
        <w:spacing w:before="1"/>
        <w:rPr>
          <w:i/>
          <w:sz w:val="19"/>
        </w:rPr>
      </w:pPr>
    </w:p>
    <w:p>
      <w:pPr>
        <w:pStyle w:val="BodyText"/>
        <w:spacing w:line="360" w:lineRule="auto"/>
        <w:ind w:left="278" w:right="1060"/>
      </w:pPr>
      <w:r>
        <w:rPr/>
        <w:t>Trin 2 i beregningen af markedseffekten tager udgangspunkt i de private virksomheders vurdering af, hvor stor en andel af deres samlede omsætning i 2016, der er geodatarelateret. Den geodatarelaterede omsætning vises i </w:t>
      </w:r>
      <w:hyperlink w:history="true" w:anchor="_bookmark72">
        <w:r>
          <w:rPr/>
          <w:t>Figur 41 </w:t>
        </w:r>
      </w:hyperlink>
      <w:r>
        <w:rPr/>
        <w:t>herunder og er en gengivelse af </w:t>
      </w:r>
      <w:hyperlink w:history="true" w:anchor="_bookmark36">
        <w:r>
          <w:rPr/>
          <w:t>Figur 15, </w:t>
        </w:r>
      </w:hyperlink>
      <w:r>
        <w:rPr/>
        <w:t>der blev vist i kapitel 5.</w:t>
      </w:r>
    </w:p>
    <w:p>
      <w:pPr>
        <w:pStyle w:val="BodyText"/>
        <w:rPr>
          <w:sz w:val="21"/>
        </w:rPr>
      </w:pPr>
    </w:p>
    <w:p>
      <w:pPr>
        <w:spacing w:before="0"/>
        <w:ind w:left="278" w:right="1822" w:firstLine="0"/>
        <w:jc w:val="left"/>
        <w:rPr>
          <w:i/>
          <w:sz w:val="18"/>
        </w:rPr>
      </w:pPr>
      <w:r>
        <w:rPr/>
        <w:pict>
          <v:group style="position:absolute;margin-left:70.525002pt;margin-top:26.117922pt;width:460.15pt;height:150.75pt;mso-position-horizontal-relative:page;mso-position-vertical-relative:paragraph;z-index:7328;mso-wrap-distance-left:0;mso-wrap-distance-right:0" coordorigin="1411,522" coordsize="9203,3015">
            <v:rect style="position:absolute;left:1418;top:528;width:9188;height:3000" filled="true" fillcolor="#f1f1f1" stroked="false">
              <v:fill type="solid"/>
            </v:rect>
            <v:line style="position:absolute" from="10094,2017" to="10385,2017" stroked="true" strokeweight=".72pt" strokecolor="#d9d9d9">
              <v:stroke dashstyle="solid"/>
            </v:line>
            <v:line style="position:absolute" from="9756,2017" to="9828,2017" stroked="true" strokeweight=".72pt" strokecolor="#d9d9d9">
              <v:stroke dashstyle="solid"/>
            </v:line>
            <v:line style="position:absolute" from="6528,2017" to="9490,2017" stroked="true" strokeweight=".72pt" strokecolor="#d9d9d9">
              <v:stroke dashstyle="solid"/>
            </v:line>
            <v:line style="position:absolute" from="5340,2017" to="6262,2017" stroked="true" strokeweight=".72pt" strokecolor="#d9d9d9">
              <v:stroke dashstyle="solid"/>
            </v:line>
            <v:line style="position:absolute" from="4150,2017" to="5074,2017" stroked="true" strokeweight=".72pt" strokecolor="#d9d9d9">
              <v:stroke dashstyle="solid"/>
            </v:line>
            <v:line style="position:absolute" from="3811,2017" to="3883,2017" stroked="true" strokeweight=".72pt" strokecolor="#d9d9d9">
              <v:stroke dashstyle="solid"/>
            </v:line>
            <v:line style="position:absolute" from="2962,2017" to="3545,2017" stroked="true" strokeweight=".72pt" strokecolor="#d9d9d9">
              <v:stroke dashstyle="solid"/>
            </v:line>
            <v:line style="position:absolute" from="2623,2017" to="2695,2017" stroked="true" strokeweight=".72pt" strokecolor="#d9d9d9">
              <v:stroke dashstyle="solid"/>
            </v:line>
            <v:line style="position:absolute" from="2064,2017" to="2357,2017" stroked="true" strokeweight=".72pt" strokecolor="#d9d9d9">
              <v:stroke dashstyle="solid"/>
            </v:line>
            <v:line style="position:absolute" from="9756,1594" to="10385,1594" stroked="true" strokeweight=".72pt" strokecolor="#d9d9d9">
              <v:stroke dashstyle="solid"/>
            </v:line>
            <v:line style="position:absolute" from="4150,1594" to="9490,1594" stroked="true" strokeweight=".72pt" strokecolor="#d9d9d9">
              <v:stroke dashstyle="solid"/>
            </v:line>
            <v:line style="position:absolute" from="3811,1594" to="3883,1594" stroked="true" strokeweight=".72pt" strokecolor="#d9d9d9">
              <v:stroke dashstyle="solid"/>
            </v:line>
            <v:line style="position:absolute" from="2623,1594" to="3545,1594" stroked="true" strokeweight=".72pt" strokecolor="#d9d9d9">
              <v:stroke dashstyle="solid"/>
            </v:line>
            <v:line style="position:absolute" from="2064,1594" to="2357,1594" stroked="true" strokeweight=".72pt" strokecolor="#d9d9d9">
              <v:stroke dashstyle="solid"/>
            </v:line>
            <v:line style="position:absolute" from="4150,1172" to="10385,1172" stroked="true" strokeweight=".72pt" strokecolor="#d9d9d9">
              <v:stroke dashstyle="solid"/>
            </v:line>
            <v:line style="position:absolute" from="2064,1172" to="3883,1172" stroked="true" strokeweight=".72pt" strokecolor="#d9d9d9">
              <v:stroke dashstyle="solid"/>
            </v:line>
            <v:line style="position:absolute" from="2064,750" to="10385,750" stroked="true" strokeweight=".72pt" strokecolor="#d9d9d9">
              <v:stroke dashstyle="solid"/>
            </v:line>
            <v:rect style="position:absolute;left:2356;top:1493;width:267;height:946" filled="true" fillcolor="#bd8686" stroked="false">
              <v:fill type="solid"/>
            </v:rect>
            <v:rect style="position:absolute;left:3544;top:1215;width:267;height:1224" filled="true" fillcolor="#bd8686" stroked="false">
              <v:fill type="solid"/>
            </v:rect>
            <v:rect style="position:absolute;left:4735;top:2050;width:267;height:389" filled="true" fillcolor="#bd8686" stroked="false">
              <v:fill type="solid"/>
            </v:rect>
            <v:rect style="position:absolute;left:5923;top:2160;width:267;height:279" filled="true" fillcolor="#bd8686" stroked="false">
              <v:fill type="solid"/>
            </v:rect>
            <v:rect style="position:absolute;left:7111;top:2160;width:267;height:279" filled="true" fillcolor="#bd8686" stroked="false">
              <v:fill type="solid"/>
            </v:rect>
            <v:rect style="position:absolute;left:8299;top:2271;width:269;height:168" filled="true" fillcolor="#bd8686" stroked="false">
              <v:fill type="solid"/>
            </v:rect>
            <v:rect style="position:absolute;left:9489;top:1493;width:267;height:946" filled="true" fillcolor="#bd8686" stroked="false">
              <v:fill type="solid"/>
            </v:rect>
            <v:rect style="position:absolute;left:2695;top:1916;width:267;height:524" filled="true" fillcolor="#a21f1f" stroked="false">
              <v:fill type="solid"/>
            </v:rect>
            <v:rect style="position:absolute;left:3883;top:980;width:267;height:1460" filled="true" fillcolor="#a21f1f" stroked="false">
              <v:fill type="solid"/>
            </v:rect>
            <v:rect style="position:absolute;left:5073;top:1812;width:267;height:627" filled="true" fillcolor="#a21f1f" stroked="false">
              <v:fill type="solid"/>
            </v:rect>
            <v:rect style="position:absolute;left:6261;top:1968;width:267;height:471" filled="true" fillcolor="#a21f1f" stroked="false">
              <v:fill type="solid"/>
            </v:rect>
            <v:rect style="position:absolute;left:7449;top:2177;width:267;height:262" filled="true" fillcolor="#a21f1f" stroked="false">
              <v:fill type="solid"/>
            </v:rect>
            <v:rect style="position:absolute;left:8640;top:2177;width:267;height:262" filled="true" fillcolor="#a21f1f" stroked="false">
              <v:fill type="solid"/>
            </v:rect>
            <v:rect style="position:absolute;left:9828;top:1812;width:267;height:627" filled="true" fillcolor="#a21f1f" stroked="false">
              <v:fill type="solid"/>
            </v:rect>
            <v:line style="position:absolute" from="2064,2439" to="10385,2439" stroked="true" strokeweight=".72pt" strokecolor="#d9d9d9">
              <v:stroke dashstyle="solid"/>
            </v:line>
            <v:rect style="position:absolute;left:5460;top:3202;width:94;height:92" filled="true" fillcolor="#bd8686" stroked="false">
              <v:fill type="solid"/>
            </v:rect>
            <v:rect style="position:absolute;left:6110;top:3202;width:92;height:92" filled="true" fillcolor="#a21f1f" stroked="false">
              <v:fill type="solid"/>
            </v:rect>
            <v:rect style="position:absolute;left:1418;top:529;width:9188;height:3000" filled="false" stroked="true" strokeweight=".75pt" strokecolor="#d9d9d9">
              <v:stroke dashstyle="solid"/>
            </v:rect>
            <v:shape style="position:absolute;left:5593;top:3142;width:1060;height:205" type="#_x0000_t202" filled="false" stroked="false">
              <v:textbox inset="0,0,0,0">
                <w:txbxContent>
                  <w:p>
                    <w:pPr>
                      <w:tabs>
                        <w:tab w:pos="649" w:val="left" w:leader="none"/>
                      </w:tabs>
                      <w:spacing w:before="0"/>
                      <w:ind w:left="0" w:right="0" w:firstLine="0"/>
                      <w:jc w:val="left"/>
                      <w:rPr>
                        <w:sz w:val="18"/>
                      </w:rPr>
                    </w:pPr>
                    <w:r>
                      <w:rPr>
                        <w:color w:val="585858"/>
                        <w:sz w:val="18"/>
                      </w:rPr>
                      <w:t>2012</w:t>
                      <w:tab/>
                      <w:t>2016</w:t>
                    </w:r>
                  </w:p>
                </w:txbxContent>
              </v:textbox>
              <w10:wrap type="none"/>
            </v:shape>
            <v:shape style="position:absolute;left:8251;top:2550;width:2114;height:409" type="#_x0000_t202" filled="false" stroked="false">
              <v:textbox inset="0,0,0,0">
                <w:txbxContent>
                  <w:p>
                    <w:pPr>
                      <w:tabs>
                        <w:tab w:pos="990" w:val="left" w:leader="none"/>
                      </w:tabs>
                      <w:spacing w:before="0"/>
                      <w:ind w:left="0" w:right="0" w:firstLine="0"/>
                      <w:jc w:val="left"/>
                      <w:rPr>
                        <w:sz w:val="18"/>
                      </w:rPr>
                    </w:pPr>
                    <w:r>
                      <w:rPr>
                        <w:color w:val="585858"/>
                        <w:sz w:val="18"/>
                      </w:rPr>
                      <w:t>76-100%</w:t>
                      <w:tab/>
                      <w:t>Ved</w:t>
                    </w:r>
                    <w:r>
                      <w:rPr>
                        <w:color w:val="585858"/>
                        <w:spacing w:val="-3"/>
                        <w:sz w:val="18"/>
                      </w:rPr>
                      <w:t> </w:t>
                    </w:r>
                    <w:r>
                      <w:rPr>
                        <w:color w:val="585858"/>
                        <w:sz w:val="18"/>
                      </w:rPr>
                      <w:t>ikke/ikke</w:t>
                    </w:r>
                  </w:p>
                  <w:p>
                    <w:pPr>
                      <w:spacing w:before="0"/>
                      <w:ind w:left="1217" w:right="0" w:firstLine="0"/>
                      <w:jc w:val="left"/>
                      <w:rPr>
                        <w:sz w:val="18"/>
                      </w:rPr>
                    </w:pPr>
                    <w:r>
                      <w:rPr>
                        <w:color w:val="585858"/>
                        <w:sz w:val="18"/>
                      </w:rPr>
                      <w:t>relevant</w:t>
                    </w:r>
                  </w:p>
                </w:txbxContent>
              </v:textbox>
              <w10:wrap type="none"/>
            </v:shape>
            <v:shape style="position:absolute;left:7129;top:2550;width:592;height:205" type="#_x0000_t202" filled="false" stroked="false">
              <v:textbox inset="0,0,0,0">
                <w:txbxContent>
                  <w:p>
                    <w:pPr>
                      <w:spacing w:before="0"/>
                      <w:ind w:left="0" w:right="0" w:firstLine="0"/>
                      <w:jc w:val="left"/>
                      <w:rPr>
                        <w:sz w:val="18"/>
                      </w:rPr>
                    </w:pPr>
                    <w:r>
                      <w:rPr>
                        <w:color w:val="585858"/>
                        <w:sz w:val="18"/>
                      </w:rPr>
                      <w:t>51-75%</w:t>
                    </w:r>
                  </w:p>
                </w:txbxContent>
              </v:textbox>
              <w10:wrap type="none"/>
            </v:shape>
            <v:shape style="position:absolute;left:5915;top:2550;width:643;height:205" type="#_x0000_t202" filled="false" stroked="false">
              <v:textbox inset="0,0,0,0">
                <w:txbxContent>
                  <w:p>
                    <w:pPr>
                      <w:spacing w:before="0"/>
                      <w:ind w:left="0" w:right="0" w:firstLine="0"/>
                      <w:jc w:val="left"/>
                      <w:rPr>
                        <w:sz w:val="18"/>
                      </w:rPr>
                    </w:pPr>
                    <w:r>
                      <w:rPr>
                        <w:color w:val="585858"/>
                        <w:sz w:val="18"/>
                      </w:rPr>
                      <w:t>26-50%</w:t>
                    </w:r>
                  </w:p>
                </w:txbxContent>
              </v:textbox>
              <w10:wrap type="none"/>
            </v:shape>
            <v:shape style="position:absolute;left:4754;top:2550;width:585;height:205" type="#_x0000_t202" filled="false" stroked="false">
              <v:textbox inset="0,0,0,0">
                <w:txbxContent>
                  <w:p>
                    <w:pPr>
                      <w:spacing w:before="0"/>
                      <w:ind w:left="0" w:right="0" w:firstLine="0"/>
                      <w:jc w:val="left"/>
                      <w:rPr>
                        <w:sz w:val="18"/>
                      </w:rPr>
                    </w:pPr>
                    <w:r>
                      <w:rPr>
                        <w:color w:val="585858"/>
                        <w:sz w:val="18"/>
                      </w:rPr>
                      <w:t>11-25%</w:t>
                    </w:r>
                  </w:p>
                </w:txbxContent>
              </v:textbox>
              <w10:wrap type="none"/>
            </v:shape>
            <v:shape style="position:absolute;left:3608;top:2550;width:501;height:205" type="#_x0000_t202" filled="false" stroked="false">
              <v:textbox inset="0,0,0,0">
                <w:txbxContent>
                  <w:p>
                    <w:pPr>
                      <w:spacing w:before="0"/>
                      <w:ind w:left="0" w:right="0" w:firstLine="0"/>
                      <w:jc w:val="left"/>
                      <w:rPr>
                        <w:sz w:val="18"/>
                      </w:rPr>
                    </w:pPr>
                    <w:r>
                      <w:rPr>
                        <w:color w:val="585858"/>
                        <w:sz w:val="18"/>
                      </w:rPr>
                      <w:t>1-10%</w:t>
                    </w:r>
                  </w:p>
                </w:txbxContent>
              </v:textbox>
              <w10:wrap type="none"/>
            </v:shape>
            <v:shape style="position:absolute;left:2530;top:2550;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43;width:380;height:1894" type="#_x0000_t202" filled="false" stroked="false">
              <v:textbox inset="0,0,0,0">
                <w:txbxContent>
                  <w:p>
                    <w:pPr>
                      <w:spacing w:before="0"/>
                      <w:ind w:left="-1" w:right="18" w:firstLine="0"/>
                      <w:jc w:val="center"/>
                      <w:rPr>
                        <w:sz w:val="18"/>
                      </w:rPr>
                    </w:pPr>
                    <w:r>
                      <w:rPr>
                        <w:color w:val="585858"/>
                        <w:sz w:val="18"/>
                      </w:rPr>
                      <w:t>40%</w:t>
                    </w:r>
                  </w:p>
                  <w:p>
                    <w:pPr>
                      <w:spacing w:line="240" w:lineRule="auto" w:before="2"/>
                      <w:rPr>
                        <w:i/>
                        <w:sz w:val="19"/>
                      </w:rPr>
                    </w:pPr>
                  </w:p>
                  <w:p>
                    <w:pPr>
                      <w:spacing w:before="0"/>
                      <w:ind w:left="2" w:right="0" w:firstLine="0"/>
                      <w:jc w:val="left"/>
                      <w:rPr>
                        <w:sz w:val="18"/>
                      </w:rPr>
                    </w:pPr>
                    <w:r>
                      <w:rPr>
                        <w:color w:val="585858"/>
                        <w:sz w:val="18"/>
                      </w:rPr>
                      <w:t>30%</w:t>
                    </w:r>
                  </w:p>
                  <w:p>
                    <w:pPr>
                      <w:spacing w:line="240" w:lineRule="auto" w:before="1"/>
                      <w:rPr>
                        <w:i/>
                        <w:sz w:val="19"/>
                      </w:rPr>
                    </w:pPr>
                  </w:p>
                  <w:p>
                    <w:pPr>
                      <w:spacing w:before="0"/>
                      <w:ind w:left="0" w:right="17" w:firstLine="0"/>
                      <w:jc w:val="center"/>
                      <w:rPr>
                        <w:sz w:val="18"/>
                      </w:rPr>
                    </w:pPr>
                    <w:r>
                      <w:rPr>
                        <w:color w:val="585858"/>
                        <w:sz w:val="18"/>
                      </w:rPr>
                      <w:t>20%</w:t>
                    </w:r>
                  </w:p>
                  <w:p>
                    <w:pPr>
                      <w:spacing w:line="240" w:lineRule="auto" w:before="1"/>
                      <w:rPr>
                        <w:i/>
                        <w:sz w:val="19"/>
                      </w:rPr>
                    </w:pPr>
                  </w:p>
                  <w:p>
                    <w:pPr>
                      <w:spacing w:before="1"/>
                      <w:ind w:left="23" w:right="0" w:firstLine="0"/>
                      <w:jc w:val="left"/>
                      <w:rPr>
                        <w:sz w:val="18"/>
                      </w:rPr>
                    </w:pPr>
                    <w:r>
                      <w:rPr>
                        <w:color w:val="585858"/>
                        <w:sz w:val="18"/>
                      </w:rPr>
                      <w:t>10%</w:t>
                    </w:r>
                  </w:p>
                  <w:p>
                    <w:pPr>
                      <w:spacing w:line="240" w:lineRule="auto" w:before="1"/>
                      <w:rPr>
                        <w:i/>
                        <w:sz w:val="19"/>
                      </w:rPr>
                    </w:pPr>
                  </w:p>
                  <w:p>
                    <w:pPr>
                      <w:spacing w:before="1"/>
                      <w:ind w:left="81" w:right="0" w:firstLine="0"/>
                      <w:jc w:val="center"/>
                      <w:rPr>
                        <w:sz w:val="18"/>
                      </w:rPr>
                    </w:pPr>
                    <w:r>
                      <w:rPr>
                        <w:color w:val="585858"/>
                        <w:sz w:val="18"/>
                      </w:rPr>
                      <w:t>0%</w:t>
                    </w:r>
                  </w:p>
                </w:txbxContent>
              </v:textbox>
              <w10:wrap type="none"/>
            </v:shape>
            <w10:wrap type="topAndBottom"/>
          </v:group>
        </w:pict>
      </w:r>
      <w:bookmarkStart w:name="_bookmark72" w:id="100"/>
      <w:bookmarkEnd w:id="100"/>
      <w:r>
        <w:rPr/>
      </w:r>
      <w:r>
        <w:rPr>
          <w:i/>
          <w:color w:val="A21F1F"/>
          <w:sz w:val="18"/>
        </w:rPr>
        <w:t>Figur 41: Private virksomheder fordelt på andelen af den samlede omsætning, der var relateret til geodata, </w:t>
      </w:r>
      <w:r>
        <w:rPr>
          <w:i/>
          <w:color w:val="A21F1F"/>
          <w:sz w:val="18"/>
        </w:rPr>
        <w:t>henholdsvis i 2012 og i 2016</w:t>
      </w:r>
    </w:p>
    <w:p>
      <w:pPr>
        <w:spacing w:before="76"/>
        <w:ind w:left="278" w:right="0" w:firstLine="0"/>
        <w:jc w:val="left"/>
        <w:rPr>
          <w:i/>
          <w:sz w:val="18"/>
        </w:rPr>
      </w:pPr>
      <w:r>
        <w:rPr>
          <w:b/>
          <w:i/>
          <w:color w:val="A21F1F"/>
          <w:sz w:val="18"/>
        </w:rPr>
        <w:t>Kilde</w:t>
      </w:r>
      <w:r>
        <w:rPr>
          <w:i/>
          <w:color w:val="A21F1F"/>
          <w:sz w:val="18"/>
        </w:rPr>
        <w:t>: Før-måling og spørgeskemaundersøgelse udført blandt private virksomheder</w:t>
      </w:r>
    </w:p>
    <w:p>
      <w:pPr>
        <w:spacing w:before="120"/>
        <w:ind w:left="278" w:right="0" w:firstLine="0"/>
        <w:jc w:val="left"/>
        <w:rPr>
          <w:i/>
          <w:sz w:val="18"/>
        </w:rPr>
      </w:pPr>
      <w:r>
        <w:rPr>
          <w:b/>
          <w:i/>
          <w:color w:val="A21F1F"/>
          <w:sz w:val="18"/>
        </w:rPr>
        <w:t>N</w:t>
      </w:r>
      <w:r>
        <w:rPr>
          <w:i/>
          <w:color w:val="A21F1F"/>
          <w:sz w:val="18"/>
        </w:rPr>
        <w:t>: 2016: 81 og 2012: ukendt</w:t>
      </w:r>
    </w:p>
    <w:p>
      <w:pPr>
        <w:pStyle w:val="BodyText"/>
        <w:spacing w:before="6"/>
        <w:rPr>
          <w:i/>
          <w:sz w:val="28"/>
        </w:rPr>
      </w:pPr>
    </w:p>
    <w:p>
      <w:pPr>
        <w:pStyle w:val="BodyText"/>
        <w:spacing w:line="362" w:lineRule="auto"/>
        <w:ind w:left="278" w:right="1026"/>
      </w:pPr>
      <w:r>
        <w:rPr/>
        <w:t>På baggrund heraf beregnes den geodatarelaterede omsætning for hver virksomhed. Denne beregning viser, at den geodatarelaterede omsætning i 2016-stikprøven udgør cirka 1,6 mia. kr. Til sammenligning var tallet 414 mio. kr. i</w:t>
      </w:r>
      <w:r>
        <w:rPr>
          <w:spacing w:val="-1"/>
        </w:rPr>
        <w:t> </w:t>
      </w:r>
      <w:r>
        <w:rPr/>
        <w:t>2012.</w:t>
      </w:r>
    </w:p>
    <w:p>
      <w:pPr>
        <w:spacing w:after="0" w:line="362"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 at kunne beregne trin 3 i beregningen af markedseffekten, altså hvor stor en andel af den</w:t>
      </w:r>
    </w:p>
    <w:p>
      <w:pPr>
        <w:pStyle w:val="BodyText"/>
        <w:spacing w:line="360" w:lineRule="auto" w:before="114"/>
        <w:ind w:left="278" w:right="1166"/>
      </w:pPr>
      <w:r>
        <w:rPr/>
        <w:t>geodatarelaterede omsætning, der kan tilskrives de frie geodata, anvendes de private virksomheders vurderede betydning af de frie geodata, jf. </w:t>
      </w:r>
      <w:hyperlink w:history="true" w:anchor="_bookmark73">
        <w:r>
          <w:rPr/>
          <w:t>Figur 42 </w:t>
        </w:r>
      </w:hyperlink>
      <w:r>
        <w:rPr/>
        <w:t>herunder.</w:t>
      </w:r>
    </w:p>
    <w:p>
      <w:pPr>
        <w:pStyle w:val="BodyText"/>
        <w:rPr>
          <w:sz w:val="21"/>
        </w:rPr>
      </w:pPr>
    </w:p>
    <w:p>
      <w:pPr>
        <w:spacing w:before="0"/>
        <w:ind w:left="278" w:right="0" w:firstLine="0"/>
        <w:jc w:val="left"/>
        <w:rPr>
          <w:i/>
          <w:sz w:val="18"/>
        </w:rPr>
      </w:pPr>
      <w:r>
        <w:rPr/>
        <w:pict>
          <v:group style="position:absolute;margin-left:70.525002pt;margin-top:15.957932pt;width:460.15pt;height:165.75pt;mso-position-horizontal-relative:page;mso-position-vertical-relative:paragraph;z-index:7496;mso-wrap-distance-left:0;mso-wrap-distance-right:0" coordorigin="1411,319" coordsize="9203,3315">
            <v:rect style="position:absolute;left:1418;top:325;width:9188;height:3300" filled="true" fillcolor="#f1f1f1" stroked="false">
              <v:fill type="solid"/>
            </v:rect>
            <v:line style="position:absolute" from="8263,2037" to="10385,2037" stroked="true" strokeweight=".72pt" strokecolor="#d9d9d9">
              <v:stroke dashstyle="solid"/>
            </v:line>
            <v:line style="position:absolute" from="7272,2037" to="7954,2037" stroked="true" strokeweight=".72pt" strokecolor="#d9d9d9">
              <v:stroke dashstyle="solid"/>
            </v:line>
            <v:line style="position:absolute" from="6876,2037" to="6960,2037" stroked="true" strokeweight=".72pt" strokecolor="#d9d9d9">
              <v:stroke dashstyle="solid"/>
            </v:line>
            <v:line style="position:absolute" from="5885,2037" to="6566,2037" stroked="true" strokeweight=".72pt" strokecolor="#d9d9d9">
              <v:stroke dashstyle="solid"/>
            </v:line>
            <v:line style="position:absolute" from="5489,2037" to="5573,2037" stroked="true" strokeweight=".72pt" strokecolor="#d9d9d9">
              <v:stroke dashstyle="solid"/>
            </v:line>
            <v:line style="position:absolute" from="4498,2037" to="5179,2037" stroked="true" strokeweight=".72pt" strokecolor="#d9d9d9">
              <v:stroke dashstyle="solid"/>
            </v:line>
            <v:line style="position:absolute" from="2064,2037" to="4188,2037" stroked="true" strokeweight=".72pt" strokecolor="#d9d9d9">
              <v:stroke dashstyle="solid"/>
            </v:line>
            <v:line style="position:absolute" from="8263,1540" to="10385,1540" stroked="true" strokeweight=".72pt" strokecolor="#d9d9d9">
              <v:stroke dashstyle="solid"/>
            </v:line>
            <v:line style="position:absolute" from="7272,1540" to="7954,1540" stroked="true" strokeweight=".72pt" strokecolor="#d9d9d9">
              <v:stroke dashstyle="solid"/>
            </v:line>
            <v:line style="position:absolute" from="5885,1540" to="6960,1540" stroked="true" strokeweight=".72pt" strokecolor="#d9d9d9">
              <v:stroke dashstyle="solid"/>
            </v:line>
            <v:line style="position:absolute" from="5489,1540" to="5573,1540" stroked="true" strokeweight=".72pt" strokecolor="#d9d9d9">
              <v:stroke dashstyle="solid"/>
            </v:line>
            <v:line style="position:absolute" from="2064,1540" to="5179,1540" stroked="true" strokeweight=".72pt" strokecolor="#d9d9d9">
              <v:stroke dashstyle="solid"/>
            </v:line>
            <v:line style="position:absolute" from="8263,1043" to="10385,1043" stroked="true" strokeweight=".72pt" strokecolor="#d9d9d9">
              <v:stroke dashstyle="solid"/>
            </v:line>
            <v:line style="position:absolute" from="2064,1043" to="7954,1043" stroked="true" strokeweight=".72pt" strokecolor="#d9d9d9">
              <v:stroke dashstyle="solid"/>
            </v:line>
            <v:line style="position:absolute" from="2064,546" to="10385,546" stroked="true" strokeweight=".72pt" strokecolor="#d9d9d9">
              <v:stroke dashstyle="solid"/>
            </v:line>
            <v:rect style="position:absolute;left:2404;top:2235;width:312;height:300" filled="true" fillcolor="#bd8686" stroked="false">
              <v:fill type="solid"/>
            </v:rect>
            <v:rect style="position:absolute;left:3792;top:2036;width:312;height:500" filled="true" fillcolor="#bd8686" stroked="false">
              <v:fill type="solid"/>
            </v:rect>
            <v:rect style="position:absolute;left:5179;top:1391;width:310;height:1145" filled="true" fillcolor="#bd8686" stroked="false">
              <v:fill type="solid"/>
            </v:rect>
            <v:rect style="position:absolute;left:6566;top:1640;width:310;height:896" filled="true" fillcolor="#bd8686" stroked="false">
              <v:fill type="solid"/>
            </v:rect>
            <v:rect style="position:absolute;left:7953;top:596;width:310;height:1940" filled="true" fillcolor="#bd8686" stroked="false">
              <v:fill type="solid"/>
            </v:rect>
            <v:rect style="position:absolute;left:9340;top:2336;width:310;height:200" filled="true" fillcolor="#bd8686" stroked="false">
              <v:fill type="solid"/>
            </v:rect>
            <v:rect style="position:absolute;left:2800;top:2166;width:310;height:370" filled="true" fillcolor="#a21f1f" stroked="false">
              <v:fill type="solid"/>
            </v:rect>
            <v:rect style="position:absolute;left:4188;top:1676;width:310;height:860" filled="true" fillcolor="#a21f1f" stroked="false">
              <v:fill type="solid"/>
            </v:rect>
            <v:rect style="position:absolute;left:5572;top:1184;width:312;height:1352" filled="true" fillcolor="#a21f1f" stroked="false">
              <v:fill type="solid"/>
            </v:rect>
            <v:rect style="position:absolute;left:6960;top:1062;width:312;height:1474" filled="true" fillcolor="#a21f1f" stroked="false">
              <v:fill type="solid"/>
            </v:rect>
            <v:rect style="position:absolute;left:8347;top:2043;width:312;height:492" filled="true" fillcolor="#a21f1f" stroked="false">
              <v:fill type="solid"/>
            </v:rect>
            <v:rect style="position:absolute;left:9734;top:2106;width:312;height:430" filled="true" fillcolor="#a21f1f" stroked="false">
              <v:fill type="solid"/>
            </v:rect>
            <v:line style="position:absolute" from="2064,2536" to="10385,2536" stroked="true" strokeweight=".72pt" strokecolor="#d9d9d9">
              <v:stroke dashstyle="solid"/>
            </v:line>
            <v:rect style="position:absolute;left:5460;top:3299;width:94;height:92" filled="true" fillcolor="#f5c9c9" stroked="false">
              <v:fill type="solid"/>
            </v:rect>
            <v:rect style="position:absolute;left:6110;top:3299;width:92;height:92" filled="true" fillcolor="#a21f1f" stroked="false">
              <v:fill type="solid"/>
            </v:rect>
            <v:rect style="position:absolute;left:1418;top:326;width:9188;height:3300" filled="false" stroked="true" strokeweight=".75pt" strokecolor="#d9d9d9">
              <v:stroke dashstyle="solid"/>
            </v:rect>
            <v:shape style="position:absolute;left:5593;top:3238;width:1060;height:205" type="#_x0000_t202" filled="false" stroked="false">
              <v:textbox inset="0,0,0,0">
                <w:txbxContent>
                  <w:p>
                    <w:pPr>
                      <w:tabs>
                        <w:tab w:pos="649" w:val="left" w:leader="none"/>
                      </w:tabs>
                      <w:spacing w:before="0"/>
                      <w:ind w:left="0" w:right="0" w:firstLine="0"/>
                      <w:jc w:val="left"/>
                      <w:rPr>
                        <w:sz w:val="18"/>
                      </w:rPr>
                    </w:pPr>
                    <w:r>
                      <w:rPr>
                        <w:color w:val="585858"/>
                        <w:sz w:val="18"/>
                      </w:rPr>
                      <w:t>2012</w:t>
                      <w:tab/>
                      <w:t>2016</w:t>
                    </w:r>
                  </w:p>
                </w:txbxContent>
              </v:textbox>
              <w10:wrap type="none"/>
            </v:shape>
            <v:shape style="position:absolute;left:7655;top:2646;width:2404;height:205" type="#_x0000_t202" filled="false" stroked="false">
              <v:textbox inset="0,0,0,0">
                <w:txbxContent>
                  <w:p>
                    <w:pPr>
                      <w:tabs>
                        <w:tab w:pos="1695" w:val="left" w:leader="none"/>
                      </w:tabs>
                      <w:spacing w:before="0"/>
                      <w:ind w:left="0" w:right="0" w:firstLine="0"/>
                      <w:jc w:val="left"/>
                      <w:rPr>
                        <w:sz w:val="18"/>
                      </w:rPr>
                    </w:pPr>
                    <w:r>
                      <w:rPr>
                        <w:color w:val="585858"/>
                        <w:sz w:val="18"/>
                      </w:rPr>
                      <w:t>Ingen</w:t>
                    </w:r>
                    <w:r>
                      <w:rPr>
                        <w:color w:val="585858"/>
                        <w:spacing w:val="-4"/>
                        <w:sz w:val="18"/>
                      </w:rPr>
                      <w:t> </w:t>
                    </w:r>
                    <w:r>
                      <w:rPr>
                        <w:color w:val="585858"/>
                        <w:sz w:val="18"/>
                      </w:rPr>
                      <w:t>betydning</w:t>
                      <w:tab/>
                      <w:t>Ved</w:t>
                    </w:r>
                    <w:r>
                      <w:rPr>
                        <w:color w:val="585858"/>
                        <w:spacing w:val="-1"/>
                        <w:sz w:val="18"/>
                      </w:rPr>
                      <w:t> </w:t>
                    </w:r>
                    <w:r>
                      <w:rPr>
                        <w:color w:val="585858"/>
                        <w:sz w:val="18"/>
                      </w:rPr>
                      <w:t>ikke</w:t>
                    </w:r>
                  </w:p>
                </w:txbxContent>
              </v:textbox>
              <w10:wrap type="none"/>
            </v:shape>
            <v:shape style="position:absolute;left:6520;top:2646;width:820;height:409" type="#_x0000_t202" filled="false" stroked="false">
              <v:textbox inset="0,0,0,0">
                <w:txbxContent>
                  <w:p>
                    <w:pPr>
                      <w:spacing w:before="0"/>
                      <w:ind w:left="0" w:right="0" w:firstLine="104"/>
                      <w:jc w:val="left"/>
                      <w:rPr>
                        <w:sz w:val="18"/>
                      </w:rPr>
                    </w:pPr>
                    <w:r>
                      <w:rPr>
                        <w:color w:val="585858"/>
                        <w:sz w:val="18"/>
                      </w:rPr>
                      <w:t>Mindre betydning</w:t>
                    </w:r>
                  </w:p>
                </w:txbxContent>
              </v:textbox>
              <w10:wrap type="none"/>
            </v:shape>
            <v:shape style="position:absolute;left:2334;top:2646;width:3898;height:409" type="#_x0000_t202" filled="false" stroked="false">
              <v:textbox inset="0,0,0,0">
                <w:txbxContent>
                  <w:p>
                    <w:pPr>
                      <w:tabs>
                        <w:tab w:pos="1223" w:val="left" w:leader="none"/>
                      </w:tabs>
                      <w:spacing w:before="0"/>
                      <w:ind w:left="25" w:right="18" w:hanging="25"/>
                      <w:jc w:val="left"/>
                      <w:rPr>
                        <w:sz w:val="18"/>
                      </w:rPr>
                    </w:pPr>
                    <w:r>
                      <w:rPr>
                        <w:color w:val="585858"/>
                        <w:sz w:val="18"/>
                      </w:rPr>
                      <w:t>Meget</w:t>
                    </w:r>
                    <w:r>
                      <w:rPr>
                        <w:color w:val="585858"/>
                        <w:spacing w:val="-3"/>
                        <w:sz w:val="18"/>
                      </w:rPr>
                      <w:t> </w:t>
                    </w:r>
                    <w:r>
                      <w:rPr>
                        <w:color w:val="585858"/>
                        <w:sz w:val="18"/>
                      </w:rPr>
                      <w:t>stor</w:t>
                      <w:tab/>
                      <w:t>Stor betydning Nogen betydning betydning</w:t>
                    </w:r>
                  </w:p>
                </w:txbxContent>
              </v:textbox>
              <w10:wrap type="none"/>
            </v:shape>
            <v:shape style="position:absolute;left:1548;top:439;width:380;height:2193" type="#_x0000_t202" filled="false" stroked="false">
              <v:textbox inset="0,0,0,0">
                <w:txbxContent>
                  <w:p>
                    <w:pPr>
                      <w:spacing w:before="0"/>
                      <w:ind w:left="-1" w:right="18" w:firstLine="0"/>
                      <w:jc w:val="center"/>
                      <w:rPr>
                        <w:sz w:val="18"/>
                      </w:rPr>
                    </w:pPr>
                    <w:r>
                      <w:rPr>
                        <w:color w:val="585858"/>
                        <w:sz w:val="18"/>
                      </w:rPr>
                      <w:t>40%</w:t>
                    </w:r>
                  </w:p>
                  <w:p>
                    <w:pPr>
                      <w:spacing w:line="240" w:lineRule="auto" w:before="8"/>
                      <w:rPr>
                        <w:i/>
                        <w:sz w:val="25"/>
                      </w:rPr>
                    </w:pPr>
                  </w:p>
                  <w:p>
                    <w:pPr>
                      <w:spacing w:before="0"/>
                      <w:ind w:left="2" w:right="0" w:firstLine="0"/>
                      <w:jc w:val="left"/>
                      <w:rPr>
                        <w:sz w:val="18"/>
                      </w:rPr>
                    </w:pPr>
                    <w:r>
                      <w:rPr>
                        <w:color w:val="585858"/>
                        <w:sz w:val="18"/>
                      </w:rPr>
                      <w:t>30%</w:t>
                    </w:r>
                  </w:p>
                  <w:p>
                    <w:pPr>
                      <w:spacing w:line="240" w:lineRule="auto" w:before="9"/>
                      <w:rPr>
                        <w:i/>
                        <w:sz w:val="25"/>
                      </w:rPr>
                    </w:pPr>
                  </w:p>
                  <w:p>
                    <w:pPr>
                      <w:spacing w:before="0"/>
                      <w:ind w:left="0" w:right="17" w:firstLine="0"/>
                      <w:jc w:val="center"/>
                      <w:rPr>
                        <w:sz w:val="18"/>
                      </w:rPr>
                    </w:pPr>
                    <w:r>
                      <w:rPr>
                        <w:color w:val="585858"/>
                        <w:sz w:val="18"/>
                      </w:rPr>
                      <w:t>20%</w:t>
                    </w:r>
                  </w:p>
                  <w:p>
                    <w:pPr>
                      <w:spacing w:line="240" w:lineRule="auto" w:before="8"/>
                      <w:rPr>
                        <w:i/>
                        <w:sz w:val="25"/>
                      </w:rPr>
                    </w:pPr>
                  </w:p>
                  <w:p>
                    <w:pPr>
                      <w:spacing w:before="0"/>
                      <w:ind w:left="23" w:right="0" w:firstLine="0"/>
                      <w:jc w:val="left"/>
                      <w:rPr>
                        <w:sz w:val="18"/>
                      </w:rPr>
                    </w:pPr>
                    <w:r>
                      <w:rPr>
                        <w:color w:val="585858"/>
                        <w:sz w:val="18"/>
                      </w:rPr>
                      <w:t>10%</w:t>
                    </w:r>
                  </w:p>
                  <w:p>
                    <w:pPr>
                      <w:spacing w:line="240" w:lineRule="auto" w:before="8"/>
                      <w:rPr>
                        <w:i/>
                        <w:sz w:val="25"/>
                      </w:rPr>
                    </w:pPr>
                  </w:p>
                  <w:p>
                    <w:pPr>
                      <w:spacing w:before="1"/>
                      <w:ind w:left="81" w:right="0" w:firstLine="0"/>
                      <w:jc w:val="center"/>
                      <w:rPr>
                        <w:sz w:val="18"/>
                      </w:rPr>
                    </w:pPr>
                    <w:r>
                      <w:rPr>
                        <w:color w:val="585858"/>
                        <w:sz w:val="18"/>
                      </w:rPr>
                      <w:t>0%</w:t>
                    </w:r>
                  </w:p>
                </w:txbxContent>
              </v:textbox>
              <w10:wrap type="none"/>
            </v:shape>
            <w10:wrap type="topAndBottom"/>
          </v:group>
        </w:pict>
      </w:r>
      <w:bookmarkStart w:name="_bookmark73" w:id="101"/>
      <w:bookmarkEnd w:id="101"/>
      <w:r>
        <w:rPr/>
      </w:r>
      <w:r>
        <w:rPr>
          <w:i/>
          <w:color w:val="A21F1F"/>
          <w:sz w:val="18"/>
        </w:rPr>
        <w:t>Figur 42: Betydning af frie geodata for virksomhedernes georelaterede omsætning, henholdsvis i 2012 og i 2016</w:t>
      </w:r>
    </w:p>
    <w:p>
      <w:pPr>
        <w:spacing w:before="76"/>
        <w:ind w:left="278" w:right="0" w:firstLine="0"/>
        <w:jc w:val="left"/>
        <w:rPr>
          <w:i/>
          <w:sz w:val="18"/>
        </w:rPr>
      </w:pPr>
      <w:r>
        <w:rPr>
          <w:b/>
          <w:i/>
          <w:color w:val="A21F1F"/>
          <w:sz w:val="18"/>
        </w:rPr>
        <w:t>Kilde</w:t>
      </w:r>
      <w:r>
        <w:rPr>
          <w:i/>
          <w:color w:val="A21F1F"/>
          <w:sz w:val="18"/>
        </w:rPr>
        <w:t>: Før måling og spørgeskemaundersøgelse udført blandt private virksomheder</w:t>
      </w:r>
    </w:p>
    <w:p>
      <w:pPr>
        <w:spacing w:before="119"/>
        <w:ind w:left="278" w:right="0" w:firstLine="0"/>
        <w:jc w:val="left"/>
        <w:rPr>
          <w:i/>
          <w:sz w:val="18"/>
        </w:rPr>
      </w:pPr>
      <w:r>
        <w:rPr>
          <w:b/>
          <w:i/>
          <w:color w:val="A21F1F"/>
          <w:sz w:val="18"/>
        </w:rPr>
        <w:t>N</w:t>
      </w:r>
      <w:r>
        <w:rPr>
          <w:i/>
          <w:color w:val="A21F1F"/>
          <w:sz w:val="18"/>
        </w:rPr>
        <w:t>: 2016: 81 og 2012: ukendt</w:t>
      </w:r>
    </w:p>
    <w:p>
      <w:pPr>
        <w:pStyle w:val="BodyText"/>
        <w:rPr>
          <w:i/>
        </w:rPr>
      </w:pPr>
    </w:p>
    <w:p>
      <w:pPr>
        <w:pStyle w:val="BodyText"/>
        <w:spacing w:before="7"/>
        <w:rPr>
          <w:i/>
        </w:rPr>
      </w:pPr>
    </w:p>
    <w:p>
      <w:pPr>
        <w:pStyle w:val="BodyText"/>
        <w:spacing w:line="360" w:lineRule="auto"/>
        <w:ind w:left="278" w:right="1051"/>
      </w:pPr>
      <w:r>
        <w:rPr/>
        <w:t>For hver virksomhed beregnes omsætningen, der er relateret til de frie geodata i 2016. Beregningen viser, at den samlede omsætning, der er relateret til de frie geodata i 2016, kan beregnes til ca. 893 mio. kr. for de private virksomheder, der har deltaget i undersøgelsen. Til sammenligning var tallet i 2012 ca. 237 mio. kr. for de virksomheder, der deltog i før-målingen. Udviklingen skyldes i høj grad, at tre af Danmarks største ingeniørvirksomheder, Niras, Cowi og Rambøll, har deltaget i nærværende analyse.</w:t>
      </w:r>
    </w:p>
    <w:p>
      <w:pPr>
        <w:pStyle w:val="BodyText"/>
        <w:spacing w:before="1"/>
        <w:rPr>
          <w:sz w:val="21"/>
        </w:rPr>
      </w:pPr>
    </w:p>
    <w:p>
      <w:pPr>
        <w:pStyle w:val="BodyText"/>
        <w:spacing w:line="360" w:lineRule="auto"/>
        <w:ind w:left="278" w:right="1166"/>
      </w:pPr>
      <w:r>
        <w:rPr/>
        <w:t>For de private virksomheder estimeres den samlede markedseffekt af de frie geodata i 2016 således til ca. 893 mio. kr.</w:t>
      </w:r>
    </w:p>
    <w:p>
      <w:pPr>
        <w:pStyle w:val="BodyText"/>
        <w:spacing w:before="1"/>
        <w:rPr>
          <w:sz w:val="21"/>
        </w:rPr>
      </w:pPr>
    </w:p>
    <w:p>
      <w:pPr>
        <w:spacing w:before="0"/>
        <w:ind w:left="278" w:right="0" w:firstLine="0"/>
        <w:jc w:val="left"/>
        <w:rPr>
          <w:i/>
          <w:sz w:val="18"/>
        </w:rPr>
      </w:pPr>
      <w:r>
        <w:rPr>
          <w:i/>
          <w:color w:val="A21F1F"/>
          <w:sz w:val="18"/>
        </w:rPr>
        <w:t>Tabel 4: Markedseffekt for private virksomheder, henholdsvis i 2012 og i 2016</w:t>
      </w:r>
    </w:p>
    <w:p>
      <w:pPr>
        <w:pStyle w:val="BodyText"/>
        <w:spacing w:before="8"/>
        <w:rPr>
          <w:i/>
          <w:sz w:val="11"/>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9"/>
        <w:gridCol w:w="3046"/>
        <w:gridCol w:w="3154"/>
      </w:tblGrid>
      <w:tr>
        <w:trPr>
          <w:trHeight w:val="211" w:hRule="atLeast"/>
        </w:trPr>
        <w:tc>
          <w:tcPr>
            <w:tcW w:w="9459" w:type="dxa"/>
            <w:gridSpan w:val="3"/>
            <w:shd w:val="clear" w:color="auto" w:fill="A21F1F"/>
          </w:tcPr>
          <w:p>
            <w:pPr>
              <w:pStyle w:val="TableParagraph"/>
              <w:spacing w:line="191" w:lineRule="exact"/>
              <w:ind w:left="5333"/>
              <w:rPr>
                <w:rFonts w:ascii="Arial"/>
                <w:b/>
                <w:sz w:val="18"/>
              </w:rPr>
            </w:pPr>
            <w:r>
              <w:rPr>
                <w:rFonts w:ascii="Arial"/>
                <w:b/>
                <w:color w:val="FFFFFF"/>
                <w:sz w:val="18"/>
              </w:rPr>
              <w:t>Markedseffekt, mio. kr.</w:t>
            </w:r>
          </w:p>
        </w:tc>
      </w:tr>
      <w:tr>
        <w:trPr>
          <w:trHeight w:val="208" w:hRule="atLeast"/>
        </w:trPr>
        <w:tc>
          <w:tcPr>
            <w:tcW w:w="3259" w:type="dxa"/>
            <w:shd w:val="clear" w:color="auto" w:fill="A21F1F"/>
          </w:tcPr>
          <w:p>
            <w:pPr>
              <w:pStyle w:val="TableParagraph"/>
              <w:rPr>
                <w:rFonts w:ascii="Times New Roman"/>
                <w:sz w:val="14"/>
              </w:rPr>
            </w:pPr>
          </w:p>
        </w:tc>
        <w:tc>
          <w:tcPr>
            <w:tcW w:w="3046" w:type="dxa"/>
            <w:shd w:val="clear" w:color="auto" w:fill="A21F1F"/>
          </w:tcPr>
          <w:p>
            <w:pPr>
              <w:pStyle w:val="TableParagraph"/>
              <w:spacing w:line="185" w:lineRule="exact" w:before="4"/>
              <w:ind w:right="1368"/>
              <w:jc w:val="right"/>
              <w:rPr>
                <w:rFonts w:ascii="Arial"/>
                <w:sz w:val="18"/>
              </w:rPr>
            </w:pPr>
            <w:r>
              <w:rPr>
                <w:rFonts w:ascii="Arial"/>
                <w:color w:val="FFFFFF"/>
                <w:w w:val="95"/>
                <w:sz w:val="18"/>
              </w:rPr>
              <w:t>2012</w:t>
            </w:r>
          </w:p>
        </w:tc>
        <w:tc>
          <w:tcPr>
            <w:tcW w:w="3154" w:type="dxa"/>
            <w:shd w:val="clear" w:color="auto" w:fill="A21F1F"/>
          </w:tcPr>
          <w:p>
            <w:pPr>
              <w:pStyle w:val="TableParagraph"/>
              <w:spacing w:line="185" w:lineRule="exact" w:before="4"/>
              <w:ind w:left="1380"/>
              <w:rPr>
                <w:rFonts w:ascii="Arial"/>
                <w:sz w:val="18"/>
              </w:rPr>
            </w:pPr>
            <w:r>
              <w:rPr>
                <w:rFonts w:ascii="Arial"/>
                <w:color w:val="FFFFFF"/>
                <w:sz w:val="18"/>
              </w:rPr>
              <w:t>2016</w:t>
            </w:r>
          </w:p>
        </w:tc>
      </w:tr>
      <w:tr>
        <w:trPr>
          <w:trHeight w:val="395" w:hRule="atLeast"/>
        </w:trPr>
        <w:tc>
          <w:tcPr>
            <w:tcW w:w="3259" w:type="dxa"/>
            <w:tcBorders>
              <w:top w:val="single" w:sz="4" w:space="0" w:color="A21F1F"/>
              <w:left w:val="single" w:sz="4" w:space="0" w:color="A21F1F"/>
              <w:bottom w:val="single" w:sz="4" w:space="0" w:color="A21F1F"/>
            </w:tcBorders>
          </w:tcPr>
          <w:p>
            <w:pPr>
              <w:pStyle w:val="TableParagraph"/>
              <w:spacing w:before="90"/>
              <w:ind w:left="107"/>
              <w:rPr>
                <w:rFonts w:ascii="Arial"/>
                <w:b/>
                <w:sz w:val="18"/>
              </w:rPr>
            </w:pPr>
            <w:r>
              <w:rPr>
                <w:rFonts w:ascii="Arial"/>
                <w:b/>
                <w:sz w:val="18"/>
              </w:rPr>
              <w:t>Private virksomheder</w:t>
            </w:r>
          </w:p>
        </w:tc>
        <w:tc>
          <w:tcPr>
            <w:tcW w:w="3046" w:type="dxa"/>
            <w:tcBorders>
              <w:top w:val="single" w:sz="4" w:space="0" w:color="A21F1F"/>
              <w:bottom w:val="single" w:sz="4" w:space="0" w:color="A21F1F"/>
            </w:tcBorders>
          </w:tcPr>
          <w:p>
            <w:pPr>
              <w:pStyle w:val="TableParagraph"/>
              <w:spacing w:before="95"/>
              <w:ind w:right="1418"/>
              <w:jc w:val="right"/>
              <w:rPr>
                <w:rFonts w:ascii="Arial"/>
                <w:sz w:val="18"/>
              </w:rPr>
            </w:pPr>
            <w:r>
              <w:rPr>
                <w:rFonts w:ascii="Arial"/>
                <w:w w:val="95"/>
                <w:sz w:val="18"/>
              </w:rPr>
              <w:t>237</w:t>
            </w:r>
          </w:p>
        </w:tc>
        <w:tc>
          <w:tcPr>
            <w:tcW w:w="3154" w:type="dxa"/>
            <w:tcBorders>
              <w:top w:val="single" w:sz="4" w:space="0" w:color="A21F1F"/>
              <w:bottom w:val="single" w:sz="4" w:space="0" w:color="A21F1F"/>
              <w:right w:val="single" w:sz="4" w:space="0" w:color="A21F1F"/>
            </w:tcBorders>
          </w:tcPr>
          <w:p>
            <w:pPr>
              <w:pStyle w:val="TableParagraph"/>
              <w:spacing w:before="95"/>
              <w:ind w:left="1431"/>
              <w:rPr>
                <w:rFonts w:ascii="Arial"/>
                <w:sz w:val="18"/>
              </w:rPr>
            </w:pPr>
            <w:r>
              <w:rPr>
                <w:rFonts w:ascii="Arial"/>
                <w:sz w:val="18"/>
              </w:rPr>
              <w:t>893</w:t>
            </w:r>
          </w:p>
        </w:tc>
      </w:tr>
    </w:tbl>
    <w:p>
      <w:pPr>
        <w:pStyle w:val="BodyText"/>
        <w:spacing w:before="8"/>
        <w:rPr>
          <w:i/>
          <w:sz w:val="17"/>
        </w:rPr>
      </w:pPr>
    </w:p>
    <w:p>
      <w:pPr>
        <w:spacing w:before="1"/>
        <w:ind w:left="278" w:right="0" w:firstLine="0"/>
        <w:jc w:val="left"/>
        <w:rPr>
          <w:i/>
          <w:sz w:val="18"/>
        </w:rPr>
      </w:pPr>
      <w:r>
        <w:rPr>
          <w:b/>
          <w:i/>
          <w:color w:val="A21F1F"/>
          <w:sz w:val="18"/>
        </w:rPr>
        <w:t>Kilde: </w:t>
      </w:r>
      <w:r>
        <w:rPr>
          <w:i/>
          <w:color w:val="A21F1F"/>
          <w:sz w:val="18"/>
        </w:rPr>
        <w:t>Før-måling og spørgeskemaundersøgelse udført blandt private virksomheder</w:t>
      </w:r>
    </w:p>
    <w:p>
      <w:pPr>
        <w:pStyle w:val="BodyText"/>
        <w:spacing w:before="6"/>
        <w:rPr>
          <w:i/>
          <w:sz w:val="28"/>
        </w:rPr>
      </w:pPr>
    </w:p>
    <w:p>
      <w:pPr>
        <w:pStyle w:val="BodyText"/>
        <w:spacing w:line="360" w:lineRule="auto"/>
        <w:ind w:left="278" w:right="1246"/>
      </w:pPr>
      <w:r>
        <w:rPr/>
        <w:t>Som tidligere angivet siger markedseffekten noget om størrelsen på det marked, der kan tilskrives de frie geodata. Foruden markedseffekten er beskæftigelseseffekten også med til at estimere den værdi, som de frie geodata skaber. Beskæftigelseseffekten gennemgås derfor i nedenstående afsnit.</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15"/>
        </w:numPr>
        <w:tabs>
          <w:tab w:pos="855" w:val="left" w:leader="none"/>
        </w:tabs>
        <w:spacing w:line="319" w:lineRule="exact" w:before="0" w:after="0"/>
        <w:ind w:left="854" w:right="0" w:hanging="576"/>
        <w:jc w:val="left"/>
        <w:rPr>
          <w:i/>
        </w:rPr>
      </w:pPr>
      <w:bookmarkStart w:name="_bookmark74" w:id="102"/>
      <w:bookmarkEnd w:id="102"/>
      <w:r>
        <w:rPr>
          <w:b w:val="0"/>
          <w:i w:val="0"/>
        </w:rPr>
      </w:r>
      <w:bookmarkStart w:name="_bookmark74" w:id="103"/>
      <w:bookmarkEnd w:id="103"/>
      <w:r>
        <w:rPr>
          <w:i/>
          <w:color w:val="A21F1F"/>
        </w:rPr>
        <w:t>Beskæ</w:t>
      </w:r>
      <w:r>
        <w:rPr>
          <w:i/>
          <w:color w:val="A21F1F"/>
        </w:rPr>
        <w:t>ftigelseseffekten i private</w:t>
      </w:r>
      <w:r>
        <w:rPr>
          <w:i/>
          <w:color w:val="A21F1F"/>
          <w:spacing w:val="-4"/>
        </w:rPr>
        <w:t> </w:t>
      </w:r>
      <w:r>
        <w:rPr>
          <w:i/>
          <w:color w:val="A21F1F"/>
        </w:rPr>
        <w:t>virksomheder</w:t>
      </w:r>
    </w:p>
    <w:p>
      <w:pPr>
        <w:pStyle w:val="BodyText"/>
        <w:spacing w:line="360" w:lineRule="auto" w:before="243"/>
        <w:ind w:left="278" w:right="1092"/>
      </w:pPr>
      <w:r>
        <w:rPr/>
        <w:t>Beskæftigelseseffekten er et udtryk for det antal fuldtidsmedarbejdere, som de frie geodata har bidraget til at generere i private virksomheder. For at beregne beskæftigelseseffekten i de private virksomheder anvendes samme metode som til beregningen af markedseffekten, jf. </w:t>
      </w:r>
      <w:hyperlink w:history="true" w:anchor="_bookmark75">
        <w:r>
          <w:rPr/>
          <w:t>Figur 43. </w:t>
        </w:r>
      </w:hyperlink>
      <w:r>
        <w:rPr/>
        <w:t>Eftermålingen i 2016 tager dog alene udgangspunkt i antallet af ansatte i de private virksomheder frem for omsætningen.</w:t>
      </w:r>
    </w:p>
    <w:p>
      <w:pPr>
        <w:pStyle w:val="BodyText"/>
        <w:rPr>
          <w:sz w:val="21"/>
        </w:rPr>
      </w:pPr>
    </w:p>
    <w:p>
      <w:pPr>
        <w:spacing w:before="1"/>
        <w:ind w:left="278" w:right="0" w:firstLine="0"/>
        <w:jc w:val="left"/>
        <w:rPr>
          <w:i/>
          <w:sz w:val="18"/>
        </w:rPr>
      </w:pPr>
      <w:r>
        <w:rPr/>
        <w:pict>
          <v:group style="position:absolute;margin-left:70.944pt;margin-top:16.342903pt;width:472.4pt;height:266.45pt;mso-position-horizontal-relative:page;mso-position-vertical-relative:paragraph;z-index:7592;mso-wrap-distance-left:0;mso-wrap-distance-right:0" coordorigin="1419,327" coordsize="9448,5329">
            <v:rect style="position:absolute;left:1418;top:554;width:9448;height:4871" filled="true" fillcolor="#f1f1f1" stroked="false">
              <v:fill type="solid"/>
            </v:rect>
            <v:rect style="position:absolute;left:1644;top:554;width:8995;height:581" filled="true" fillcolor="#f1f1f1" stroked="false">
              <v:fill type="solid"/>
            </v:rect>
            <v:rect style="position:absolute;left:1644;top:1135;width:8995;height:279" filled="true" fillcolor="#f1f1f1" stroked="false">
              <v:fill type="solid"/>
            </v:rect>
            <v:rect style="position:absolute;left:1644;top:1414;width:8995;height:262" filled="true" fillcolor="#f1f1f1" stroked="false">
              <v:fill type="solid"/>
            </v:rect>
            <v:rect style="position:absolute;left:1644;top:1675;width:8995;height:503" filled="true" fillcolor="#f1f1f1" stroked="false">
              <v:fill type="solid"/>
            </v:rect>
            <v:rect style="position:absolute;left:1644;top:2177;width:8995;height:279" filled="true" fillcolor="#f1f1f1" stroked="false">
              <v:fill type="solid"/>
            </v:rect>
            <v:rect style="position:absolute;left:1644;top:2456;width:8995;height:502" filled="true" fillcolor="#f1f1f1" stroked="false">
              <v:fill type="solid"/>
            </v:rect>
            <v:rect style="position:absolute;left:1644;top:2957;width:8995;height:245" filled="true" fillcolor="#f1f1f1" stroked="false">
              <v:fill type="solid"/>
            </v:rect>
            <v:rect style="position:absolute;left:1644;top:3202;width:8995;height:228" filled="true" fillcolor="#f1f1f1" stroked="false">
              <v:fill type="solid"/>
            </v:rect>
            <v:rect style="position:absolute;left:1644;top:3430;width:8995;height:466" filled="true" fillcolor="#f1f1f1" stroked="false">
              <v:fill type="solid"/>
            </v:rect>
            <v:rect style="position:absolute;left:1418;top:326;width:9448;height:228" filled="true" fillcolor="#f1f1f1" stroked="false">
              <v:fill type="solid"/>
            </v:rect>
            <v:rect style="position:absolute;left:1418;top:5653;width:9448;height:3" filled="true" fillcolor="#f1f1f1" stroked="false">
              <v:fill type="solid"/>
            </v:rect>
            <v:rect style="position:absolute;left:1418;top:5425;width:9448;height:228" filled="true" fillcolor="#f1f1f1" stroked="false">
              <v:fill type="solid"/>
            </v:rect>
            <v:shape style="position:absolute;left:1649;top:3685;width:8835;height:1727" type="#_x0000_t75" stroked="false">
              <v:imagedata r:id="rId33" o:title=""/>
            </v:shape>
            <v:shape style="position:absolute;left:1418;top:326;width:9448;height:5329" type="#_x0000_t202" filled="false" stroked="false">
              <v:textbox inset="0,0,0,0">
                <w:txbxContent>
                  <w:p>
                    <w:pPr>
                      <w:spacing w:line="240" w:lineRule="auto" w:before="11"/>
                      <w:rPr>
                        <w:i/>
                        <w:sz w:val="19"/>
                      </w:rPr>
                    </w:pPr>
                  </w:p>
                  <w:p>
                    <w:pPr>
                      <w:spacing w:before="0"/>
                      <w:ind w:left="225" w:right="0" w:firstLine="0"/>
                      <w:jc w:val="left"/>
                      <w:rPr>
                        <w:i/>
                        <w:sz w:val="20"/>
                      </w:rPr>
                    </w:pPr>
                    <w:r>
                      <w:rPr>
                        <w:i/>
                        <w:sz w:val="20"/>
                      </w:rPr>
                      <w:t>Beregningen af beskæftigelseseffekten foretages i følgende tre trin:</w:t>
                    </w:r>
                  </w:p>
                  <w:p>
                    <w:pPr>
                      <w:spacing w:line="240" w:lineRule="auto" w:before="0"/>
                      <w:rPr>
                        <w:i/>
                        <w:sz w:val="31"/>
                      </w:rPr>
                    </w:pPr>
                  </w:p>
                  <w:p>
                    <w:pPr>
                      <w:numPr>
                        <w:ilvl w:val="0"/>
                        <w:numId w:val="17"/>
                      </w:numPr>
                      <w:tabs>
                        <w:tab w:pos="945" w:val="left" w:leader="none"/>
                        <w:tab w:pos="946" w:val="left" w:leader="none"/>
                      </w:tabs>
                      <w:spacing w:line="273" w:lineRule="auto" w:before="0"/>
                      <w:ind w:left="945" w:right="1259" w:hanging="360"/>
                      <w:jc w:val="left"/>
                      <w:rPr>
                        <w:sz w:val="20"/>
                      </w:rPr>
                    </w:pPr>
                    <w:r>
                      <w:rPr>
                        <w:sz w:val="20"/>
                      </w:rPr>
                      <w:t>I </w:t>
                    </w:r>
                    <w:r>
                      <w:rPr>
                        <w:b/>
                        <w:sz w:val="20"/>
                      </w:rPr>
                      <w:t>trin 1 </w:t>
                    </w:r>
                    <w:r>
                      <w:rPr>
                        <w:sz w:val="20"/>
                      </w:rPr>
                      <w:t>beregnes summen af den omsætning, der er generet i Danmark, som de virksomheder,</w:t>
                    </w:r>
                    <w:r>
                      <w:rPr>
                        <w:spacing w:val="-4"/>
                        <w:sz w:val="20"/>
                      </w:rPr>
                      <w:t> </w:t>
                    </w:r>
                    <w:r>
                      <w:rPr>
                        <w:sz w:val="20"/>
                      </w:rPr>
                      <w:t>der</w:t>
                    </w:r>
                    <w:r>
                      <w:rPr>
                        <w:spacing w:val="-4"/>
                        <w:sz w:val="20"/>
                      </w:rPr>
                      <w:t> </w:t>
                    </w:r>
                    <w:r>
                      <w:rPr>
                        <w:sz w:val="20"/>
                      </w:rPr>
                      <w:t>har</w:t>
                    </w:r>
                    <w:r>
                      <w:rPr>
                        <w:spacing w:val="-4"/>
                        <w:sz w:val="20"/>
                      </w:rPr>
                      <w:t> </w:t>
                    </w:r>
                    <w:r>
                      <w:rPr>
                        <w:sz w:val="20"/>
                      </w:rPr>
                      <w:t>deltaget</w:t>
                    </w:r>
                    <w:r>
                      <w:rPr>
                        <w:spacing w:val="-4"/>
                        <w:sz w:val="20"/>
                      </w:rPr>
                      <w:t> </w:t>
                    </w:r>
                    <w:r>
                      <w:rPr>
                        <w:sz w:val="20"/>
                      </w:rPr>
                      <w:t>i</w:t>
                    </w:r>
                    <w:r>
                      <w:rPr>
                        <w:spacing w:val="-4"/>
                        <w:sz w:val="20"/>
                      </w:rPr>
                      <w:t> </w:t>
                    </w:r>
                    <w:r>
                      <w:rPr>
                        <w:sz w:val="20"/>
                      </w:rPr>
                      <w:t>undersøgelsen,</w:t>
                    </w:r>
                    <w:r>
                      <w:rPr>
                        <w:spacing w:val="-4"/>
                        <w:sz w:val="20"/>
                      </w:rPr>
                      <w:t> </w:t>
                    </w:r>
                    <w:r>
                      <w:rPr>
                        <w:sz w:val="20"/>
                      </w:rPr>
                      <w:t>har</w:t>
                    </w:r>
                    <w:r>
                      <w:rPr>
                        <w:spacing w:val="-4"/>
                        <w:sz w:val="20"/>
                      </w:rPr>
                      <w:t> </w:t>
                    </w:r>
                    <w:r>
                      <w:rPr>
                        <w:sz w:val="20"/>
                      </w:rPr>
                      <w:t>angivet</w:t>
                    </w:r>
                    <w:r>
                      <w:rPr>
                        <w:spacing w:val="2"/>
                        <w:sz w:val="20"/>
                      </w:rPr>
                      <w:t> </w:t>
                    </w:r>
                    <w:r>
                      <w:rPr>
                        <w:sz w:val="20"/>
                      </w:rPr>
                      <w:t>(dette</w:t>
                    </w:r>
                    <w:r>
                      <w:rPr>
                        <w:spacing w:val="-5"/>
                        <w:sz w:val="20"/>
                      </w:rPr>
                      <w:t> </w:t>
                    </w:r>
                    <w:r>
                      <w:rPr>
                        <w:sz w:val="20"/>
                      </w:rPr>
                      <w:t>trin</w:t>
                    </w:r>
                    <w:r>
                      <w:rPr>
                        <w:spacing w:val="-2"/>
                        <w:sz w:val="20"/>
                      </w:rPr>
                      <w:t> </w:t>
                    </w:r>
                    <w:r>
                      <w:rPr>
                        <w:sz w:val="20"/>
                      </w:rPr>
                      <w:t>er</w:t>
                    </w:r>
                    <w:r>
                      <w:rPr>
                        <w:spacing w:val="-4"/>
                        <w:sz w:val="20"/>
                      </w:rPr>
                      <w:t> </w:t>
                    </w:r>
                    <w:r>
                      <w:rPr>
                        <w:sz w:val="20"/>
                      </w:rPr>
                      <w:t>udeladt</w:t>
                    </w:r>
                    <w:r>
                      <w:rPr>
                        <w:spacing w:val="-3"/>
                        <w:sz w:val="20"/>
                      </w:rPr>
                      <w:t> </w:t>
                    </w:r>
                    <w:r>
                      <w:rPr>
                        <w:sz w:val="20"/>
                      </w:rPr>
                      <w:t>i beregningen i eftermålingen i</w:t>
                    </w:r>
                    <w:r>
                      <w:rPr>
                        <w:spacing w:val="-5"/>
                        <w:sz w:val="20"/>
                      </w:rPr>
                      <w:t> </w:t>
                    </w:r>
                    <w:r>
                      <w:rPr>
                        <w:sz w:val="20"/>
                      </w:rPr>
                      <w:t>2016).</w:t>
                    </w:r>
                  </w:p>
                  <w:p>
                    <w:pPr>
                      <w:spacing w:line="240" w:lineRule="auto" w:before="6"/>
                      <w:rPr>
                        <w:i/>
                        <w:sz w:val="21"/>
                      </w:rPr>
                    </w:pPr>
                  </w:p>
                  <w:p>
                    <w:pPr>
                      <w:numPr>
                        <w:ilvl w:val="0"/>
                        <w:numId w:val="17"/>
                      </w:numPr>
                      <w:tabs>
                        <w:tab w:pos="945" w:val="left" w:leader="none"/>
                        <w:tab w:pos="946" w:val="left" w:leader="none"/>
                      </w:tabs>
                      <w:spacing w:line="271" w:lineRule="auto" w:before="0"/>
                      <w:ind w:left="945" w:right="384" w:hanging="360"/>
                      <w:jc w:val="left"/>
                      <w:rPr>
                        <w:sz w:val="20"/>
                      </w:rPr>
                    </w:pPr>
                    <w:r>
                      <w:rPr>
                        <w:sz w:val="20"/>
                      </w:rPr>
                      <w:t>I </w:t>
                    </w:r>
                    <w:r>
                      <w:rPr>
                        <w:b/>
                        <w:sz w:val="20"/>
                      </w:rPr>
                      <w:t>trin 2 </w:t>
                    </w:r>
                    <w:r>
                      <w:rPr>
                        <w:sz w:val="20"/>
                      </w:rPr>
                      <w:t>beregnes det samlede antal ansatte, der kan relateres til anvendelsen af geodata i de virksomheder, som de virksomheder, der har deltaget i undersøgelsen, har</w:t>
                    </w:r>
                    <w:r>
                      <w:rPr>
                        <w:spacing w:val="-16"/>
                        <w:sz w:val="20"/>
                      </w:rPr>
                      <w:t> </w:t>
                    </w:r>
                    <w:r>
                      <w:rPr>
                        <w:sz w:val="20"/>
                      </w:rPr>
                      <w:t>angivet.</w:t>
                    </w:r>
                  </w:p>
                  <w:p>
                    <w:pPr>
                      <w:spacing w:line="240" w:lineRule="auto" w:before="8"/>
                      <w:rPr>
                        <w:i/>
                        <w:sz w:val="21"/>
                      </w:rPr>
                    </w:pPr>
                  </w:p>
                  <w:p>
                    <w:pPr>
                      <w:numPr>
                        <w:ilvl w:val="0"/>
                        <w:numId w:val="17"/>
                      </w:numPr>
                      <w:tabs>
                        <w:tab w:pos="945" w:val="left" w:leader="none"/>
                        <w:tab w:pos="946" w:val="left" w:leader="none"/>
                      </w:tabs>
                      <w:spacing w:before="0"/>
                      <w:ind w:left="945" w:right="372" w:hanging="360"/>
                      <w:jc w:val="left"/>
                      <w:rPr>
                        <w:sz w:val="20"/>
                      </w:rPr>
                    </w:pPr>
                    <w:r>
                      <w:rPr>
                        <w:sz w:val="20"/>
                      </w:rPr>
                      <w:t>I </w:t>
                    </w:r>
                    <w:r>
                      <w:rPr>
                        <w:b/>
                        <w:sz w:val="20"/>
                      </w:rPr>
                      <w:t>trin 3 </w:t>
                    </w:r>
                    <w:r>
                      <w:rPr>
                        <w:sz w:val="20"/>
                      </w:rPr>
                      <w:t>beregnes det samlede antal ansatte, der kan relateres til anvendelsen af de frie geodata</w:t>
                    </w:r>
                    <w:r>
                      <w:rPr>
                        <w:spacing w:val="-5"/>
                        <w:sz w:val="20"/>
                      </w:rPr>
                      <w:t> </w:t>
                    </w:r>
                    <w:r>
                      <w:rPr>
                        <w:sz w:val="20"/>
                      </w:rPr>
                      <w:t>på</w:t>
                    </w:r>
                    <w:r>
                      <w:rPr>
                        <w:spacing w:val="-3"/>
                        <w:sz w:val="20"/>
                      </w:rPr>
                      <w:t> </w:t>
                    </w:r>
                    <w:r>
                      <w:rPr>
                        <w:sz w:val="20"/>
                      </w:rPr>
                      <w:t>baggrund</w:t>
                    </w:r>
                    <w:r>
                      <w:rPr>
                        <w:spacing w:val="-3"/>
                        <w:sz w:val="20"/>
                      </w:rPr>
                      <w:t> </w:t>
                    </w:r>
                    <w:r>
                      <w:rPr>
                        <w:sz w:val="20"/>
                      </w:rPr>
                      <w:t>af</w:t>
                    </w:r>
                    <w:r>
                      <w:rPr>
                        <w:spacing w:val="-2"/>
                        <w:sz w:val="20"/>
                      </w:rPr>
                      <w:t> </w:t>
                    </w:r>
                    <w:r>
                      <w:rPr>
                        <w:sz w:val="20"/>
                      </w:rPr>
                      <w:t>besvarelserne</w:t>
                    </w:r>
                    <w:r>
                      <w:rPr>
                        <w:spacing w:val="-5"/>
                        <w:sz w:val="20"/>
                      </w:rPr>
                      <w:t> </w:t>
                    </w:r>
                    <w:r>
                      <w:rPr>
                        <w:sz w:val="20"/>
                      </w:rPr>
                      <w:t>fra</w:t>
                    </w:r>
                    <w:r>
                      <w:rPr>
                        <w:spacing w:val="-4"/>
                        <w:sz w:val="20"/>
                      </w:rPr>
                      <w:t> </w:t>
                    </w:r>
                    <w:r>
                      <w:rPr>
                        <w:sz w:val="20"/>
                      </w:rPr>
                      <w:t>de</w:t>
                    </w:r>
                    <w:r>
                      <w:rPr>
                        <w:spacing w:val="-3"/>
                        <w:sz w:val="20"/>
                      </w:rPr>
                      <w:t> </w:t>
                    </w:r>
                    <w:r>
                      <w:rPr>
                        <w:sz w:val="20"/>
                      </w:rPr>
                      <w:t>virksomheder,</w:t>
                    </w:r>
                    <w:r>
                      <w:rPr>
                        <w:spacing w:val="-6"/>
                        <w:sz w:val="20"/>
                      </w:rPr>
                      <w:t> </w:t>
                    </w:r>
                    <w:r>
                      <w:rPr>
                        <w:sz w:val="20"/>
                      </w:rPr>
                      <w:t>der</w:t>
                    </w:r>
                    <w:r>
                      <w:rPr>
                        <w:spacing w:val="-2"/>
                        <w:sz w:val="20"/>
                      </w:rPr>
                      <w:t> </w:t>
                    </w:r>
                    <w:r>
                      <w:rPr>
                        <w:sz w:val="20"/>
                      </w:rPr>
                      <w:t>har</w:t>
                    </w:r>
                    <w:r>
                      <w:rPr>
                        <w:spacing w:val="-5"/>
                        <w:sz w:val="20"/>
                      </w:rPr>
                      <w:t> </w:t>
                    </w:r>
                    <w:r>
                      <w:rPr>
                        <w:sz w:val="20"/>
                      </w:rPr>
                      <w:t>deltaget</w:t>
                    </w:r>
                    <w:r>
                      <w:rPr>
                        <w:spacing w:val="-2"/>
                        <w:sz w:val="20"/>
                      </w:rPr>
                      <w:t> </w:t>
                    </w:r>
                    <w:r>
                      <w:rPr>
                        <w:sz w:val="20"/>
                      </w:rPr>
                      <w:t>i</w:t>
                    </w:r>
                    <w:r>
                      <w:rPr>
                        <w:spacing w:val="-5"/>
                        <w:sz w:val="20"/>
                      </w:rPr>
                      <w:t> </w:t>
                    </w:r>
                    <w:r>
                      <w:rPr>
                        <w:sz w:val="20"/>
                      </w:rPr>
                      <w:t>undersøgelsen. Dette betragtes som udtryk for beskæftigelseseffekten.</w:t>
                    </w:r>
                  </w:p>
                </w:txbxContent>
              </v:textbox>
              <w10:wrap type="none"/>
            </v:shape>
            <v:shape style="position:absolute;left:5339;top:4607;width:1969;height:648" type="#_x0000_t202" filled="true" fillcolor="#a21f1f" stroked="false">
              <v:textbox inset="0,0,0,0">
                <w:txbxContent>
                  <w:p>
                    <w:pPr>
                      <w:spacing w:line="280" w:lineRule="auto" w:before="40"/>
                      <w:ind w:left="210" w:right="157" w:hanging="34"/>
                      <w:jc w:val="left"/>
                      <w:rPr>
                        <w:sz w:val="18"/>
                      </w:rPr>
                    </w:pPr>
                    <w:r>
                      <w:rPr>
                        <w:color w:val="F1F1F1"/>
                        <w:sz w:val="18"/>
                      </w:rPr>
                      <w:t>Samlet antal ansatte relateret til geodata</w:t>
                    </w:r>
                  </w:p>
                </w:txbxContent>
              </v:textbox>
              <v:fill type="solid"/>
              <w10:wrap type="none"/>
            </v:shape>
            <w10:wrap type="topAndBottom"/>
          </v:group>
        </w:pict>
      </w:r>
      <w:bookmarkStart w:name="_bookmark75" w:id="104"/>
      <w:bookmarkEnd w:id="104"/>
      <w:r>
        <w:rPr/>
      </w:r>
      <w:r>
        <w:rPr>
          <w:i/>
          <w:color w:val="A21F1F"/>
          <w:sz w:val="18"/>
        </w:rPr>
        <w:t>Figur 43: Beregning af beskæftigelseseffekten af de frie geodata</w:t>
      </w:r>
    </w:p>
    <w:p>
      <w:pPr>
        <w:pStyle w:val="BodyText"/>
        <w:spacing w:before="5"/>
        <w:rPr>
          <w:i/>
          <w:sz w:val="18"/>
        </w:rPr>
      </w:pPr>
    </w:p>
    <w:p>
      <w:pPr>
        <w:pStyle w:val="BodyText"/>
        <w:spacing w:line="360" w:lineRule="auto" w:before="99"/>
        <w:ind w:left="278" w:right="1216"/>
      </w:pPr>
      <w:r>
        <w:rPr/>
        <w:t>Som det også var tilfældet for beregningen af markedseffekten, er det vurderingen, at det ikke er nødvendigt at opregne til populationsniveau på grund af det relativt store antal besvarelser i nærværende eftermåling. Beregningen af beskæftigelseseffekten af de frie geodata i 2016 for private virksomheder foretages således på baggrund af de 119 besvarelser, der er modtaget fra private virksomheder.</w:t>
      </w:r>
    </w:p>
    <w:p>
      <w:pPr>
        <w:pStyle w:val="BodyText"/>
        <w:spacing w:before="1"/>
        <w:rPr>
          <w:sz w:val="21"/>
        </w:rPr>
      </w:pPr>
    </w:p>
    <w:p>
      <w:pPr>
        <w:pStyle w:val="BodyText"/>
        <w:spacing w:line="360" w:lineRule="auto"/>
        <w:ind w:left="278" w:right="1427"/>
      </w:pPr>
      <w:r>
        <w:rPr/>
        <w:t>Den samlede beskæftigelseseffekt af de frie geodata for hele populationen af private virksomheder, der anvender de frie geodata, estimeres til ca. 225 årsværk i 2016, jf. </w:t>
      </w:r>
      <w:hyperlink w:history="true" w:anchor="_bookmark76">
        <w:r>
          <w:rPr/>
          <w:t>Tabel 5. </w:t>
        </w:r>
      </w:hyperlink>
      <w:r>
        <w:rPr/>
        <w:t>I 2012 var tallet 840 årsværk.</w:t>
      </w:r>
    </w:p>
    <w:p>
      <w:pPr>
        <w:pStyle w:val="BodyText"/>
        <w:rPr>
          <w:sz w:val="21"/>
        </w:rPr>
      </w:pPr>
    </w:p>
    <w:p>
      <w:pPr>
        <w:spacing w:before="0"/>
        <w:ind w:left="278" w:right="0" w:firstLine="0"/>
        <w:jc w:val="left"/>
        <w:rPr>
          <w:i/>
          <w:sz w:val="18"/>
        </w:rPr>
      </w:pPr>
      <w:bookmarkStart w:name="_bookmark76" w:id="105"/>
      <w:bookmarkEnd w:id="105"/>
      <w:r>
        <w:rPr/>
      </w:r>
      <w:r>
        <w:rPr>
          <w:i/>
          <w:color w:val="A21F1F"/>
          <w:sz w:val="18"/>
        </w:rPr>
        <w:t>Tabel 5: Beskæftigelseseffekt for private virksomheder, henholdsvis i 2012 og i 2016</w:t>
      </w:r>
    </w:p>
    <w:p>
      <w:pPr>
        <w:pStyle w:val="BodyText"/>
        <w:spacing w:before="9"/>
        <w:rPr>
          <w:i/>
          <w:sz w:val="11"/>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9"/>
        <w:gridCol w:w="3046"/>
        <w:gridCol w:w="3154"/>
      </w:tblGrid>
      <w:tr>
        <w:trPr>
          <w:trHeight w:val="211" w:hRule="atLeast"/>
        </w:trPr>
        <w:tc>
          <w:tcPr>
            <w:tcW w:w="9459" w:type="dxa"/>
            <w:gridSpan w:val="3"/>
            <w:shd w:val="clear" w:color="auto" w:fill="A21F1F"/>
          </w:tcPr>
          <w:p>
            <w:pPr>
              <w:pStyle w:val="TableParagraph"/>
              <w:spacing w:line="191" w:lineRule="exact"/>
              <w:ind w:left="5006"/>
              <w:rPr>
                <w:rFonts w:ascii="Arial" w:hAnsi="Arial"/>
                <w:b/>
                <w:sz w:val="18"/>
              </w:rPr>
            </w:pPr>
            <w:r>
              <w:rPr>
                <w:rFonts w:ascii="Arial" w:hAnsi="Arial"/>
                <w:b/>
                <w:color w:val="FFFFFF"/>
                <w:sz w:val="18"/>
              </w:rPr>
              <w:t>Beskæftigelseseffekt, årsværk</w:t>
            </w:r>
          </w:p>
        </w:tc>
      </w:tr>
      <w:tr>
        <w:trPr>
          <w:trHeight w:val="206" w:hRule="atLeast"/>
        </w:trPr>
        <w:tc>
          <w:tcPr>
            <w:tcW w:w="3259" w:type="dxa"/>
            <w:shd w:val="clear" w:color="auto" w:fill="A21F1F"/>
          </w:tcPr>
          <w:p>
            <w:pPr>
              <w:pStyle w:val="TableParagraph"/>
              <w:rPr>
                <w:rFonts w:ascii="Times New Roman"/>
                <w:sz w:val="14"/>
              </w:rPr>
            </w:pPr>
          </w:p>
        </w:tc>
        <w:tc>
          <w:tcPr>
            <w:tcW w:w="3046" w:type="dxa"/>
            <w:shd w:val="clear" w:color="auto" w:fill="A21F1F"/>
          </w:tcPr>
          <w:p>
            <w:pPr>
              <w:pStyle w:val="TableParagraph"/>
              <w:spacing w:line="182" w:lineRule="exact" w:before="4"/>
              <w:ind w:right="1368"/>
              <w:jc w:val="right"/>
              <w:rPr>
                <w:rFonts w:ascii="Arial"/>
                <w:sz w:val="18"/>
              </w:rPr>
            </w:pPr>
            <w:r>
              <w:rPr>
                <w:rFonts w:ascii="Arial"/>
                <w:color w:val="FFFFFF"/>
                <w:w w:val="95"/>
                <w:sz w:val="18"/>
              </w:rPr>
              <w:t>2012</w:t>
            </w:r>
          </w:p>
        </w:tc>
        <w:tc>
          <w:tcPr>
            <w:tcW w:w="3154" w:type="dxa"/>
            <w:shd w:val="clear" w:color="auto" w:fill="A21F1F"/>
          </w:tcPr>
          <w:p>
            <w:pPr>
              <w:pStyle w:val="TableParagraph"/>
              <w:spacing w:line="182" w:lineRule="exact" w:before="4"/>
              <w:ind w:left="1380"/>
              <w:rPr>
                <w:rFonts w:ascii="Arial"/>
                <w:sz w:val="18"/>
              </w:rPr>
            </w:pPr>
            <w:r>
              <w:rPr>
                <w:rFonts w:ascii="Arial"/>
                <w:color w:val="FFFFFF"/>
                <w:sz w:val="18"/>
              </w:rPr>
              <w:t>2016</w:t>
            </w:r>
          </w:p>
        </w:tc>
      </w:tr>
      <w:tr>
        <w:trPr>
          <w:trHeight w:val="398" w:hRule="atLeast"/>
        </w:trPr>
        <w:tc>
          <w:tcPr>
            <w:tcW w:w="3259" w:type="dxa"/>
            <w:tcBorders>
              <w:top w:val="single" w:sz="4" w:space="0" w:color="A21F1F"/>
              <w:left w:val="single" w:sz="4" w:space="0" w:color="A21F1F"/>
              <w:bottom w:val="single" w:sz="4" w:space="0" w:color="A21F1F"/>
            </w:tcBorders>
          </w:tcPr>
          <w:p>
            <w:pPr>
              <w:pStyle w:val="TableParagraph"/>
              <w:spacing w:before="93"/>
              <w:ind w:left="107"/>
              <w:rPr>
                <w:rFonts w:ascii="Arial"/>
                <w:b/>
                <w:sz w:val="18"/>
              </w:rPr>
            </w:pPr>
            <w:r>
              <w:rPr>
                <w:rFonts w:ascii="Arial"/>
                <w:b/>
                <w:sz w:val="18"/>
              </w:rPr>
              <w:t>Private virksomheder</w:t>
            </w:r>
          </w:p>
        </w:tc>
        <w:tc>
          <w:tcPr>
            <w:tcW w:w="3046" w:type="dxa"/>
            <w:tcBorders>
              <w:top w:val="single" w:sz="4" w:space="0" w:color="A21F1F"/>
              <w:bottom w:val="single" w:sz="4" w:space="0" w:color="A21F1F"/>
            </w:tcBorders>
          </w:tcPr>
          <w:p>
            <w:pPr>
              <w:pStyle w:val="TableParagraph"/>
              <w:spacing w:before="98"/>
              <w:ind w:right="1418"/>
              <w:jc w:val="right"/>
              <w:rPr>
                <w:rFonts w:ascii="Arial"/>
                <w:sz w:val="18"/>
              </w:rPr>
            </w:pPr>
            <w:r>
              <w:rPr>
                <w:rFonts w:ascii="Arial"/>
                <w:w w:val="95"/>
                <w:sz w:val="18"/>
              </w:rPr>
              <w:t>840</w:t>
            </w:r>
          </w:p>
        </w:tc>
        <w:tc>
          <w:tcPr>
            <w:tcW w:w="3154" w:type="dxa"/>
            <w:tcBorders>
              <w:top w:val="single" w:sz="4" w:space="0" w:color="A21F1F"/>
              <w:bottom w:val="single" w:sz="4" w:space="0" w:color="A21F1F"/>
              <w:right w:val="single" w:sz="4" w:space="0" w:color="A21F1F"/>
            </w:tcBorders>
          </w:tcPr>
          <w:p>
            <w:pPr>
              <w:pStyle w:val="TableParagraph"/>
              <w:spacing w:before="98"/>
              <w:ind w:left="1431"/>
              <w:rPr>
                <w:rFonts w:ascii="Arial"/>
                <w:sz w:val="18"/>
              </w:rPr>
            </w:pPr>
            <w:r>
              <w:rPr>
                <w:rFonts w:ascii="Arial"/>
                <w:sz w:val="18"/>
              </w:rPr>
              <w:t>225</w:t>
            </w:r>
          </w:p>
        </w:tc>
      </w:tr>
    </w:tbl>
    <w:p>
      <w:pPr>
        <w:pStyle w:val="BodyText"/>
        <w:spacing w:before="8"/>
        <w:rPr>
          <w:i/>
          <w:sz w:val="17"/>
        </w:rPr>
      </w:pPr>
    </w:p>
    <w:p>
      <w:pPr>
        <w:spacing w:before="1"/>
        <w:ind w:left="278" w:right="0" w:firstLine="0"/>
        <w:jc w:val="left"/>
        <w:rPr>
          <w:i/>
          <w:sz w:val="18"/>
        </w:rPr>
      </w:pPr>
      <w:r>
        <w:rPr>
          <w:b/>
          <w:color w:val="A21F1F"/>
          <w:sz w:val="18"/>
        </w:rPr>
        <w:t>Kilde: </w:t>
      </w:r>
      <w:r>
        <w:rPr>
          <w:i/>
          <w:color w:val="A21F1F"/>
          <w:sz w:val="18"/>
        </w:rPr>
        <w:t>Før-måling og spørgeskemaundersøgelse udført blandt private virksomheder</w:t>
      </w:r>
    </w:p>
    <w:p>
      <w:pPr>
        <w:pStyle w:val="BodyText"/>
        <w:spacing w:before="6"/>
        <w:rPr>
          <w:i/>
          <w:sz w:val="28"/>
        </w:rPr>
      </w:pPr>
    </w:p>
    <w:p>
      <w:pPr>
        <w:pStyle w:val="BodyText"/>
        <w:spacing w:line="360" w:lineRule="auto"/>
        <w:ind w:left="278" w:right="1021"/>
      </w:pPr>
      <w:r>
        <w:rPr/>
        <w:t>Faldet i antallet af årsværk mellem 2012 og 2016, der kan tilskrives de frie geodata, kan skyldes, at de frie geodata har medført, at færre er beskæftiget med fremstilling af geodata. Som det blev vist i </w:t>
      </w:r>
      <w:hyperlink w:history="true" w:anchor="_bookmark39">
        <w:r>
          <w:rPr/>
          <w:t>Figur 17, </w:t>
        </w:r>
      </w:hyperlink>
      <w:r>
        <w:rPr/>
        <w:t>har der siden 2012 været et fald i andelen af private virksomheder, der angiver, at de producerer kort, foretager kort- og landmålinger samt behandler og forædler data. En lignende tendens blev angivet i interviews med</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den rådgivende ingeniør virksomhed Niras. Interviewpersonerne gav her udtryk for, at de frie geodata i</w:t>
      </w:r>
    </w:p>
    <w:p>
      <w:pPr>
        <w:pStyle w:val="BodyText"/>
        <w:spacing w:line="360" w:lineRule="auto" w:before="114"/>
        <w:ind w:left="278" w:right="1092"/>
      </w:pPr>
      <w:r>
        <w:rPr/>
        <w:t>højere grad end tidligere blev anvendt til innovation af nye produkter, og at man i mindre grad havde behov for selv at producere geodata. Samtidigt hermed kan udviklingen også skyldes, at geodata i stigende grad integreres i processer og løsninger i virksomhederne, hvilket medfører, at det kan være vanskeligt for virksomhederne at pege på, at det udelukkende er enkelte medarbejdere, der beskæftiger sig med geodata.</w:t>
      </w:r>
    </w:p>
    <w:p>
      <w:pPr>
        <w:pStyle w:val="BodyText"/>
        <w:spacing w:before="1"/>
        <w:rPr>
          <w:sz w:val="21"/>
        </w:rPr>
      </w:pPr>
    </w:p>
    <w:p>
      <w:pPr>
        <w:pStyle w:val="BodyText"/>
        <w:spacing w:line="360" w:lineRule="auto"/>
        <w:ind w:left="278" w:right="1220"/>
      </w:pPr>
      <w:r>
        <w:rPr/>
        <w:t>Foruden markeds- og beskæftigelseseffekten bidrager effektiviseringseffekten til at estimere den samlede værdi af de frie geodata. Effektiviseringseffekten gennemgås herunder.</w:t>
      </w:r>
    </w:p>
    <w:p>
      <w:pPr>
        <w:pStyle w:val="BodyText"/>
        <w:spacing w:before="10"/>
      </w:pPr>
    </w:p>
    <w:p>
      <w:pPr>
        <w:pStyle w:val="Heading2"/>
        <w:numPr>
          <w:ilvl w:val="1"/>
          <w:numId w:val="15"/>
        </w:numPr>
        <w:tabs>
          <w:tab w:pos="855" w:val="left" w:leader="none"/>
        </w:tabs>
        <w:spacing w:line="240" w:lineRule="auto" w:before="0" w:after="0"/>
        <w:ind w:left="854" w:right="1913" w:hanging="576"/>
        <w:jc w:val="left"/>
      </w:pPr>
      <w:bookmarkStart w:name="_bookmark77" w:id="106"/>
      <w:bookmarkEnd w:id="106"/>
      <w:r>
        <w:rPr>
          <w:b w:val="0"/>
          <w:i w:val="0"/>
        </w:rPr>
      </w:r>
      <w:bookmarkStart w:name="_bookmark77" w:id="107"/>
      <w:bookmarkEnd w:id="107"/>
      <w:r>
        <w:rPr>
          <w:i/>
          <w:color w:val="A21F1F"/>
        </w:rPr>
        <w:t>E</w:t>
      </w:r>
      <w:r>
        <w:rPr>
          <w:i/>
          <w:color w:val="A21F1F"/>
        </w:rPr>
        <w:t>ffektiviseringseffekten i private</w:t>
      </w:r>
      <w:r>
        <w:rPr>
          <w:i/>
          <w:color w:val="A21F1F"/>
          <w:spacing w:val="-32"/>
        </w:rPr>
        <w:t> </w:t>
      </w:r>
      <w:r>
        <w:rPr>
          <w:i/>
          <w:color w:val="A21F1F"/>
        </w:rPr>
        <w:t>virksomheder, </w:t>
      </w:r>
      <w:r>
        <w:rPr>
          <w:color w:val="A21F1F"/>
        </w:rPr>
        <w:t>forsyningsselskaber og offentlige</w:t>
      </w:r>
      <w:r>
        <w:rPr>
          <w:color w:val="A21F1F"/>
          <w:spacing w:val="-16"/>
        </w:rPr>
        <w:t> </w:t>
      </w:r>
      <w:r>
        <w:rPr>
          <w:color w:val="A21F1F"/>
        </w:rPr>
        <w:t>myndigheder</w:t>
      </w:r>
    </w:p>
    <w:p>
      <w:pPr>
        <w:pStyle w:val="BodyText"/>
        <w:spacing w:line="360" w:lineRule="auto" w:before="242"/>
        <w:ind w:left="278" w:right="1131"/>
      </w:pPr>
      <w:r>
        <w:rPr/>
        <w:t>Som vist i kapitel 4 har de frie geodata medført, at private virksomheder, forsyningsselskaber og offentlige myndigheder kan opnå omkostningsbesparelser på deres interne arbejdsprocesser.</w:t>
      </w:r>
    </w:p>
    <w:p>
      <w:pPr>
        <w:pStyle w:val="BodyText"/>
        <w:spacing w:line="360" w:lineRule="auto" w:before="1"/>
        <w:ind w:left="278" w:right="1606"/>
      </w:pPr>
      <w:r>
        <w:rPr/>
        <w:t>Omkostningsbesparelserne er et udtryk for effektiviseringseffekten af de frie geodata for henholdsvis private virksomheder, forsyningsselskaber og offentlige myndigheder. Beregningen af effektiviseringseffekten foretages separat for de tre brugergrupper, og derfor gennemgås de særskilt nedenfor.</w:t>
      </w:r>
    </w:p>
    <w:p>
      <w:pPr>
        <w:pStyle w:val="BodyText"/>
        <w:spacing w:before="1"/>
        <w:rPr>
          <w:sz w:val="21"/>
        </w:rPr>
      </w:pPr>
    </w:p>
    <w:p>
      <w:pPr>
        <w:pStyle w:val="Heading3"/>
        <w:numPr>
          <w:ilvl w:val="2"/>
          <w:numId w:val="15"/>
        </w:numPr>
        <w:tabs>
          <w:tab w:pos="999" w:val="left" w:leader="none"/>
        </w:tabs>
        <w:spacing w:line="240" w:lineRule="auto" w:before="0" w:after="0"/>
        <w:ind w:left="998" w:right="0" w:hanging="720"/>
        <w:jc w:val="left"/>
        <w:rPr>
          <w:i/>
        </w:rPr>
      </w:pPr>
      <w:bookmarkStart w:name="_bookmark78" w:id="108"/>
      <w:bookmarkEnd w:id="108"/>
      <w:r>
        <w:rPr>
          <w:i w:val="0"/>
        </w:rPr>
      </w:r>
      <w:bookmarkStart w:name="_bookmark78" w:id="109"/>
      <w:bookmarkEnd w:id="109"/>
      <w:r>
        <w:rPr>
          <w:i/>
          <w:color w:val="A21F1F"/>
        </w:rPr>
        <w:t>Ef</w:t>
      </w:r>
      <w:r>
        <w:rPr>
          <w:i/>
          <w:color w:val="A21F1F"/>
        </w:rPr>
        <w:t>fektiviseringseffekten i private</w:t>
      </w:r>
      <w:r>
        <w:rPr>
          <w:i/>
          <w:color w:val="A21F1F"/>
          <w:spacing w:val="-1"/>
        </w:rPr>
        <w:t> </w:t>
      </w:r>
      <w:r>
        <w:rPr>
          <w:i/>
          <w:color w:val="A21F1F"/>
        </w:rPr>
        <w:t>virksomheder</w:t>
      </w:r>
    </w:p>
    <w:p>
      <w:pPr>
        <w:pStyle w:val="BodyText"/>
        <w:spacing w:line="360" w:lineRule="auto" w:before="241"/>
        <w:ind w:left="278" w:right="1096"/>
      </w:pPr>
      <w:r>
        <w:rPr/>
        <w:t>Når de private virksomheder har kunnet opnå besparelser på interne processer og opgaver på grund af de frie geodata, er det et udtryk for den effektiviseringseffekt, som de frie geodata har medført i de private virksomheder. Beregningen af effektiviseringseffekten i de private virksomheder udføres i tre trin, jf. </w:t>
      </w:r>
      <w:hyperlink w:history="true" w:anchor="_bookmark79">
        <w:r>
          <w:rPr/>
          <w:t>Figur</w:t>
        </w:r>
      </w:hyperlink>
      <w:r>
        <w:rPr/>
        <w:t> </w:t>
      </w:r>
      <w:hyperlink w:history="true" w:anchor="_bookmark79">
        <w:r>
          <w:rPr/>
          <w:t>44.</w:t>
        </w:r>
      </w:hyperlink>
    </w:p>
    <w:p>
      <w:pPr>
        <w:pStyle w:val="BodyText"/>
        <w:spacing w:before="1"/>
        <w:rPr>
          <w:sz w:val="21"/>
        </w:rPr>
      </w:pPr>
    </w:p>
    <w:p>
      <w:pPr>
        <w:spacing w:before="0"/>
        <w:ind w:left="278" w:right="0" w:firstLine="0"/>
        <w:jc w:val="left"/>
        <w:rPr>
          <w:i/>
          <w:sz w:val="18"/>
        </w:rPr>
      </w:pPr>
      <w:r>
        <w:rPr/>
        <w:pict>
          <v:shape style="position:absolute;margin-left:70.944pt;margin-top:16.292940pt;width:472.4pt;height:226.85pt;mso-position-horizontal-relative:page;mso-position-vertical-relative:paragraph;z-index:7640;mso-wrap-distance-left:0;mso-wrap-distance-right:0" type="#_x0000_t202" filled="true" fillcolor="#f1f1f1" stroked="false">
            <v:textbox inset="0,0,0,0">
              <w:txbxContent>
                <w:p>
                  <w:pPr>
                    <w:pStyle w:val="BodyText"/>
                    <w:spacing w:before="11"/>
                    <w:rPr>
                      <w:i/>
                      <w:sz w:val="19"/>
                    </w:rPr>
                  </w:pPr>
                </w:p>
                <w:p>
                  <w:pPr>
                    <w:spacing w:before="0"/>
                    <w:ind w:left="225" w:right="0" w:firstLine="0"/>
                    <w:jc w:val="left"/>
                    <w:rPr>
                      <w:i/>
                      <w:sz w:val="20"/>
                    </w:rPr>
                  </w:pPr>
                  <w:r>
                    <w:rPr>
                      <w:i/>
                      <w:sz w:val="20"/>
                    </w:rPr>
                    <w:t>Beregningen af effektiviseringseffekten foretages i følgende tre trin:</w:t>
                  </w:r>
                </w:p>
                <w:p>
                  <w:pPr>
                    <w:pStyle w:val="BodyText"/>
                    <w:rPr>
                      <w:i/>
                      <w:sz w:val="31"/>
                    </w:rPr>
                  </w:pPr>
                </w:p>
                <w:p>
                  <w:pPr>
                    <w:pStyle w:val="BodyText"/>
                    <w:numPr>
                      <w:ilvl w:val="0"/>
                      <w:numId w:val="18"/>
                    </w:numPr>
                    <w:tabs>
                      <w:tab w:pos="945" w:val="left" w:leader="none"/>
                      <w:tab w:pos="946" w:val="left" w:leader="none"/>
                    </w:tabs>
                    <w:spacing w:line="240" w:lineRule="auto" w:before="0" w:after="0"/>
                    <w:ind w:left="945" w:right="474" w:hanging="360"/>
                    <w:jc w:val="left"/>
                  </w:pPr>
                  <w:r>
                    <w:rPr/>
                    <w:t>I </w:t>
                  </w:r>
                  <w:r>
                    <w:rPr>
                      <w:b/>
                    </w:rPr>
                    <w:t>trin 1 </w:t>
                  </w:r>
                  <w:r>
                    <w:rPr/>
                    <w:t>beregnes summen af den i Danmark genererede omsætning, som de</w:t>
                  </w:r>
                  <w:r>
                    <w:rPr>
                      <w:spacing w:val="-31"/>
                    </w:rPr>
                    <w:t> </w:t>
                  </w:r>
                  <w:r>
                    <w:rPr/>
                    <w:t>virksomheder, der har deltaget i undersøgelsen, har</w:t>
                  </w:r>
                  <w:r>
                    <w:rPr>
                      <w:spacing w:val="-2"/>
                    </w:rPr>
                    <w:t> </w:t>
                  </w:r>
                  <w:r>
                    <w:rPr/>
                    <w:t>angivet.</w:t>
                  </w:r>
                </w:p>
                <w:p>
                  <w:pPr>
                    <w:pStyle w:val="BodyText"/>
                    <w:spacing w:before="2"/>
                    <w:rPr>
                      <w:i/>
                      <w:sz w:val="21"/>
                    </w:rPr>
                  </w:pPr>
                </w:p>
                <w:p>
                  <w:pPr>
                    <w:pStyle w:val="BodyText"/>
                    <w:numPr>
                      <w:ilvl w:val="0"/>
                      <w:numId w:val="18"/>
                    </w:numPr>
                    <w:tabs>
                      <w:tab w:pos="945" w:val="left" w:leader="none"/>
                      <w:tab w:pos="946" w:val="left" w:leader="none"/>
                    </w:tabs>
                    <w:spacing w:line="240" w:lineRule="auto" w:before="0" w:after="0"/>
                    <w:ind w:left="945" w:right="291" w:hanging="360"/>
                    <w:jc w:val="left"/>
                  </w:pPr>
                  <w:r>
                    <w:rPr/>
                    <w:t>I </w:t>
                  </w:r>
                  <w:r>
                    <w:rPr>
                      <w:b/>
                    </w:rPr>
                    <w:t>trin 2 </w:t>
                  </w:r>
                  <w:r>
                    <w:rPr/>
                    <w:t>bregnes omkostningsbesparelserne i virksomhedernes interne processer og opgaver, som</w:t>
                  </w:r>
                  <w:r>
                    <w:rPr>
                      <w:spacing w:val="-5"/>
                    </w:rPr>
                    <w:t> </w:t>
                  </w:r>
                  <w:r>
                    <w:rPr/>
                    <w:t>er</w:t>
                  </w:r>
                  <w:r>
                    <w:rPr>
                      <w:spacing w:val="-4"/>
                    </w:rPr>
                    <w:t> </w:t>
                  </w:r>
                  <w:r>
                    <w:rPr/>
                    <w:t>en</w:t>
                  </w:r>
                  <w:r>
                    <w:rPr>
                      <w:spacing w:val="-4"/>
                    </w:rPr>
                    <w:t> </w:t>
                  </w:r>
                  <w:r>
                    <w:rPr/>
                    <w:t>følge</w:t>
                  </w:r>
                  <w:r>
                    <w:rPr>
                      <w:spacing w:val="-5"/>
                    </w:rPr>
                    <w:t> </w:t>
                  </w:r>
                  <w:r>
                    <w:rPr/>
                    <w:t>af</w:t>
                  </w:r>
                  <w:r>
                    <w:rPr>
                      <w:spacing w:val="-1"/>
                    </w:rPr>
                    <w:t> </w:t>
                  </w:r>
                  <w:r>
                    <w:rPr/>
                    <w:t>adgangen</w:t>
                  </w:r>
                  <w:r>
                    <w:rPr>
                      <w:spacing w:val="-1"/>
                    </w:rPr>
                    <w:t> </w:t>
                  </w:r>
                  <w:r>
                    <w:rPr/>
                    <w:t>til</w:t>
                  </w:r>
                  <w:r>
                    <w:rPr>
                      <w:spacing w:val="-3"/>
                    </w:rPr>
                    <w:t> </w:t>
                  </w:r>
                  <w:r>
                    <w:rPr/>
                    <w:t>de</w:t>
                  </w:r>
                  <w:r>
                    <w:rPr>
                      <w:spacing w:val="-4"/>
                    </w:rPr>
                    <w:t> </w:t>
                  </w:r>
                  <w:r>
                    <w:rPr/>
                    <w:t>frie</w:t>
                  </w:r>
                  <w:r>
                    <w:rPr>
                      <w:spacing w:val="-2"/>
                    </w:rPr>
                    <w:t> </w:t>
                  </w:r>
                  <w:r>
                    <w:rPr/>
                    <w:t>geodata.</w:t>
                  </w:r>
                  <w:r>
                    <w:rPr>
                      <w:spacing w:val="-4"/>
                    </w:rPr>
                    <w:t> </w:t>
                  </w:r>
                  <w:r>
                    <w:rPr/>
                    <w:t>Omkostningsbesparelserne</w:t>
                  </w:r>
                  <w:r>
                    <w:rPr>
                      <w:spacing w:val="-3"/>
                    </w:rPr>
                    <w:t> </w:t>
                  </w:r>
                  <w:r>
                    <w:rPr/>
                    <w:t>beregnes</w:t>
                  </w:r>
                  <w:r>
                    <w:rPr>
                      <w:spacing w:val="-4"/>
                    </w:rPr>
                    <w:t> </w:t>
                  </w:r>
                  <w:r>
                    <w:rPr/>
                    <w:t>ud</w:t>
                  </w:r>
                  <w:r>
                    <w:rPr>
                      <w:spacing w:val="-3"/>
                    </w:rPr>
                    <w:t> </w:t>
                  </w:r>
                  <w:r>
                    <w:rPr/>
                    <w:t>fra</w:t>
                  </w:r>
                  <w:r>
                    <w:rPr>
                      <w:spacing w:val="-4"/>
                    </w:rPr>
                    <w:t> </w:t>
                  </w:r>
                  <w:r>
                    <w:rPr/>
                    <w:t>de procentvise omkostningsbesparelser, som de deltagende virksomheder har angivet i intervaller i spørgeskemaet. Der tages udgangspunkt i middelværdien af disse intervaller for vurderingen af</w:t>
                  </w:r>
                  <w:r>
                    <w:rPr>
                      <w:spacing w:val="-3"/>
                    </w:rPr>
                    <w:t> </w:t>
                  </w:r>
                  <w:r>
                    <w:rPr/>
                    <w:t>omkostningsbesparelserne.</w:t>
                  </w:r>
                </w:p>
                <w:p>
                  <w:pPr>
                    <w:pStyle w:val="BodyText"/>
                    <w:spacing w:before="2"/>
                    <w:rPr>
                      <w:i/>
                      <w:sz w:val="21"/>
                    </w:rPr>
                  </w:pPr>
                </w:p>
                <w:p>
                  <w:pPr>
                    <w:pStyle w:val="BodyText"/>
                    <w:numPr>
                      <w:ilvl w:val="0"/>
                      <w:numId w:val="18"/>
                    </w:numPr>
                    <w:tabs>
                      <w:tab w:pos="945" w:val="left" w:leader="none"/>
                      <w:tab w:pos="946" w:val="left" w:leader="none"/>
                    </w:tabs>
                    <w:spacing w:line="240" w:lineRule="auto" w:before="1" w:after="0"/>
                    <w:ind w:left="945" w:right="318" w:hanging="360"/>
                    <w:jc w:val="left"/>
                  </w:pPr>
                  <w:r>
                    <w:rPr/>
                    <w:t>I </w:t>
                  </w:r>
                  <w:r>
                    <w:rPr>
                      <w:b/>
                    </w:rPr>
                    <w:t>trin 3 </w:t>
                  </w:r>
                  <w:r>
                    <w:rPr/>
                    <w:t>opregnes omkostningsbesparelserne dernæst til bruttoværditilvækst for at angive effektiviseringseffekten.</w:t>
                  </w:r>
                  <w:r>
                    <w:rPr>
                      <w:spacing w:val="-8"/>
                    </w:rPr>
                    <w:t> </w:t>
                  </w:r>
                  <w:r>
                    <w:rPr/>
                    <w:t>For</w:t>
                  </w:r>
                  <w:r>
                    <w:rPr>
                      <w:spacing w:val="-6"/>
                    </w:rPr>
                    <w:t> </w:t>
                  </w:r>
                  <w:r>
                    <w:rPr/>
                    <w:t>at</w:t>
                  </w:r>
                  <w:r>
                    <w:rPr>
                      <w:spacing w:val="-5"/>
                    </w:rPr>
                    <w:t> </w:t>
                  </w:r>
                  <w:r>
                    <w:rPr/>
                    <w:t>omregne</w:t>
                  </w:r>
                  <w:r>
                    <w:rPr>
                      <w:spacing w:val="-4"/>
                    </w:rPr>
                    <w:t> </w:t>
                  </w:r>
                  <w:r>
                    <w:rPr/>
                    <w:t>besparelsen på</w:t>
                  </w:r>
                  <w:r>
                    <w:rPr>
                      <w:spacing w:val="-6"/>
                    </w:rPr>
                    <w:t> </w:t>
                  </w:r>
                  <w:r>
                    <w:rPr/>
                    <w:t>omkostninger</w:t>
                  </w:r>
                  <w:r>
                    <w:rPr>
                      <w:spacing w:val="-6"/>
                    </w:rPr>
                    <w:t> </w:t>
                  </w:r>
                  <w:r>
                    <w:rPr/>
                    <w:t>til</w:t>
                  </w:r>
                  <w:r>
                    <w:rPr>
                      <w:spacing w:val="-5"/>
                    </w:rPr>
                    <w:t> </w:t>
                  </w:r>
                  <w:r>
                    <w:rPr/>
                    <w:t>bruttoværditilvækst sidestilles besparelsen med produktionsværdi. Forholdet mellem produktionsværdi og bruttoværditilvækst kan findes ved et opslag i Danmarks Statistiks matrice for nationalregnskab</w:t>
                  </w:r>
                  <w:r>
                    <w:rPr>
                      <w:spacing w:val="-3"/>
                    </w:rPr>
                    <w:t> </w:t>
                  </w:r>
                  <w:r>
                    <w:rPr/>
                    <w:t>(NABP10).</w:t>
                  </w:r>
                </w:p>
              </w:txbxContent>
            </v:textbox>
            <v:fill type="solid"/>
            <w10:wrap type="topAndBottom"/>
          </v:shape>
        </w:pict>
      </w:r>
      <w:bookmarkStart w:name="_bookmark79" w:id="110"/>
      <w:bookmarkEnd w:id="110"/>
      <w:r>
        <w:rPr/>
      </w:r>
      <w:r>
        <w:rPr>
          <w:i/>
          <w:color w:val="A21F1F"/>
          <w:sz w:val="18"/>
        </w:rPr>
        <w:t>Figur 44: Beregning af effektiviseringseffekten af de frie geodata i private virksomheder og forsyningsselskaber</w:t>
      </w:r>
    </w:p>
    <w:p>
      <w:pPr>
        <w:spacing w:after="0"/>
        <w:jc w:val="left"/>
        <w:rPr>
          <w:sz w:val="18"/>
        </w:rPr>
        <w:sectPr>
          <w:pgSz w:w="11910" w:h="16840"/>
          <w:pgMar w:header="572" w:footer="577" w:top="1220" w:bottom="760" w:left="1140" w:right="0"/>
        </w:sectPr>
      </w:pPr>
    </w:p>
    <w:p>
      <w:pPr>
        <w:pStyle w:val="BodyText"/>
        <w:ind w:left="278"/>
      </w:pPr>
      <w:r>
        <w:rPr/>
        <w:pict>
          <v:group style="width:473.5pt;height:119.7pt;mso-position-horizontal-relative:char;mso-position-vertical-relative:line" coordorigin="0,0" coordsize="9470,2394">
            <v:line style="position:absolute" from="14,7" to="9469,7" stroked="true" strokeweight=".72pt" strokecolor="#a21f1f">
              <v:stroke dashstyle="solid"/>
            </v:line>
            <v:line style="position:absolute" from="7,0" to="7,226" stroked="true" strokeweight=".72pt" strokecolor="#a21f1f">
              <v:stroke dashstyle="solid"/>
            </v:line>
            <v:rect style="position:absolute;left:0;top:453;width:9448;height:1710" filled="true" fillcolor="#f1f1f1" stroked="false">
              <v:fill type="solid"/>
            </v:rect>
            <v:rect style="position:absolute;left:225;top:453;width:8995;height:1712" filled="true" fillcolor="#f1f1f1" stroked="false">
              <v:fill type="solid"/>
            </v:rect>
            <v:rect style="position:absolute;left:0;top:225;width:9448;height:228" filled="true" fillcolor="#f1f1f1" stroked="false">
              <v:fill type="solid"/>
            </v:rect>
            <v:rect style="position:absolute;left:0;top:2390;width:9448;height:3" filled="true" fillcolor="#f1f1f1" stroked="false">
              <v:fill type="solid"/>
            </v:rect>
            <v:rect style="position:absolute;left:0;top:2162;width:9448;height:228" filled="true" fillcolor="#f1f1f1" stroked="false">
              <v:fill type="solid"/>
            </v:rect>
            <v:shape style="position:absolute;left:226;top:453;width:8616;height:1357" type="#_x0000_t75" stroked="false">
              <v:imagedata r:id="rId34" o:title=""/>
            </v:shape>
          </v:group>
        </w:pict>
      </w:r>
      <w:r>
        <w:rPr/>
      </w:r>
    </w:p>
    <w:p>
      <w:pPr>
        <w:pStyle w:val="BodyText"/>
        <w:spacing w:before="10"/>
        <w:rPr>
          <w:i/>
          <w:sz w:val="17"/>
        </w:rPr>
      </w:pPr>
    </w:p>
    <w:p>
      <w:pPr>
        <w:pStyle w:val="BodyText"/>
        <w:spacing w:line="360" w:lineRule="auto" w:before="100"/>
        <w:ind w:left="278" w:right="1010"/>
      </w:pPr>
      <w:r>
        <w:rPr/>
        <w:t>I før-målingen var det nødvendigt at opregne effektiviseringseffekten for stikprøven til hele populationen af private virksomheder, der anvender geodata. Som følge af det relativt store antal virksomheder, der har deltaget i eftermålingen, er det dog vurderingen, at der ikke er behov for at opregne effektiviseringseffekten til en større population end de virksomheder, der har deltaget i undersøgelsen. Effektiviseringseffekten af de frie geodata i 2016 for private virksomheder foretages således på baggrund af de 119 besvarelser, der er modtaget fra private virksomheder.</w:t>
      </w:r>
    </w:p>
    <w:p>
      <w:pPr>
        <w:pStyle w:val="BodyText"/>
        <w:spacing w:before="1"/>
        <w:rPr>
          <w:sz w:val="21"/>
        </w:rPr>
      </w:pPr>
    </w:p>
    <w:p>
      <w:pPr>
        <w:pStyle w:val="BodyText"/>
        <w:spacing w:line="360" w:lineRule="auto"/>
        <w:ind w:left="278" w:right="1031"/>
      </w:pPr>
      <w:r>
        <w:rPr/>
        <w:t>Den samlede effektiviseringseffekt af de frie geodata i de private virksomheder er på ca. 726 mio. kr. i 2016. De 726 mio. kr. er beregnet via ovenstående metode og beror således på de angivne omkostningsbesparelser fra de deltagende virksomheder.</w:t>
      </w:r>
    </w:p>
    <w:p>
      <w:pPr>
        <w:pStyle w:val="BodyText"/>
        <w:spacing w:before="1"/>
        <w:rPr>
          <w:sz w:val="21"/>
        </w:rPr>
      </w:pPr>
    </w:p>
    <w:p>
      <w:pPr>
        <w:pStyle w:val="BodyText"/>
        <w:spacing w:line="360" w:lineRule="auto"/>
        <w:ind w:left="278" w:right="1241"/>
      </w:pPr>
      <w:r>
        <w:rPr/>
        <w:t>Med udgangspunkt i de angivne procentvise besparelser er det beregnet, at besparelserne på omkostningerne, som virksomhederne har opgivet, udgør cirka 1,675 mia. kr. Beregningen af effektiviseringseffekten i stikprøven, og dermed den forventede populationen af private virksomheder, er nærmere beskrevet i Boks 4. Beregningen tager udgangspunkt i samme beregningsmetode som i før- målingen, men med to tilpasninger: Den første er, at der ikke udtaget de største anvendere af geodata i beregningen. Den anden er, at der ikke er opregnet til en større population end de virksomheder, der har deltaget i undersøgelsen. Man kan dog forvente, at der vil være virksomheder, der ikke har deltaget i undersøgelsen, som også har oplevet omkostningsbesparelser som følge af de frie geodata. Derfor er effektiviseringsgevinsten forventeligt underestimeret.</w:t>
      </w:r>
    </w:p>
    <w:p>
      <w:pPr>
        <w:pStyle w:val="BodyText"/>
        <w:spacing w:before="3"/>
        <w:rPr>
          <w:sz w:val="21"/>
        </w:rPr>
      </w:pPr>
    </w:p>
    <w:p>
      <w:pPr>
        <w:spacing w:before="0"/>
        <w:ind w:left="278" w:right="0" w:firstLine="0"/>
        <w:jc w:val="left"/>
        <w:rPr>
          <w:i/>
          <w:sz w:val="18"/>
        </w:rPr>
      </w:pPr>
      <w:r>
        <w:rPr/>
        <w:pict>
          <v:shape style="position:absolute;margin-left:70.944pt;margin-top:16.178944pt;width:472.4pt;height:188.3pt;mso-position-horizontal-relative:page;mso-position-vertical-relative:paragraph;z-index:7688;mso-wrap-distance-left:0;mso-wrap-distance-right:0" type="#_x0000_t202" filled="true" fillcolor="#f1f1f1" stroked="false">
            <v:textbox inset="0,0,0,0">
              <w:txbxContent>
                <w:p>
                  <w:pPr>
                    <w:pStyle w:val="BodyText"/>
                    <w:spacing w:before="11"/>
                    <w:rPr>
                      <w:i/>
                      <w:sz w:val="19"/>
                    </w:rPr>
                  </w:pPr>
                </w:p>
                <w:p>
                  <w:pPr>
                    <w:pStyle w:val="BodyText"/>
                    <w:spacing w:line="360" w:lineRule="auto"/>
                    <w:ind w:left="225" w:right="298"/>
                  </w:pPr>
                  <w:r>
                    <w:rPr/>
                    <w:t>På baggrund af virksomhedernes angivelse af deres besparelse i procent af deres omkostninger er der beregnet en besparelse på cirka 1,675 mia. kr. blandt stikprøvens virksomheder. Det er sket ved at sætte den angivne procentvise omkostningsbesparelse i forhold til størrelsen på den omsætning, virksomhederne har angivet, idet det er antaget, at deres omsætning svarer til deres omkostninger vedvidende. Virksomhedernes omsætning er anvendt, idet der ikke foreligger oplysninger om virksomhedernes omkostninger.</w:t>
                  </w:r>
                </w:p>
                <w:p>
                  <w:pPr>
                    <w:pStyle w:val="BodyText"/>
                    <w:spacing w:before="3"/>
                    <w:rPr>
                      <w:i/>
                      <w:sz w:val="21"/>
                    </w:rPr>
                  </w:pPr>
                </w:p>
                <w:p>
                  <w:pPr>
                    <w:pStyle w:val="BodyText"/>
                    <w:spacing w:line="360" w:lineRule="auto" w:before="1"/>
                    <w:ind w:left="225" w:right="224"/>
                  </w:pPr>
                  <w:r>
                    <w:rPr/>
                    <w:t>For at omregne besparelsen i omkostninger til bruttoværditilvækst sidestilles besparelsen med produktionsværdi. Forholdet mellem produktionsværdi og bruttoværditilvækst kan findes ved et opslag i Danmarks Statistiks matrice for nationalregnskab (NABP10). Her opgøres den samlede</w:t>
                  </w:r>
                </w:p>
              </w:txbxContent>
            </v:textbox>
            <v:fill type="solid"/>
            <w10:wrap type="topAndBottom"/>
          </v:shape>
        </w:pict>
      </w:r>
      <w:r>
        <w:rPr>
          <w:i/>
          <w:color w:val="A21F1F"/>
          <w:sz w:val="18"/>
        </w:rPr>
        <w:t>Boks 4: Uddybning af beregning af effektiviseringsgevinst for private virksomheder</w:t>
      </w:r>
    </w:p>
    <w:p>
      <w:pPr>
        <w:spacing w:after="0"/>
        <w:jc w:val="left"/>
        <w:rPr>
          <w:sz w:val="18"/>
        </w:rPr>
        <w:sectPr>
          <w:pgSz w:w="11910" w:h="16840"/>
          <w:pgMar w:header="572" w:footer="577" w:top="1220" w:bottom="760" w:left="1140" w:right="0"/>
        </w:sectPr>
      </w:pPr>
    </w:p>
    <w:p>
      <w:pPr>
        <w:pStyle w:val="BodyText"/>
        <w:ind w:left="278"/>
      </w:pPr>
      <w:r>
        <w:rPr/>
        <w:pict>
          <v:group style="width:473.5pt;height:143.3pt;mso-position-horizontal-relative:char;mso-position-vertical-relative:line" coordorigin="0,0" coordsize="9470,2866">
            <v:line style="position:absolute" from="14,7" to="9469,7" stroked="true" strokeweight=".72pt" strokecolor="#a21f1f">
              <v:stroke dashstyle="solid"/>
            </v:line>
            <v:line style="position:absolute" from="7,0" to="7,226" stroked="true" strokeweight=".72pt" strokecolor="#a21f1f">
              <v:stroke dashstyle="solid"/>
            </v:line>
            <v:shape style="position:absolute;left:0;top:225;width:9448;height:2641" type="#_x0000_t202" filled="true" fillcolor="#f1f1f1" stroked="false">
              <v:textbox inset="0,0,0,0">
                <w:txbxContent>
                  <w:p>
                    <w:pPr>
                      <w:spacing w:line="240" w:lineRule="auto" w:before="11"/>
                      <w:rPr>
                        <w:i/>
                        <w:sz w:val="19"/>
                      </w:rPr>
                    </w:pPr>
                  </w:p>
                  <w:p>
                    <w:pPr>
                      <w:spacing w:line="360" w:lineRule="auto" w:before="0"/>
                      <w:ind w:left="225" w:right="462" w:firstLine="0"/>
                      <w:jc w:val="left"/>
                      <w:rPr>
                        <w:sz w:val="20"/>
                      </w:rPr>
                    </w:pPr>
                    <w:r>
                      <w:rPr>
                        <w:sz w:val="20"/>
                      </w:rPr>
                      <w:t>bruttoværditilvækst til cirka 1.198 mia. kr. og den samlede produktionsværdi til cirka 2.762 mia. kr. for private virksomheder i 2015.</w:t>
                    </w:r>
                  </w:p>
                  <w:p>
                    <w:pPr>
                      <w:spacing w:line="240" w:lineRule="auto" w:before="1"/>
                      <w:rPr>
                        <w:i/>
                        <w:sz w:val="21"/>
                      </w:rPr>
                    </w:pPr>
                  </w:p>
                  <w:p>
                    <w:pPr>
                      <w:spacing w:line="360" w:lineRule="auto" w:before="0"/>
                      <w:ind w:left="225" w:right="224" w:firstLine="0"/>
                      <w:jc w:val="left"/>
                      <w:rPr>
                        <w:sz w:val="20"/>
                      </w:rPr>
                    </w:pPr>
                    <w:r>
                      <w:rPr>
                        <w:sz w:val="20"/>
                      </w:rPr>
                      <w:t>Samme forhold mellem produktionsværdi og bruttoværditilvækst antages at gælde for de private virksomheder, der har deltaget i undersøgelsen, hvorfor bruttoværditilvæksten som følge af brugen af de frie geodata beregnes til cirka 726 mio. kr. (1,675 mia. kr. * (1.198 mia. kr./2.762 mia. kr.)).</w:t>
                    </w:r>
                  </w:p>
                </w:txbxContent>
              </v:textbox>
              <v:fill type="solid"/>
              <w10:wrap type="none"/>
            </v:shape>
          </v:group>
        </w:pict>
      </w:r>
      <w:r>
        <w:rPr/>
      </w:r>
    </w:p>
    <w:p>
      <w:pPr>
        <w:spacing w:line="174" w:lineRule="exact" w:before="0"/>
        <w:ind w:left="278" w:right="0" w:firstLine="0"/>
        <w:jc w:val="left"/>
        <w:rPr>
          <w:i/>
          <w:sz w:val="18"/>
        </w:rPr>
      </w:pPr>
      <w:r>
        <w:rPr>
          <w:b/>
          <w:i/>
          <w:color w:val="A21F1F"/>
          <w:sz w:val="18"/>
        </w:rPr>
        <w:t>Kilde: </w:t>
      </w:r>
      <w:r>
        <w:rPr>
          <w:i/>
          <w:color w:val="A21F1F"/>
          <w:sz w:val="18"/>
        </w:rPr>
        <w:t>Før-måling og spørgeskemaundersøgelse udført blandt private virksomheder</w:t>
      </w:r>
    </w:p>
    <w:p>
      <w:pPr>
        <w:pStyle w:val="BodyText"/>
        <w:rPr>
          <w:i/>
        </w:rPr>
      </w:pPr>
    </w:p>
    <w:p>
      <w:pPr>
        <w:pStyle w:val="BodyText"/>
        <w:rPr>
          <w:i/>
        </w:rPr>
      </w:pPr>
    </w:p>
    <w:p>
      <w:pPr>
        <w:pStyle w:val="Heading3"/>
        <w:numPr>
          <w:ilvl w:val="2"/>
          <w:numId w:val="15"/>
        </w:numPr>
        <w:tabs>
          <w:tab w:pos="999" w:val="left" w:leader="none"/>
        </w:tabs>
        <w:spacing w:line="240" w:lineRule="auto" w:before="146" w:after="0"/>
        <w:ind w:left="998" w:right="0" w:hanging="720"/>
        <w:jc w:val="left"/>
        <w:rPr>
          <w:i/>
        </w:rPr>
      </w:pPr>
      <w:bookmarkStart w:name="_bookmark80" w:id="111"/>
      <w:bookmarkEnd w:id="111"/>
      <w:r>
        <w:rPr>
          <w:i w:val="0"/>
        </w:rPr>
      </w:r>
      <w:bookmarkStart w:name="_bookmark80" w:id="112"/>
      <w:bookmarkEnd w:id="112"/>
      <w:r>
        <w:rPr>
          <w:i/>
          <w:color w:val="A21F1F"/>
        </w:rPr>
        <w:t>Ef</w:t>
      </w:r>
      <w:r>
        <w:rPr>
          <w:i/>
          <w:color w:val="A21F1F"/>
        </w:rPr>
        <w:t>fektiviseringseffekten i</w:t>
      </w:r>
      <w:r>
        <w:rPr>
          <w:i/>
          <w:color w:val="A21F1F"/>
          <w:spacing w:val="-4"/>
        </w:rPr>
        <w:t> </w:t>
      </w:r>
      <w:r>
        <w:rPr>
          <w:i/>
          <w:color w:val="A21F1F"/>
        </w:rPr>
        <w:t>forsyningsselskaber</w:t>
      </w:r>
    </w:p>
    <w:p>
      <w:pPr>
        <w:pStyle w:val="BodyText"/>
        <w:spacing w:line="360" w:lineRule="auto" w:before="241"/>
        <w:ind w:left="278" w:right="1065"/>
      </w:pPr>
      <w:r>
        <w:rPr/>
        <w:t>Effektiviseringseffekten i forsyningsselskaberne beregnes på samme måde som for de private virksomheder. Det vil sige, at effektiviseringseffekten beregnes på baggrund af forsyningsselskabernes samlede danske omsætning i 2016, og deres egen vurdering af den procentvise omkostningsbesparelse, der følger af de frie geodata.</w:t>
      </w:r>
    </w:p>
    <w:p>
      <w:pPr>
        <w:pStyle w:val="BodyText"/>
        <w:spacing w:before="1"/>
        <w:rPr>
          <w:sz w:val="21"/>
        </w:rPr>
      </w:pPr>
    </w:p>
    <w:p>
      <w:pPr>
        <w:pStyle w:val="BodyText"/>
        <w:spacing w:line="360" w:lineRule="auto"/>
        <w:ind w:left="278" w:right="1405"/>
      </w:pPr>
      <w:r>
        <w:rPr/>
        <w:t>Der har deltaget 30 forsyningsselskaber i undersøgelsen, og nedenstående </w:t>
      </w:r>
      <w:hyperlink w:history="true" w:anchor="_bookmark81">
        <w:r>
          <w:rPr/>
          <w:t>Figur 45 </w:t>
        </w:r>
      </w:hyperlink>
      <w:r>
        <w:rPr/>
        <w:t>viser de deltagende forsyningsselskabers omsætning i 2016. Sammenlignet med de private virksomheder har forsyningsselskaberne en større omsætning.</w:t>
      </w:r>
    </w:p>
    <w:p>
      <w:pPr>
        <w:pStyle w:val="BodyText"/>
        <w:spacing w:before="1"/>
        <w:rPr>
          <w:sz w:val="21"/>
        </w:rPr>
      </w:pPr>
    </w:p>
    <w:p>
      <w:pPr>
        <w:spacing w:before="0"/>
        <w:ind w:left="278" w:right="1136" w:firstLine="0"/>
        <w:jc w:val="left"/>
        <w:rPr>
          <w:i/>
          <w:sz w:val="18"/>
        </w:rPr>
      </w:pPr>
      <w:bookmarkStart w:name="_bookmark81" w:id="113"/>
      <w:bookmarkEnd w:id="113"/>
      <w:r>
        <w:rPr/>
      </w:r>
      <w:r>
        <w:rPr>
          <w:i/>
          <w:color w:val="A21F1F"/>
          <w:sz w:val="18"/>
        </w:rPr>
        <w:t>Figur 45: Forsyningsvirksomheder i undersøgelsen fordelt på samlet omsætning i Danmark, henholdsvis i 2012 og i </w:t>
      </w:r>
      <w:r>
        <w:rPr>
          <w:i/>
          <w:color w:val="A21F1F"/>
          <w:sz w:val="18"/>
        </w:rPr>
        <w:t>2016</w:t>
      </w:r>
    </w:p>
    <w:p>
      <w:pPr>
        <w:pStyle w:val="BodyText"/>
        <w:ind w:left="270"/>
      </w:pPr>
      <w:r>
        <w:rPr/>
        <w:pict>
          <v:group style="width:472.35pt;height:156.75pt;mso-position-horizontal-relative:char;mso-position-vertical-relative:line" coordorigin="0,0" coordsize="9447,3135">
            <v:rect style="position:absolute;left:7;top:7;width:9432;height:3120" filled="true" fillcolor="#f1f1f1" stroked="false">
              <v:fill type="solid"/>
            </v:rect>
            <v:rect style="position:absolute;left:790;top:1239;width:792;height:1010" filled="true" fillcolor="#a21f1f" stroked="false">
              <v:fill type="solid"/>
            </v:rect>
            <v:line style="position:absolute" from="2972,2199" to="3766,2199" stroked="true" strokeweight="5.01pt" strokecolor="#a21f1f">
              <v:stroke dashstyle="solid"/>
            </v:line>
            <v:rect style="position:absolute;left:5153;top:1843;width:795;height:405" filled="true" fillcolor="#a21f1f" stroked="false">
              <v:fill type="solid"/>
            </v:rect>
            <v:rect style="position:absolute;left:7335;top:732;width:795;height:1517" filled="true" fillcolor="#a21f1f" stroked="false">
              <v:fill type="solid"/>
            </v:rect>
            <v:rect style="position:absolute;left:1582;top:1944;width:795;height:305" filled="true" fillcolor="#c9a1a1" stroked="false">
              <v:fill type="solid"/>
            </v:rect>
            <v:line style="position:absolute" from="3766,2199" to="4558,2199" stroked="true" strokeweight="5.01pt" strokecolor="#c9a1a1">
              <v:stroke dashstyle="solid"/>
            </v:line>
            <v:rect style="position:absolute;left:5947;top:1743;width:792;height:506" filled="true" fillcolor="#c9a1a1" stroked="false">
              <v:fill type="solid"/>
            </v:rect>
            <v:rect style="position:absolute;left:8129;top:631;width:792;height:1617" filled="true" fillcolor="#c9a1a1" stroked="false">
              <v:fill type="solid"/>
            </v:rect>
            <v:line style="position:absolute" from="493,2249" to="9220,2249" stroked="true" strokeweight=".75pt" strokecolor="#d9d9d9">
              <v:stroke dashstyle="solid"/>
            </v:line>
            <v:rect style="position:absolute;left:4163;top:2802;width:91;height:91" filled="true" fillcolor="#a21f1f" stroked="false">
              <v:fill type="solid"/>
            </v:rect>
            <v:rect style="position:absolute;left:4822;top:2802;width:91;height:91" filled="true" fillcolor="#c9a1a1" stroked="false">
              <v:fill type="solid"/>
            </v:rect>
            <v:rect style="position:absolute;left:7;top:7;width:9432;height:3120" filled="false" stroked="true" strokeweight=".75pt" strokecolor="#d9d9d9">
              <v:stroke dashstyle="solid"/>
            </v:rect>
            <v:shape style="position:absolute;left:8647;top:2347;width:668;height:222" type="#_x0000_t75" stroked="false">
              <v:imagedata r:id="rId35" o:title=""/>
            </v:shape>
            <v:shape style="position:absolute;left:4292;top:2744;width:1079;height:202" type="#_x0000_t202" filled="false" stroked="false">
              <v:textbox inset="0,0,0,0">
                <w:txbxContent>
                  <w:p>
                    <w:pPr>
                      <w:tabs>
                        <w:tab w:pos="658" w:val="left" w:leader="none"/>
                      </w:tabs>
                      <w:spacing w:line="201" w:lineRule="exact" w:before="0"/>
                      <w:ind w:left="0" w:right="0" w:firstLine="0"/>
                      <w:jc w:val="left"/>
                      <w:rPr>
                        <w:rFonts w:ascii="Arial"/>
                        <w:sz w:val="18"/>
                      </w:rPr>
                    </w:pPr>
                    <w:r>
                      <w:rPr>
                        <w:rFonts w:ascii="Arial"/>
                        <w:color w:val="585858"/>
                        <w:sz w:val="18"/>
                      </w:rPr>
                      <w:t>2016</w:t>
                      <w:tab/>
                      <w:t>2012</w:t>
                    </w:r>
                  </w:p>
                </w:txbxContent>
              </v:textbox>
              <w10:wrap type="none"/>
            </v:shape>
            <v:shape style="position:absolute;left:7927;top:2349;width:1362;height:211" type="#_x0000_t202" filled="false" stroked="false">
              <v:textbox inset="0,0,0,0">
                <w:txbxContent>
                  <w:p>
                    <w:pPr>
                      <w:tabs>
                        <w:tab w:pos="721" w:val="left" w:leader="none"/>
                      </w:tabs>
                      <w:spacing w:line="211" w:lineRule="exact" w:before="0"/>
                      <w:ind w:left="0" w:right="0" w:firstLine="0"/>
                      <w:jc w:val="left"/>
                      <w:rPr>
                        <w:sz w:val="18"/>
                      </w:rPr>
                    </w:pPr>
                    <w:r>
                      <w:rPr>
                        <w:rFonts w:ascii="Arial"/>
                        <w:color w:val="585858"/>
                        <w:sz w:val="18"/>
                      </w:rPr>
                      <w:t>100+</w:t>
                      <w:tab/>
                    </w:r>
                    <w:r>
                      <w:rPr>
                        <w:color w:val="404040"/>
                        <w:position w:val="1"/>
                        <w:sz w:val="18"/>
                      </w:rPr>
                      <w:t>mio.</w:t>
                    </w:r>
                    <w:r>
                      <w:rPr>
                        <w:color w:val="404040"/>
                        <w:spacing w:val="-1"/>
                        <w:position w:val="1"/>
                        <w:sz w:val="18"/>
                      </w:rPr>
                      <w:t> </w:t>
                    </w:r>
                    <w:r>
                      <w:rPr>
                        <w:color w:val="404040"/>
                        <w:position w:val="1"/>
                        <w:sz w:val="18"/>
                      </w:rPr>
                      <w:t>kr.</w:t>
                    </w:r>
                  </w:p>
                </w:txbxContent>
              </v:textbox>
              <w10:wrap type="none"/>
            </v:shape>
            <v:shape style="position:absolute;left:5618;top:2359;width:680;height:202" type="#_x0000_t202" filled="false" stroked="false">
              <v:textbox inset="0,0,0,0">
                <w:txbxContent>
                  <w:p>
                    <w:pPr>
                      <w:spacing w:line="201" w:lineRule="exact" w:before="0"/>
                      <w:ind w:left="0" w:right="0" w:firstLine="0"/>
                      <w:jc w:val="left"/>
                      <w:rPr>
                        <w:rFonts w:ascii="Arial"/>
                        <w:sz w:val="18"/>
                      </w:rPr>
                    </w:pPr>
                    <w:r>
                      <w:rPr>
                        <w:rFonts w:ascii="Arial"/>
                        <w:color w:val="585858"/>
                        <w:sz w:val="18"/>
                      </w:rPr>
                      <w:t>[10-100[</w:t>
                    </w:r>
                  </w:p>
                </w:txbxContent>
              </v:textbox>
              <w10:wrap type="none"/>
            </v:shape>
            <v:shape style="position:absolute;left:3535;top:2359;width:481;height:202" type="#_x0000_t202" filled="false" stroked="false">
              <v:textbox inset="0,0,0,0">
                <w:txbxContent>
                  <w:p>
                    <w:pPr>
                      <w:spacing w:line="201" w:lineRule="exact" w:before="0"/>
                      <w:ind w:left="0" w:right="0" w:firstLine="0"/>
                      <w:jc w:val="left"/>
                      <w:rPr>
                        <w:rFonts w:ascii="Arial"/>
                        <w:sz w:val="18"/>
                      </w:rPr>
                    </w:pPr>
                    <w:r>
                      <w:rPr>
                        <w:rFonts w:ascii="Arial"/>
                        <w:color w:val="585858"/>
                        <w:sz w:val="18"/>
                      </w:rPr>
                      <w:t>[1-10[</w:t>
                    </w:r>
                  </w:p>
                </w:txbxContent>
              </v:textbox>
              <w10:wrap type="none"/>
            </v:shape>
            <v:shape style="position:absolute;left:1238;top:2359;width:660;height:202" type="#_x0000_t202" filled="false" stroked="false">
              <v:textbox inset="0,0,0,0">
                <w:txbxContent>
                  <w:p>
                    <w:pPr>
                      <w:spacing w:line="201" w:lineRule="exact" w:before="0"/>
                      <w:ind w:left="0" w:right="0" w:firstLine="0"/>
                      <w:jc w:val="left"/>
                      <w:rPr>
                        <w:rFonts w:ascii="Arial"/>
                        <w:sz w:val="18"/>
                      </w:rPr>
                    </w:pPr>
                    <w:r>
                      <w:rPr>
                        <w:rFonts w:ascii="Arial"/>
                        <w:color w:val="585858"/>
                        <w:sz w:val="18"/>
                      </w:rPr>
                      <w:t>Under 1</w:t>
                    </w:r>
                  </w:p>
                </w:txbxContent>
              </v:textbox>
              <w10:wrap type="none"/>
            </v:shape>
            <v:shape style="position:absolute;left:137;top:123;width:222;height:2223" type="#_x0000_t202" filled="false" stroked="false">
              <v:textbox inset="0,0,0,0">
                <w:txbxContent>
                  <w:p>
                    <w:pPr>
                      <w:spacing w:line="201" w:lineRule="exact" w:before="0"/>
                      <w:ind w:left="0" w:right="0" w:firstLine="0"/>
                      <w:jc w:val="left"/>
                      <w:rPr>
                        <w:rFonts w:ascii="Arial"/>
                        <w:sz w:val="18"/>
                      </w:rPr>
                    </w:pPr>
                    <w:r>
                      <w:rPr>
                        <w:rFonts w:ascii="Arial"/>
                        <w:color w:val="585858"/>
                        <w:sz w:val="18"/>
                      </w:rPr>
                      <w:t>20</w:t>
                    </w:r>
                  </w:p>
                  <w:p>
                    <w:pPr>
                      <w:spacing w:line="240" w:lineRule="auto" w:before="3"/>
                      <w:rPr>
                        <w:i/>
                        <w:sz w:val="26"/>
                      </w:rPr>
                    </w:pPr>
                  </w:p>
                  <w:p>
                    <w:pPr>
                      <w:spacing w:before="0"/>
                      <w:ind w:left="0" w:right="0" w:firstLine="0"/>
                      <w:jc w:val="left"/>
                      <w:rPr>
                        <w:rFonts w:ascii="Arial"/>
                        <w:sz w:val="18"/>
                      </w:rPr>
                    </w:pPr>
                    <w:r>
                      <w:rPr>
                        <w:rFonts w:ascii="Arial"/>
                        <w:color w:val="585858"/>
                        <w:sz w:val="18"/>
                      </w:rPr>
                      <w:t>15</w:t>
                    </w:r>
                  </w:p>
                  <w:p>
                    <w:pPr>
                      <w:spacing w:line="240" w:lineRule="auto" w:before="2"/>
                      <w:rPr>
                        <w:i/>
                        <w:sz w:val="26"/>
                      </w:rPr>
                    </w:pPr>
                  </w:p>
                  <w:p>
                    <w:pPr>
                      <w:spacing w:before="0"/>
                      <w:ind w:left="0" w:right="0" w:firstLine="0"/>
                      <w:jc w:val="left"/>
                      <w:rPr>
                        <w:rFonts w:ascii="Arial"/>
                        <w:sz w:val="18"/>
                      </w:rPr>
                    </w:pPr>
                    <w:r>
                      <w:rPr>
                        <w:rFonts w:ascii="Arial"/>
                        <w:color w:val="585858"/>
                        <w:sz w:val="18"/>
                      </w:rPr>
                      <w:t>10</w:t>
                    </w:r>
                  </w:p>
                  <w:p>
                    <w:pPr>
                      <w:spacing w:line="240" w:lineRule="auto" w:before="3"/>
                      <w:rPr>
                        <w:i/>
                        <w:sz w:val="26"/>
                      </w:rPr>
                    </w:pPr>
                  </w:p>
                  <w:p>
                    <w:pPr>
                      <w:spacing w:before="0"/>
                      <w:ind w:left="99" w:right="0" w:firstLine="0"/>
                      <w:jc w:val="left"/>
                      <w:rPr>
                        <w:rFonts w:ascii="Arial"/>
                        <w:sz w:val="18"/>
                      </w:rPr>
                    </w:pPr>
                    <w:r>
                      <w:rPr>
                        <w:rFonts w:ascii="Arial"/>
                        <w:color w:val="585858"/>
                        <w:w w:val="99"/>
                        <w:sz w:val="18"/>
                      </w:rPr>
                      <w:t>5</w:t>
                    </w:r>
                  </w:p>
                  <w:p>
                    <w:pPr>
                      <w:spacing w:line="240" w:lineRule="auto" w:before="3"/>
                      <w:rPr>
                        <w:i/>
                        <w:sz w:val="26"/>
                      </w:rPr>
                    </w:pPr>
                  </w:p>
                  <w:p>
                    <w:pPr>
                      <w:spacing w:before="0"/>
                      <w:ind w:left="99" w:right="0" w:firstLine="0"/>
                      <w:jc w:val="left"/>
                      <w:rPr>
                        <w:rFonts w:ascii="Arial"/>
                        <w:sz w:val="18"/>
                      </w:rPr>
                    </w:pPr>
                    <w:r>
                      <w:rPr>
                        <w:rFonts w:ascii="Arial"/>
                        <w:color w:val="585858"/>
                        <w:w w:val="99"/>
                        <w:sz w:val="18"/>
                      </w:rPr>
                      <w:t>0</w:t>
                    </w:r>
                  </w:p>
                </w:txbxContent>
              </v:textbox>
              <w10:wrap type="none"/>
            </v:shape>
          </v:group>
        </w:pict>
      </w:r>
      <w:r>
        <w:rPr/>
      </w:r>
    </w:p>
    <w:p>
      <w:pPr>
        <w:spacing w:before="77"/>
        <w:ind w:left="278" w:right="0" w:firstLine="0"/>
        <w:jc w:val="left"/>
        <w:rPr>
          <w:i/>
          <w:sz w:val="18"/>
        </w:rPr>
      </w:pPr>
      <w:r>
        <w:rPr>
          <w:b/>
          <w:i/>
          <w:color w:val="A21F1F"/>
          <w:sz w:val="18"/>
        </w:rPr>
        <w:t>Kilde</w:t>
      </w:r>
      <w:r>
        <w:rPr>
          <w:i/>
          <w:color w:val="A21F1F"/>
          <w:sz w:val="18"/>
        </w:rPr>
        <w:t>: Før-måling og spørgeskemaundersøgelse udført blandt forsyningsselskaber</w:t>
      </w:r>
    </w:p>
    <w:p>
      <w:pPr>
        <w:spacing w:before="119"/>
        <w:ind w:left="278" w:right="0" w:firstLine="0"/>
        <w:jc w:val="left"/>
        <w:rPr>
          <w:i/>
          <w:sz w:val="18"/>
        </w:rPr>
      </w:pPr>
      <w:r>
        <w:rPr>
          <w:b/>
          <w:i/>
          <w:color w:val="A21F1F"/>
          <w:sz w:val="18"/>
        </w:rPr>
        <w:t>N</w:t>
      </w:r>
      <w:r>
        <w:rPr>
          <w:i/>
          <w:color w:val="A21F1F"/>
          <w:sz w:val="18"/>
        </w:rPr>
        <w:t>: 2016: 32 og 2012: 25</w:t>
      </w:r>
    </w:p>
    <w:p>
      <w:pPr>
        <w:pStyle w:val="BodyText"/>
        <w:spacing w:before="6"/>
        <w:rPr>
          <w:i/>
          <w:sz w:val="28"/>
        </w:rPr>
      </w:pPr>
    </w:p>
    <w:p>
      <w:pPr>
        <w:pStyle w:val="BodyText"/>
        <w:spacing w:line="362" w:lineRule="auto"/>
        <w:ind w:left="278" w:right="1166"/>
      </w:pPr>
      <w:r>
        <w:rPr/>
        <w:t>Som det var tilfældet for de private virksomheder, tages der udgangspunkt i middelværdierne af intervallerne, som forsyningsselskaberne har angivet for vurderingen af effektiviseringsgevinsten.</w:t>
      </w:r>
    </w:p>
    <w:p>
      <w:pPr>
        <w:pStyle w:val="BodyText"/>
        <w:rPr>
          <w:sz w:val="21"/>
        </w:rPr>
      </w:pPr>
    </w:p>
    <w:p>
      <w:pPr>
        <w:pStyle w:val="BodyText"/>
        <w:spacing w:line="360" w:lineRule="auto"/>
        <w:ind w:left="278" w:right="1020"/>
      </w:pPr>
      <w:r>
        <w:rPr/>
        <w:t>Den samlede besparelse eller omkostningsreduktion som følge af brugen af de frie geodata hos forsyningsselskaberne i stikprøven kan således beregnes til 242 mio. kr., når besparelsen i procent sættes i forhold til deres omsætning. Når effektiviseringseffekten opgøres i bruttoværditilvækst beregnes den til 105 mio. kr. for stikprøven. Den samlede effektiviseringseffekt for alle forsyningsselskaber kan beregnes til</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cirka 229 mio. kr. Beregningen er nærmere beskrevet i Boks 5 nedenfor. Beregningen tager igen</w:t>
      </w:r>
    </w:p>
    <w:p>
      <w:pPr>
        <w:pStyle w:val="BodyText"/>
        <w:spacing w:before="114"/>
        <w:ind w:left="278"/>
      </w:pPr>
      <w:r>
        <w:rPr/>
        <w:t>udgangspunkt i den metode, der blev anvendt i før-målingen.</w:t>
      </w:r>
    </w:p>
    <w:p>
      <w:pPr>
        <w:pStyle w:val="BodyText"/>
        <w:rPr>
          <w:sz w:val="31"/>
        </w:rPr>
      </w:pPr>
    </w:p>
    <w:p>
      <w:pPr>
        <w:spacing w:before="0"/>
        <w:ind w:left="278" w:right="0" w:firstLine="0"/>
        <w:jc w:val="left"/>
        <w:rPr>
          <w:i/>
          <w:sz w:val="18"/>
        </w:rPr>
      </w:pPr>
      <w:r>
        <w:rPr>
          <w:i/>
          <w:color w:val="A21F1F"/>
          <w:sz w:val="18"/>
        </w:rPr>
        <w:t>Boks 5: Uddybning af beregning af effektiviseringsgevinst for forsyningsselskaber</w:t>
      </w:r>
    </w:p>
    <w:p>
      <w:pPr>
        <w:pStyle w:val="BodyText"/>
        <w:spacing w:before="10"/>
        <w:rPr>
          <w:i/>
          <w:sz w:val="21"/>
        </w:rPr>
      </w:pPr>
    </w:p>
    <w:p>
      <w:pPr>
        <w:pStyle w:val="BodyText"/>
        <w:spacing w:line="360" w:lineRule="auto" w:before="100"/>
        <w:ind w:left="504" w:right="1340"/>
      </w:pPr>
      <w:r>
        <w:rPr/>
        <w:pict>
          <v:shape style="position:absolute;margin-left:70.944pt;margin-top:-6.349129pt;width:472.4pt;height:399.8pt;mso-position-horizontal-relative:page;mso-position-vertical-relative:paragraph;z-index:-172480" coordorigin="1419,-127" coordsize="9448,7996" path="m10867,-127l1419,-127,1419,101,1419,7638,1419,7866,1419,7868,10867,7868,10867,7866,10867,7638,10867,101,10867,-127e" filled="true" fillcolor="#f1f1f1" stroked="false">
            <v:path arrowok="t"/>
            <v:fill type="solid"/>
            <w10:wrap type="none"/>
          </v:shape>
        </w:pict>
      </w:r>
      <w:r>
        <w:rPr/>
        <w:t>På tilsvarende måde som ved beregningen af effektiviseringseffekten hos private virksomheder er der på baggrund af angivelsen fra stikprøven af forsyningsselskaberne af deres besparelse i procent af deres omkostninger, beregnet en besparelse blandt selskaberne. Konkret er den beregnet til 242 mio. kr. Det er sket ved at sætte den angivne procentvise omkostningsreduktion i forhold til størrelsen af den omsætning, forsyningsselskaberne har angivet, idet det er antaget, at deres omsætning svarer til deres omkostninger. Selskabernes omsætning er anvendt som indikator for omkostningerne, idet der ikke foreligger oplysninger om virksomhedernes omkostninger.</w:t>
      </w:r>
    </w:p>
    <w:p>
      <w:pPr>
        <w:pStyle w:val="BodyText"/>
        <w:spacing w:before="4"/>
        <w:rPr>
          <w:sz w:val="12"/>
        </w:rPr>
      </w:pPr>
    </w:p>
    <w:p>
      <w:pPr>
        <w:pStyle w:val="BodyText"/>
        <w:spacing w:line="360" w:lineRule="auto" w:before="100"/>
        <w:ind w:left="504" w:right="1428"/>
      </w:pPr>
      <w:r>
        <w:rPr/>
        <w:t>Besparelsen omregnes dernæst til bruttoværditilvækst for at angive effektiviseringseffekten. For at omregne besparelsen i omkostninger til bruttoværditilvækst sidestilles besparelsen med produktionsværdi. Forholdet mellem produktionsværdi og bruttoværditilvækst kan findes ved et opslag i Danmarks Statistiks matrice for nationalregnskab (NABP10). Her opgøres den samlede bruttoværditilvækst til cirka 38 mia. kr. og den samlede produktionsværdi til cirka 87 mia. kr. for forsyningsselskaberne i 2015.</w:t>
      </w:r>
    </w:p>
    <w:p>
      <w:pPr>
        <w:pStyle w:val="BodyText"/>
        <w:spacing w:before="3"/>
        <w:rPr>
          <w:sz w:val="12"/>
        </w:rPr>
      </w:pPr>
    </w:p>
    <w:p>
      <w:pPr>
        <w:pStyle w:val="BodyText"/>
        <w:spacing w:line="360" w:lineRule="auto" w:before="100"/>
        <w:ind w:left="504" w:right="1297"/>
      </w:pPr>
      <w:r>
        <w:rPr/>
        <w:t>Samme forhold antages at gælde for de forsyningsselskaber, der har deltaget i undersøgelsen, hvorfor effektiviseringsgevinsten som følge af brugen af de frie geodata beregnes til cirka 105 mio. kr. (242 mio. kr.*(38 mia. kr./87 mia. kr.)). Den beregnede effektiviseringsgevinst for de forsyningsselskaber, der har deltaget i undersøgelsen, opregnes til den samlede branche ud fra størrelsen af omsætningen. Den beregnede bruttoværditilvækst opregnes derfor med en faktor 2,17 (antal i stikprøve/antal svar), hvilket giver anledning til, at den samlede bruttoværditilvækst for hele forsyningssektoren som følge af brugen af de frie geodata udgør cirka 229 mio. kr. i 2016</w:t>
      </w:r>
    </w:p>
    <w:p>
      <w:pPr>
        <w:pStyle w:val="BodyText"/>
      </w:pPr>
    </w:p>
    <w:p>
      <w:pPr>
        <w:pStyle w:val="BodyText"/>
        <w:spacing w:before="1"/>
        <w:rPr>
          <w:sz w:val="21"/>
        </w:rPr>
      </w:pPr>
    </w:p>
    <w:p>
      <w:pPr>
        <w:spacing w:before="0"/>
        <w:ind w:left="278" w:right="0" w:firstLine="0"/>
        <w:jc w:val="left"/>
        <w:rPr>
          <w:i/>
          <w:sz w:val="18"/>
        </w:rPr>
      </w:pPr>
      <w:r>
        <w:rPr>
          <w:b/>
          <w:color w:val="A21F1F"/>
          <w:sz w:val="18"/>
        </w:rPr>
        <w:t>Kilde: </w:t>
      </w:r>
      <w:r>
        <w:rPr>
          <w:i/>
          <w:color w:val="A21F1F"/>
          <w:sz w:val="18"/>
        </w:rPr>
        <w:t>Før-måling</w:t>
      </w:r>
    </w:p>
    <w:p>
      <w:pPr>
        <w:pStyle w:val="BodyText"/>
        <w:spacing w:before="6"/>
        <w:rPr>
          <w:i/>
          <w:sz w:val="28"/>
        </w:rPr>
      </w:pPr>
    </w:p>
    <w:p>
      <w:pPr>
        <w:pStyle w:val="Heading3"/>
        <w:numPr>
          <w:ilvl w:val="2"/>
          <w:numId w:val="15"/>
        </w:numPr>
        <w:tabs>
          <w:tab w:pos="999" w:val="left" w:leader="none"/>
        </w:tabs>
        <w:spacing w:line="240" w:lineRule="auto" w:before="1" w:after="0"/>
        <w:ind w:left="998" w:right="0" w:hanging="720"/>
        <w:jc w:val="left"/>
        <w:rPr>
          <w:i/>
        </w:rPr>
      </w:pPr>
      <w:bookmarkStart w:name="_bookmark82" w:id="114"/>
      <w:bookmarkEnd w:id="114"/>
      <w:r>
        <w:rPr>
          <w:i w:val="0"/>
        </w:rPr>
      </w:r>
      <w:bookmarkStart w:name="_bookmark82" w:id="115"/>
      <w:bookmarkEnd w:id="115"/>
      <w:r>
        <w:rPr>
          <w:i/>
          <w:color w:val="A21F1F"/>
        </w:rPr>
        <w:t>Ef</w:t>
      </w:r>
      <w:r>
        <w:rPr>
          <w:i/>
          <w:color w:val="A21F1F"/>
        </w:rPr>
        <w:t>fektiviseringseffekten i offentlige</w:t>
      </w:r>
      <w:r>
        <w:rPr>
          <w:i/>
          <w:color w:val="A21F1F"/>
          <w:spacing w:val="-5"/>
        </w:rPr>
        <w:t> </w:t>
      </w:r>
      <w:r>
        <w:rPr>
          <w:i/>
          <w:color w:val="A21F1F"/>
        </w:rPr>
        <w:t>myndigheder</w:t>
      </w:r>
    </w:p>
    <w:p>
      <w:pPr>
        <w:pStyle w:val="BodyText"/>
        <w:spacing w:line="254" w:lineRule="auto" w:before="252"/>
        <w:ind w:left="278" w:right="1069"/>
      </w:pPr>
      <w:r>
        <w:rPr/>
        <w:t>Til at beregne effektiviseringsgevinsten i offentlige myndigheder tages der udgangspunkt i de spørgsmål i spørgeskemaundersøgelsen, hvor offentlige myndigheder er blevet bedt om at vurdere størrelsen af effektiviseringsgevinsten ved brugen af de frie geodata. Det kan være i forhold til både interne processer og myndighedsudøvelse. Summen af de vurderede effektiviseringseffekter i stikprøven opregnes herefter til populationen af offentlige myndigheder, der anvender geodata. Beregningsmetoden er illustreret i nedenstående </w:t>
      </w:r>
      <w:hyperlink w:history="true" w:anchor="_bookmark83">
        <w:r>
          <w:rPr/>
          <w:t>Figur 46.</w:t>
        </w:r>
      </w:hyperlink>
    </w:p>
    <w:p>
      <w:pPr>
        <w:pStyle w:val="BodyText"/>
        <w:spacing w:before="8"/>
      </w:pPr>
    </w:p>
    <w:p>
      <w:pPr>
        <w:pStyle w:val="BodyText"/>
        <w:spacing w:line="254" w:lineRule="auto" w:before="1"/>
        <w:ind w:left="278" w:right="1729"/>
      </w:pPr>
      <w:r>
        <w:rPr/>
        <w:t>Beregningen af effektiviseringseffekten i de offentlige myndigheder skiller sig ud fra beregningen af effektiviseringseffekten i private virksomheder og forsyningsvirksomheder, da den ikke tager udgangspunkt i omsætningen, og da der heller ikke omregnes til bruttoværditilvækst.</w:t>
      </w:r>
    </w:p>
    <w:p>
      <w:pPr>
        <w:spacing w:after="0" w:line="254"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1.304001pt;margin-top:14.096pt;width:472.65pt;height:235.3pt;mso-position-horizontal-relative:page;mso-position-vertical-relative:paragraph;z-index:8024;mso-wrap-distance-left:0;mso-wrap-distance-right:0" coordorigin="1426,282" coordsize="9453,4706">
            <v:rect style="position:absolute;left:1426;top:281;width:9453;height:582" filled="true" fillcolor="#f1f1f1" stroked="false">
              <v:fill type="solid"/>
            </v:rect>
            <v:rect style="position:absolute;left:1426;top:863;width:9453;height:360" filled="true" fillcolor="#f1f1f1" stroked="false">
              <v:fill type="solid"/>
            </v:rect>
            <v:rect style="position:absolute;left:1426;top:1223;width:9453;height:581" filled="true" fillcolor="#f1f1f1" stroked="false">
              <v:fill type="solid"/>
            </v:rect>
            <v:rect style="position:absolute;left:1426;top:1804;width:9453;height:358" filled="true" fillcolor="#f1f1f1" stroked="false">
              <v:fill type="solid"/>
            </v:rect>
            <v:rect style="position:absolute;left:1426;top:2161;width:9453;height:581" filled="true" fillcolor="#f1f1f1" stroked="false">
              <v:fill type="solid"/>
            </v:rect>
            <v:rect style="position:absolute;left:1426;top:2742;width:9453;height:1715" filled="true" fillcolor="#f1f1f1" stroked="false">
              <v:fill type="solid"/>
            </v:rect>
            <v:rect style="position:absolute;left:1426;top:4456;width:9453;height:204" filled="true" fillcolor="#f1f1f1" stroked="false">
              <v:fill type="solid"/>
            </v:rect>
            <v:rect style="position:absolute;left:1426;top:4660;width:9453;height:327" filled="true" fillcolor="#f1f1f1" stroked="false">
              <v:fill type="solid"/>
            </v:rect>
            <v:shape style="position:absolute;left:3883;top:2742;width:4535;height:1360" type="#_x0000_t75" stroked="false">
              <v:imagedata r:id="rId36" o:title=""/>
            </v:shape>
            <v:shape style="position:absolute;left:1426;top:281;width:9453;height:4706" type="#_x0000_t202" filled="false" stroked="false">
              <v:textbox inset="0,0,0,0">
                <w:txbxContent>
                  <w:p>
                    <w:pPr>
                      <w:spacing w:line="227" w:lineRule="exact" w:before="0"/>
                      <w:ind w:left="47" w:right="0" w:firstLine="0"/>
                      <w:jc w:val="left"/>
                      <w:rPr>
                        <w:sz w:val="20"/>
                      </w:rPr>
                    </w:pPr>
                    <w:r>
                      <w:rPr>
                        <w:sz w:val="20"/>
                      </w:rPr>
                      <w:t>Beregningen af effektiviseringseffekten foretages i følgende to trin:</w:t>
                    </w:r>
                  </w:p>
                  <w:p>
                    <w:pPr>
                      <w:spacing w:line="240" w:lineRule="auto" w:before="0"/>
                      <w:rPr>
                        <w:i/>
                        <w:sz w:val="31"/>
                      </w:rPr>
                    </w:pPr>
                  </w:p>
                  <w:p>
                    <w:pPr>
                      <w:numPr>
                        <w:ilvl w:val="0"/>
                        <w:numId w:val="19"/>
                      </w:numPr>
                      <w:tabs>
                        <w:tab w:pos="719" w:val="left" w:leader="none"/>
                        <w:tab w:pos="720" w:val="left" w:leader="none"/>
                      </w:tabs>
                      <w:spacing w:line="352" w:lineRule="auto" w:before="0"/>
                      <w:ind w:left="719" w:right="663" w:hanging="359"/>
                      <w:jc w:val="left"/>
                      <w:rPr>
                        <w:sz w:val="20"/>
                      </w:rPr>
                    </w:pPr>
                    <w:r>
                      <w:rPr>
                        <w:sz w:val="20"/>
                      </w:rPr>
                      <w:t>I</w:t>
                    </w:r>
                    <w:r>
                      <w:rPr>
                        <w:spacing w:val="-2"/>
                        <w:sz w:val="20"/>
                      </w:rPr>
                      <w:t> </w:t>
                    </w:r>
                    <w:r>
                      <w:rPr>
                        <w:b/>
                        <w:sz w:val="20"/>
                      </w:rPr>
                      <w:t>trin</w:t>
                    </w:r>
                    <w:r>
                      <w:rPr>
                        <w:b/>
                        <w:spacing w:val="-4"/>
                        <w:sz w:val="20"/>
                      </w:rPr>
                      <w:t> </w:t>
                    </w:r>
                    <w:r>
                      <w:rPr>
                        <w:b/>
                        <w:sz w:val="20"/>
                      </w:rPr>
                      <w:t>1</w:t>
                    </w:r>
                    <w:r>
                      <w:rPr>
                        <w:b/>
                        <w:spacing w:val="-3"/>
                        <w:sz w:val="20"/>
                      </w:rPr>
                      <w:t> </w:t>
                    </w:r>
                    <w:r>
                      <w:rPr>
                        <w:sz w:val="20"/>
                      </w:rPr>
                      <w:t>beregnes</w:t>
                    </w:r>
                    <w:r>
                      <w:rPr>
                        <w:spacing w:val="-4"/>
                        <w:sz w:val="20"/>
                      </w:rPr>
                      <w:t> </w:t>
                    </w:r>
                    <w:r>
                      <w:rPr>
                        <w:sz w:val="20"/>
                      </w:rPr>
                      <w:t>summen</w:t>
                    </w:r>
                    <w:r>
                      <w:rPr>
                        <w:spacing w:val="-2"/>
                        <w:sz w:val="20"/>
                      </w:rPr>
                      <w:t> </w:t>
                    </w:r>
                    <w:r>
                      <w:rPr>
                        <w:sz w:val="20"/>
                      </w:rPr>
                      <w:t>af</w:t>
                    </w:r>
                    <w:r>
                      <w:rPr>
                        <w:spacing w:val="-3"/>
                        <w:sz w:val="20"/>
                      </w:rPr>
                      <w:t> </w:t>
                    </w:r>
                    <w:r>
                      <w:rPr>
                        <w:sz w:val="20"/>
                      </w:rPr>
                      <w:t>de</w:t>
                    </w:r>
                    <w:r>
                      <w:rPr>
                        <w:spacing w:val="-4"/>
                        <w:sz w:val="20"/>
                      </w:rPr>
                      <w:t> </w:t>
                    </w:r>
                    <w:r>
                      <w:rPr>
                        <w:sz w:val="20"/>
                      </w:rPr>
                      <w:t>vurderede</w:t>
                    </w:r>
                    <w:r>
                      <w:rPr>
                        <w:spacing w:val="-4"/>
                        <w:sz w:val="20"/>
                      </w:rPr>
                      <w:t> </w:t>
                    </w:r>
                    <w:r>
                      <w:rPr>
                        <w:sz w:val="20"/>
                      </w:rPr>
                      <w:t>målbare</w:t>
                    </w:r>
                    <w:r>
                      <w:rPr>
                        <w:spacing w:val="-1"/>
                        <w:sz w:val="20"/>
                      </w:rPr>
                      <w:t> </w:t>
                    </w:r>
                    <w:r>
                      <w:rPr>
                        <w:sz w:val="20"/>
                      </w:rPr>
                      <w:t>gevinster,</w:t>
                    </w:r>
                    <w:r>
                      <w:rPr>
                        <w:spacing w:val="-5"/>
                        <w:sz w:val="20"/>
                      </w:rPr>
                      <w:t> </w:t>
                    </w:r>
                    <w:r>
                      <w:rPr>
                        <w:sz w:val="20"/>
                      </w:rPr>
                      <w:t>som</w:t>
                    </w:r>
                    <w:r>
                      <w:rPr>
                        <w:spacing w:val="-3"/>
                        <w:sz w:val="20"/>
                      </w:rPr>
                      <w:t> </w:t>
                    </w:r>
                    <w:r>
                      <w:rPr>
                        <w:sz w:val="20"/>
                      </w:rPr>
                      <w:t>de</w:t>
                    </w:r>
                    <w:r>
                      <w:rPr>
                        <w:spacing w:val="-1"/>
                        <w:sz w:val="20"/>
                      </w:rPr>
                      <w:t> </w:t>
                    </w:r>
                    <w:r>
                      <w:rPr>
                        <w:sz w:val="20"/>
                      </w:rPr>
                      <w:t>myndigheder,</w:t>
                    </w:r>
                    <w:r>
                      <w:rPr>
                        <w:spacing w:val="-5"/>
                        <w:sz w:val="20"/>
                      </w:rPr>
                      <w:t> </w:t>
                    </w:r>
                    <w:r>
                      <w:rPr>
                        <w:sz w:val="20"/>
                      </w:rPr>
                      <w:t>der</w:t>
                    </w:r>
                    <w:r>
                      <w:rPr>
                        <w:spacing w:val="-2"/>
                        <w:sz w:val="20"/>
                      </w:rPr>
                      <w:t> </w:t>
                    </w:r>
                    <w:r>
                      <w:rPr>
                        <w:sz w:val="20"/>
                      </w:rPr>
                      <w:t>har deltaget i undersøgelsen, har</w:t>
                    </w:r>
                    <w:r>
                      <w:rPr>
                        <w:spacing w:val="-6"/>
                        <w:sz w:val="20"/>
                      </w:rPr>
                      <w:t> </w:t>
                    </w:r>
                    <w:r>
                      <w:rPr>
                        <w:sz w:val="20"/>
                      </w:rPr>
                      <w:t>angivet.</w:t>
                    </w:r>
                  </w:p>
                  <w:p>
                    <w:pPr>
                      <w:spacing w:line="240" w:lineRule="auto" w:before="8"/>
                      <w:rPr>
                        <w:i/>
                        <w:sz w:val="21"/>
                      </w:rPr>
                    </w:pPr>
                  </w:p>
                  <w:p>
                    <w:pPr>
                      <w:numPr>
                        <w:ilvl w:val="0"/>
                        <w:numId w:val="19"/>
                      </w:numPr>
                      <w:tabs>
                        <w:tab w:pos="719" w:val="left" w:leader="none"/>
                        <w:tab w:pos="720" w:val="left" w:leader="none"/>
                      </w:tabs>
                      <w:spacing w:line="350" w:lineRule="auto" w:before="0"/>
                      <w:ind w:left="719" w:right="816" w:hanging="359"/>
                      <w:jc w:val="left"/>
                      <w:rPr>
                        <w:sz w:val="20"/>
                      </w:rPr>
                    </w:pPr>
                    <w:r>
                      <w:rPr>
                        <w:sz w:val="20"/>
                      </w:rPr>
                      <w:t>I</w:t>
                    </w:r>
                    <w:r>
                      <w:rPr>
                        <w:spacing w:val="-7"/>
                        <w:sz w:val="20"/>
                      </w:rPr>
                      <w:t> </w:t>
                    </w:r>
                    <w:r>
                      <w:rPr>
                        <w:b/>
                        <w:sz w:val="20"/>
                      </w:rPr>
                      <w:t>trin</w:t>
                    </w:r>
                    <w:r>
                      <w:rPr>
                        <w:b/>
                        <w:spacing w:val="-5"/>
                        <w:sz w:val="20"/>
                      </w:rPr>
                      <w:t> </w:t>
                    </w:r>
                    <w:r>
                      <w:rPr>
                        <w:b/>
                        <w:sz w:val="20"/>
                      </w:rPr>
                      <w:t>2</w:t>
                    </w:r>
                    <w:r>
                      <w:rPr>
                        <w:b/>
                        <w:spacing w:val="-3"/>
                        <w:sz w:val="20"/>
                      </w:rPr>
                      <w:t> </w:t>
                    </w:r>
                    <w:r>
                      <w:rPr>
                        <w:sz w:val="20"/>
                      </w:rPr>
                      <w:t>opregnes</w:t>
                    </w:r>
                    <w:r>
                      <w:rPr>
                        <w:spacing w:val="-3"/>
                        <w:sz w:val="20"/>
                      </w:rPr>
                      <w:t> </w:t>
                    </w:r>
                    <w:r>
                      <w:rPr>
                        <w:sz w:val="20"/>
                      </w:rPr>
                      <w:t>effektiviseringseffekten</w:t>
                    </w:r>
                    <w:r>
                      <w:rPr>
                        <w:spacing w:val="-5"/>
                        <w:sz w:val="20"/>
                      </w:rPr>
                      <w:t> </w:t>
                    </w:r>
                    <w:r>
                      <w:rPr>
                        <w:sz w:val="20"/>
                      </w:rPr>
                      <w:t>for</w:t>
                    </w:r>
                    <w:r>
                      <w:rPr>
                        <w:spacing w:val="-6"/>
                        <w:sz w:val="20"/>
                      </w:rPr>
                      <w:t> </w:t>
                    </w:r>
                    <w:r>
                      <w:rPr>
                        <w:sz w:val="20"/>
                      </w:rPr>
                      <w:t>stikprøven</w:t>
                    </w:r>
                    <w:r>
                      <w:rPr>
                        <w:spacing w:val="-5"/>
                        <w:sz w:val="20"/>
                      </w:rPr>
                      <w:t> </w:t>
                    </w:r>
                    <w:r>
                      <w:rPr>
                        <w:sz w:val="20"/>
                      </w:rPr>
                      <w:t>til</w:t>
                    </w:r>
                    <w:r>
                      <w:rPr>
                        <w:spacing w:val="-5"/>
                        <w:sz w:val="20"/>
                      </w:rPr>
                      <w:t> </w:t>
                    </w:r>
                    <w:r>
                      <w:rPr>
                        <w:sz w:val="20"/>
                      </w:rPr>
                      <w:t>hele</w:t>
                    </w:r>
                    <w:r>
                      <w:rPr>
                        <w:spacing w:val="-2"/>
                        <w:sz w:val="20"/>
                      </w:rPr>
                      <w:t> </w:t>
                    </w:r>
                    <w:r>
                      <w:rPr>
                        <w:sz w:val="20"/>
                      </w:rPr>
                      <w:t>populationen</w:t>
                    </w:r>
                    <w:r>
                      <w:rPr>
                        <w:spacing w:val="-6"/>
                        <w:sz w:val="20"/>
                      </w:rPr>
                      <w:t> </w:t>
                    </w:r>
                    <w:r>
                      <w:rPr>
                        <w:sz w:val="20"/>
                      </w:rPr>
                      <w:t>af</w:t>
                    </w:r>
                    <w:r>
                      <w:rPr>
                        <w:spacing w:val="-5"/>
                        <w:sz w:val="20"/>
                      </w:rPr>
                      <w:t> </w:t>
                    </w:r>
                    <w:r>
                      <w:rPr>
                        <w:sz w:val="20"/>
                      </w:rPr>
                      <w:t>offentlige myndigheder, der anvender de frie</w:t>
                    </w:r>
                    <w:r>
                      <w:rPr>
                        <w:spacing w:val="-4"/>
                        <w:sz w:val="20"/>
                      </w:rPr>
                      <w:t> </w:t>
                    </w:r>
                    <w:r>
                      <w:rPr>
                        <w:sz w:val="20"/>
                      </w:rPr>
                      <w:t>geodata.</w:t>
                    </w: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9"/>
                      <w:rPr>
                        <w:i/>
                        <w:sz w:val="18"/>
                      </w:rPr>
                    </w:pPr>
                  </w:p>
                  <w:p>
                    <w:pPr>
                      <w:spacing w:before="0"/>
                      <w:ind w:left="0" w:right="185" w:firstLine="0"/>
                      <w:jc w:val="left"/>
                      <w:rPr>
                        <w:i/>
                        <w:sz w:val="18"/>
                      </w:rPr>
                    </w:pPr>
                    <w:r>
                      <w:rPr>
                        <w:b/>
                        <w:i/>
                        <w:color w:val="A21F1F"/>
                        <w:sz w:val="18"/>
                      </w:rPr>
                      <w:t>Note</w:t>
                    </w:r>
                    <w:r>
                      <w:rPr>
                        <w:i/>
                        <w:color w:val="A21F1F"/>
                        <w:sz w:val="18"/>
                      </w:rPr>
                      <w:t>: Det er udelukkende stikprøven for kommuner og regioner, der opregnes til nationalt niveau, da vi vurderer, </w:t>
                    </w:r>
                    <w:r>
                      <w:rPr>
                        <w:i/>
                        <w:color w:val="A21F1F"/>
                        <w:sz w:val="18"/>
                      </w:rPr>
                      <w:t>at den statslige anvendelse af de frie geodata er repræsenteret i stikprøven.</w:t>
                    </w:r>
                  </w:p>
                </w:txbxContent>
              </v:textbox>
              <w10:wrap type="none"/>
            </v:shape>
            <w10:wrap type="topAndBottom"/>
          </v:group>
        </w:pict>
      </w:r>
      <w:bookmarkStart w:name="_bookmark83" w:id="116"/>
      <w:bookmarkEnd w:id="116"/>
      <w:r>
        <w:rPr/>
      </w:r>
      <w:r>
        <w:rPr>
          <w:i/>
          <w:color w:val="A21F1F"/>
          <w:sz w:val="18"/>
        </w:rPr>
        <w:t>Figur 46: Beregning af effektiviseringseffekten af de frie geodata i offentlige myndigheder</w:t>
      </w:r>
    </w:p>
    <w:p>
      <w:pPr>
        <w:pStyle w:val="BodyText"/>
        <w:spacing w:before="7"/>
        <w:rPr>
          <w:i/>
          <w:sz w:val="18"/>
        </w:rPr>
      </w:pPr>
    </w:p>
    <w:p>
      <w:pPr>
        <w:pStyle w:val="BodyText"/>
        <w:spacing w:line="360" w:lineRule="auto" w:before="99"/>
        <w:ind w:left="278" w:right="1175"/>
      </w:pPr>
      <w:r>
        <w:rPr/>
        <w:t>De myndigheder, der har deltaget i undersøgelsen, er blevet bedt om at angive, om de har opnået målbare gevinster i relation til interne processer og myndighedsudøvelse som følge af de frie geodata, jf. </w:t>
      </w:r>
      <w:hyperlink w:history="true" w:anchor="_bookmark66">
        <w:r>
          <w:rPr/>
          <w:t>Figur 38 </w:t>
        </w:r>
      </w:hyperlink>
      <w:r>
        <w:rPr/>
        <w:t>i kapitel 4. De myndigheder, der har angivet, at de har opnået målbare effekter, er ligeledes blevet bedt om at angive et skøn over de besparelser, som de frie geodata har medført i myndigheden. De skønnede besparelser anses for at være et udtryk for effektiviseringseffekten i de offentlige myndigheder. Samlet set har 74 myndigheder på tværs af myndighedsniveauer angivet, at de har opnået én eller flere målbare besparelser i 2016.</w:t>
      </w:r>
    </w:p>
    <w:p>
      <w:pPr>
        <w:pStyle w:val="BodyText"/>
        <w:rPr>
          <w:sz w:val="21"/>
        </w:rPr>
      </w:pPr>
    </w:p>
    <w:p>
      <w:pPr>
        <w:spacing w:before="0"/>
        <w:ind w:left="278" w:right="0" w:firstLine="0"/>
        <w:jc w:val="left"/>
        <w:rPr>
          <w:i/>
          <w:sz w:val="18"/>
        </w:rPr>
      </w:pPr>
      <w:r>
        <w:rPr/>
        <w:pict>
          <v:group style="position:absolute;margin-left:70.525002pt;margin-top:15.867938pt;width:468.15pt;height:164.75pt;mso-position-horizontal-relative:page;mso-position-vertical-relative:paragraph;z-index:8360;mso-wrap-distance-left:0;mso-wrap-distance-right:0" coordorigin="1411,317" coordsize="9363,3295">
            <v:rect style="position:absolute;left:1418;top:324;width:9348;height:3280" filled="true" fillcolor="#f1f1f1" stroked="false">
              <v:fill type="solid"/>
            </v:rect>
            <v:line style="position:absolute" from="3461,545" to="3461,761" stroked="true" strokeweight=".75pt" strokecolor="#d9d9d9">
              <v:stroke dashstyle="solid"/>
            </v:line>
            <v:line style="position:absolute" from="3461,984" to="3461,1304" stroked="true" strokeweight=".75pt" strokecolor="#d9d9d9">
              <v:stroke dashstyle="solid"/>
            </v:line>
            <v:line style="position:absolute" from="3461,1529" to="3461,1733" stroked="true" strokeweight=".75pt" strokecolor="#d9d9d9">
              <v:stroke dashstyle="solid"/>
            </v:line>
            <v:line style="position:absolute" from="3461,2072" to="3461,2388" stroked="true" strokeweight=".75pt" strokecolor="#d9d9d9">
              <v:stroke dashstyle="solid"/>
            </v:line>
            <v:line style="position:absolute" from="3461,2614" to="3461,2718" stroked="true" strokeweight=".75pt" strokecolor="#d9d9d9">
              <v:stroke dashstyle="solid"/>
            </v:line>
            <v:line style="position:absolute" from="4322,545" to="4322,761" stroked="true" strokeweight=".75pt" strokecolor="#d9d9d9">
              <v:stroke dashstyle="solid"/>
            </v:line>
            <v:line style="position:absolute" from="4322,984" to="4322,1304" stroked="true" strokeweight=".75pt" strokecolor="#d9d9d9">
              <v:stroke dashstyle="solid"/>
            </v:line>
            <v:line style="position:absolute" from="4322,1529" to="4322,1733" stroked="true" strokeweight=".75pt" strokecolor="#d9d9d9">
              <v:stroke dashstyle="solid"/>
            </v:line>
            <v:line style="position:absolute" from="4322,2072" to="4322,2388" stroked="true" strokeweight=".75pt" strokecolor="#d9d9d9">
              <v:stroke dashstyle="solid"/>
            </v:line>
            <v:line style="position:absolute" from="4322,2614" to="4322,2718" stroked="true" strokeweight=".75pt" strokecolor="#d9d9d9">
              <v:stroke dashstyle="solid"/>
            </v:line>
            <v:line style="position:absolute" from="5186,545" to="5186,761" stroked="true" strokeweight=".75pt" strokecolor="#d9d9d9">
              <v:stroke dashstyle="solid"/>
            </v:line>
            <v:line style="position:absolute" from="5186,984" to="5186,1846" stroked="true" strokeweight=".75pt" strokecolor="#d9d9d9">
              <v:stroke dashstyle="solid"/>
            </v:line>
            <v:line style="position:absolute" from="5186,2072" to="5186,2388" stroked="true" strokeweight=".75pt" strokecolor="#d9d9d9">
              <v:stroke dashstyle="solid"/>
            </v:line>
            <v:line style="position:absolute" from="5186,2614" to="5186,2718" stroked="true" strokeweight=".75pt" strokecolor="#d9d9d9">
              <v:stroke dashstyle="solid"/>
            </v:line>
            <v:line style="position:absolute" from="6050,545" to="6050,761" stroked="true" strokeweight=".75pt" strokecolor="#d9d9d9">
              <v:stroke dashstyle="solid"/>
            </v:line>
            <v:line style="position:absolute" from="6050,984" to="6050,1959" stroked="true" strokeweight=".75pt" strokecolor="#d9d9d9">
              <v:stroke dashstyle="solid"/>
            </v:line>
            <v:line style="position:absolute" from="6050,2072" to="6050,2388" stroked="true" strokeweight=".75pt" strokecolor="#d9d9d9">
              <v:stroke dashstyle="solid"/>
            </v:line>
            <v:line style="position:absolute" from="6050,2614" to="6050,2718" stroked="true" strokeweight=".75pt" strokecolor="#d9d9d9">
              <v:stroke dashstyle="solid"/>
            </v:line>
            <v:line style="position:absolute" from="6912,545" to="6912,761" stroked="true" strokeweight=".75pt" strokecolor="#d9d9d9">
              <v:stroke dashstyle="solid"/>
            </v:line>
            <v:line style="position:absolute" from="6912,984" to="6912,2388" stroked="true" strokeweight=".75pt" strokecolor="#d9d9d9">
              <v:stroke dashstyle="solid"/>
            </v:line>
            <v:line style="position:absolute" from="6912,2501" to="6912,2718" stroked="true" strokeweight=".75pt" strokecolor="#d9d9d9">
              <v:stroke dashstyle="solid"/>
            </v:line>
            <v:line style="position:absolute" from="7776,545" to="7776,761" stroked="true" strokeweight=".75pt" strokecolor="#d9d9d9">
              <v:stroke dashstyle="solid"/>
            </v:line>
            <v:line style="position:absolute" from="7776,872" to="7776,2388" stroked="true" strokeweight=".75pt" strokecolor="#d9d9d9">
              <v:stroke dashstyle="solid"/>
            </v:line>
            <v:line style="position:absolute" from="7776,2501" to="7776,2718" stroked="true" strokeweight=".75pt" strokecolor="#d9d9d9">
              <v:stroke dashstyle="solid"/>
            </v:line>
            <v:line style="position:absolute" from="8640,545" to="8640,761" stroked="true" strokeweight=".75pt" strokecolor="#d9d9d9">
              <v:stroke dashstyle="solid"/>
            </v:line>
            <v:line style="position:absolute" from="8640,872" to="8640,2718" stroked="true" strokeweight=".75pt" strokecolor="#d9d9d9">
              <v:stroke dashstyle="solid"/>
            </v:line>
            <v:line style="position:absolute" from="9504,545" to="9504,761" stroked="true" strokeweight=".75pt" strokecolor="#d9d9d9">
              <v:stroke dashstyle="solid"/>
            </v:line>
            <v:line style="position:absolute" from="9504,872" to="9504,2718" stroked="true" strokeweight=".75pt" strokecolor="#d9d9d9">
              <v:stroke dashstyle="solid"/>
            </v:line>
            <v:line style="position:absolute" from="10366,545" to="10366,2718" stroked="true" strokeweight=".75pt" strokecolor="#d9d9d9">
              <v:stroke dashstyle="solid"/>
            </v:line>
            <v:line style="position:absolute" from="2597,2558" to="6686,2558" stroked="true" strokeweight="5.64pt" strokecolor="#851717">
              <v:stroke dashstyle="solid"/>
            </v:line>
            <v:line style="position:absolute" from="2597,2015" to="6912,2015" stroked="true" strokeweight="5.64pt" strokecolor="#851717">
              <v:stroke dashstyle="solid"/>
            </v:line>
            <v:rect style="position:absolute;left:2596;top:1416;width:2158;height:113" filled="true" fillcolor="#851717" stroked="false">
              <v:fill type="solid"/>
            </v:rect>
            <v:line style="position:absolute" from="2597,928" to="7306,928" stroked="true" strokeweight="5.64pt" strokecolor="#851717">
              <v:stroke dashstyle="solid"/>
            </v:line>
            <v:line style="position:absolute" from="2597,2445" to="8050,2445" stroked="true" strokeweight="5.64pt" strokecolor="#a21f1f">
              <v:stroke dashstyle="solid"/>
            </v:line>
            <v:line style="position:absolute" from="2597,1902" to="5954,1902" stroked="true" strokeweight="5.64pt" strokecolor="#a21f1f">
              <v:stroke dashstyle="solid"/>
            </v:line>
            <v:rect style="position:absolute;left:2596;top:1303;width:2158;height:113" filled="true" fillcolor="#a21f1f" stroked="false">
              <v:fill type="solid"/>
            </v:rect>
            <v:line style="position:absolute" from="2597,816" to="9660,816" stroked="true" strokeweight="5.52pt" strokecolor="#a21f1f">
              <v:stroke dashstyle="solid"/>
            </v:line>
            <v:line style="position:absolute" from="2597,1790" to="4514,1790" stroked="true" strokeweight="5.64pt" strokecolor="#c9a1a1">
              <v:stroke dashstyle="solid"/>
            </v:line>
            <v:line style="position:absolute" from="2597,705" to="3120,705" stroked="true" strokeweight="5.64pt" strokecolor="#c9a1a1">
              <v:stroke dashstyle="solid"/>
            </v:line>
            <v:line style="position:absolute" from="2597,2718" to="2597,545" stroked="true" strokeweight=".75pt" strokecolor="#d9d9d9">
              <v:stroke dashstyle="solid"/>
            </v:line>
            <v:rect style="position:absolute;left:3589;top:3277;width:93;height:93" filled="true" fillcolor="#c9a1a1" stroked="false">
              <v:fill type="solid"/>
            </v:rect>
            <v:rect style="position:absolute;left:4530;top:3277;width:93;height:93" filled="true" fillcolor="#a21f1f" stroked="false">
              <v:fill type="solid"/>
            </v:rect>
            <v:rect style="position:absolute;left:7089;top:3277;width:93;height:93" filled="true" fillcolor="#851717" stroked="false">
              <v:fill type="solid"/>
            </v:rect>
            <v:rect style="position:absolute;left:1418;top:324;width:9348;height:3280" filled="false" stroked="true" strokeweight=".75pt" strokecolor="#d9d9d9">
              <v:stroke dashstyle="solid"/>
            </v:rect>
            <v:shape style="position:absolute;left:7221;top:3217;width:1462;height:205" type="#_x0000_t202" filled="false" stroked="false">
              <v:textbox inset="0,0,0,0">
                <w:txbxContent>
                  <w:p>
                    <w:pPr>
                      <w:spacing w:before="0"/>
                      <w:ind w:left="0" w:right="0" w:firstLine="0"/>
                      <w:jc w:val="left"/>
                      <w:rPr>
                        <w:sz w:val="18"/>
                      </w:rPr>
                    </w:pPr>
                    <w:r>
                      <w:rPr>
                        <w:color w:val="585858"/>
                        <w:sz w:val="18"/>
                      </w:rPr>
                      <w:t>Højere effektivitet</w:t>
                    </w:r>
                  </w:p>
                </w:txbxContent>
              </v:textbox>
              <w10:wrap type="none"/>
            </v:shape>
            <v:shape style="position:absolute;left:4661;top:3217;width:2161;height:205" type="#_x0000_t202" filled="false" stroked="false">
              <v:textbox inset="0,0,0,0">
                <w:txbxContent>
                  <w:p>
                    <w:pPr>
                      <w:spacing w:before="0"/>
                      <w:ind w:left="0" w:right="0" w:firstLine="0"/>
                      <w:jc w:val="left"/>
                      <w:rPr>
                        <w:sz w:val="18"/>
                      </w:rPr>
                    </w:pPr>
                    <w:r>
                      <w:rPr>
                        <w:color w:val="585858"/>
                        <w:sz w:val="18"/>
                      </w:rPr>
                      <w:t>Bedre beslutningsgrundlag</w:t>
                    </w:r>
                  </w:p>
                </w:txbxContent>
              </v:textbox>
              <w10:wrap type="none"/>
            </v:shape>
            <v:shape style="position:absolute;left:10188;top:2829;width:381;height:205" type="#_x0000_t202" filled="false" stroked="false">
              <v:textbox inset="0,0,0,0">
                <w:txbxContent>
                  <w:p>
                    <w:pPr>
                      <w:spacing w:before="0"/>
                      <w:ind w:left="0" w:right="0" w:firstLine="0"/>
                      <w:jc w:val="left"/>
                      <w:rPr>
                        <w:sz w:val="18"/>
                      </w:rPr>
                    </w:pPr>
                    <w:r>
                      <w:rPr>
                        <w:color w:val="585858"/>
                        <w:sz w:val="18"/>
                      </w:rPr>
                      <w:t>90%</w:t>
                    </w:r>
                  </w:p>
                </w:txbxContent>
              </v:textbox>
              <w10:wrap type="none"/>
            </v:shape>
            <v:shape style="position:absolute;left:9322;top:2829;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8467;top:2829;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7598;top:2829;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6737;top:2829;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5871;top:2829;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5008;top:2829;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3721;top:2829;width:803;height:593" type="#_x0000_t202" filled="false" stroked="false">
              <v:textbox inset="0,0,0,0">
                <w:txbxContent>
                  <w:p>
                    <w:pPr>
                      <w:spacing w:before="0"/>
                      <w:ind w:left="423" w:right="0" w:firstLine="0"/>
                      <w:jc w:val="left"/>
                      <w:rPr>
                        <w:sz w:val="18"/>
                      </w:rPr>
                    </w:pPr>
                    <w:r>
                      <w:rPr>
                        <w:color w:val="585858"/>
                        <w:sz w:val="18"/>
                      </w:rPr>
                      <w:t>20%</w:t>
                    </w:r>
                  </w:p>
                  <w:p>
                    <w:pPr>
                      <w:spacing w:line="240" w:lineRule="auto" w:before="1"/>
                      <w:rPr>
                        <w:i/>
                        <w:sz w:val="16"/>
                      </w:rPr>
                    </w:pPr>
                  </w:p>
                  <w:p>
                    <w:pPr>
                      <w:spacing w:before="0"/>
                      <w:ind w:left="0" w:right="0" w:firstLine="0"/>
                      <w:jc w:val="left"/>
                      <w:rPr>
                        <w:sz w:val="18"/>
                      </w:rPr>
                    </w:pPr>
                    <w:r>
                      <w:rPr>
                        <w:color w:val="585858"/>
                        <w:sz w:val="18"/>
                      </w:rPr>
                      <w:t>Andet</w:t>
                    </w:r>
                  </w:p>
                </w:txbxContent>
              </v:textbox>
              <w10:wrap type="none"/>
            </v:shape>
            <v:shape style="position:absolute;left:3292;top:2829;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2468;top:282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710;width:912;height:1835" type="#_x0000_t202" filled="false" stroked="false">
              <v:textbox inset="0,0,0,0">
                <w:txbxContent>
                  <w:p>
                    <w:pPr>
                      <w:spacing w:line="638" w:lineRule="auto" w:before="0"/>
                      <w:ind w:left="38" w:right="18" w:hanging="39"/>
                      <w:jc w:val="right"/>
                      <w:rPr>
                        <w:sz w:val="18"/>
                      </w:rPr>
                    </w:pPr>
                    <w:r>
                      <w:rPr>
                        <w:color w:val="585858"/>
                        <w:spacing w:val="-1"/>
                        <w:sz w:val="18"/>
                      </w:rPr>
                      <w:t>Kommunal Regional Selvejende</w:t>
                    </w:r>
                  </w:p>
                  <w:p>
                    <w:pPr>
                      <w:spacing w:line="202" w:lineRule="exact" w:before="0"/>
                      <w:ind w:left="0" w:right="19" w:firstLine="0"/>
                      <w:jc w:val="right"/>
                      <w:rPr>
                        <w:sz w:val="18"/>
                      </w:rPr>
                    </w:pPr>
                    <w:r>
                      <w:rPr>
                        <w:color w:val="585858"/>
                        <w:spacing w:val="-1"/>
                        <w:sz w:val="18"/>
                      </w:rPr>
                      <w:t>Statslig</w:t>
                    </w:r>
                  </w:p>
                </w:txbxContent>
              </v:textbox>
              <w10:wrap type="none"/>
            </v:shape>
            <w10:wrap type="topAndBottom"/>
          </v:group>
        </w:pict>
      </w:r>
      <w:r>
        <w:rPr>
          <w:i/>
          <w:color w:val="A21F1F"/>
          <w:sz w:val="18"/>
        </w:rPr>
        <w:t>Figur 47: Offentlige myndigheder, der har oplevet målbare gevinster ved anvendelsen af de frie geodata</w:t>
      </w:r>
    </w:p>
    <w:p>
      <w:pPr>
        <w:spacing w:before="0"/>
        <w:ind w:left="278" w:right="0" w:firstLine="0"/>
        <w:jc w:val="left"/>
        <w:rPr>
          <w:i/>
          <w:sz w:val="18"/>
        </w:rPr>
      </w:pPr>
      <w:r>
        <w:rPr>
          <w:b/>
          <w:i/>
          <w:color w:val="A21F1F"/>
          <w:sz w:val="18"/>
        </w:rPr>
        <w:t>Kilde</w:t>
      </w:r>
      <w:r>
        <w:rPr>
          <w:i/>
          <w:color w:val="A21F1F"/>
          <w:sz w:val="18"/>
        </w:rPr>
        <w:t>: Spørgeskemaundersøgelse udført blandt offentlige brugere</w:t>
      </w:r>
    </w:p>
    <w:p>
      <w:pPr>
        <w:spacing w:before="119"/>
        <w:ind w:left="278" w:right="0" w:firstLine="0"/>
        <w:jc w:val="left"/>
        <w:rPr>
          <w:i/>
          <w:sz w:val="18"/>
        </w:rPr>
      </w:pPr>
      <w:r>
        <w:rPr>
          <w:b/>
          <w:i/>
          <w:color w:val="A21F1F"/>
          <w:sz w:val="18"/>
        </w:rPr>
        <w:t>N</w:t>
      </w:r>
      <w:r>
        <w:rPr>
          <w:i/>
          <w:color w:val="A21F1F"/>
          <w:sz w:val="18"/>
        </w:rPr>
        <w:t>: 74</w:t>
      </w:r>
    </w:p>
    <w:p>
      <w:pPr>
        <w:spacing w:before="122"/>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rPr>
          <w:i/>
        </w:rPr>
      </w:pPr>
    </w:p>
    <w:p>
      <w:pPr>
        <w:pStyle w:val="BodyText"/>
        <w:rPr>
          <w:i/>
        </w:rPr>
      </w:pPr>
    </w:p>
    <w:p>
      <w:pPr>
        <w:pStyle w:val="BodyText"/>
        <w:spacing w:before="8"/>
        <w:rPr>
          <w:i/>
          <w:sz w:val="21"/>
        </w:rPr>
      </w:pPr>
    </w:p>
    <w:p>
      <w:pPr>
        <w:pStyle w:val="BodyText"/>
        <w:spacing w:line="360" w:lineRule="auto"/>
        <w:ind w:left="278" w:right="1052"/>
      </w:pPr>
      <w:r>
        <w:rPr/>
        <w:t>Som vist i </w:t>
      </w:r>
      <w:hyperlink w:history="true" w:anchor="_bookmark83">
        <w:r>
          <w:rPr/>
          <w:t>Figur 46 </w:t>
        </w:r>
      </w:hyperlink>
      <w:r>
        <w:rPr/>
        <w:t>ovenfor kan effektiviseringseffekten i offentlige myndigheder opregnes til nationalt plan. Det er antagelsen, at undersøgelsen har indhentet besvarelser fra de væsentligste anvendere af de frie</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geodata i staten og i de selvejende institutioner. Det er derfor også vurderingen, at det ikke er nødvendigt at</w:t>
      </w:r>
    </w:p>
    <w:p>
      <w:pPr>
        <w:pStyle w:val="BodyText"/>
        <w:spacing w:line="360" w:lineRule="auto" w:before="114"/>
        <w:ind w:left="278" w:right="1070"/>
      </w:pPr>
      <w:r>
        <w:rPr/>
        <w:t>opregne effektiviseringseffekten for disse. Det gælder dog for kommuner og regioner, at vi antager, at alle kommuner og regioner anvender de frie geodata, og at det derfor er nødvendigt at opregne stikprøven til hele populationen af henholdsvis kommuner og regioner. Opregningen er foretaget på baggrund af antallet af indbyggere i de kommuner og regioner, der har deltaget i undersøgelsen sammenholdt med Danmarks indbyggertal. Baseret på denne opregningsmetode, er den samlede effektiviseringsgevinst for de offentlige myndigheder på ca. 44 mio. kr. i 2016.</w:t>
      </w:r>
    </w:p>
    <w:p>
      <w:pPr>
        <w:pStyle w:val="BodyText"/>
        <w:rPr>
          <w:sz w:val="21"/>
        </w:rPr>
      </w:pPr>
    </w:p>
    <w:p>
      <w:pPr>
        <w:pStyle w:val="BodyText"/>
        <w:spacing w:line="360" w:lineRule="auto" w:before="1"/>
        <w:ind w:left="278" w:right="1049"/>
      </w:pPr>
      <w:r>
        <w:rPr/>
        <w:t>Nedenstående </w:t>
      </w:r>
      <w:hyperlink w:history="true" w:anchor="_bookmark84">
        <w:r>
          <w:rPr/>
          <w:t>Tabel 6 </w:t>
        </w:r>
      </w:hyperlink>
      <w:r>
        <w:rPr/>
        <w:t>viser en samlet oversigt over den beregnede effektiviseringseffekt af de frie geodata i 2012 og 2016 i alle tre segmenter.</w:t>
      </w:r>
    </w:p>
    <w:p>
      <w:pPr>
        <w:pStyle w:val="BodyText"/>
        <w:rPr>
          <w:sz w:val="21"/>
        </w:rPr>
      </w:pPr>
    </w:p>
    <w:p>
      <w:pPr>
        <w:spacing w:before="0"/>
        <w:ind w:left="278" w:right="0" w:firstLine="0"/>
        <w:jc w:val="left"/>
        <w:rPr>
          <w:i/>
          <w:sz w:val="18"/>
        </w:rPr>
      </w:pPr>
      <w:bookmarkStart w:name="_bookmark84" w:id="117"/>
      <w:bookmarkEnd w:id="117"/>
      <w:r>
        <w:rPr/>
      </w:r>
      <w:r>
        <w:rPr>
          <w:i/>
          <w:color w:val="A21F1F"/>
          <w:sz w:val="18"/>
        </w:rPr>
        <w:t>Tabel 6: Effektiviseringseffekt af de frie geodata, henholdsvis i 2012 og i 2016</w:t>
      </w:r>
    </w:p>
    <w:p>
      <w:pPr>
        <w:pStyle w:val="BodyText"/>
        <w:spacing w:before="8"/>
        <w:rPr>
          <w:i/>
          <w:sz w:val="11"/>
        </w:rPr>
      </w:pPr>
    </w:p>
    <w:tbl>
      <w:tblPr>
        <w:tblW w:w="0" w:type="auto"/>
        <w:jc w:val="left"/>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6"/>
        <w:gridCol w:w="2937"/>
        <w:gridCol w:w="3157"/>
      </w:tblGrid>
      <w:tr>
        <w:trPr>
          <w:trHeight w:val="234" w:hRule="atLeast"/>
        </w:trPr>
        <w:tc>
          <w:tcPr>
            <w:tcW w:w="9460" w:type="dxa"/>
            <w:gridSpan w:val="3"/>
            <w:shd w:val="clear" w:color="auto" w:fill="A21F1F"/>
          </w:tcPr>
          <w:p>
            <w:pPr>
              <w:pStyle w:val="TableParagraph"/>
              <w:spacing w:line="215" w:lineRule="exact"/>
              <w:ind w:left="4884"/>
              <w:rPr>
                <w:rFonts w:ascii="Arial"/>
                <w:b/>
                <w:sz w:val="20"/>
              </w:rPr>
            </w:pPr>
            <w:r>
              <w:rPr>
                <w:rFonts w:ascii="Arial"/>
                <w:b/>
                <w:color w:val="FFFFFF"/>
                <w:sz w:val="20"/>
              </w:rPr>
              <w:t>Effektiviseringseffekt, mio. kr.</w:t>
            </w:r>
          </w:p>
        </w:tc>
      </w:tr>
      <w:tr>
        <w:trPr>
          <w:trHeight w:val="231" w:hRule="atLeast"/>
        </w:trPr>
        <w:tc>
          <w:tcPr>
            <w:tcW w:w="3366" w:type="dxa"/>
            <w:shd w:val="clear" w:color="auto" w:fill="A21F1F"/>
          </w:tcPr>
          <w:p>
            <w:pPr>
              <w:pStyle w:val="TableParagraph"/>
              <w:rPr>
                <w:rFonts w:ascii="Times New Roman"/>
                <w:sz w:val="16"/>
              </w:rPr>
            </w:pPr>
          </w:p>
        </w:tc>
        <w:tc>
          <w:tcPr>
            <w:tcW w:w="2937" w:type="dxa"/>
            <w:shd w:val="clear" w:color="auto" w:fill="A21F1F"/>
          </w:tcPr>
          <w:p>
            <w:pPr>
              <w:pStyle w:val="TableParagraph"/>
              <w:spacing w:line="208" w:lineRule="exact" w:before="3"/>
              <w:ind w:left="1144"/>
              <w:rPr>
                <w:rFonts w:ascii="Arial"/>
                <w:sz w:val="20"/>
              </w:rPr>
            </w:pPr>
            <w:r>
              <w:rPr>
                <w:rFonts w:ascii="Arial"/>
                <w:color w:val="FFFFFF"/>
                <w:sz w:val="20"/>
              </w:rPr>
              <w:t>2012</w:t>
            </w:r>
          </w:p>
        </w:tc>
        <w:tc>
          <w:tcPr>
            <w:tcW w:w="3157" w:type="dxa"/>
            <w:shd w:val="clear" w:color="auto" w:fill="A21F1F"/>
          </w:tcPr>
          <w:p>
            <w:pPr>
              <w:pStyle w:val="TableParagraph"/>
              <w:spacing w:line="208" w:lineRule="exact" w:before="3"/>
              <w:ind w:left="1339" w:right="1333"/>
              <w:jc w:val="center"/>
              <w:rPr>
                <w:rFonts w:ascii="Arial"/>
                <w:sz w:val="20"/>
              </w:rPr>
            </w:pPr>
            <w:r>
              <w:rPr>
                <w:rFonts w:ascii="Arial"/>
                <w:color w:val="FFFFFF"/>
                <w:sz w:val="20"/>
              </w:rPr>
              <w:t>2016</w:t>
            </w:r>
          </w:p>
        </w:tc>
      </w:tr>
      <w:tr>
        <w:trPr>
          <w:trHeight w:val="395" w:hRule="atLeast"/>
        </w:trPr>
        <w:tc>
          <w:tcPr>
            <w:tcW w:w="3366" w:type="dxa"/>
            <w:tcBorders>
              <w:top w:val="single" w:sz="4" w:space="0" w:color="A21F1F"/>
              <w:left w:val="single" w:sz="4" w:space="0" w:color="A21F1F"/>
              <w:bottom w:val="single" w:sz="4" w:space="0" w:color="A21F1F"/>
            </w:tcBorders>
          </w:tcPr>
          <w:p>
            <w:pPr>
              <w:pStyle w:val="TableParagraph"/>
              <w:spacing w:before="81"/>
              <w:ind w:left="107"/>
              <w:rPr>
                <w:rFonts w:ascii="Arial"/>
                <w:sz w:val="20"/>
              </w:rPr>
            </w:pPr>
            <w:r>
              <w:rPr>
                <w:rFonts w:ascii="Arial"/>
                <w:sz w:val="20"/>
              </w:rPr>
              <w:t>Private virksomheder</w:t>
            </w:r>
          </w:p>
        </w:tc>
        <w:tc>
          <w:tcPr>
            <w:tcW w:w="2937" w:type="dxa"/>
            <w:tcBorders>
              <w:top w:val="single" w:sz="4" w:space="0" w:color="A21F1F"/>
              <w:bottom w:val="single" w:sz="4" w:space="0" w:color="A21F1F"/>
            </w:tcBorders>
          </w:tcPr>
          <w:p>
            <w:pPr>
              <w:pStyle w:val="TableParagraph"/>
              <w:spacing w:before="81"/>
              <w:ind w:left="1254"/>
              <w:rPr>
                <w:rFonts w:ascii="Arial"/>
                <w:sz w:val="20"/>
              </w:rPr>
            </w:pPr>
            <w:r>
              <w:rPr>
                <w:rFonts w:ascii="Arial"/>
                <w:sz w:val="20"/>
              </w:rPr>
              <w:t>40</w:t>
            </w:r>
          </w:p>
        </w:tc>
        <w:tc>
          <w:tcPr>
            <w:tcW w:w="3157" w:type="dxa"/>
            <w:tcBorders>
              <w:top w:val="single" w:sz="4" w:space="0" w:color="A21F1F"/>
              <w:bottom w:val="single" w:sz="4" w:space="0" w:color="A21F1F"/>
              <w:right w:val="single" w:sz="4" w:space="0" w:color="A21F1F"/>
            </w:tcBorders>
          </w:tcPr>
          <w:p>
            <w:pPr>
              <w:pStyle w:val="TableParagraph"/>
              <w:spacing w:before="81"/>
              <w:ind w:left="1394" w:right="1383"/>
              <w:jc w:val="center"/>
              <w:rPr>
                <w:rFonts w:ascii="Arial"/>
                <w:sz w:val="20"/>
              </w:rPr>
            </w:pPr>
            <w:r>
              <w:rPr>
                <w:rFonts w:ascii="Arial"/>
                <w:sz w:val="20"/>
              </w:rPr>
              <w:t>726</w:t>
            </w:r>
          </w:p>
        </w:tc>
      </w:tr>
      <w:tr>
        <w:trPr>
          <w:trHeight w:val="390" w:hRule="atLeast"/>
        </w:trPr>
        <w:tc>
          <w:tcPr>
            <w:tcW w:w="3366" w:type="dxa"/>
            <w:tcBorders>
              <w:top w:val="single" w:sz="4" w:space="0" w:color="A21F1F"/>
              <w:left w:val="single" w:sz="4" w:space="0" w:color="A21F1F"/>
              <w:bottom w:val="single" w:sz="4" w:space="0" w:color="A21F1F"/>
            </w:tcBorders>
          </w:tcPr>
          <w:p>
            <w:pPr>
              <w:pStyle w:val="TableParagraph"/>
              <w:spacing w:before="76"/>
              <w:ind w:left="107"/>
              <w:rPr>
                <w:rFonts w:ascii="Arial"/>
                <w:sz w:val="20"/>
              </w:rPr>
            </w:pPr>
            <w:r>
              <w:rPr>
                <w:rFonts w:ascii="Arial"/>
                <w:sz w:val="20"/>
              </w:rPr>
              <w:t>Forsyningsselskaber</w:t>
            </w:r>
          </w:p>
        </w:tc>
        <w:tc>
          <w:tcPr>
            <w:tcW w:w="2937" w:type="dxa"/>
            <w:tcBorders>
              <w:top w:val="single" w:sz="4" w:space="0" w:color="A21F1F"/>
              <w:bottom w:val="single" w:sz="4" w:space="0" w:color="A21F1F"/>
            </w:tcBorders>
          </w:tcPr>
          <w:p>
            <w:pPr>
              <w:pStyle w:val="TableParagraph"/>
              <w:spacing w:before="76"/>
              <w:ind w:left="1199"/>
              <w:rPr>
                <w:rFonts w:ascii="Arial"/>
                <w:sz w:val="20"/>
              </w:rPr>
            </w:pPr>
            <w:r>
              <w:rPr>
                <w:rFonts w:ascii="Arial"/>
                <w:sz w:val="20"/>
              </w:rPr>
              <w:t>100</w:t>
            </w:r>
          </w:p>
        </w:tc>
        <w:tc>
          <w:tcPr>
            <w:tcW w:w="3157" w:type="dxa"/>
            <w:tcBorders>
              <w:top w:val="single" w:sz="4" w:space="0" w:color="A21F1F"/>
              <w:bottom w:val="single" w:sz="4" w:space="0" w:color="A21F1F"/>
              <w:right w:val="single" w:sz="4" w:space="0" w:color="A21F1F"/>
            </w:tcBorders>
          </w:tcPr>
          <w:p>
            <w:pPr>
              <w:pStyle w:val="TableParagraph"/>
              <w:spacing w:before="76"/>
              <w:ind w:left="1394" w:right="1383"/>
              <w:jc w:val="center"/>
              <w:rPr>
                <w:rFonts w:ascii="Arial"/>
                <w:sz w:val="20"/>
              </w:rPr>
            </w:pPr>
            <w:r>
              <w:rPr>
                <w:rFonts w:ascii="Arial"/>
                <w:sz w:val="20"/>
              </w:rPr>
              <w:t>229</w:t>
            </w:r>
          </w:p>
        </w:tc>
      </w:tr>
      <w:tr>
        <w:trPr>
          <w:trHeight w:val="390" w:hRule="atLeast"/>
        </w:trPr>
        <w:tc>
          <w:tcPr>
            <w:tcW w:w="3366" w:type="dxa"/>
            <w:tcBorders>
              <w:top w:val="single" w:sz="4" w:space="0" w:color="A21F1F"/>
              <w:left w:val="single" w:sz="4" w:space="0" w:color="A21F1F"/>
              <w:bottom w:val="single" w:sz="4" w:space="0" w:color="A21F1F"/>
            </w:tcBorders>
          </w:tcPr>
          <w:p>
            <w:pPr>
              <w:pStyle w:val="TableParagraph"/>
              <w:spacing w:before="78"/>
              <w:ind w:left="107"/>
              <w:rPr>
                <w:rFonts w:ascii="Arial"/>
                <w:sz w:val="20"/>
              </w:rPr>
            </w:pPr>
            <w:r>
              <w:rPr>
                <w:rFonts w:ascii="Arial"/>
                <w:sz w:val="20"/>
              </w:rPr>
              <w:t>Offentlige myndigheder</w:t>
            </w:r>
          </w:p>
        </w:tc>
        <w:tc>
          <w:tcPr>
            <w:tcW w:w="2937" w:type="dxa"/>
            <w:tcBorders>
              <w:top w:val="single" w:sz="4" w:space="0" w:color="A21F1F"/>
              <w:bottom w:val="single" w:sz="4" w:space="0" w:color="A21F1F"/>
            </w:tcBorders>
          </w:tcPr>
          <w:p>
            <w:pPr>
              <w:pStyle w:val="TableParagraph"/>
              <w:spacing w:before="78"/>
              <w:ind w:left="1254"/>
              <w:rPr>
                <w:rFonts w:ascii="Arial"/>
                <w:sz w:val="20"/>
              </w:rPr>
            </w:pPr>
            <w:r>
              <w:rPr>
                <w:rFonts w:ascii="Arial"/>
                <w:sz w:val="20"/>
              </w:rPr>
              <w:t>50</w:t>
            </w:r>
          </w:p>
        </w:tc>
        <w:tc>
          <w:tcPr>
            <w:tcW w:w="3157" w:type="dxa"/>
            <w:tcBorders>
              <w:top w:val="single" w:sz="4" w:space="0" w:color="A21F1F"/>
              <w:bottom w:val="single" w:sz="4" w:space="0" w:color="A21F1F"/>
              <w:right w:val="single" w:sz="4" w:space="0" w:color="A21F1F"/>
            </w:tcBorders>
          </w:tcPr>
          <w:p>
            <w:pPr>
              <w:pStyle w:val="TableParagraph"/>
              <w:spacing w:before="78"/>
              <w:ind w:left="1394" w:right="1382"/>
              <w:jc w:val="center"/>
              <w:rPr>
                <w:rFonts w:ascii="Arial"/>
                <w:sz w:val="20"/>
              </w:rPr>
            </w:pPr>
            <w:r>
              <w:rPr>
                <w:rFonts w:ascii="Arial"/>
                <w:sz w:val="20"/>
              </w:rPr>
              <w:t>44</w:t>
            </w:r>
          </w:p>
        </w:tc>
      </w:tr>
      <w:tr>
        <w:trPr>
          <w:trHeight w:val="390" w:hRule="atLeast"/>
        </w:trPr>
        <w:tc>
          <w:tcPr>
            <w:tcW w:w="3366" w:type="dxa"/>
            <w:tcBorders>
              <w:top w:val="single" w:sz="4" w:space="0" w:color="A21F1F"/>
              <w:left w:val="single" w:sz="4" w:space="0" w:color="A21F1F"/>
              <w:bottom w:val="single" w:sz="4" w:space="0" w:color="A21F1F"/>
            </w:tcBorders>
          </w:tcPr>
          <w:p>
            <w:pPr>
              <w:pStyle w:val="TableParagraph"/>
              <w:spacing w:before="76"/>
              <w:ind w:left="107"/>
              <w:rPr>
                <w:rFonts w:ascii="Arial"/>
                <w:b/>
                <w:sz w:val="20"/>
              </w:rPr>
            </w:pPr>
            <w:r>
              <w:rPr>
                <w:rFonts w:ascii="Arial"/>
                <w:b/>
                <w:sz w:val="20"/>
              </w:rPr>
              <w:t>Total</w:t>
            </w:r>
          </w:p>
        </w:tc>
        <w:tc>
          <w:tcPr>
            <w:tcW w:w="2937" w:type="dxa"/>
            <w:tcBorders>
              <w:top w:val="single" w:sz="4" w:space="0" w:color="A21F1F"/>
              <w:bottom w:val="single" w:sz="4" w:space="0" w:color="A21F1F"/>
            </w:tcBorders>
          </w:tcPr>
          <w:p>
            <w:pPr>
              <w:pStyle w:val="TableParagraph"/>
              <w:spacing w:before="76"/>
              <w:ind w:left="1199"/>
              <w:rPr>
                <w:rFonts w:ascii="Arial"/>
                <w:b/>
                <w:sz w:val="20"/>
              </w:rPr>
            </w:pPr>
            <w:r>
              <w:rPr>
                <w:rFonts w:ascii="Arial"/>
                <w:b/>
                <w:sz w:val="20"/>
              </w:rPr>
              <w:t>190</w:t>
            </w:r>
          </w:p>
        </w:tc>
        <w:tc>
          <w:tcPr>
            <w:tcW w:w="3157" w:type="dxa"/>
            <w:tcBorders>
              <w:top w:val="single" w:sz="4" w:space="0" w:color="A21F1F"/>
              <w:bottom w:val="single" w:sz="4" w:space="0" w:color="A21F1F"/>
              <w:right w:val="single" w:sz="4" w:space="0" w:color="A21F1F"/>
            </w:tcBorders>
          </w:tcPr>
          <w:p>
            <w:pPr>
              <w:pStyle w:val="TableParagraph"/>
              <w:spacing w:before="76"/>
              <w:ind w:left="1394" w:right="1383"/>
              <w:jc w:val="center"/>
              <w:rPr>
                <w:rFonts w:ascii="Arial"/>
                <w:b/>
                <w:sz w:val="20"/>
              </w:rPr>
            </w:pPr>
            <w:r>
              <w:rPr>
                <w:rFonts w:ascii="Arial"/>
                <w:b/>
                <w:sz w:val="20"/>
              </w:rPr>
              <w:t>999</w:t>
            </w:r>
          </w:p>
        </w:tc>
      </w:tr>
    </w:tbl>
    <w:p>
      <w:pPr>
        <w:pStyle w:val="BodyText"/>
        <w:spacing w:before="8"/>
        <w:rPr>
          <w:i/>
          <w:sz w:val="17"/>
        </w:rPr>
      </w:pPr>
    </w:p>
    <w:p>
      <w:pPr>
        <w:spacing w:before="1"/>
        <w:ind w:left="278" w:right="1397" w:firstLine="0"/>
        <w:jc w:val="left"/>
        <w:rPr>
          <w:i/>
          <w:sz w:val="18"/>
        </w:rPr>
      </w:pPr>
      <w:r>
        <w:rPr>
          <w:b/>
          <w:i/>
          <w:color w:val="A21F1F"/>
          <w:sz w:val="18"/>
        </w:rPr>
        <w:t>Kilde: </w:t>
      </w:r>
      <w:r>
        <w:rPr>
          <w:i/>
          <w:color w:val="A21F1F"/>
          <w:sz w:val="18"/>
        </w:rPr>
        <w:t>Før-måling og spørgeskemaundersøgelse blandt private virksomheder, forsyningsselskaber og offentlige </w:t>
      </w:r>
      <w:r>
        <w:rPr>
          <w:i/>
          <w:color w:val="A21F1F"/>
          <w:sz w:val="18"/>
        </w:rPr>
        <w:t>myndigheder</w:t>
      </w:r>
    </w:p>
    <w:p>
      <w:pPr>
        <w:pStyle w:val="BodyText"/>
        <w:spacing w:before="8"/>
        <w:rPr>
          <w:i/>
          <w:sz w:val="28"/>
        </w:rPr>
      </w:pPr>
    </w:p>
    <w:p>
      <w:pPr>
        <w:pStyle w:val="BodyText"/>
        <w:spacing w:line="360" w:lineRule="auto"/>
        <w:ind w:left="278" w:right="1330"/>
      </w:pPr>
      <w:r>
        <w:rPr/>
        <w:t>I det følgende kapitel anvendes de fundne markeds-, beskæftigelses- og effektiviseringseffekter på virksomheds- og myndighedsniveau som grundlag for at estimere den samfundsøkonomiske værdi af de frie geodata i 2016.</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595" w:lineRule="exact" w:before="0"/>
        <w:ind w:left="278" w:right="0" w:firstLine="0"/>
        <w:jc w:val="left"/>
        <w:rPr>
          <w:b/>
          <w:i/>
          <w:sz w:val="56"/>
        </w:rPr>
      </w:pPr>
      <w:bookmarkStart w:name="_bookmark85" w:id="118"/>
      <w:bookmarkEnd w:id="118"/>
      <w:r>
        <w:rPr/>
      </w:r>
      <w:r>
        <w:rPr>
          <w:b/>
          <w:i/>
          <w:sz w:val="56"/>
        </w:rPr>
        <w:t>6 Samfundsøkonomisk værdi</w:t>
      </w:r>
      <w:r>
        <w:rPr>
          <w:b/>
          <w:i/>
          <w:spacing w:val="-77"/>
          <w:sz w:val="56"/>
        </w:rPr>
        <w:t> </w:t>
      </w:r>
      <w:r>
        <w:rPr>
          <w:b/>
          <w:i/>
          <w:sz w:val="56"/>
        </w:rPr>
        <w:t>af</w:t>
      </w:r>
    </w:p>
    <w:p>
      <w:pPr>
        <w:spacing w:before="0"/>
        <w:ind w:left="710" w:right="0" w:firstLine="0"/>
        <w:jc w:val="left"/>
        <w:rPr>
          <w:b/>
          <w:i/>
          <w:sz w:val="56"/>
        </w:rPr>
      </w:pPr>
      <w:r>
        <w:rPr>
          <w:b/>
          <w:i/>
          <w:sz w:val="56"/>
        </w:rPr>
        <w:t>de frie geodata</w:t>
      </w:r>
    </w:p>
    <w:p>
      <w:pPr>
        <w:pStyle w:val="BodyText"/>
        <w:spacing w:line="360" w:lineRule="auto" w:before="478"/>
        <w:ind w:left="278" w:right="1075"/>
      </w:pPr>
      <w:r>
        <w:rPr/>
        <w:t>Dette kapitel belyser den samfundsøkonomiske værdi af de frie geodata, der i 2016 estimeres til i alt ca. 3,5 mia. kr. Nærværende eftermåling genbruger den analysemetodiske ramme, der blev formuleret i før- målingen.</w:t>
      </w:r>
      <w:r>
        <w:rPr>
          <w:position w:val="5"/>
          <w:sz w:val="13"/>
        </w:rPr>
        <w:t>6 </w:t>
      </w:r>
      <w:r>
        <w:rPr/>
        <w:t>Det skal bemærkes, at nedenstående estimater er behæftet med en vis usikkerhed. Det skyldes især, at estimaterne beror på skønsmæssige betragtninger fra respondenterne, og at det kan være vanskeligt fx at skønne præcist, hvor stort effektiviseringsbidraget fra de frie geodata har været i en virksomhed eller en myndighed. Det er dog vurderingen, at der vil være en nogenlunde ligevægt mellem skøn, der er henholdsvis over og under det reelle niveau.</w:t>
      </w:r>
    </w:p>
    <w:p>
      <w:pPr>
        <w:pStyle w:val="BodyText"/>
        <w:rPr>
          <w:sz w:val="30"/>
        </w:rPr>
      </w:pPr>
    </w:p>
    <w:p>
      <w:pPr>
        <w:pStyle w:val="Heading2"/>
        <w:numPr>
          <w:ilvl w:val="1"/>
          <w:numId w:val="20"/>
        </w:numPr>
        <w:tabs>
          <w:tab w:pos="855" w:val="left" w:leader="none"/>
        </w:tabs>
        <w:spacing w:line="240" w:lineRule="auto" w:before="1" w:after="0"/>
        <w:ind w:left="854" w:right="0" w:hanging="576"/>
        <w:jc w:val="left"/>
        <w:rPr>
          <w:i/>
        </w:rPr>
      </w:pPr>
      <w:bookmarkStart w:name="_bookmark86" w:id="119"/>
      <w:bookmarkEnd w:id="119"/>
      <w:r>
        <w:rPr>
          <w:b w:val="0"/>
          <w:i w:val="0"/>
        </w:rPr>
      </w:r>
      <w:bookmarkStart w:name="_bookmark86" w:id="120"/>
      <w:bookmarkEnd w:id="120"/>
      <w:r>
        <w:rPr>
          <w:i/>
          <w:color w:val="A21F1F"/>
        </w:rPr>
        <w:t>Pr</w:t>
      </w:r>
      <w:r>
        <w:rPr>
          <w:i/>
          <w:color w:val="A21F1F"/>
        </w:rPr>
        <w:t>oduktionseffekt</w:t>
      </w:r>
      <w:r>
        <w:rPr>
          <w:i/>
          <w:color w:val="A21F1F"/>
          <w:spacing w:val="1"/>
        </w:rPr>
        <w:t> </w:t>
      </w:r>
      <w:r>
        <w:rPr>
          <w:i/>
          <w:color w:val="A21F1F"/>
        </w:rPr>
        <w:t>(værditilvækst)</w:t>
      </w:r>
    </w:p>
    <w:p>
      <w:pPr>
        <w:pStyle w:val="BodyText"/>
        <w:spacing w:line="360" w:lineRule="auto" w:before="240"/>
        <w:ind w:left="278" w:right="995"/>
      </w:pPr>
      <w:r>
        <w:rPr/>
        <w:t>I forrige kapitel blev det private marked, der kan tilskrives de frie geodata, estimeret til at generere en omsætning på ca. 893 mio. kr. i 2016. Den tilhørende værditilvækst estimeres til 446 mio. kr. Begge estimater bygger på de indkomne besvarelser fra spørgeskemaundersøgelsen blandt private virksomheder.</w:t>
      </w:r>
    </w:p>
    <w:p>
      <w:pPr>
        <w:pStyle w:val="BodyText"/>
        <w:spacing w:before="1"/>
        <w:rPr>
          <w:sz w:val="21"/>
        </w:rPr>
      </w:pPr>
    </w:p>
    <w:p>
      <w:pPr>
        <w:pStyle w:val="BodyText"/>
        <w:spacing w:line="360" w:lineRule="auto" w:before="1"/>
        <w:ind w:left="278" w:right="1230"/>
      </w:pPr>
      <w:r>
        <w:rPr/>
        <w:t>Offentlige myndigheder har også en produktion, hvori der direkte indgår frie geodata. Værdien af denne produktion opgøres i nationalregnskabet på inputsiden i form af medgået personaleforbrug. Som nævnt i det foregående kapitel, har vi spurgt ind til, hvor mange medarbejdere, der er har adgang til, og hvor mange medarbejdere, der er kritisk afhængige af, de frie geodata i de offentlige myndigheder. For at estimere produktionseffekten for de offentlige myndigheder gennemgås de enkelte myndighedsniveauer hver for sig herunder.</w:t>
      </w:r>
    </w:p>
    <w:p>
      <w:pPr>
        <w:pStyle w:val="BodyText"/>
        <w:spacing w:before="1"/>
        <w:rPr>
          <w:sz w:val="21"/>
        </w:rPr>
      </w:pPr>
    </w:p>
    <w:p>
      <w:pPr>
        <w:pStyle w:val="BodyText"/>
        <w:spacing w:line="360" w:lineRule="auto"/>
        <w:ind w:left="278" w:right="1126"/>
      </w:pPr>
      <w:r>
        <w:rPr/>
        <w:t>For kommunerne gælder det, at vi antager, at alle kommuner anvender geodatabaserede løsninger. Derfor opregner vi stikprøvens 34 kommuner til alle landets 98 kommuner på baggrund af indbyggertal. Når der opregnes til nationalt niveau på baggrund af de indkomne 34 besvarelser, har ca. 16.200 kommunale medarbejdere adgang til løsninger, der baserer sig på geodata. Heraf skønnes godt 11.400 at være kritisk afhængige af geodata i deres daglige opgavevaretagelse. I 2012 var der et lignende antal medarbejdere i kommunerne, der havde adgang til geodatabaserede løsninger, mens antallet af medarbejdere, der er kritisk afhængige af de geodatabaserede løsninger, er steget med godt 25 pct.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r>
        <w:rPr/>
        <w:pict>
          <v:line style="position:absolute;mso-position-horizontal-relative:page;mso-position-vertical-relative:paragraph;z-index:8432;mso-wrap-distance-left:0;mso-wrap-distance-right:0" from="70.944pt,13.849828pt" to="214.964pt,13.849828pt" stroked="true" strokeweight=".48004pt" strokecolor="#000000">
            <v:stroke dashstyle="solid"/>
            <w10:wrap type="topAndBottom"/>
          </v:line>
        </w:pict>
      </w:r>
    </w:p>
    <w:p>
      <w:pPr>
        <w:pStyle w:val="BodyText"/>
        <w:spacing w:before="61"/>
        <w:ind w:left="278" w:right="1650"/>
      </w:pPr>
      <w:r>
        <w:rPr>
          <w:position w:val="5"/>
          <w:sz w:val="13"/>
        </w:rPr>
        <w:t>6 </w:t>
      </w:r>
      <w:r>
        <w:rPr/>
        <w:t>For en nærmere gennemgang af analyserammen for opgørelsen af den samfundsøkonomiske værdi henvises til før-målingens afsnit 4.1.</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58" w:lineRule="exact" w:before="0"/>
        <w:ind w:left="278" w:right="0" w:firstLine="0"/>
        <w:jc w:val="left"/>
        <w:rPr>
          <w:i/>
          <w:sz w:val="18"/>
        </w:rPr>
      </w:pPr>
      <w:r>
        <w:rPr>
          <w:i/>
          <w:color w:val="A21F1F"/>
          <w:sz w:val="18"/>
        </w:rPr>
        <w:t>Figur 48: Antal årsværk i alle landets kommunerne beskæftiget med geodatabaserede løsninger, henholdsvis i 2012</w:t>
      </w:r>
    </w:p>
    <w:p>
      <w:pPr>
        <w:spacing w:before="103"/>
        <w:ind w:left="278" w:right="0" w:firstLine="0"/>
        <w:jc w:val="left"/>
        <w:rPr>
          <w:i/>
          <w:sz w:val="18"/>
        </w:rPr>
      </w:pPr>
      <w:r>
        <w:rPr>
          <w:i/>
          <w:color w:val="A21F1F"/>
          <w:sz w:val="18"/>
        </w:rPr>
        <w:t>og i 2016</w:t>
      </w:r>
    </w:p>
    <w:p>
      <w:pPr>
        <w:pStyle w:val="BodyText"/>
        <w:spacing w:before="8"/>
        <w:rPr>
          <w:i/>
          <w:sz w:val="15"/>
        </w:rPr>
      </w:pPr>
      <w:r>
        <w:rPr/>
        <w:pict>
          <v:group style="position:absolute;margin-left:70.525002pt;margin-top:10.935794pt;width:454.95pt;height:145.35pt;mso-position-horizontal-relative:page;mso-position-vertical-relative:paragraph;z-index:8744;mso-wrap-distance-left:0;mso-wrap-distance-right:0" coordorigin="1411,219" coordsize="9099,2907">
            <v:rect style="position:absolute;left:1418;top:226;width:9084;height:2892" filled="true" fillcolor="#f1f1f1" stroked="false">
              <v:fill type="solid"/>
            </v:rect>
            <v:line style="position:absolute" from="9312,1784" to="10282,1784" stroked="true" strokeweight=".75pt" strokecolor="#d9d9d9">
              <v:stroke dashstyle="solid"/>
            </v:line>
            <v:line style="position:absolute" from="8189,1784" to="8426,1784" stroked="true" strokeweight=".75pt" strokecolor="#d9d9d9">
              <v:stroke dashstyle="solid"/>
            </v:line>
            <v:line style="position:absolute" from="5364,1784" to="7303,1784" stroked="true" strokeweight=".75pt" strokecolor="#d9d9d9">
              <v:stroke dashstyle="solid"/>
            </v:line>
            <v:line style="position:absolute" from="4238,1784" to="4478,1784" stroked="true" strokeweight=".75pt" strokecolor="#d9d9d9">
              <v:stroke dashstyle="solid"/>
            </v:line>
            <v:line style="position:absolute" from="2383,1784" to="3353,1784" stroked="true" strokeweight=".75pt" strokecolor="#d9d9d9">
              <v:stroke dashstyle="solid"/>
            </v:line>
            <v:line style="position:absolute" from="9312,1338" to="10282,1338" stroked="true" strokeweight=".75pt" strokecolor="#d9d9d9">
              <v:stroke dashstyle="solid"/>
            </v:line>
            <v:line style="position:absolute" from="8189,1338" to="8426,1338" stroked="true" strokeweight=".75pt" strokecolor="#d9d9d9">
              <v:stroke dashstyle="solid"/>
            </v:line>
            <v:line style="position:absolute" from="4238,1338" to="7303,1338" stroked="true" strokeweight=".75pt" strokecolor="#d9d9d9">
              <v:stroke dashstyle="solid"/>
            </v:line>
            <v:line style="position:absolute" from="2383,1338" to="3353,1338" stroked="true" strokeweight=".75pt" strokecolor="#d9d9d9">
              <v:stroke dashstyle="solid"/>
            </v:line>
            <v:line style="position:absolute" from="8189,891" to="10282,891" stroked="true" strokeweight=".75pt" strokecolor="#d9d9d9">
              <v:stroke dashstyle="solid"/>
            </v:line>
            <v:line style="position:absolute" from="4238,891" to="7303,891" stroked="true" strokeweight=".75pt" strokecolor="#d9d9d9">
              <v:stroke dashstyle="solid"/>
            </v:line>
            <v:line style="position:absolute" from="2383,891" to="3353,891" stroked="true" strokeweight=".75pt" strokecolor="#d9d9d9">
              <v:stroke dashstyle="solid"/>
            </v:line>
            <v:line style="position:absolute" from="2383,446" to="10282,446" stroked="true" strokeweight=".75pt" strokecolor="#d9d9d9">
              <v:stroke dashstyle="solid"/>
            </v:line>
            <v:rect style="position:absolute;left:3352;top:713;width:886;height:1518" filled="true" fillcolor="#901b1b" stroked="false">
              <v:fill type="solid"/>
            </v:rect>
            <v:rect style="position:absolute;left:7303;top:785;width:886;height:1446" filled="true" fillcolor="#901b1b" stroked="false">
              <v:fill type="solid"/>
            </v:rect>
            <v:rect style="position:absolute;left:4478;top:1455;width:886;height:776" filled="true" fillcolor="#bd8686" stroked="false">
              <v:fill type="solid"/>
            </v:rect>
            <v:rect style="position:absolute;left:8426;top:1213;width:886;height:1018" filled="true" fillcolor="#bd8686" stroked="false">
              <v:fill type="solid"/>
            </v:rect>
            <v:line style="position:absolute" from="2383,2231" to="10282,2231" stroked="true" strokeweight=".75pt" strokecolor="#d9d9d9">
              <v:stroke dashstyle="solid"/>
            </v:line>
            <v:rect style="position:absolute;left:2117;top:2790;width:93;height:93" filled="true" fillcolor="#901b1b" stroked="false">
              <v:fill type="solid"/>
            </v:rect>
            <v:rect style="position:absolute;left:5987;top:2790;width:93;height:93" filled="true" fillcolor="#bd8686" stroked="false">
              <v:fill type="solid"/>
            </v:rect>
            <v:rect style="position:absolute;left:1418;top:226;width:9084;height:2892" filled="false" stroked="true" strokeweight=".75pt" strokecolor="#d9d9d9">
              <v:stroke dashstyle="solid"/>
            </v:rect>
            <v:shape style="position:absolute;left:2248;top:2729;width:7642;height:205" type="#_x0000_t202" filled="false" stroked="false">
              <v:textbox inset="0,0,0,0">
                <w:txbxContent>
                  <w:p>
                    <w:pPr>
                      <w:tabs>
                        <w:tab w:pos="3870" w:val="left" w:leader="none"/>
                      </w:tabs>
                      <w:spacing w:before="0"/>
                      <w:ind w:left="0" w:right="0" w:firstLine="0"/>
                      <w:jc w:val="left"/>
                      <w:rPr>
                        <w:sz w:val="18"/>
                      </w:rPr>
                    </w:pPr>
                    <w:r>
                      <w:rPr>
                        <w:color w:val="585858"/>
                        <w:sz w:val="18"/>
                      </w:rPr>
                      <w:t>Daglig adgang til</w:t>
                    </w:r>
                    <w:r>
                      <w:rPr>
                        <w:color w:val="585858"/>
                        <w:spacing w:val="-9"/>
                        <w:sz w:val="18"/>
                      </w:rPr>
                      <w:t> </w:t>
                    </w:r>
                    <w:r>
                      <w:rPr>
                        <w:color w:val="585858"/>
                        <w:sz w:val="18"/>
                      </w:rPr>
                      <w:t>geodatabaserede</w:t>
                    </w:r>
                    <w:r>
                      <w:rPr>
                        <w:color w:val="585858"/>
                        <w:spacing w:val="-4"/>
                        <w:sz w:val="18"/>
                      </w:rPr>
                      <w:t> </w:t>
                    </w:r>
                    <w:r>
                      <w:rPr>
                        <w:color w:val="585858"/>
                        <w:sz w:val="18"/>
                      </w:rPr>
                      <w:t>løsninger</w:t>
                      <w:tab/>
                      <w:t>Kritisk afhængige af geodatabaserede</w:t>
                    </w:r>
                    <w:r>
                      <w:rPr>
                        <w:color w:val="585858"/>
                        <w:spacing w:val="-18"/>
                        <w:sz w:val="18"/>
                      </w:rPr>
                      <w:t> </w:t>
                    </w:r>
                    <w:r>
                      <w:rPr>
                        <w:color w:val="585858"/>
                        <w:sz w:val="18"/>
                      </w:rPr>
                      <w:t>løsninger</w:t>
                    </w:r>
                  </w:p>
                </w:txbxContent>
              </v:textbox>
              <w10:wrap type="none"/>
            </v:shape>
            <v:shape style="position:absolute;left:8113;top:2341;width:410;height:205" type="#_x0000_t202" filled="false" stroked="false">
              <v:textbox inset="0,0,0,0">
                <w:txbxContent>
                  <w:p>
                    <w:pPr>
                      <w:spacing w:before="0"/>
                      <w:ind w:left="0" w:right="0" w:firstLine="0"/>
                      <w:jc w:val="left"/>
                      <w:rPr>
                        <w:sz w:val="18"/>
                      </w:rPr>
                    </w:pPr>
                    <w:r>
                      <w:rPr>
                        <w:color w:val="585858"/>
                        <w:sz w:val="18"/>
                      </w:rPr>
                      <w:t>2016</w:t>
                    </w:r>
                  </w:p>
                </w:txbxContent>
              </v:textbox>
              <w10:wrap type="none"/>
            </v:shape>
            <v:shape style="position:absolute;left:4164;top:2341;width:409;height:205" type="#_x0000_t202" filled="false" stroked="false">
              <v:textbox inset="0,0,0,0">
                <w:txbxContent>
                  <w:p>
                    <w:pPr>
                      <w:spacing w:before="0"/>
                      <w:ind w:left="0" w:right="0" w:firstLine="0"/>
                      <w:jc w:val="left"/>
                      <w:rPr>
                        <w:sz w:val="18"/>
                      </w:rPr>
                    </w:pPr>
                    <w:r>
                      <w:rPr>
                        <w:color w:val="585858"/>
                        <w:sz w:val="18"/>
                      </w:rPr>
                      <w:t>2012</w:t>
                    </w:r>
                  </w:p>
                </w:txbxContent>
              </v:textbox>
              <w10:wrap type="none"/>
            </v:shape>
            <v:shape style="position:absolute;left:1707;top:1677;width:496;height:651" type="#_x0000_t202" filled="false" stroked="false">
              <v:textbox inset="0,0,0,0">
                <w:txbxContent>
                  <w:p>
                    <w:pPr>
                      <w:spacing w:before="0"/>
                      <w:ind w:left="0" w:right="0" w:firstLine="0"/>
                      <w:jc w:val="left"/>
                      <w:rPr>
                        <w:sz w:val="18"/>
                      </w:rPr>
                    </w:pPr>
                    <w:r>
                      <w:rPr>
                        <w:color w:val="585858"/>
                        <w:sz w:val="18"/>
                      </w:rPr>
                      <w:t>5.000</w:t>
                    </w:r>
                  </w:p>
                  <w:p>
                    <w:pPr>
                      <w:spacing w:line="240" w:lineRule="auto" w:before="3"/>
                      <w:rPr>
                        <w:i/>
                        <w:sz w:val="21"/>
                      </w:rPr>
                    </w:pPr>
                  </w:p>
                  <w:p>
                    <w:pPr>
                      <w:spacing w:before="0"/>
                      <w:ind w:left="320" w:right="0" w:firstLine="0"/>
                      <w:jc w:val="left"/>
                      <w:rPr>
                        <w:sz w:val="18"/>
                      </w:rPr>
                    </w:pPr>
                    <w:r>
                      <w:rPr>
                        <w:color w:val="585858"/>
                        <w:sz w:val="18"/>
                      </w:rPr>
                      <w:t>-</w:t>
                    </w:r>
                  </w:p>
                </w:txbxContent>
              </v:textbox>
              <w10:wrap type="none"/>
            </v:shape>
            <v:shape style="position:absolute;left:4708;top:1160;width:489;height:205" type="#_x0000_t202" filled="false" stroked="false">
              <v:textbox inset="0,0,0,0">
                <w:txbxContent>
                  <w:p>
                    <w:pPr>
                      <w:spacing w:before="0"/>
                      <w:ind w:left="0" w:right="0" w:firstLine="0"/>
                      <w:jc w:val="left"/>
                      <w:rPr>
                        <w:sz w:val="18"/>
                      </w:rPr>
                    </w:pPr>
                    <w:r>
                      <w:rPr>
                        <w:color w:val="404040"/>
                        <w:sz w:val="18"/>
                      </w:rPr>
                      <w:t>8.700</w:t>
                    </w:r>
                  </w:p>
                </w:txbxContent>
              </v:textbox>
              <w10:wrap type="none"/>
            </v:shape>
            <v:shape style="position:absolute;left:1614;top:1231;width:589;height:205" type="#_x0000_t202" filled="false" stroked="false">
              <v:textbox inset="0,0,0,0">
                <w:txbxContent>
                  <w:p>
                    <w:pPr>
                      <w:spacing w:before="0"/>
                      <w:ind w:left="0" w:right="0" w:firstLine="0"/>
                      <w:jc w:val="left"/>
                      <w:rPr>
                        <w:sz w:val="18"/>
                      </w:rPr>
                    </w:pPr>
                    <w:r>
                      <w:rPr>
                        <w:color w:val="585858"/>
                        <w:sz w:val="18"/>
                      </w:rPr>
                      <w:t>10.000</w:t>
                    </w:r>
                  </w:p>
                </w:txbxContent>
              </v:textbox>
              <w10:wrap type="none"/>
            </v:shape>
            <v:shape style="position:absolute;left:8630;top:919;width:544;height:205" type="#_x0000_t202" filled="false" stroked="false">
              <v:textbox inset="0,0,0,0">
                <w:txbxContent>
                  <w:p>
                    <w:pPr>
                      <w:spacing w:before="0"/>
                      <w:ind w:left="0" w:right="0" w:firstLine="0"/>
                      <w:jc w:val="left"/>
                      <w:rPr>
                        <w:sz w:val="18"/>
                      </w:rPr>
                    </w:pPr>
                    <w:r>
                      <w:rPr>
                        <w:color w:val="404040"/>
                        <w:sz w:val="18"/>
                      </w:rPr>
                      <w:t>11.400</w:t>
                    </w:r>
                  </w:p>
                </w:txbxContent>
              </v:textbox>
              <w10:wrap type="none"/>
            </v:shape>
            <v:shape style="position:absolute;left:1630;top:784;width:573;height:205" type="#_x0000_t202" filled="false" stroked="false">
              <v:textbox inset="0,0,0,0">
                <w:txbxContent>
                  <w:p>
                    <w:pPr>
                      <w:spacing w:before="0"/>
                      <w:ind w:left="0" w:right="0" w:firstLine="0"/>
                      <w:jc w:val="left"/>
                      <w:rPr>
                        <w:sz w:val="18"/>
                      </w:rPr>
                    </w:pPr>
                    <w:r>
                      <w:rPr>
                        <w:color w:val="585858"/>
                        <w:sz w:val="18"/>
                      </w:rPr>
                      <w:t>15.000</w:t>
                    </w:r>
                  </w:p>
                </w:txbxContent>
              </v:textbox>
              <w10:wrap type="none"/>
            </v:shape>
            <v:shape style="position:absolute;left:7493;top:491;width:568;height:205" type="#_x0000_t202" filled="false" stroked="false">
              <v:textbox inset="0,0,0,0">
                <w:txbxContent>
                  <w:p>
                    <w:pPr>
                      <w:spacing w:before="0"/>
                      <w:ind w:left="0" w:right="0" w:firstLine="0"/>
                      <w:jc w:val="left"/>
                      <w:rPr>
                        <w:sz w:val="18"/>
                      </w:rPr>
                    </w:pPr>
                    <w:r>
                      <w:rPr>
                        <w:color w:val="404040"/>
                        <w:sz w:val="18"/>
                      </w:rPr>
                      <w:t>16.200</w:t>
                    </w:r>
                  </w:p>
                </w:txbxContent>
              </v:textbox>
              <w10:wrap type="none"/>
            </v:shape>
            <v:shape style="position:absolute;left:3542;top:420;width:568;height:205" type="#_x0000_t202" filled="false" stroked="false">
              <v:textbox inset="0,0,0,0">
                <w:txbxContent>
                  <w:p>
                    <w:pPr>
                      <w:spacing w:before="0"/>
                      <w:ind w:left="0" w:right="0" w:firstLine="0"/>
                      <w:jc w:val="left"/>
                      <w:rPr>
                        <w:sz w:val="18"/>
                      </w:rPr>
                    </w:pPr>
                    <w:r>
                      <w:rPr>
                        <w:color w:val="404040"/>
                        <w:sz w:val="18"/>
                      </w:rPr>
                      <w:t>17.000</w:t>
                    </w:r>
                  </w:p>
                </w:txbxContent>
              </v:textbox>
              <w10:wrap type="none"/>
            </v:shape>
            <v:shape style="position:absolute;left:1591;top:338;width:611;height:205" type="#_x0000_t202" filled="false" stroked="false">
              <v:textbox inset="0,0,0,0">
                <w:txbxContent>
                  <w:p>
                    <w:pPr>
                      <w:spacing w:before="0"/>
                      <w:ind w:left="0" w:right="0" w:firstLine="0"/>
                      <w:jc w:val="left"/>
                      <w:rPr>
                        <w:sz w:val="18"/>
                      </w:rPr>
                    </w:pPr>
                    <w:r>
                      <w:rPr>
                        <w:color w:val="585858"/>
                        <w:sz w:val="18"/>
                      </w:rPr>
                      <w:t>20.000</w:t>
                    </w:r>
                  </w:p>
                </w:txbxContent>
              </v:textbox>
              <w10:wrap type="none"/>
            </v:shape>
            <w10:wrap type="topAndBottom"/>
          </v:group>
        </w:pict>
      </w:r>
    </w:p>
    <w:p>
      <w:pPr>
        <w:spacing w:before="91"/>
        <w:ind w:left="278" w:right="0" w:firstLine="0"/>
        <w:jc w:val="left"/>
        <w:rPr>
          <w:sz w:val="18"/>
        </w:rPr>
      </w:pPr>
      <w:r>
        <w:rPr>
          <w:b/>
          <w:color w:val="A21F1F"/>
          <w:sz w:val="18"/>
        </w:rPr>
        <w:t>Kilde: </w:t>
      </w:r>
      <w:r>
        <w:rPr>
          <w:color w:val="A21F1F"/>
          <w:sz w:val="18"/>
        </w:rPr>
        <w:t>Før-måling og spørgeskemaundersøgelse blandt kommuner</w:t>
      </w:r>
    </w:p>
    <w:p>
      <w:pPr>
        <w:pStyle w:val="BodyText"/>
      </w:pPr>
    </w:p>
    <w:p>
      <w:pPr>
        <w:pStyle w:val="BodyText"/>
        <w:spacing w:line="360" w:lineRule="auto" w:before="117"/>
        <w:ind w:left="278" w:right="1025"/>
      </w:pPr>
      <w:r>
        <w:rPr/>
        <w:t>Disse tal omfatter alle geodatabaserede løsninger – altså både de løsninger, som er baseret på de frie geodata, og de løsninger, der baserer sig på geodata fra andre leverandører. Før-målingen anvendte en antagelse om, at de frie geodata udgør en delmængde af de geodatasæt, som de kommunale medarbejdere er kritisk afhængige af. Antagelsen bunder i, at de kommunale medarbejdere også kan være kritisk afhængige af geodata, som kommunerne selv producerer, eller som de erhverver sig fra andre leverandører af geodata. I før-målingen skønnede man, at de frie geodata udgjorde omkring en fjerdedel af de samlede geodatasæt, som de kommunale medarbejdere var kritisk afhængige af. Eftermålingen anvender en anden metode til at opgøre produktionseffekten blandt offentlige myndigheder:</w:t>
      </w:r>
    </w:p>
    <w:p>
      <w:pPr>
        <w:pStyle w:val="BodyText"/>
        <w:spacing w:before="3"/>
        <w:rPr>
          <w:sz w:val="21"/>
        </w:rPr>
      </w:pPr>
    </w:p>
    <w:p>
      <w:pPr>
        <w:pStyle w:val="BodyText"/>
        <w:spacing w:line="360" w:lineRule="auto"/>
        <w:ind w:left="278" w:right="995"/>
      </w:pPr>
      <w:r>
        <w:rPr/>
        <w:t>For at bestemme produktionseffekten blandt de offentlige myndigheder, anvendes antal årsværk i myndighederne, hvis arbejde er kritisk afhængigt af adgang til de frie geodata, jf. </w:t>
      </w:r>
      <w:hyperlink w:history="true" w:anchor="_bookmark60">
        <w:r>
          <w:rPr/>
          <w:t>Figur 32. </w:t>
        </w:r>
      </w:hyperlink>
      <w:r>
        <w:rPr/>
        <w:t>Stikprøvens besvarelser opregnes til nationalt niveau for hhv. kommuner og regioner baseret på antal indbyggere i de kommuner og regioner, der indgår i stikprøven. Metoden anvender således ikke et skøn baseret på myndighedernes anvendelse af egenproducerede geodata og/eller geodata fra andre leverandører i forhold til myndighedernes anvendelse af de frie geodata.</w:t>
      </w:r>
    </w:p>
    <w:p>
      <w:pPr>
        <w:pStyle w:val="BodyText"/>
        <w:spacing w:before="2"/>
        <w:rPr>
          <w:sz w:val="21"/>
        </w:rPr>
      </w:pPr>
    </w:p>
    <w:p>
      <w:pPr>
        <w:pStyle w:val="BodyText"/>
        <w:spacing w:line="360" w:lineRule="auto"/>
        <w:ind w:left="278" w:right="1112"/>
      </w:pPr>
      <w:r>
        <w:rPr/>
        <w:t>Opregnet er det således i 2016 ca. 2.815 medarbejdere i kommunerne, der er kritisk afhængige af geodata i deres opgavevaretagelse. I 2016 udgjorde værditilvæksten pr. medarbejder i den offentlige sektor 488.000 kr., og på baggrund heraf kan det samlet estimeres, at produktionseffekten i kommunerne, relateret til de frie geodata, i 2016 var ca. 1,375 mia. kr. </w:t>
      </w:r>
      <w:r>
        <w:rPr>
          <w:position w:val="5"/>
          <w:sz w:val="13"/>
        </w:rPr>
        <w:t>7</w:t>
      </w:r>
      <w:r>
        <w:rPr/>
        <w:t>. I regionerne er produktionen relateret til de frie geodata i 2016 opgjort til 151 mio. kr. svarende til ca. 310 medarbejdere, der er kritisk afhængige af de frie geodata.</w:t>
      </w:r>
    </w:p>
    <w:p>
      <w:pPr>
        <w:pStyle w:val="BodyText"/>
        <w:spacing w:before="1"/>
        <w:rPr>
          <w:sz w:val="21"/>
        </w:rPr>
      </w:pPr>
    </w:p>
    <w:p>
      <w:pPr>
        <w:pStyle w:val="BodyText"/>
        <w:spacing w:line="360" w:lineRule="auto"/>
        <w:ind w:left="278" w:right="1221"/>
      </w:pPr>
      <w:r>
        <w:rPr/>
        <w:t>For de statslige myndigheder og selvejende institutioner er der ikke opregnet med nogen faktor, da det er antagelsen, at de væsentligste anvendere af de frie geodata har afgivet besvarelse i spørgeskema- undersøgelsen. Det betyder, at den samlede produktionseffekt i statslige myndigheder er 373 mio. kr. svarende til ca. 763 medarbejdere, der er kritisk afhængige af adgang til de frie geodata. For selvejende</w:t>
      </w:r>
    </w:p>
    <w:p>
      <w:pPr>
        <w:pStyle w:val="BodyText"/>
      </w:pPr>
    </w:p>
    <w:p>
      <w:pPr>
        <w:pStyle w:val="BodyText"/>
        <w:spacing w:before="6"/>
        <w:rPr>
          <w:sz w:val="16"/>
        </w:rPr>
      </w:pPr>
      <w:r>
        <w:rPr/>
        <w:pict>
          <v:line style="position:absolute;mso-position-horizontal-relative:page;mso-position-vertical-relative:paragraph;z-index:8768;mso-wrap-distance-left:0;mso-wrap-distance-right:0" from="70.944pt,11.628555pt" to="214.964pt,11.628555pt" stroked="true" strokeweight=".47998pt" strokecolor="#000000">
            <v:stroke dashstyle="solid"/>
            <w10:wrap type="topAndBottom"/>
          </v:line>
        </w:pict>
      </w:r>
    </w:p>
    <w:p>
      <w:pPr>
        <w:pStyle w:val="BodyText"/>
        <w:spacing w:before="63"/>
        <w:ind w:left="278"/>
      </w:pPr>
      <w:r>
        <w:rPr>
          <w:position w:val="5"/>
          <w:sz w:val="13"/>
        </w:rPr>
        <w:t>7 </w:t>
      </w:r>
      <w:r>
        <w:rPr/>
        <w:t>Statistikbanken/OBESK1 og Bruttoværditilvækst: statistikbanken/nabp10</w:t>
      </w:r>
    </w:p>
    <w:p>
      <w:pPr>
        <w:spacing w:after="0"/>
        <w:sectPr>
          <w:footerReference w:type="default" r:id="rId37"/>
          <w:pgSz w:w="11910" w:h="16840"/>
          <w:pgMar w:footer="577" w:header="572" w:top="1220" w:bottom="760" w:left="1140" w:right="0"/>
          <w:pgNumType w:start="64"/>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institutioner er den ca. 195 mio. kr. svarende til ca. 401 medarbejdere, der er kritisk afhængige af adgang til</w:t>
      </w:r>
    </w:p>
    <w:p>
      <w:pPr>
        <w:pStyle w:val="BodyText"/>
        <w:spacing w:before="114"/>
        <w:ind w:left="278"/>
      </w:pPr>
      <w:r>
        <w:rPr/>
        <w:t>de frie geodata.</w:t>
      </w:r>
    </w:p>
    <w:p>
      <w:pPr>
        <w:pStyle w:val="BodyText"/>
        <w:rPr>
          <w:sz w:val="22"/>
        </w:rPr>
      </w:pPr>
    </w:p>
    <w:p>
      <w:pPr>
        <w:pStyle w:val="BodyText"/>
        <w:spacing w:before="11"/>
        <w:rPr>
          <w:sz w:val="17"/>
        </w:rPr>
      </w:pPr>
    </w:p>
    <w:p>
      <w:pPr>
        <w:pStyle w:val="BodyText"/>
        <w:spacing w:line="360" w:lineRule="auto"/>
        <w:ind w:left="278" w:right="995"/>
      </w:pPr>
      <w:r>
        <w:rPr/>
        <w:t>Samlet set udgør den estimerede produktion (værditilvækst) i 2016 ca. 2,5 mia. kr., hvoraf størstedelen kan tilskrives den offentlige sektor, jf. nedenstående </w:t>
      </w:r>
      <w:hyperlink w:history="true" w:anchor="_bookmark87">
        <w:r>
          <w:rPr/>
          <w:t>Tabel 7.</w:t>
        </w:r>
      </w:hyperlink>
    </w:p>
    <w:p>
      <w:pPr>
        <w:pStyle w:val="BodyText"/>
        <w:spacing w:before="10"/>
        <w:rPr>
          <w:sz w:val="29"/>
        </w:rPr>
      </w:pPr>
    </w:p>
    <w:p>
      <w:pPr>
        <w:spacing w:before="0"/>
        <w:ind w:left="278" w:right="0" w:firstLine="0"/>
        <w:jc w:val="left"/>
        <w:rPr>
          <w:i/>
          <w:sz w:val="18"/>
        </w:rPr>
      </w:pPr>
      <w:bookmarkStart w:name="_bookmark87" w:id="121"/>
      <w:bookmarkEnd w:id="121"/>
      <w:r>
        <w:rPr/>
      </w:r>
      <w:r>
        <w:rPr>
          <w:i/>
          <w:color w:val="A21F1F"/>
          <w:sz w:val="18"/>
        </w:rPr>
        <w:t>Tabel 7: Værditilvækst fordelt på producerende sektorer i 2016</w:t>
      </w:r>
    </w:p>
    <w:p>
      <w:pPr>
        <w:pStyle w:val="BodyText"/>
        <w:spacing w:before="10"/>
        <w:rPr>
          <w:i/>
          <w:sz w:val="10"/>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2"/>
        <w:gridCol w:w="5838"/>
      </w:tblGrid>
      <w:tr>
        <w:trPr>
          <w:trHeight w:val="396" w:hRule="atLeast"/>
        </w:trPr>
        <w:tc>
          <w:tcPr>
            <w:tcW w:w="3632" w:type="dxa"/>
            <w:tcBorders>
              <w:top w:val="single" w:sz="4" w:space="0" w:color="000000"/>
            </w:tcBorders>
            <w:shd w:val="clear" w:color="auto" w:fill="A21F1F"/>
          </w:tcPr>
          <w:p>
            <w:pPr>
              <w:pStyle w:val="TableParagraph"/>
              <w:spacing w:before="66"/>
              <w:ind w:left="7"/>
              <w:rPr>
                <w:rFonts w:ascii="Arial"/>
                <w:b/>
                <w:sz w:val="20"/>
              </w:rPr>
            </w:pPr>
            <w:r>
              <w:rPr>
                <w:rFonts w:ascii="Arial"/>
                <w:b/>
                <w:color w:val="FFFFFF"/>
                <w:sz w:val="20"/>
              </w:rPr>
              <w:t>Sektor</w:t>
            </w:r>
          </w:p>
        </w:tc>
        <w:tc>
          <w:tcPr>
            <w:tcW w:w="5838" w:type="dxa"/>
            <w:tcBorders>
              <w:top w:val="single" w:sz="4" w:space="0" w:color="000000"/>
            </w:tcBorders>
            <w:shd w:val="clear" w:color="auto" w:fill="A21F1F"/>
          </w:tcPr>
          <w:p>
            <w:pPr>
              <w:pStyle w:val="TableParagraph"/>
              <w:spacing w:before="66"/>
              <w:ind w:right="121"/>
              <w:jc w:val="right"/>
              <w:rPr>
                <w:rFonts w:ascii="Arial" w:hAnsi="Arial"/>
                <w:b/>
                <w:sz w:val="20"/>
              </w:rPr>
            </w:pPr>
            <w:r>
              <w:rPr>
                <w:rFonts w:ascii="Arial" w:hAnsi="Arial"/>
                <w:b/>
                <w:color w:val="FFFFFF"/>
                <w:sz w:val="20"/>
              </w:rPr>
              <w:t>Produktionseffekt (værditilvækst) i mio. kr.</w:t>
            </w:r>
          </w:p>
        </w:tc>
      </w:tr>
      <w:tr>
        <w:trPr>
          <w:trHeight w:val="451" w:hRule="atLeast"/>
        </w:trPr>
        <w:tc>
          <w:tcPr>
            <w:tcW w:w="3632" w:type="dxa"/>
            <w:shd w:val="clear" w:color="auto" w:fill="A21F1F"/>
          </w:tcPr>
          <w:p>
            <w:pPr>
              <w:pStyle w:val="TableParagraph"/>
              <w:spacing w:before="92"/>
              <w:ind w:left="7"/>
              <w:rPr>
                <w:rFonts w:ascii="Arial"/>
                <w:sz w:val="20"/>
              </w:rPr>
            </w:pPr>
            <w:r>
              <w:rPr>
                <w:rFonts w:ascii="Arial"/>
                <w:color w:val="FFFFFF"/>
                <w:sz w:val="20"/>
              </w:rPr>
              <w:t>Private virksomheder</w:t>
            </w:r>
          </w:p>
        </w:tc>
        <w:tc>
          <w:tcPr>
            <w:tcW w:w="5838" w:type="dxa"/>
          </w:tcPr>
          <w:p>
            <w:pPr>
              <w:pStyle w:val="TableParagraph"/>
              <w:spacing w:before="92"/>
              <w:ind w:right="118"/>
              <w:jc w:val="right"/>
              <w:rPr>
                <w:rFonts w:ascii="Arial"/>
                <w:sz w:val="20"/>
              </w:rPr>
            </w:pPr>
            <w:r>
              <w:rPr>
                <w:rFonts w:ascii="Arial"/>
                <w:w w:val="95"/>
                <w:sz w:val="20"/>
              </w:rPr>
              <w:t>446</w:t>
            </w:r>
          </w:p>
        </w:tc>
      </w:tr>
      <w:tr>
        <w:trPr>
          <w:trHeight w:val="480" w:hRule="atLeast"/>
        </w:trPr>
        <w:tc>
          <w:tcPr>
            <w:tcW w:w="3632" w:type="dxa"/>
            <w:shd w:val="clear" w:color="auto" w:fill="A21F1F"/>
          </w:tcPr>
          <w:p>
            <w:pPr>
              <w:pStyle w:val="TableParagraph"/>
              <w:spacing w:before="121"/>
              <w:ind w:left="7"/>
              <w:rPr>
                <w:rFonts w:ascii="Arial"/>
                <w:sz w:val="20"/>
              </w:rPr>
            </w:pPr>
            <w:r>
              <w:rPr>
                <w:rFonts w:ascii="Arial"/>
                <w:color w:val="FFFFFF"/>
                <w:sz w:val="20"/>
              </w:rPr>
              <w:t>Statslige myndigheder</w:t>
            </w:r>
          </w:p>
        </w:tc>
        <w:tc>
          <w:tcPr>
            <w:tcW w:w="5838" w:type="dxa"/>
          </w:tcPr>
          <w:p>
            <w:pPr>
              <w:pStyle w:val="TableParagraph"/>
              <w:spacing w:before="121"/>
              <w:ind w:right="118"/>
              <w:jc w:val="right"/>
              <w:rPr>
                <w:rFonts w:ascii="Arial"/>
                <w:sz w:val="20"/>
              </w:rPr>
            </w:pPr>
            <w:r>
              <w:rPr>
                <w:rFonts w:ascii="Arial"/>
                <w:w w:val="95"/>
                <w:sz w:val="20"/>
              </w:rPr>
              <w:t>373</w:t>
            </w:r>
          </w:p>
        </w:tc>
      </w:tr>
      <w:tr>
        <w:trPr>
          <w:trHeight w:val="480" w:hRule="atLeast"/>
        </w:trPr>
        <w:tc>
          <w:tcPr>
            <w:tcW w:w="3632" w:type="dxa"/>
            <w:shd w:val="clear" w:color="auto" w:fill="A21F1F"/>
          </w:tcPr>
          <w:p>
            <w:pPr>
              <w:pStyle w:val="TableParagraph"/>
              <w:spacing w:before="121"/>
              <w:ind w:left="7"/>
              <w:rPr>
                <w:rFonts w:ascii="Arial"/>
                <w:sz w:val="20"/>
              </w:rPr>
            </w:pPr>
            <w:r>
              <w:rPr>
                <w:rFonts w:ascii="Arial"/>
                <w:color w:val="FFFFFF"/>
                <w:sz w:val="20"/>
              </w:rPr>
              <w:t>Kommuner</w:t>
            </w:r>
          </w:p>
        </w:tc>
        <w:tc>
          <w:tcPr>
            <w:tcW w:w="5838" w:type="dxa"/>
          </w:tcPr>
          <w:p>
            <w:pPr>
              <w:pStyle w:val="TableParagraph"/>
              <w:spacing w:before="121"/>
              <w:ind w:right="117"/>
              <w:jc w:val="right"/>
              <w:rPr>
                <w:rFonts w:ascii="Arial"/>
                <w:sz w:val="20"/>
              </w:rPr>
            </w:pPr>
            <w:r>
              <w:rPr>
                <w:rFonts w:ascii="Arial"/>
                <w:w w:val="95"/>
                <w:sz w:val="20"/>
              </w:rPr>
              <w:t>1.376</w:t>
            </w:r>
          </w:p>
        </w:tc>
      </w:tr>
      <w:tr>
        <w:trPr>
          <w:trHeight w:val="480" w:hRule="atLeast"/>
        </w:trPr>
        <w:tc>
          <w:tcPr>
            <w:tcW w:w="3632" w:type="dxa"/>
            <w:shd w:val="clear" w:color="auto" w:fill="A21F1F"/>
          </w:tcPr>
          <w:p>
            <w:pPr>
              <w:pStyle w:val="TableParagraph"/>
              <w:spacing w:before="121"/>
              <w:ind w:left="7"/>
              <w:rPr>
                <w:rFonts w:ascii="Arial"/>
                <w:sz w:val="20"/>
              </w:rPr>
            </w:pPr>
            <w:r>
              <w:rPr>
                <w:rFonts w:ascii="Arial"/>
                <w:color w:val="FFFFFF"/>
                <w:sz w:val="20"/>
              </w:rPr>
              <w:t>Regioner</w:t>
            </w:r>
          </w:p>
        </w:tc>
        <w:tc>
          <w:tcPr>
            <w:tcW w:w="5838" w:type="dxa"/>
          </w:tcPr>
          <w:p>
            <w:pPr>
              <w:pStyle w:val="TableParagraph"/>
              <w:spacing w:before="121"/>
              <w:ind w:right="118"/>
              <w:jc w:val="right"/>
              <w:rPr>
                <w:rFonts w:ascii="Arial"/>
                <w:sz w:val="20"/>
              </w:rPr>
            </w:pPr>
            <w:r>
              <w:rPr>
                <w:rFonts w:ascii="Arial"/>
                <w:w w:val="95"/>
                <w:sz w:val="20"/>
              </w:rPr>
              <w:t>151</w:t>
            </w:r>
          </w:p>
        </w:tc>
      </w:tr>
      <w:tr>
        <w:trPr>
          <w:trHeight w:val="478" w:hRule="atLeast"/>
        </w:trPr>
        <w:tc>
          <w:tcPr>
            <w:tcW w:w="3632" w:type="dxa"/>
            <w:shd w:val="clear" w:color="auto" w:fill="A21F1F"/>
          </w:tcPr>
          <w:p>
            <w:pPr>
              <w:pStyle w:val="TableParagraph"/>
              <w:spacing w:before="121"/>
              <w:ind w:left="7"/>
              <w:rPr>
                <w:rFonts w:ascii="Arial" w:hAnsi="Arial"/>
                <w:sz w:val="20"/>
              </w:rPr>
            </w:pPr>
            <w:r>
              <w:rPr>
                <w:rFonts w:ascii="Arial" w:hAnsi="Arial"/>
                <w:color w:val="FFFFFF"/>
                <w:sz w:val="20"/>
              </w:rPr>
              <w:t>Selvejende og øvrige</w:t>
            </w:r>
          </w:p>
        </w:tc>
        <w:tc>
          <w:tcPr>
            <w:tcW w:w="5838" w:type="dxa"/>
          </w:tcPr>
          <w:p>
            <w:pPr>
              <w:pStyle w:val="TableParagraph"/>
              <w:spacing w:before="121"/>
              <w:ind w:right="118"/>
              <w:jc w:val="right"/>
              <w:rPr>
                <w:rFonts w:ascii="Arial"/>
                <w:sz w:val="20"/>
              </w:rPr>
            </w:pPr>
            <w:r>
              <w:rPr>
                <w:rFonts w:ascii="Arial"/>
                <w:w w:val="95"/>
                <w:sz w:val="20"/>
              </w:rPr>
              <w:t>196</w:t>
            </w:r>
          </w:p>
        </w:tc>
      </w:tr>
      <w:tr>
        <w:trPr>
          <w:trHeight w:val="473" w:hRule="atLeast"/>
        </w:trPr>
        <w:tc>
          <w:tcPr>
            <w:tcW w:w="3632" w:type="dxa"/>
            <w:shd w:val="clear" w:color="auto" w:fill="A21F1F"/>
          </w:tcPr>
          <w:p>
            <w:pPr>
              <w:pStyle w:val="TableParagraph"/>
              <w:spacing w:before="120"/>
              <w:ind w:left="7"/>
              <w:rPr>
                <w:rFonts w:ascii="Arial"/>
                <w:b/>
                <w:sz w:val="20"/>
              </w:rPr>
            </w:pPr>
            <w:r>
              <w:rPr>
                <w:rFonts w:ascii="Arial"/>
                <w:b/>
                <w:color w:val="FFFFFF"/>
                <w:sz w:val="20"/>
              </w:rPr>
              <w:t>Total</w:t>
            </w:r>
          </w:p>
        </w:tc>
        <w:tc>
          <w:tcPr>
            <w:tcW w:w="5838" w:type="dxa"/>
          </w:tcPr>
          <w:p>
            <w:pPr>
              <w:pStyle w:val="TableParagraph"/>
              <w:spacing w:before="120"/>
              <w:ind w:right="117"/>
              <w:jc w:val="right"/>
              <w:rPr>
                <w:rFonts w:ascii="Arial"/>
                <w:b/>
                <w:sz w:val="20"/>
              </w:rPr>
            </w:pPr>
            <w:r>
              <w:rPr>
                <w:rFonts w:ascii="Arial"/>
                <w:b/>
                <w:w w:val="95"/>
                <w:sz w:val="20"/>
              </w:rPr>
              <w:t>2.542</w:t>
            </w:r>
          </w:p>
        </w:tc>
      </w:tr>
    </w:tbl>
    <w:p>
      <w:pPr>
        <w:pStyle w:val="BodyText"/>
        <w:rPr>
          <w:i/>
        </w:rPr>
      </w:pPr>
    </w:p>
    <w:p>
      <w:pPr>
        <w:pStyle w:val="BodyText"/>
        <w:rPr>
          <w:i/>
        </w:rPr>
      </w:pPr>
    </w:p>
    <w:p>
      <w:pPr>
        <w:pStyle w:val="Heading2"/>
        <w:numPr>
          <w:ilvl w:val="1"/>
          <w:numId w:val="20"/>
        </w:numPr>
        <w:tabs>
          <w:tab w:pos="855" w:val="left" w:leader="none"/>
        </w:tabs>
        <w:spacing w:line="240" w:lineRule="auto" w:before="123" w:after="0"/>
        <w:ind w:left="854" w:right="0" w:hanging="576"/>
        <w:jc w:val="left"/>
        <w:rPr>
          <w:i/>
        </w:rPr>
      </w:pPr>
      <w:bookmarkStart w:name="_bookmark88" w:id="122"/>
      <w:bookmarkEnd w:id="122"/>
      <w:r>
        <w:rPr>
          <w:b w:val="0"/>
          <w:i w:val="0"/>
        </w:rPr>
      </w:r>
      <w:bookmarkStart w:name="_bookmark88" w:id="123"/>
      <w:bookmarkEnd w:id="123"/>
      <w:r>
        <w:rPr>
          <w:i/>
          <w:color w:val="A21F1F"/>
        </w:rPr>
        <w:t>E</w:t>
      </w:r>
      <w:r>
        <w:rPr>
          <w:i/>
          <w:color w:val="A21F1F"/>
        </w:rPr>
        <w:t>ffektiviseringseffekter</w:t>
      </w:r>
    </w:p>
    <w:p>
      <w:pPr>
        <w:pStyle w:val="BodyText"/>
        <w:spacing w:line="360" w:lineRule="auto" w:before="241"/>
        <w:ind w:left="278" w:right="1203"/>
      </w:pPr>
      <w:r>
        <w:rPr/>
        <w:t>Tilsvarende har PwC for beregningen af produktionsværdien estimeret, hvordan de frie geodata har bidraget til at øge effektiviteten i private virksomheder, forsyningsselskaber og offentlige myndigheder. Beregningerne indikerer et bidrag til øget effektivitet i 2016 på ca. 1 mia. kr. på baggrund af de indkomne besvarelser. Heraf vedrører godt 726 mio. kr. private virksomheder, og ca. 43. mio. kr. vedrører offentlige myndigheder. De resterende knap 230 mio. kr. er gevinster blandt forsyningsselskaberne.</w:t>
      </w:r>
    </w:p>
    <w:p>
      <w:pPr>
        <w:pStyle w:val="BodyText"/>
        <w:rPr>
          <w:sz w:val="21"/>
        </w:rPr>
      </w:pPr>
    </w:p>
    <w:p>
      <w:pPr>
        <w:spacing w:before="0"/>
        <w:ind w:left="278" w:right="0" w:firstLine="0"/>
        <w:jc w:val="left"/>
        <w:rPr>
          <w:i/>
          <w:sz w:val="18"/>
        </w:rPr>
      </w:pPr>
      <w:r>
        <w:rPr>
          <w:i/>
          <w:color w:val="A21F1F"/>
          <w:sz w:val="18"/>
        </w:rPr>
        <w:t>Tabel 8: Betydning af geodata for effektiviteten i hver af de producerende sektorer i 2016</w:t>
      </w:r>
    </w:p>
    <w:p>
      <w:pPr>
        <w:pStyle w:val="BodyText"/>
        <w:spacing w:before="10" w:after="1"/>
        <w:rPr>
          <w:i/>
          <w:sz w:val="10"/>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8"/>
        <w:gridCol w:w="7202"/>
      </w:tblGrid>
      <w:tr>
        <w:trPr>
          <w:trHeight w:val="479" w:hRule="atLeast"/>
        </w:trPr>
        <w:tc>
          <w:tcPr>
            <w:tcW w:w="2268" w:type="dxa"/>
            <w:shd w:val="clear" w:color="auto" w:fill="A21F1F"/>
          </w:tcPr>
          <w:p>
            <w:pPr>
              <w:pStyle w:val="TableParagraph"/>
              <w:spacing w:before="126"/>
              <w:ind w:left="7"/>
              <w:rPr>
                <w:rFonts w:ascii="Arial"/>
                <w:b/>
                <w:sz w:val="20"/>
              </w:rPr>
            </w:pPr>
            <w:r>
              <w:rPr>
                <w:rFonts w:ascii="Arial"/>
                <w:b/>
                <w:color w:val="FFFFFF"/>
                <w:sz w:val="20"/>
              </w:rPr>
              <w:t>Sektor</w:t>
            </w:r>
          </w:p>
        </w:tc>
        <w:tc>
          <w:tcPr>
            <w:tcW w:w="7202" w:type="dxa"/>
            <w:tcBorders>
              <w:top w:val="single" w:sz="4" w:space="0" w:color="000000"/>
            </w:tcBorders>
            <w:shd w:val="clear" w:color="auto" w:fill="A21F1F"/>
          </w:tcPr>
          <w:p>
            <w:pPr>
              <w:pStyle w:val="TableParagraph"/>
              <w:spacing w:before="126"/>
              <w:ind w:right="116"/>
              <w:jc w:val="right"/>
              <w:rPr>
                <w:rFonts w:ascii="Arial"/>
                <w:b/>
                <w:sz w:val="20"/>
              </w:rPr>
            </w:pPr>
            <w:r>
              <w:rPr>
                <w:rFonts w:ascii="Arial"/>
                <w:b/>
                <w:color w:val="FFFFFF"/>
                <w:sz w:val="20"/>
              </w:rPr>
              <w:t>Effektiviseringseffekt i mio. kr.</w:t>
            </w:r>
          </w:p>
        </w:tc>
      </w:tr>
      <w:tr>
        <w:trPr>
          <w:trHeight w:val="487" w:hRule="atLeast"/>
        </w:trPr>
        <w:tc>
          <w:tcPr>
            <w:tcW w:w="2268" w:type="dxa"/>
            <w:shd w:val="clear" w:color="auto" w:fill="A21F1F"/>
          </w:tcPr>
          <w:p>
            <w:pPr>
              <w:pStyle w:val="TableParagraph"/>
              <w:spacing w:before="129"/>
              <w:ind w:left="7"/>
              <w:rPr>
                <w:rFonts w:ascii="Arial"/>
                <w:sz w:val="20"/>
              </w:rPr>
            </w:pPr>
            <w:r>
              <w:rPr>
                <w:rFonts w:ascii="Arial"/>
                <w:color w:val="FFFFFF"/>
                <w:sz w:val="20"/>
              </w:rPr>
              <w:t>Private virksomheder</w:t>
            </w:r>
          </w:p>
        </w:tc>
        <w:tc>
          <w:tcPr>
            <w:tcW w:w="7202" w:type="dxa"/>
          </w:tcPr>
          <w:p>
            <w:pPr>
              <w:pStyle w:val="TableParagraph"/>
              <w:spacing w:before="129"/>
              <w:ind w:right="116"/>
              <w:jc w:val="right"/>
              <w:rPr>
                <w:rFonts w:ascii="Arial"/>
                <w:sz w:val="20"/>
              </w:rPr>
            </w:pPr>
            <w:r>
              <w:rPr>
                <w:rFonts w:ascii="Arial"/>
                <w:w w:val="95"/>
                <w:sz w:val="20"/>
              </w:rPr>
              <w:t>726</w:t>
            </w:r>
          </w:p>
        </w:tc>
      </w:tr>
      <w:tr>
        <w:trPr>
          <w:trHeight w:val="480" w:hRule="atLeast"/>
        </w:trPr>
        <w:tc>
          <w:tcPr>
            <w:tcW w:w="2268" w:type="dxa"/>
            <w:shd w:val="clear" w:color="auto" w:fill="A21F1F"/>
          </w:tcPr>
          <w:p>
            <w:pPr>
              <w:pStyle w:val="TableParagraph"/>
              <w:spacing w:before="121"/>
              <w:ind w:left="7"/>
              <w:rPr>
                <w:rFonts w:ascii="Arial"/>
                <w:sz w:val="20"/>
              </w:rPr>
            </w:pPr>
            <w:r>
              <w:rPr>
                <w:rFonts w:ascii="Arial"/>
                <w:color w:val="FFFFFF"/>
                <w:sz w:val="20"/>
              </w:rPr>
              <w:t>Forsyningsselskaber</w:t>
            </w:r>
          </w:p>
        </w:tc>
        <w:tc>
          <w:tcPr>
            <w:tcW w:w="7202" w:type="dxa"/>
          </w:tcPr>
          <w:p>
            <w:pPr>
              <w:pStyle w:val="TableParagraph"/>
              <w:spacing w:before="121"/>
              <w:ind w:right="116"/>
              <w:jc w:val="right"/>
              <w:rPr>
                <w:rFonts w:ascii="Arial"/>
                <w:sz w:val="20"/>
              </w:rPr>
            </w:pPr>
            <w:r>
              <w:rPr>
                <w:rFonts w:ascii="Arial"/>
                <w:w w:val="95"/>
                <w:sz w:val="20"/>
              </w:rPr>
              <w:t>229</w:t>
            </w:r>
          </w:p>
        </w:tc>
      </w:tr>
      <w:tr>
        <w:trPr>
          <w:trHeight w:val="480" w:hRule="atLeast"/>
        </w:trPr>
        <w:tc>
          <w:tcPr>
            <w:tcW w:w="2268" w:type="dxa"/>
            <w:shd w:val="clear" w:color="auto" w:fill="A21F1F"/>
          </w:tcPr>
          <w:p>
            <w:pPr>
              <w:pStyle w:val="TableParagraph"/>
              <w:spacing w:before="121"/>
              <w:ind w:left="7"/>
              <w:rPr>
                <w:rFonts w:ascii="Arial"/>
                <w:sz w:val="20"/>
              </w:rPr>
            </w:pPr>
            <w:r>
              <w:rPr>
                <w:rFonts w:ascii="Arial"/>
                <w:color w:val="FFFFFF"/>
                <w:sz w:val="20"/>
              </w:rPr>
              <w:t>Statslige myndigheder</w:t>
            </w:r>
          </w:p>
        </w:tc>
        <w:tc>
          <w:tcPr>
            <w:tcW w:w="7202" w:type="dxa"/>
          </w:tcPr>
          <w:p>
            <w:pPr>
              <w:pStyle w:val="TableParagraph"/>
              <w:spacing w:before="121"/>
              <w:ind w:right="116"/>
              <w:jc w:val="right"/>
              <w:rPr>
                <w:rFonts w:ascii="Arial"/>
                <w:sz w:val="20"/>
              </w:rPr>
            </w:pPr>
            <w:r>
              <w:rPr>
                <w:rFonts w:ascii="Arial"/>
                <w:w w:val="95"/>
                <w:sz w:val="20"/>
              </w:rPr>
              <w:t>22</w:t>
            </w:r>
          </w:p>
        </w:tc>
      </w:tr>
      <w:tr>
        <w:trPr>
          <w:trHeight w:val="480" w:hRule="atLeast"/>
        </w:trPr>
        <w:tc>
          <w:tcPr>
            <w:tcW w:w="2268" w:type="dxa"/>
            <w:shd w:val="clear" w:color="auto" w:fill="A21F1F"/>
          </w:tcPr>
          <w:p>
            <w:pPr>
              <w:pStyle w:val="TableParagraph"/>
              <w:spacing w:before="121"/>
              <w:ind w:left="7"/>
              <w:rPr>
                <w:rFonts w:ascii="Arial"/>
                <w:sz w:val="20"/>
              </w:rPr>
            </w:pPr>
            <w:r>
              <w:rPr>
                <w:rFonts w:ascii="Arial"/>
                <w:color w:val="FFFFFF"/>
                <w:sz w:val="20"/>
              </w:rPr>
              <w:t>Kommuner</w:t>
            </w:r>
          </w:p>
        </w:tc>
        <w:tc>
          <w:tcPr>
            <w:tcW w:w="7202" w:type="dxa"/>
          </w:tcPr>
          <w:p>
            <w:pPr>
              <w:pStyle w:val="TableParagraph"/>
              <w:spacing w:before="121"/>
              <w:ind w:right="116"/>
              <w:jc w:val="right"/>
              <w:rPr>
                <w:rFonts w:ascii="Arial"/>
                <w:sz w:val="20"/>
              </w:rPr>
            </w:pPr>
            <w:r>
              <w:rPr>
                <w:rFonts w:ascii="Arial"/>
                <w:w w:val="95"/>
                <w:sz w:val="20"/>
              </w:rPr>
              <w:t>18</w:t>
            </w:r>
          </w:p>
        </w:tc>
      </w:tr>
      <w:tr>
        <w:trPr>
          <w:trHeight w:val="480" w:hRule="atLeast"/>
        </w:trPr>
        <w:tc>
          <w:tcPr>
            <w:tcW w:w="2268" w:type="dxa"/>
            <w:shd w:val="clear" w:color="auto" w:fill="A21F1F"/>
          </w:tcPr>
          <w:p>
            <w:pPr>
              <w:pStyle w:val="TableParagraph"/>
              <w:spacing w:before="121"/>
              <w:ind w:left="7"/>
              <w:rPr>
                <w:rFonts w:ascii="Arial"/>
                <w:sz w:val="20"/>
              </w:rPr>
            </w:pPr>
            <w:r>
              <w:rPr>
                <w:rFonts w:ascii="Arial"/>
                <w:color w:val="FFFFFF"/>
                <w:sz w:val="20"/>
              </w:rPr>
              <w:t>Regioner</w:t>
            </w:r>
          </w:p>
        </w:tc>
        <w:tc>
          <w:tcPr>
            <w:tcW w:w="7202" w:type="dxa"/>
          </w:tcPr>
          <w:p>
            <w:pPr>
              <w:pStyle w:val="TableParagraph"/>
              <w:spacing w:before="121"/>
              <w:ind w:right="113"/>
              <w:jc w:val="right"/>
              <w:rPr>
                <w:rFonts w:ascii="Arial"/>
                <w:sz w:val="20"/>
              </w:rPr>
            </w:pPr>
            <w:r>
              <w:rPr>
                <w:rFonts w:ascii="Arial"/>
                <w:w w:val="99"/>
                <w:sz w:val="20"/>
              </w:rPr>
              <w:t>2</w:t>
            </w:r>
          </w:p>
        </w:tc>
      </w:tr>
      <w:tr>
        <w:trPr>
          <w:trHeight w:val="478" w:hRule="atLeast"/>
        </w:trPr>
        <w:tc>
          <w:tcPr>
            <w:tcW w:w="2268" w:type="dxa"/>
            <w:shd w:val="clear" w:color="auto" w:fill="A21F1F"/>
          </w:tcPr>
          <w:p>
            <w:pPr>
              <w:pStyle w:val="TableParagraph"/>
              <w:spacing w:before="121"/>
              <w:ind w:left="7"/>
              <w:rPr>
                <w:rFonts w:ascii="Arial" w:hAnsi="Arial"/>
                <w:sz w:val="20"/>
              </w:rPr>
            </w:pPr>
            <w:r>
              <w:rPr>
                <w:rFonts w:ascii="Arial" w:hAnsi="Arial"/>
                <w:color w:val="FFFFFF"/>
                <w:sz w:val="20"/>
              </w:rPr>
              <w:t>Selvejende og øvrige</w:t>
            </w:r>
          </w:p>
        </w:tc>
        <w:tc>
          <w:tcPr>
            <w:tcW w:w="7202" w:type="dxa"/>
          </w:tcPr>
          <w:p>
            <w:pPr>
              <w:pStyle w:val="TableParagraph"/>
              <w:spacing w:before="121"/>
              <w:ind w:right="113"/>
              <w:jc w:val="right"/>
              <w:rPr>
                <w:rFonts w:ascii="Arial"/>
                <w:sz w:val="20"/>
              </w:rPr>
            </w:pPr>
            <w:r>
              <w:rPr>
                <w:rFonts w:ascii="Arial"/>
                <w:w w:val="99"/>
                <w:sz w:val="20"/>
              </w:rPr>
              <w:t>2</w:t>
            </w:r>
          </w:p>
        </w:tc>
      </w:tr>
      <w:tr>
        <w:trPr>
          <w:trHeight w:val="473" w:hRule="atLeast"/>
        </w:trPr>
        <w:tc>
          <w:tcPr>
            <w:tcW w:w="2268" w:type="dxa"/>
            <w:shd w:val="clear" w:color="auto" w:fill="A21F1F"/>
          </w:tcPr>
          <w:p>
            <w:pPr>
              <w:pStyle w:val="TableParagraph"/>
              <w:spacing w:before="120"/>
              <w:ind w:left="7"/>
              <w:rPr>
                <w:rFonts w:ascii="Arial"/>
                <w:b/>
                <w:sz w:val="20"/>
              </w:rPr>
            </w:pPr>
            <w:r>
              <w:rPr>
                <w:rFonts w:ascii="Arial"/>
                <w:b/>
                <w:color w:val="FFFFFF"/>
                <w:sz w:val="20"/>
              </w:rPr>
              <w:t>Total</w:t>
            </w:r>
          </w:p>
        </w:tc>
        <w:tc>
          <w:tcPr>
            <w:tcW w:w="7202" w:type="dxa"/>
          </w:tcPr>
          <w:p>
            <w:pPr>
              <w:pStyle w:val="TableParagraph"/>
              <w:spacing w:before="120"/>
              <w:ind w:right="116"/>
              <w:jc w:val="right"/>
              <w:rPr>
                <w:rFonts w:ascii="Arial"/>
                <w:b/>
                <w:sz w:val="20"/>
              </w:rPr>
            </w:pPr>
            <w:r>
              <w:rPr>
                <w:rFonts w:ascii="Arial"/>
                <w:b/>
                <w:w w:val="95"/>
                <w:sz w:val="20"/>
              </w:rPr>
              <w:t>999</w:t>
            </w:r>
          </w:p>
        </w:tc>
      </w:tr>
    </w:tbl>
    <w:p>
      <w:pPr>
        <w:pStyle w:val="BodyText"/>
        <w:spacing w:before="10"/>
        <w:rPr>
          <w:i/>
          <w:sz w:val="29"/>
        </w:rPr>
      </w:pPr>
    </w:p>
    <w:p>
      <w:pPr>
        <w:pStyle w:val="BodyText"/>
        <w:spacing w:line="360" w:lineRule="auto"/>
        <w:ind w:left="278" w:right="1809"/>
      </w:pPr>
      <w:r>
        <w:rPr/>
        <w:t>Det er forventeligt, at den største effektiviseringseffekt har været i de private virksomheder og i forsyningsselskaberne. Det er tilfældet, da geodata forud for frikøbet var tilgængelige for offentlige</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myndigheder via forskellige politiske aftaler. Efter frikøbet har netop de private virksomheder og</w:t>
      </w:r>
    </w:p>
    <w:p>
      <w:pPr>
        <w:pStyle w:val="BodyText"/>
        <w:spacing w:line="360" w:lineRule="auto" w:before="114"/>
        <w:ind w:left="278" w:right="1677"/>
      </w:pPr>
      <w:r>
        <w:rPr/>
        <w:t>forsyningsselskaberne oplevet en væsentlig prisreduktion på de frie geodata, hvilket forventeligt har medført den relativt store effektiviseringseffekt.</w:t>
      </w:r>
    </w:p>
    <w:p>
      <w:pPr>
        <w:pStyle w:val="BodyText"/>
        <w:spacing w:before="1"/>
        <w:rPr>
          <w:sz w:val="21"/>
        </w:rPr>
      </w:pPr>
    </w:p>
    <w:p>
      <w:pPr>
        <w:pStyle w:val="BodyText"/>
        <w:ind w:left="278"/>
      </w:pPr>
      <w:r>
        <w:rPr/>
        <w:t>Den samlede samfundsøkonomiske værdi af de frie geodata estimeres således til i alt ca. 3,5 mia. kr.</w:t>
      </w:r>
    </w:p>
    <w:p>
      <w:pPr>
        <w:pStyle w:val="BodyText"/>
        <w:spacing w:before="10"/>
        <w:rPr>
          <w:sz w:val="30"/>
        </w:rPr>
      </w:pPr>
    </w:p>
    <w:p>
      <w:pPr>
        <w:pStyle w:val="Heading2"/>
        <w:numPr>
          <w:ilvl w:val="1"/>
          <w:numId w:val="20"/>
        </w:numPr>
        <w:tabs>
          <w:tab w:pos="855" w:val="left" w:leader="none"/>
        </w:tabs>
        <w:spacing w:line="240" w:lineRule="auto" w:before="1" w:after="0"/>
        <w:ind w:left="854" w:right="0" w:hanging="576"/>
        <w:jc w:val="left"/>
        <w:rPr>
          <w:i/>
        </w:rPr>
      </w:pPr>
      <w:bookmarkStart w:name="_bookmark89" w:id="124"/>
      <w:bookmarkEnd w:id="124"/>
      <w:r>
        <w:rPr>
          <w:b w:val="0"/>
          <w:i w:val="0"/>
        </w:rPr>
      </w:r>
      <w:bookmarkStart w:name="_bookmark89" w:id="125"/>
      <w:bookmarkEnd w:id="125"/>
      <w:r>
        <w:rPr>
          <w:i/>
          <w:color w:val="A21F1F"/>
        </w:rPr>
        <w:t>V</w:t>
      </w:r>
      <w:r>
        <w:rPr>
          <w:i/>
          <w:color w:val="A21F1F"/>
        </w:rPr>
        <w:t>elfærdseffekter</w:t>
      </w:r>
    </w:p>
    <w:p>
      <w:pPr>
        <w:pStyle w:val="BodyText"/>
        <w:spacing w:line="360" w:lineRule="auto" w:before="243"/>
        <w:ind w:left="278" w:right="1064"/>
      </w:pPr>
      <w:r>
        <w:rPr/>
        <w:t>De geodatarelaterede løsninger kan – foruden de ovenfor beskrevne realøkonomiske effekter på produktion, beskæftigelse og produktivitet mv. – medføre gevinster i form af velfærdseffekter, der ikke kan omsættes på et marked. Kendetegnet for disse effekter er, at de er vanskelige at værdiansætte. Ikke desto mindre udgør de en del af de gevinster, som de frie geodata har medført, hvorfor de er medtaget i nærværende analyse.</w:t>
      </w:r>
    </w:p>
    <w:p>
      <w:pPr>
        <w:pStyle w:val="BodyText"/>
        <w:spacing w:before="1"/>
        <w:rPr>
          <w:sz w:val="21"/>
        </w:rPr>
      </w:pPr>
    </w:p>
    <w:p>
      <w:pPr>
        <w:pStyle w:val="BodyText"/>
        <w:spacing w:line="360" w:lineRule="auto"/>
        <w:ind w:left="278" w:right="994"/>
      </w:pPr>
      <w:r>
        <w:rPr/>
        <w:t>I spørgeskemaundersøgelsen har PwC spurgt henholdsvis private virksomheder og forsyningsselskaber om, hvilke gevinster de vurderer, at deres geodatarelaterede produkter og ydelser giver deres kunder. Både private virksomheder og forsyningsselskaber giver udtryk for, at deres produkter og ydelser giver effektiviserings- og kvalitetsgevinster hos deres kunder. Det kan skyldes, at hverken virksomhederne eller forsyningsselskaberne behøver at vente på at rekvirere geodata, og at de derfor kan tilbyde produkter og ydelser hurtigere end tidligere. Hertil kommer, at ca. 30-40 pct. af forsyningsselskaberne og de private virksomheder vurderer, at deres produkter og ydelser giver tidsbesparelser for deres kunder.</w:t>
      </w:r>
    </w:p>
    <w:p>
      <w:pPr>
        <w:pStyle w:val="BodyText"/>
        <w:rPr>
          <w:sz w:val="21"/>
        </w:rPr>
      </w:pPr>
    </w:p>
    <w:p>
      <w:pPr>
        <w:spacing w:before="0"/>
        <w:ind w:left="278" w:right="1704" w:firstLine="0"/>
        <w:jc w:val="left"/>
        <w:rPr>
          <w:i/>
          <w:sz w:val="18"/>
        </w:rPr>
      </w:pPr>
      <w:r>
        <w:rPr/>
        <w:pict>
          <v:group style="position:absolute;margin-left:70.525002pt;margin-top:26.137924pt;width:474.1pt;height:162.8pt;mso-position-horizontal-relative:page;mso-position-vertical-relative:paragraph;z-index:9080;mso-wrap-distance-left:0;mso-wrap-distance-right:0" coordorigin="1411,523" coordsize="9482,3256">
            <v:rect style="position:absolute;left:1418;top:530;width:9467;height:3241" filled="true" fillcolor="#f1f1f1" stroked="false">
              <v:fill type="solid"/>
            </v:rect>
            <v:line style="position:absolute" from="4846,750" to="4846,822" stroked="true" strokeweight=".75pt" strokecolor="#d9d9d9">
              <v:stroke dashstyle="solid"/>
            </v:line>
            <v:line style="position:absolute" from="4846,903" to="4846,1126" stroked="true" strokeweight=".75pt" strokecolor="#d9d9d9">
              <v:stroke dashstyle="solid"/>
            </v:line>
            <v:line style="position:absolute" from="4846,1208" to="4846,2884" stroked="true" strokeweight=".75pt" strokecolor="#d9d9d9">
              <v:stroke dashstyle="solid"/>
            </v:line>
            <v:line style="position:absolute" from="5974,750" to="5974,822" stroked="true" strokeweight=".75pt" strokecolor="#d9d9d9">
              <v:stroke dashstyle="solid"/>
            </v:line>
            <v:line style="position:absolute" from="5974,903" to="5974,1126" stroked="true" strokeweight=".75pt" strokecolor="#d9d9d9">
              <v:stroke dashstyle="solid"/>
            </v:line>
            <v:line style="position:absolute" from="5974,1208" to="5974,2884" stroked="true" strokeweight=".75pt" strokecolor="#d9d9d9">
              <v:stroke dashstyle="solid"/>
            </v:line>
            <v:line style="position:absolute" from="7102,750" to="7102,822" stroked="true" strokeweight=".75pt" strokecolor="#d9d9d9">
              <v:stroke dashstyle="solid"/>
            </v:line>
            <v:line style="position:absolute" from="7102,903" to="7102,1126" stroked="true" strokeweight=".75pt" strokecolor="#d9d9d9">
              <v:stroke dashstyle="solid"/>
            </v:line>
            <v:line style="position:absolute" from="7102,1208" to="7102,2884" stroked="true" strokeweight=".75pt" strokecolor="#d9d9d9">
              <v:stroke dashstyle="solid"/>
            </v:line>
            <v:line style="position:absolute" from="8230,750" to="8230,1126" stroked="true" strokeweight=".75pt" strokecolor="#d9d9d9">
              <v:stroke dashstyle="solid"/>
            </v:line>
            <v:line style="position:absolute" from="8230,1208" to="8230,2884" stroked="true" strokeweight=".75pt" strokecolor="#d9d9d9">
              <v:stroke dashstyle="solid"/>
            </v:line>
            <v:line style="position:absolute" from="9358,750" to="9358,2884" stroked="true" strokeweight=".75pt" strokecolor="#d9d9d9">
              <v:stroke dashstyle="solid"/>
            </v:line>
            <v:line style="position:absolute" from="10485,750" to="10485,2884" stroked="true" strokeweight=".75pt" strokecolor="#d9d9d9">
              <v:stroke dashstyle="solid"/>
            </v:line>
            <v:line style="position:absolute" from="3718,2772" to="4776,2772" stroked="true" strokeweight="3.96pt" strokecolor="#901b1b">
              <v:stroke dashstyle="solid"/>
            </v:line>
            <v:line style="position:absolute" from="3718,2467" to="4776,2467" stroked="true" strokeweight="3.96pt" strokecolor="#901b1b">
              <v:stroke dashstyle="solid"/>
            </v:line>
            <v:line style="position:absolute" from="3718,2162" to="5482,2162" stroked="true" strokeweight="3.96pt" strokecolor="#901b1b">
              <v:stroke dashstyle="solid"/>
            </v:line>
            <v:line style="position:absolute" from="3718,1857" to="5832,1857" stroked="true" strokeweight="3.96pt" strokecolor="#901b1b">
              <v:stroke dashstyle="solid"/>
            </v:line>
            <v:line style="position:absolute" from="3718,1552" to="7596,1552" stroked="true" strokeweight="3.96pt" strokecolor="#901b1b">
              <v:stroke dashstyle="solid"/>
            </v:line>
            <v:line style="position:absolute" from="3718,1248" to="9710,1248" stroked="true" strokeweight="3.96pt" strokecolor="#901b1b">
              <v:stroke dashstyle="solid"/>
            </v:line>
            <v:line style="position:absolute" from="3718,943" to="8652,943" stroked="true" strokeweight="3.96pt" strokecolor="#901b1b">
              <v:stroke dashstyle="solid"/>
            </v:line>
            <v:line style="position:absolute" from="3718,2692" to="5093,2692" stroked="true" strokeweight="3.96pt" strokecolor="#bd8686">
              <v:stroke dashstyle="solid"/>
            </v:line>
            <v:line style="position:absolute" from="3718,2388" to="4176,2388" stroked="true" strokeweight="3.96pt" strokecolor="#bd8686">
              <v:stroke dashstyle="solid"/>
            </v:line>
            <v:line style="position:absolute" from="3718,2083" to="4634,2083" stroked="true" strokeweight="3.96pt" strokecolor="#bd8686">
              <v:stroke dashstyle="solid"/>
            </v:line>
            <v:line style="position:absolute" from="3718,1778" to="6010,1778" stroked="true" strokeweight="3.96pt" strokecolor="#bd8686">
              <v:stroke dashstyle="solid"/>
            </v:line>
            <v:line style="position:absolute" from="3718,1473" to="8304,1473" stroked="true" strokeweight="3.96pt" strokecolor="#bd8686">
              <v:stroke dashstyle="solid"/>
            </v:line>
            <v:line style="position:absolute" from="3718,1167" to="9221,1167" stroked="true" strokeweight="4.08pt" strokecolor="#bd8686">
              <v:stroke dashstyle="solid"/>
            </v:line>
            <v:line style="position:absolute" from="3718,862" to="7752,862" stroked="true" strokeweight="4.08pt" strokecolor="#bd8686">
              <v:stroke dashstyle="solid"/>
            </v:line>
            <v:line style="position:absolute" from="3718,2884" to="3718,750" stroked="true" strokeweight=".75pt" strokecolor="#d9d9d9">
              <v:stroke dashstyle="solid"/>
            </v:line>
            <v:rect style="position:absolute;left:4238;top:3443;width:93;height:93" filled="true" fillcolor="#bd8686" stroked="false">
              <v:fill type="solid"/>
            </v:rect>
            <v:rect style="position:absolute;left:6379;top:3443;width:93;height:93" filled="true" fillcolor="#901b1b" stroked="false">
              <v:fill type="solid"/>
            </v:rect>
            <v:rect style="position:absolute;left:1418;top:530;width:9467;height:3241" filled="false" stroked="true" strokeweight=".75pt" strokecolor="#d9d9d9">
              <v:stroke dashstyle="solid"/>
            </v:rect>
            <v:shape style="position:absolute;left:6511;top:3383;width:1642;height:205" type="#_x0000_t202" filled="false" stroked="false">
              <v:textbox inset="0,0,0,0">
                <w:txbxContent>
                  <w:p>
                    <w:pPr>
                      <w:spacing w:before="0"/>
                      <w:ind w:left="0" w:right="0" w:firstLine="0"/>
                      <w:jc w:val="left"/>
                      <w:rPr>
                        <w:sz w:val="18"/>
                      </w:rPr>
                    </w:pPr>
                    <w:r>
                      <w:rPr>
                        <w:color w:val="585858"/>
                        <w:sz w:val="18"/>
                      </w:rPr>
                      <w:t>Forsyningsselskaber</w:t>
                    </w:r>
                  </w:p>
                </w:txbxContent>
              </v:textbox>
              <w10:wrap type="none"/>
            </v:shape>
            <v:shape style="position:absolute;left:4370;top:3383;width:1730;height:205" type="#_x0000_t202" filled="false" stroked="false">
              <v:textbox inset="0,0,0,0">
                <w:txbxContent>
                  <w:p>
                    <w:pPr>
                      <w:spacing w:before="0"/>
                      <w:ind w:left="0" w:right="0" w:firstLine="0"/>
                      <w:jc w:val="left"/>
                      <w:rPr>
                        <w:sz w:val="18"/>
                      </w:rPr>
                    </w:pPr>
                    <w:r>
                      <w:rPr>
                        <w:color w:val="585858"/>
                        <w:sz w:val="18"/>
                      </w:rPr>
                      <w:t>Private virksomheder</w:t>
                    </w:r>
                  </w:p>
                </w:txbxContent>
              </v:textbox>
              <w10:wrap type="none"/>
            </v:shape>
            <v:shape style="position:absolute;left:10307;top:2996;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9182;top:2996;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8051;top:2996;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6924;top:2996;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5796;top:2996;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4679;top:2996;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3590;top:2996;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795;width:2035;height:2034" type="#_x0000_t202" filled="false" stroked="false">
              <v:textbox inset="0,0,0,0">
                <w:txbxContent>
                  <w:p>
                    <w:pPr>
                      <w:spacing w:line="357" w:lineRule="auto" w:before="0"/>
                      <w:ind w:left="543" w:right="19" w:hanging="544"/>
                      <w:jc w:val="right"/>
                      <w:rPr>
                        <w:sz w:val="18"/>
                      </w:rPr>
                    </w:pPr>
                    <w:r>
                      <w:rPr>
                        <w:color w:val="585858"/>
                        <w:spacing w:val="-1"/>
                        <w:sz w:val="18"/>
                      </w:rPr>
                      <w:t>Effektiviseringsgevinster Kvalitetsgevinster Tidsbesparelser Miljøeffekter Sundhedseffekter </w:t>
                    </w:r>
                    <w:r>
                      <w:rPr>
                        <w:color w:val="585858"/>
                        <w:sz w:val="18"/>
                      </w:rPr>
                      <w:t>Ingen</w:t>
                    </w:r>
                    <w:r>
                      <w:rPr>
                        <w:color w:val="585858"/>
                        <w:spacing w:val="-7"/>
                        <w:sz w:val="18"/>
                      </w:rPr>
                      <w:t> </w:t>
                    </w:r>
                    <w:r>
                      <w:rPr>
                        <w:color w:val="585858"/>
                        <w:sz w:val="18"/>
                      </w:rPr>
                      <w:t>gevinster</w:t>
                    </w:r>
                  </w:p>
                  <w:p>
                    <w:pPr>
                      <w:spacing w:before="0"/>
                      <w:ind w:left="0" w:right="18" w:firstLine="0"/>
                      <w:jc w:val="right"/>
                      <w:rPr>
                        <w:sz w:val="18"/>
                      </w:rPr>
                    </w:pPr>
                    <w:r>
                      <w:rPr>
                        <w:color w:val="585858"/>
                        <w:sz w:val="18"/>
                      </w:rPr>
                      <w:t>Ved</w:t>
                    </w:r>
                    <w:r>
                      <w:rPr>
                        <w:color w:val="585858"/>
                        <w:spacing w:val="-1"/>
                        <w:sz w:val="18"/>
                      </w:rPr>
                      <w:t> </w:t>
                    </w:r>
                    <w:r>
                      <w:rPr>
                        <w:color w:val="585858"/>
                        <w:sz w:val="18"/>
                      </w:rPr>
                      <w:t>ikke</w:t>
                    </w:r>
                  </w:p>
                </w:txbxContent>
              </v:textbox>
              <w10:wrap type="none"/>
            </v:shape>
            <w10:wrap type="topAndBottom"/>
          </v:group>
        </w:pict>
      </w:r>
      <w:r>
        <w:rPr>
          <w:i/>
          <w:color w:val="A21F1F"/>
          <w:sz w:val="18"/>
        </w:rPr>
        <w:t>Figur 49: Private virksomheders og forsyningsselskabers vurdering af, hvilke gevinster de af virksomhedens </w:t>
      </w:r>
      <w:r>
        <w:rPr>
          <w:i/>
          <w:color w:val="A21F1F"/>
          <w:sz w:val="18"/>
        </w:rPr>
        <w:t>produkter og ydelser, der baserer sig på de frie geodata, giver deres kunder</w:t>
      </w:r>
    </w:p>
    <w:p>
      <w:pPr>
        <w:spacing w:before="0"/>
        <w:ind w:left="278" w:right="0" w:firstLine="0"/>
        <w:jc w:val="left"/>
        <w:rPr>
          <w:i/>
          <w:sz w:val="18"/>
        </w:rPr>
      </w:pPr>
      <w:r>
        <w:rPr>
          <w:b/>
          <w:i/>
          <w:color w:val="A21F1F"/>
          <w:sz w:val="18"/>
        </w:rPr>
        <w:t>Kilde</w:t>
      </w:r>
      <w:r>
        <w:rPr>
          <w:i/>
          <w:color w:val="A21F1F"/>
          <w:sz w:val="18"/>
        </w:rPr>
        <w:t>: Spørgeskemaundersøgelse udført blandt private virksomheder og forsyningsselskaber</w:t>
      </w:r>
    </w:p>
    <w:p>
      <w:pPr>
        <w:spacing w:before="119"/>
        <w:ind w:left="278" w:right="0" w:firstLine="0"/>
        <w:jc w:val="left"/>
        <w:rPr>
          <w:i/>
          <w:sz w:val="18"/>
        </w:rPr>
      </w:pPr>
      <w:r>
        <w:rPr>
          <w:b/>
          <w:i/>
          <w:color w:val="A21F1F"/>
          <w:sz w:val="18"/>
        </w:rPr>
        <w:t>N</w:t>
      </w:r>
      <w:r>
        <w:rPr>
          <w:i/>
          <w:color w:val="A21F1F"/>
          <w:sz w:val="18"/>
        </w:rPr>
        <w:t>: Private virksomheder: 123 og forsyningsselskaber: 32</w:t>
      </w:r>
    </w:p>
    <w:p>
      <w:pPr>
        <w:spacing w:before="120"/>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rPr>
          <w:i/>
        </w:rPr>
      </w:pPr>
    </w:p>
    <w:p>
      <w:pPr>
        <w:pStyle w:val="BodyText"/>
        <w:spacing w:line="360" w:lineRule="auto" w:before="136"/>
        <w:ind w:left="278" w:right="1283"/>
      </w:pPr>
      <w:r>
        <w:rPr/>
        <w:t>Der er også spurgt ind til, om virksomhederne og forsyningsselskaberne vurderer, at deres geodatabaserede løsninger medfører gevinster i form af sundheds- og miljøeffekter for deres kunder. Ca. 20 pct. af både de private virksomheder og forsyningsselskaberne vurderer, at der er miljøeffekter forbundet med deres geodatarelaterede løsninger. Endelig vurderer en mindre andel af de private virksomheder, at deres geodatarelaterede løsninger medfører sundhedseffekter for deres kunder.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Efter at have belyst det samlede samfundsøkonomiske potentiale for de frie geodata vil vi i det følgende</w:t>
      </w:r>
    </w:p>
    <w:p>
      <w:pPr>
        <w:pStyle w:val="BodyText"/>
        <w:spacing w:line="360" w:lineRule="auto" w:before="114"/>
        <w:ind w:left="278" w:right="1097"/>
      </w:pPr>
      <w:r>
        <w:rPr/>
        <w:t>kapitel se nærmere på tre konkrete cases med eksempler på, hvordan geodata bliver anvendt i dag. Efter gennemgangen af de tre case-undersøgelser afsluttes analysen med en gennemgang af de identificerede potentialer for fremadrettet styrkelse af anvendelsen af geodata. Vi vil ligeledes belyse, hvilke barrierer der står i vejen for at realisere de frie geodatas potentiale.</w:t>
      </w:r>
    </w:p>
    <w:p>
      <w:pPr>
        <w:pStyle w:val="BodyText"/>
        <w:spacing w:before="2"/>
        <w:rPr>
          <w:sz w:val="21"/>
        </w:rPr>
      </w:pPr>
    </w:p>
    <w:p>
      <w:pPr>
        <w:pStyle w:val="Heading1"/>
        <w:numPr>
          <w:ilvl w:val="0"/>
          <w:numId w:val="20"/>
        </w:numPr>
        <w:tabs>
          <w:tab w:pos="711" w:val="left" w:leader="none"/>
        </w:tabs>
        <w:spacing w:line="240" w:lineRule="auto" w:before="0" w:after="0"/>
        <w:ind w:left="710" w:right="1095" w:hanging="432"/>
        <w:jc w:val="left"/>
      </w:pPr>
      <w:bookmarkStart w:name="_bookmark90" w:id="126"/>
      <w:bookmarkEnd w:id="126"/>
      <w:r>
        <w:rPr>
          <w:b w:val="0"/>
          <w:i w:val="0"/>
        </w:rPr>
      </w:r>
      <w:bookmarkStart w:name="_bookmark90" w:id="127"/>
      <w:bookmarkEnd w:id="127"/>
      <w:r>
        <w:rPr>
          <w:i/>
        </w:rPr>
        <w:t>Cas</w:t>
      </w:r>
      <w:r>
        <w:rPr>
          <w:i/>
        </w:rPr>
        <w:t>e-undersøgelser: </w:t>
      </w:r>
      <w:r>
        <w:rPr/>
        <w:t>Eksempler på anvendelse af de frie</w:t>
      </w:r>
      <w:r>
        <w:rPr>
          <w:spacing w:val="-1"/>
        </w:rPr>
        <w:t> </w:t>
      </w:r>
      <w:r>
        <w:rPr/>
        <w:t>geodata</w:t>
      </w:r>
    </w:p>
    <w:p>
      <w:pPr>
        <w:pStyle w:val="BodyText"/>
        <w:spacing w:line="360" w:lineRule="auto" w:before="481"/>
        <w:ind w:left="278" w:right="1063"/>
      </w:pPr>
      <w:r>
        <w:rPr/>
        <w:t>PwC har i samarbejde med SDFE identificeret og udvalgt i alt tre case-undersøgelser, som alle har bidraget til en dybere afdækning af, hvordan geodata anvendes i dag. Igennem de tre case-undersøgelser har vi stillet skarpt på offentlige og private værdikædeprocesser, hvori de frie geodata bidrager til at skabe værdi i forskellige sektorer.</w:t>
      </w:r>
    </w:p>
    <w:p>
      <w:pPr>
        <w:pStyle w:val="BodyText"/>
        <w:spacing w:before="1"/>
        <w:rPr>
          <w:sz w:val="21"/>
        </w:rPr>
      </w:pPr>
    </w:p>
    <w:p>
      <w:pPr>
        <w:pStyle w:val="BodyText"/>
        <w:spacing w:line="360" w:lineRule="auto"/>
        <w:ind w:left="278" w:right="1276"/>
      </w:pPr>
      <w:r>
        <w:rPr/>
        <w:t>Case-undersøgelserne skal kvalificere anvendelser og effekter af de frie geodata hos virksomheder, der anvender netop geodata i forbindelse med udvikling af produkter, services, rådgivningsydelser mv. I nedenstående </w:t>
      </w:r>
      <w:hyperlink w:history="true" w:anchor="_bookmark91">
        <w:r>
          <w:rPr/>
          <w:t>Figur 50 </w:t>
        </w:r>
      </w:hyperlink>
      <w:r>
        <w:rPr/>
        <w:t>er der gengivet et eksempel på en generisk værdikæde. Den generiske værdikæde blev også præsenteret i kapitel 2.</w:t>
      </w:r>
    </w:p>
    <w:p>
      <w:pPr>
        <w:pStyle w:val="BodyText"/>
        <w:rPr>
          <w:sz w:val="21"/>
        </w:rPr>
      </w:pPr>
    </w:p>
    <w:p>
      <w:pPr>
        <w:spacing w:before="0"/>
        <w:ind w:left="278" w:right="1109" w:firstLine="0"/>
        <w:jc w:val="left"/>
        <w:rPr>
          <w:i/>
          <w:sz w:val="18"/>
        </w:rPr>
      </w:pPr>
      <w:r>
        <w:rPr/>
        <w:pict>
          <v:group style="position:absolute;margin-left:70.944pt;margin-top:26.51292pt;width:473.35pt;height:127.7pt;mso-position-horizontal-relative:page;mso-position-vertical-relative:paragraph;z-index:9128;mso-wrap-distance-left:0;mso-wrap-distance-right:0" coordorigin="1419,530" coordsize="9467,2554">
            <v:rect style="position:absolute;left:1418;top:530;width:9467;height:296" filled="true" fillcolor="#f1f1f1" stroked="false">
              <v:fill type="solid"/>
            </v:rect>
            <v:rect style="position:absolute;left:1426;top:825;width:9453;height:2259" filled="true" fillcolor="#f1f1f1" stroked="false">
              <v:fill type="solid"/>
            </v:rect>
            <v:shape style="position:absolute;left:1441;top:823;width:9416;height:1905" type="#_x0000_t75" stroked="false">
              <v:imagedata r:id="rId15" o:title=""/>
            </v:shape>
            <w10:wrap type="topAndBottom"/>
          </v:group>
        </w:pict>
      </w:r>
      <w:bookmarkStart w:name="_bookmark91" w:id="128"/>
      <w:bookmarkEnd w:id="128"/>
      <w:r>
        <w:rPr/>
      </w:r>
      <w:r>
        <w:rPr>
          <w:i/>
          <w:color w:val="A21F1F"/>
          <w:sz w:val="18"/>
        </w:rPr>
        <w:t>Figur 50: Eksempel på vertikal værdikæde, hvor geodata hentes, behandles, sammenstilles og indgår i produkter og </w:t>
      </w:r>
      <w:r>
        <w:rPr>
          <w:i/>
          <w:color w:val="A21F1F"/>
          <w:sz w:val="18"/>
        </w:rPr>
        <w:t>ydelser, der sælges til og anvendes af slutbrugere</w:t>
      </w:r>
    </w:p>
    <w:p>
      <w:pPr>
        <w:pStyle w:val="BodyText"/>
        <w:rPr>
          <w:i/>
        </w:rPr>
      </w:pPr>
    </w:p>
    <w:p>
      <w:pPr>
        <w:pStyle w:val="BodyText"/>
        <w:spacing w:before="6"/>
        <w:rPr>
          <w:i/>
          <w:sz w:val="19"/>
        </w:rPr>
      </w:pPr>
    </w:p>
    <w:p>
      <w:pPr>
        <w:pStyle w:val="BodyText"/>
        <w:spacing w:before="1"/>
        <w:ind w:left="278"/>
      </w:pPr>
      <w:r>
        <w:rPr/>
        <w:t>Følgende tre case-undersøgelser er gennemført i perioden september-november 2016:</w:t>
      </w:r>
    </w:p>
    <w:p>
      <w:pPr>
        <w:pStyle w:val="BodyText"/>
        <w:spacing w:before="1"/>
        <w:rPr>
          <w:sz w:val="31"/>
        </w:rPr>
      </w:pPr>
    </w:p>
    <w:p>
      <w:pPr>
        <w:pStyle w:val="ListParagraph"/>
        <w:numPr>
          <w:ilvl w:val="0"/>
          <w:numId w:val="21"/>
        </w:numPr>
        <w:tabs>
          <w:tab w:pos="998" w:val="left" w:leader="none"/>
          <w:tab w:pos="999" w:val="left" w:leader="none"/>
        </w:tabs>
        <w:spacing w:line="240" w:lineRule="auto" w:before="0" w:after="0"/>
        <w:ind w:left="998" w:right="0" w:hanging="360"/>
        <w:jc w:val="left"/>
        <w:rPr>
          <w:sz w:val="20"/>
        </w:rPr>
      </w:pPr>
      <w:r>
        <w:rPr>
          <w:sz w:val="20"/>
        </w:rPr>
        <w:t>Geodata som grundlag for</w:t>
      </w:r>
      <w:r>
        <w:rPr>
          <w:spacing w:val="-1"/>
          <w:sz w:val="20"/>
        </w:rPr>
        <w:t> </w:t>
      </w:r>
      <w:r>
        <w:rPr>
          <w:sz w:val="20"/>
        </w:rPr>
        <w:t>klimasikring</w:t>
      </w:r>
    </w:p>
    <w:p>
      <w:pPr>
        <w:pStyle w:val="ListParagraph"/>
        <w:numPr>
          <w:ilvl w:val="0"/>
          <w:numId w:val="21"/>
        </w:numPr>
        <w:tabs>
          <w:tab w:pos="999" w:val="left" w:leader="none"/>
        </w:tabs>
        <w:spacing w:line="240" w:lineRule="auto" w:before="114" w:after="0"/>
        <w:ind w:left="998" w:right="0" w:hanging="360"/>
        <w:jc w:val="left"/>
        <w:rPr>
          <w:sz w:val="20"/>
        </w:rPr>
      </w:pPr>
      <w:r>
        <w:rPr>
          <w:sz w:val="20"/>
        </w:rPr>
        <w:t>Geodata som input til pengeinstitutters</w:t>
      </w:r>
      <w:r>
        <w:rPr>
          <w:spacing w:val="-1"/>
          <w:sz w:val="20"/>
        </w:rPr>
        <w:t> </w:t>
      </w:r>
      <w:r>
        <w:rPr>
          <w:sz w:val="20"/>
        </w:rPr>
        <w:t>brancheanalyser</w:t>
      </w:r>
    </w:p>
    <w:p>
      <w:pPr>
        <w:pStyle w:val="ListParagraph"/>
        <w:numPr>
          <w:ilvl w:val="0"/>
          <w:numId w:val="21"/>
        </w:numPr>
        <w:tabs>
          <w:tab w:pos="999" w:val="left" w:leader="none"/>
        </w:tabs>
        <w:spacing w:line="240" w:lineRule="auto" w:before="114" w:after="0"/>
        <w:ind w:left="998" w:right="0" w:hanging="360"/>
        <w:jc w:val="left"/>
        <w:rPr>
          <w:sz w:val="20"/>
        </w:rPr>
      </w:pPr>
      <w:r>
        <w:rPr>
          <w:sz w:val="20"/>
        </w:rPr>
        <w:t>Geodata i relation til facility management</w:t>
      </w:r>
      <w:r>
        <w:rPr>
          <w:spacing w:val="2"/>
          <w:sz w:val="20"/>
        </w:rPr>
        <w:t> </w:t>
      </w:r>
      <w:r>
        <w:rPr>
          <w:sz w:val="20"/>
        </w:rPr>
        <w:t>(FM).</w:t>
      </w:r>
    </w:p>
    <w:p>
      <w:pPr>
        <w:pStyle w:val="BodyText"/>
        <w:spacing w:before="1"/>
        <w:rPr>
          <w:sz w:val="31"/>
        </w:rPr>
      </w:pPr>
    </w:p>
    <w:p>
      <w:pPr>
        <w:pStyle w:val="BodyText"/>
        <w:spacing w:line="360" w:lineRule="auto"/>
        <w:ind w:left="278" w:right="1059"/>
      </w:pPr>
      <w:r>
        <w:rPr/>
        <w:t>I alt er der gennemført otte interviews med nøglepersoner i virksomheder, der anvender geodata i første og andet led i værdikæden. Konkret er der i de tre case-undersøgelser udført interviews med følgende virksomheder: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0"/>
          <w:numId w:val="22"/>
        </w:numPr>
        <w:tabs>
          <w:tab w:pos="998" w:val="left" w:leader="none"/>
          <w:tab w:pos="999" w:val="left" w:leader="none"/>
        </w:tabs>
        <w:spacing w:line="201" w:lineRule="exact" w:before="0" w:after="0"/>
        <w:ind w:left="998" w:right="0" w:hanging="360"/>
        <w:jc w:val="left"/>
        <w:rPr>
          <w:sz w:val="20"/>
        </w:rPr>
      </w:pPr>
      <w:r>
        <w:rPr>
          <w:b/>
          <w:sz w:val="20"/>
        </w:rPr>
        <w:t>Klimasikrings-casen: </w:t>
      </w:r>
      <w:r>
        <w:rPr>
          <w:sz w:val="20"/>
        </w:rPr>
        <w:t>Scalgo, Vandcenter Syd og</w:t>
      </w:r>
      <w:r>
        <w:rPr>
          <w:spacing w:val="-4"/>
          <w:sz w:val="20"/>
        </w:rPr>
        <w:t> </w:t>
      </w:r>
      <w:r>
        <w:rPr>
          <w:sz w:val="20"/>
        </w:rPr>
        <w:t>Niras</w:t>
      </w:r>
    </w:p>
    <w:p>
      <w:pPr>
        <w:pStyle w:val="ListParagraph"/>
        <w:numPr>
          <w:ilvl w:val="0"/>
          <w:numId w:val="22"/>
        </w:numPr>
        <w:tabs>
          <w:tab w:pos="998" w:val="left" w:leader="none"/>
          <w:tab w:pos="999" w:val="left" w:leader="none"/>
        </w:tabs>
        <w:spacing w:line="240" w:lineRule="auto" w:before="115" w:after="0"/>
        <w:ind w:left="998" w:right="0" w:hanging="360"/>
        <w:jc w:val="left"/>
        <w:rPr>
          <w:sz w:val="20"/>
        </w:rPr>
      </w:pPr>
      <w:r>
        <w:rPr>
          <w:b/>
          <w:sz w:val="20"/>
        </w:rPr>
        <w:t>Brancheanalyse-casen: </w:t>
      </w:r>
      <w:r>
        <w:rPr>
          <w:sz w:val="20"/>
        </w:rPr>
        <w:t>Bisbase og</w:t>
      </w:r>
      <w:r>
        <w:rPr>
          <w:spacing w:val="-1"/>
          <w:sz w:val="20"/>
        </w:rPr>
        <w:t> </w:t>
      </w:r>
      <w:r>
        <w:rPr>
          <w:sz w:val="20"/>
        </w:rPr>
        <w:t>Nordea</w:t>
      </w:r>
    </w:p>
    <w:p>
      <w:pPr>
        <w:pStyle w:val="ListParagraph"/>
        <w:numPr>
          <w:ilvl w:val="0"/>
          <w:numId w:val="22"/>
        </w:numPr>
        <w:tabs>
          <w:tab w:pos="998" w:val="left" w:leader="none"/>
          <w:tab w:pos="999" w:val="left" w:leader="none"/>
        </w:tabs>
        <w:spacing w:line="240" w:lineRule="auto" w:before="113" w:after="0"/>
        <w:ind w:left="998" w:right="0" w:hanging="360"/>
        <w:jc w:val="left"/>
        <w:rPr>
          <w:sz w:val="20"/>
        </w:rPr>
      </w:pPr>
      <w:r>
        <w:rPr>
          <w:b/>
          <w:sz w:val="20"/>
        </w:rPr>
        <w:t>FM-casen: </w:t>
      </w:r>
      <w:r>
        <w:rPr>
          <w:sz w:val="20"/>
        </w:rPr>
        <w:t>Dalux, Hillerød Kommune samt Slots- og</w:t>
      </w:r>
      <w:r>
        <w:rPr>
          <w:spacing w:val="-7"/>
          <w:sz w:val="20"/>
        </w:rPr>
        <w:t> </w:t>
      </w:r>
      <w:r>
        <w:rPr>
          <w:sz w:val="20"/>
        </w:rPr>
        <w:t>Kulturstyrelsen.</w:t>
      </w:r>
    </w:p>
    <w:p>
      <w:pPr>
        <w:pStyle w:val="BodyText"/>
        <w:spacing w:before="10"/>
        <w:rPr>
          <w:sz w:val="30"/>
        </w:rPr>
      </w:pPr>
    </w:p>
    <w:p>
      <w:pPr>
        <w:pStyle w:val="Heading2"/>
        <w:numPr>
          <w:ilvl w:val="1"/>
          <w:numId w:val="23"/>
        </w:numPr>
        <w:tabs>
          <w:tab w:pos="855" w:val="left" w:leader="none"/>
        </w:tabs>
        <w:spacing w:line="240" w:lineRule="auto" w:before="0" w:after="0"/>
        <w:ind w:left="854" w:right="0" w:hanging="576"/>
        <w:jc w:val="left"/>
        <w:rPr>
          <w:i/>
        </w:rPr>
      </w:pPr>
      <w:bookmarkStart w:name="_bookmark92" w:id="129"/>
      <w:bookmarkEnd w:id="129"/>
      <w:r>
        <w:rPr>
          <w:b w:val="0"/>
          <w:i w:val="0"/>
        </w:rPr>
      </w:r>
      <w:bookmarkStart w:name="_bookmark92" w:id="130"/>
      <w:bookmarkEnd w:id="130"/>
      <w:r>
        <w:rPr>
          <w:i/>
          <w:color w:val="A21F1F"/>
        </w:rPr>
        <w:t>Ge</w:t>
      </w:r>
      <w:r>
        <w:rPr>
          <w:i/>
          <w:color w:val="A21F1F"/>
        </w:rPr>
        <w:t>odata som grundlag for</w:t>
      </w:r>
      <w:r>
        <w:rPr>
          <w:i/>
          <w:color w:val="A21F1F"/>
          <w:spacing w:val="-2"/>
        </w:rPr>
        <w:t> </w:t>
      </w:r>
      <w:r>
        <w:rPr>
          <w:i/>
          <w:color w:val="A21F1F"/>
        </w:rPr>
        <w:t>klimasikring</w:t>
      </w:r>
    </w:p>
    <w:p>
      <w:pPr>
        <w:pStyle w:val="BodyText"/>
        <w:spacing w:line="360" w:lineRule="auto" w:before="243"/>
        <w:ind w:left="278" w:right="1173"/>
      </w:pPr>
      <w:r>
        <w:rPr/>
        <w:t>Denne case-undersøgelse belyser, hvordan virksomheden Scalgo anvender de frie geodata i deres produkt ”Scalgo Live”, som anvendes af kommuner, forsyningsselskaber og rådgivende ingeniørvirksomheder i deres arbejde med klimasikring.</w:t>
      </w:r>
    </w:p>
    <w:p>
      <w:pPr>
        <w:pStyle w:val="BodyText"/>
        <w:spacing w:before="1"/>
        <w:rPr>
          <w:sz w:val="21"/>
        </w:rPr>
      </w:pPr>
    </w:p>
    <w:p>
      <w:pPr>
        <w:pStyle w:val="BodyText"/>
        <w:spacing w:line="360" w:lineRule="auto" w:before="1"/>
        <w:ind w:left="278" w:right="1036"/>
      </w:pPr>
      <w:r>
        <w:rPr/>
        <w:t>Scalgo er en dansk virksomhed med syv ansatte, der står bag løsningen Scalgo Live; en cloud-baseret softwareløsning til oversvømmelsesanalyse målrettet kommuner og forsyningsselskaber. Scalgo udspringer fra Aarhus Universitets Center for Massive Data Algorithms (MADALGO) og fokuserer sine løsninger på at bringe ”cutting-edge” data-processering af støre mængde terrændata i anvendelse. Løsningen er udviklet, så den kan bruges af ”ikke-eksperter” i kommuner og forsyninger samt blandt rådgivere og er baseret på store datamængder, herunder de frie geodata. Det betyder, at anvenderne ikke nødvendigvis behøver besidde dybe GIS- og geodata-kompetencer for at få værdi af de frie geodata.</w:t>
      </w:r>
    </w:p>
    <w:p>
      <w:pPr>
        <w:pStyle w:val="BodyText"/>
        <w:spacing w:before="1"/>
        <w:rPr>
          <w:sz w:val="21"/>
        </w:rPr>
      </w:pPr>
    </w:p>
    <w:p>
      <w:pPr>
        <w:pStyle w:val="BodyText"/>
        <w:spacing w:line="360" w:lineRule="auto"/>
        <w:ind w:left="278" w:right="1360"/>
      </w:pPr>
      <w:hyperlink w:history="true" w:anchor="_bookmark93">
        <w:r>
          <w:rPr/>
          <w:t>Figur 51 </w:t>
        </w:r>
      </w:hyperlink>
      <w:r>
        <w:rPr/>
        <w:t>viser case-undersøgelsens værdikæde med angivelse af de markeds- og effektiviseringseffekter, som de frie geodata afstedkommer. I de efterfølgende afsnit behandles effekterne i de enkelte led af værdikæden.</w:t>
      </w:r>
    </w:p>
    <w:p>
      <w:pPr>
        <w:pStyle w:val="BodyText"/>
        <w:rPr>
          <w:sz w:val="21"/>
        </w:rPr>
      </w:pPr>
    </w:p>
    <w:p>
      <w:pPr>
        <w:spacing w:before="0"/>
        <w:ind w:left="278" w:right="0" w:firstLine="0"/>
        <w:jc w:val="left"/>
        <w:rPr>
          <w:i/>
          <w:sz w:val="18"/>
        </w:rPr>
      </w:pPr>
      <w:r>
        <w:rPr/>
        <w:pict>
          <v:group style="position:absolute;margin-left:100.092224pt;margin-top:34.450531pt;width:360.05pt;height:176pt;mso-position-horizontal-relative:page;mso-position-vertical-relative:paragraph;z-index:-170944" coordorigin="2002,689" coordsize="7201,3520">
            <v:rect style="position:absolute;left:2964;top:2546;width:1611;height:434" filled="true" fillcolor="#a21f1f" stroked="false">
              <v:fill type="solid"/>
            </v:rect>
            <v:line style="position:absolute" from="2766,2757" to="2950,2757" stroked="true" strokeweight="1.305607pt" strokecolor="#a11c1c">
              <v:stroke dashstyle="solid"/>
            </v:line>
            <v:shape style="position:absolute;left:3720;top:2821;width:657;height:932" coordorigin="3720,2821" coordsize="657,932" path="m3974,3718l3720,3718,3720,3752,3993,3752,3999,3748,4002,3741,4007,3729,3970,3729,3974,3718xm4315,2876l3970,3729,3986,3718,4011,3718,4347,2889,4343,2889,4330,2887,4318,2879,4315,2876xm4011,3718l3986,3718,3970,3729,4007,3729,4011,3718xm4326,2849l4315,2876,4318,2879,4330,2887,4343,2889,4347,2888,4358,2862,4326,2849xm4347,2888l4343,2889,4347,2889,4347,2888xm4375,2849l4326,2849,4358,2862,4347,2888,4356,2887,4366,2879,4374,2868,4376,2855,4375,2849xm4342,2821l4329,2824,4318,2831,4311,2842,4308,2856,4311,2869,4315,2876,4326,2849,4375,2849,4374,2842,4366,2831,4355,2824,4342,2821xe" filled="true" fillcolor="#5f221f" stroked="false">
              <v:path arrowok="t"/>
              <v:fill type="solid"/>
            </v:shape>
            <v:rect style="position:absolute;left:5011;top:1940;width:1611;height:432" filled="true" fillcolor="#df2f1e" stroked="false">
              <v:fill type="solid"/>
            </v:rect>
            <v:shape style="position:absolute;left:4692;top:1088;width:633;height:996" coordorigin="4693,1089" coordsize="633,996" path="m5265,2028l5260,2035,5256,2048,5258,2061,5265,2073,5276,2081,5289,2084,5302,2082,5314,2075,5321,2064,5324,2056,5274,2056,5265,2028xm5292,2016l5279,2018,5267,2025,5265,2028,5274,2056,5307,2044,5297,2017,5292,2016xm5297,2017l5307,2044,5274,2056,5324,2056,5325,2052,5323,2038,5316,2027,5305,2019,5297,2017xm4932,1111l5265,2028,5267,2025,5279,2018,5292,2016,5296,2016,4973,1123,4948,1123,4932,1111xm5296,2016l5292,2016,5297,2017,5296,2016xm4955,1089l4693,1089,4693,1123,4936,1123,4932,1111,4968,1111,4964,1100,4962,1093,4955,1089xm4968,1111l4932,1111,4948,1123,4973,1123,4968,1111xe" filled="true" fillcolor="#ea9595" stroked="false">
              <v:path arrowok="t"/>
              <v:fill type="solid"/>
            </v:shape>
            <v:shape style="position:absolute;left:4613;top:2165;width:419;height:602" coordorigin="4613,2165" coordsize="419,602" path="m4613,2767l4822,2767,4822,2165,5032,2165e" filled="false" stroked="true" strokeweight=".603524pt" strokecolor="#a11c1c">
              <v:path arrowok="t"/>
              <v:stroke dashstyle="solid"/>
            </v:shape>
            <v:rect style="position:absolute;left:7055;top:2960;width:1712;height:434" filled="true" fillcolor="#ea9595" stroked="false">
              <v:fill type="solid"/>
            </v:rect>
            <v:shape style="position:absolute;left:3763;top:5530;width:2969;height:1294" coordorigin="3763,5530" coordsize="2969,1294" path="m4613,2768l4827,2768,4827,3847,7037,3847m4575,2764l4822,2764,4822,3188,7065,3188e" filled="false" stroked="true" strokeweight=".603282pt" strokecolor="#a11c1c">
              <v:path arrowok="t"/>
              <v:stroke dashstyle="solid"/>
            </v:shape>
            <v:rect style="position:absolute;left:7055;top:3599;width:1712;height:436" filled="true" fillcolor="#ea9595" stroked="false">
              <v:fill type="solid"/>
            </v:rect>
            <v:shape style="position:absolute;left:6204;top:3692;width:517;height:1593" coordorigin="6204,3692" coordsize="517,1593" path="m6622,2157l6833,2157,6833,1225,7046,1225m6622,2156l6839,2156,6839,1882,7055,1882m6622,2157l6839,2157,6839,2558,7055,2558e" filled="false" stroked="true" strokeweight=".603282pt" strokecolor="#a11c1c">
              <v:path arrowok="t"/>
              <v:stroke dashstyle="solid"/>
            </v:shape>
            <v:shape style="position:absolute;left:8594;top:3143;width:608;height:571" coordorigin="8595,3144" coordsize="608,571" path="m8629,3647l8621,3647,8609,3653,8599,3663,8595,3675,8595,3688,8600,3700,8610,3710,8623,3715,8636,3714,8648,3709,8658,3699,8661,3690,8643,3690,8614,3672,8629,3647xm8634,3647l8629,3647,8614,3672,8643,3690,8658,3665,8657,3661,8647,3652,8634,3647xm8658,3665l8643,3690,8661,3690,8662,3686,8662,3673,8658,3665xm8670,3647l8634,3647,8647,3652,8657,3661,8658,3665,8670,3647xm9202,3144l8951,3144,8946,3147,8943,3151,8629,3647,8634,3647,8670,3647,8966,3178,8957,3178,8972,3170,9202,3170,9202,3144xm8972,3170l8957,3178,8966,3178,8972,3170xm9202,3170l8972,3170,8966,3178,9202,3178,9202,3170xe" filled="true" fillcolor="#5f221f" stroked="false">
              <v:path arrowok="t"/>
              <v:fill type="solid"/>
            </v:shape>
            <v:shape style="position:absolute;left:5011;top:1940;width:1611;height:432" type="#_x0000_t202" filled="false" stroked="false">
              <v:textbox inset="0,0,0,0">
                <w:txbxContent>
                  <w:p>
                    <w:pPr>
                      <w:spacing w:before="127"/>
                      <w:ind w:left="534" w:right="532" w:firstLine="0"/>
                      <w:jc w:val="center"/>
                      <w:rPr>
                        <w:rFonts w:ascii="Times New Roman"/>
                        <w:sz w:val="16"/>
                      </w:rPr>
                    </w:pPr>
                    <w:r>
                      <w:rPr>
                        <w:rFonts w:ascii="Times New Roman"/>
                        <w:color w:val="FFFFFF"/>
                        <w:w w:val="105"/>
                        <w:sz w:val="16"/>
                      </w:rPr>
                      <w:t>NIRAS</w:t>
                    </w:r>
                  </w:p>
                </w:txbxContent>
              </v:textbox>
              <w10:wrap type="none"/>
            </v:shape>
            <v:shape style="position:absolute;left:7055;top:3599;width:1712;height:436" type="#_x0000_t202" filled="false" stroked="false">
              <v:textbox inset="0,0,0,0">
                <w:txbxContent>
                  <w:p>
                    <w:pPr>
                      <w:spacing w:before="138"/>
                      <w:ind w:left="329" w:right="0" w:firstLine="0"/>
                      <w:jc w:val="left"/>
                      <w:rPr>
                        <w:sz w:val="15"/>
                      </w:rPr>
                    </w:pPr>
                    <w:r>
                      <w:rPr>
                        <w:color w:val="FFFFFF"/>
                        <w:sz w:val="15"/>
                      </w:rPr>
                      <w:t>Vandcenter Syd</w:t>
                    </w:r>
                  </w:p>
                </w:txbxContent>
              </v:textbox>
              <w10:wrap type="none"/>
            </v:shape>
            <v:shape style="position:absolute;left:7055;top:2960;width:1712;height:434" type="#_x0000_t202" filled="false" stroked="false">
              <v:textbox inset="0,0,0,0">
                <w:txbxContent>
                  <w:p>
                    <w:pPr>
                      <w:spacing w:before="137"/>
                      <w:ind w:left="175" w:right="0" w:firstLine="0"/>
                      <w:jc w:val="left"/>
                      <w:rPr>
                        <w:sz w:val="15"/>
                      </w:rPr>
                    </w:pPr>
                    <w:r>
                      <w:rPr>
                        <w:color w:val="FFFFFF"/>
                        <w:sz w:val="15"/>
                      </w:rPr>
                      <w:t>Forsyningsselskab B</w:t>
                    </w:r>
                  </w:p>
                </w:txbxContent>
              </v:textbox>
              <w10:wrap type="none"/>
            </v:shape>
            <v:shape style="position:absolute;left:2964;top:2546;width:1611;height:434" type="#_x0000_t202" filled="false" stroked="false">
              <v:textbox inset="0,0,0,0">
                <w:txbxContent>
                  <w:p>
                    <w:pPr>
                      <w:spacing w:before="133"/>
                      <w:ind w:left="475" w:right="0" w:firstLine="0"/>
                      <w:jc w:val="left"/>
                      <w:rPr>
                        <w:sz w:val="16"/>
                      </w:rPr>
                    </w:pPr>
                    <w:r>
                      <w:rPr>
                        <w:color w:val="FFFFFF"/>
                        <w:w w:val="105"/>
                        <w:sz w:val="16"/>
                      </w:rPr>
                      <w:t>SCALGO</w:t>
                    </w:r>
                  </w:p>
                </w:txbxContent>
              </v:textbox>
              <w10:wrap type="none"/>
            </v:shape>
            <v:shape style="position:absolute;left:7055;top:2340;width:1712;height:434" type="#_x0000_t202" filled="true" fillcolor="#ea9595" stroked="false">
              <v:textbox inset="0,0,0,0">
                <w:txbxContent>
                  <w:p>
                    <w:pPr>
                      <w:spacing w:before="136"/>
                      <w:ind w:left="174" w:right="0" w:firstLine="0"/>
                      <w:jc w:val="left"/>
                      <w:rPr>
                        <w:sz w:val="15"/>
                      </w:rPr>
                    </w:pPr>
                    <w:r>
                      <w:rPr>
                        <w:color w:val="FFFFFF"/>
                        <w:sz w:val="15"/>
                      </w:rPr>
                      <w:t>Forsyningsselskab A</w:t>
                    </w:r>
                  </w:p>
                </w:txbxContent>
              </v:textbox>
              <v:fill type="solid"/>
              <w10:wrap type="none"/>
            </v:shape>
            <v:shape style="position:absolute;left:7055;top:1665;width:1714;height:434" type="#_x0000_t202" filled="true" fillcolor="#df6060" stroked="false">
              <v:textbox inset="0,0,0,0">
                <w:txbxContent>
                  <w:p>
                    <w:pPr>
                      <w:spacing w:before="136"/>
                      <w:ind w:left="446" w:right="0" w:firstLine="0"/>
                      <w:jc w:val="left"/>
                      <w:rPr>
                        <w:sz w:val="15"/>
                      </w:rPr>
                    </w:pPr>
                    <w:r>
                      <w:rPr>
                        <w:color w:val="FFFFFF"/>
                        <w:sz w:val="15"/>
                      </w:rPr>
                      <w:t>Kommune 2</w:t>
                    </w:r>
                  </w:p>
                </w:txbxContent>
              </v:textbox>
              <v:fill type="solid"/>
              <w10:wrap type="none"/>
            </v:shape>
            <v:shape style="position:absolute;left:7055;top:1038;width:1714;height:434" type="#_x0000_t202" filled="true" fillcolor="#df6060" stroked="false">
              <v:textbox inset="0,0,0,0">
                <w:txbxContent>
                  <w:p>
                    <w:pPr>
                      <w:spacing w:before="135"/>
                      <w:ind w:left="456" w:right="0" w:firstLine="0"/>
                      <w:jc w:val="left"/>
                      <w:rPr>
                        <w:sz w:val="15"/>
                      </w:rPr>
                    </w:pPr>
                    <w:r>
                      <w:rPr>
                        <w:color w:val="FFFFFF"/>
                        <w:sz w:val="15"/>
                      </w:rPr>
                      <w:t>Kommune 1</w:t>
                    </w:r>
                  </w:p>
                </w:txbxContent>
              </v:textbox>
              <v:fill type="solid"/>
              <w10:wrap type="none"/>
            </v:shape>
            <v:shape style="position:absolute;left:2001;top:3259;width:1718;height:949" type="#_x0000_t202" filled="true" fillcolor="#a21f1f" stroked="false">
              <v:textbox inset="0,0,0,0">
                <w:txbxContent>
                  <w:p>
                    <w:pPr>
                      <w:numPr>
                        <w:ilvl w:val="0"/>
                        <w:numId w:val="24"/>
                      </w:numPr>
                      <w:tabs>
                        <w:tab w:pos="165" w:val="left" w:leader="none"/>
                      </w:tabs>
                      <w:spacing w:before="108"/>
                      <w:ind w:left="164" w:right="0" w:hanging="117"/>
                      <w:jc w:val="left"/>
                      <w:rPr>
                        <w:i/>
                        <w:sz w:val="15"/>
                      </w:rPr>
                    </w:pPr>
                    <w:r>
                      <w:rPr>
                        <w:i/>
                        <w:color w:val="FFFFFF"/>
                        <w:sz w:val="15"/>
                      </w:rPr>
                      <w:t>Omsætning</w:t>
                    </w:r>
                    <w:r>
                      <w:rPr>
                        <w:i/>
                        <w:color w:val="FFFFFF"/>
                        <w:spacing w:val="-3"/>
                        <w:sz w:val="15"/>
                      </w:rPr>
                      <w:t> </w:t>
                    </w:r>
                    <w:r>
                      <w:rPr>
                        <w:i/>
                        <w:color w:val="FFFFFF"/>
                        <w:sz w:val="15"/>
                      </w:rPr>
                      <w:t>fordoblet</w:t>
                    </w:r>
                  </w:p>
                  <w:p>
                    <w:pPr>
                      <w:numPr>
                        <w:ilvl w:val="0"/>
                        <w:numId w:val="24"/>
                      </w:numPr>
                      <w:tabs>
                        <w:tab w:pos="165" w:val="left" w:leader="none"/>
                      </w:tabs>
                      <w:spacing w:before="7"/>
                      <w:ind w:left="164" w:right="0" w:hanging="117"/>
                      <w:jc w:val="left"/>
                      <w:rPr>
                        <w:i/>
                        <w:sz w:val="15"/>
                      </w:rPr>
                    </w:pPr>
                    <w:r>
                      <w:rPr>
                        <w:i/>
                        <w:color w:val="FFFFFF"/>
                        <w:sz w:val="15"/>
                      </w:rPr>
                      <w:t>Skalerbar</w:t>
                    </w:r>
                    <w:r>
                      <w:rPr>
                        <w:i/>
                        <w:color w:val="FFFFFF"/>
                        <w:spacing w:val="-4"/>
                        <w:sz w:val="15"/>
                      </w:rPr>
                      <w:t> </w:t>
                    </w:r>
                    <w:r>
                      <w:rPr>
                        <w:i/>
                        <w:color w:val="FFFFFF"/>
                        <w:sz w:val="15"/>
                      </w:rPr>
                      <w:t>løsning</w:t>
                    </w:r>
                  </w:p>
                  <w:p>
                    <w:pPr>
                      <w:numPr>
                        <w:ilvl w:val="0"/>
                        <w:numId w:val="24"/>
                      </w:numPr>
                      <w:tabs>
                        <w:tab w:pos="165" w:val="left" w:leader="none"/>
                      </w:tabs>
                      <w:spacing w:line="254" w:lineRule="auto" w:before="7"/>
                      <w:ind w:left="164" w:right="184" w:hanging="117"/>
                      <w:jc w:val="left"/>
                      <w:rPr>
                        <w:i/>
                        <w:sz w:val="15"/>
                      </w:rPr>
                    </w:pPr>
                    <w:r>
                      <w:rPr>
                        <w:i/>
                        <w:color w:val="FFFFFF"/>
                        <w:sz w:val="15"/>
                      </w:rPr>
                      <w:t>Ingen omkostninger </w:t>
                    </w:r>
                    <w:r>
                      <w:rPr>
                        <w:i/>
                        <w:color w:val="FFFFFF"/>
                        <w:sz w:val="15"/>
                      </w:rPr>
                      <w:t>til</w:t>
                    </w:r>
                    <w:r>
                      <w:rPr>
                        <w:i/>
                        <w:color w:val="FFFFFF"/>
                        <w:spacing w:val="-2"/>
                        <w:sz w:val="15"/>
                      </w:rPr>
                      <w:t> </w:t>
                    </w:r>
                    <w:r>
                      <w:rPr>
                        <w:i/>
                        <w:color w:val="FFFFFF"/>
                        <w:sz w:val="15"/>
                      </w:rPr>
                      <w:t>dataindkøb.</w:t>
                    </w:r>
                  </w:p>
                </w:txbxContent>
              </v:textbox>
              <v:fill type="solid"/>
              <w10:wrap type="none"/>
            </v:shape>
            <v:shape style="position:absolute;left:3022;top:689;width:1661;height:953" type="#_x0000_t202" filled="true" fillcolor="#df2f1e" stroked="false">
              <v:textbox inset="0,0,0,0">
                <w:txbxContent>
                  <w:p>
                    <w:pPr>
                      <w:numPr>
                        <w:ilvl w:val="0"/>
                        <w:numId w:val="25"/>
                      </w:numPr>
                      <w:tabs>
                        <w:tab w:pos="166" w:val="left" w:leader="none"/>
                      </w:tabs>
                      <w:spacing w:line="254" w:lineRule="auto" w:before="29"/>
                      <w:ind w:left="165" w:right="215" w:hanging="117"/>
                      <w:jc w:val="left"/>
                      <w:rPr>
                        <w:i/>
                        <w:sz w:val="15"/>
                      </w:rPr>
                    </w:pPr>
                    <w:r>
                      <w:rPr>
                        <w:i/>
                        <w:color w:val="FFFFFF"/>
                        <w:sz w:val="15"/>
                      </w:rPr>
                      <w:t>Større udbredelse i </w:t>
                    </w:r>
                    <w:r>
                      <w:rPr>
                        <w:i/>
                        <w:color w:val="FFFFFF"/>
                        <w:sz w:val="15"/>
                      </w:rPr>
                      <w:t>organisationen</w:t>
                    </w:r>
                  </w:p>
                  <w:p>
                    <w:pPr>
                      <w:numPr>
                        <w:ilvl w:val="0"/>
                        <w:numId w:val="25"/>
                      </w:numPr>
                      <w:tabs>
                        <w:tab w:pos="166" w:val="left" w:leader="none"/>
                      </w:tabs>
                      <w:spacing w:line="171" w:lineRule="exact" w:before="0"/>
                      <w:ind w:left="165" w:right="0" w:hanging="117"/>
                      <w:jc w:val="left"/>
                      <w:rPr>
                        <w:i/>
                        <w:sz w:val="15"/>
                      </w:rPr>
                    </w:pPr>
                    <w:r>
                      <w:rPr>
                        <w:i/>
                        <w:color w:val="FFFFFF"/>
                        <w:sz w:val="15"/>
                      </w:rPr>
                      <w:t>Billigere screeninger</w:t>
                    </w:r>
                  </w:p>
                  <w:p>
                    <w:pPr>
                      <w:numPr>
                        <w:ilvl w:val="0"/>
                        <w:numId w:val="25"/>
                      </w:numPr>
                      <w:tabs>
                        <w:tab w:pos="166" w:val="left" w:leader="none"/>
                      </w:tabs>
                      <w:spacing w:before="7"/>
                      <w:ind w:left="165" w:right="0" w:hanging="117"/>
                      <w:jc w:val="left"/>
                      <w:rPr>
                        <w:i/>
                        <w:sz w:val="15"/>
                      </w:rPr>
                    </w:pPr>
                    <w:r>
                      <w:rPr>
                        <w:i/>
                        <w:color w:val="FFFFFF"/>
                        <w:sz w:val="15"/>
                      </w:rPr>
                      <w:t>Skabelse af mer-</w:t>
                    </w:r>
                  </w:p>
                  <w:p>
                    <w:pPr>
                      <w:spacing w:before="11"/>
                      <w:ind w:left="149" w:right="284" w:firstLine="0"/>
                      <w:jc w:val="center"/>
                      <w:rPr>
                        <w:i/>
                        <w:sz w:val="15"/>
                      </w:rPr>
                    </w:pPr>
                    <w:r>
                      <w:rPr>
                        <w:i/>
                        <w:color w:val="FFFFFF"/>
                        <w:sz w:val="15"/>
                      </w:rPr>
                      <w:t>værdi for kunder.</w:t>
                    </w:r>
                  </w:p>
                </w:txbxContent>
              </v:textbox>
              <v:fill type="solid"/>
              <w10:wrap type="none"/>
            </v:shape>
            <w10:wrap type="none"/>
          </v:group>
        </w:pict>
      </w:r>
      <w:bookmarkStart w:name="_bookmark93" w:id="131"/>
      <w:bookmarkEnd w:id="131"/>
      <w:r>
        <w:rPr/>
      </w:r>
      <w:r>
        <w:rPr>
          <w:i/>
          <w:color w:val="A21F1F"/>
          <w:sz w:val="18"/>
        </w:rPr>
        <w:t>Figur 51: Illustration af case-undersøgelsens værdikæde for de frie geodata i relation til klimasikring</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
        <w:rPr>
          <w:i/>
          <w:sz w:val="13"/>
        </w:rPr>
      </w:pPr>
      <w:r>
        <w:rPr/>
        <w:pict>
          <v:shape style="position:absolute;margin-left:70.900002pt;margin-top:8.975753pt;width:67.25pt;height:30.35pt;mso-position-horizontal-relative:page;mso-position-vertical-relative:paragraph;z-index:9176;mso-wrap-distance-left:0;mso-wrap-distance-right:0" type="#_x0000_t202" filled="true" fillcolor="#520f0f" stroked="false">
            <v:textbox inset="0,0,0,0">
              <w:txbxContent>
                <w:p>
                  <w:pPr>
                    <w:spacing w:before="119"/>
                    <w:ind w:left="378" w:right="0" w:firstLine="0"/>
                    <w:jc w:val="left"/>
                    <w:rPr>
                      <w:b/>
                      <w:sz w:val="16"/>
                    </w:rPr>
                  </w:pPr>
                  <w:r>
                    <w:rPr>
                      <w:b/>
                      <w:color w:val="FFFFFF"/>
                      <w:w w:val="105"/>
                      <w:sz w:val="16"/>
                    </w:rPr>
                    <w:t>De frie</w:t>
                  </w:r>
                </w:p>
                <w:p>
                  <w:pPr>
                    <w:spacing w:before="19"/>
                    <w:ind w:left="336" w:right="0" w:firstLine="0"/>
                    <w:jc w:val="left"/>
                    <w:rPr>
                      <w:b/>
                      <w:sz w:val="16"/>
                    </w:rPr>
                  </w:pPr>
                  <w:r>
                    <w:rPr>
                      <w:b/>
                      <w:color w:val="FFFFFF"/>
                      <w:w w:val="105"/>
                      <w:sz w:val="16"/>
                    </w:rPr>
                    <w:t>geodata</w:t>
                  </w:r>
                </w:p>
              </w:txbxContent>
            </v:textbox>
            <v:fill type="solid"/>
            <w10:wrap type="topAndBottom"/>
          </v:shape>
        </w:pict>
      </w:r>
      <w:r>
        <w:rPr/>
        <w:pict>
          <v:shape style="position:absolute;margin-left:460.767212pt;margin-top:21.72718pt;width:80.05pt;height:47.65pt;mso-position-horizontal-relative:page;mso-position-vertical-relative:paragraph;z-index:9200;mso-wrap-distance-left:0;mso-wrap-distance-right:0" type="#_x0000_t202" filled="true" fillcolor="#ea9595" stroked="false">
            <v:textbox inset="0,0,0,0">
              <w:txbxContent>
                <w:p>
                  <w:pPr>
                    <w:numPr>
                      <w:ilvl w:val="0"/>
                      <w:numId w:val="26"/>
                    </w:numPr>
                    <w:tabs>
                      <w:tab w:pos="167" w:val="left" w:leader="none"/>
                    </w:tabs>
                    <w:spacing w:line="254" w:lineRule="auto" w:before="30"/>
                    <w:ind w:left="166" w:right="363" w:hanging="116"/>
                    <w:jc w:val="left"/>
                    <w:rPr>
                      <w:i/>
                      <w:sz w:val="15"/>
                    </w:rPr>
                  </w:pPr>
                  <w:r>
                    <w:rPr>
                      <w:i/>
                      <w:color w:val="FFFFFF"/>
                      <w:spacing w:val="-1"/>
                      <w:sz w:val="15"/>
                    </w:rPr>
                    <w:t>Tidsbesparende </w:t>
                  </w:r>
                  <w:r>
                    <w:rPr>
                      <w:i/>
                      <w:color w:val="FFFFFF"/>
                      <w:sz w:val="15"/>
                    </w:rPr>
                    <w:t>screeninger</w:t>
                  </w:r>
                </w:p>
                <w:p>
                  <w:pPr>
                    <w:numPr>
                      <w:ilvl w:val="0"/>
                      <w:numId w:val="26"/>
                    </w:numPr>
                    <w:tabs>
                      <w:tab w:pos="167" w:val="left" w:leader="none"/>
                    </w:tabs>
                    <w:spacing w:line="254" w:lineRule="auto" w:before="0"/>
                    <w:ind w:left="166" w:right="55" w:hanging="116"/>
                    <w:jc w:val="left"/>
                    <w:rPr>
                      <w:i/>
                      <w:sz w:val="15"/>
                    </w:rPr>
                  </w:pPr>
                  <w:r>
                    <w:rPr>
                      <w:i/>
                      <w:color w:val="FFFFFF"/>
                      <w:sz w:val="15"/>
                    </w:rPr>
                    <w:t>Færre ressourcer på </w:t>
                  </w:r>
                  <w:r>
                    <w:rPr>
                      <w:i/>
                      <w:color w:val="FFFFFF"/>
                      <w:sz w:val="15"/>
                    </w:rPr>
                    <w:t>vedligehold af datainfrastruktur.</w:t>
                  </w:r>
                </w:p>
              </w:txbxContent>
            </v:textbox>
            <v:fill type="solid"/>
            <w10:wrap type="topAndBottom"/>
          </v:shape>
        </w:pict>
      </w:r>
    </w:p>
    <w:p>
      <w:pPr>
        <w:pStyle w:val="BodyText"/>
        <w:rPr>
          <w:i/>
        </w:rPr>
      </w:pPr>
    </w:p>
    <w:p>
      <w:pPr>
        <w:pStyle w:val="BodyText"/>
        <w:rPr>
          <w:i/>
        </w:rPr>
      </w:pPr>
    </w:p>
    <w:p>
      <w:pPr>
        <w:pStyle w:val="BodyText"/>
        <w:rPr>
          <w:i/>
          <w:sz w:val="17"/>
        </w:rPr>
      </w:pPr>
      <w:r>
        <w:rPr/>
        <w:pict>
          <v:shape style="position:absolute;margin-left:145.189178pt;margin-top:12.981957pt;width:88pt;height:15.4pt;mso-position-horizontal-relative:page;mso-position-vertical-relative:paragraph;z-index:9224;mso-wrap-distance-left:0;mso-wrap-distance-right:0" coordorigin="2904,260" coordsize="1760,308" path="m4663,260l4661,319,4656,368,4648,401,4638,413,3809,413,3799,425,3791,458,3786,507,3784,567,3782,507,3776,458,3768,425,3758,413,2929,413,2919,401,2911,368,2906,319,2904,260e" filled="false" stroked="true" strokeweight=".602629pt" strokecolor="#a21f1f">
            <v:path arrowok="t"/>
            <v:stroke dashstyle="solid"/>
            <w10:wrap type="topAndBottom"/>
          </v:shape>
        </w:pict>
      </w:r>
      <w:r>
        <w:rPr/>
        <w:pict>
          <v:group style="position:absolute;margin-left:239.611603pt;margin-top:11.676332pt;width:201.05pt;height:17pt;mso-position-horizontal-relative:page;mso-position-vertical-relative:paragraph;z-index:9248;mso-wrap-distance-left:0;mso-wrap-distance-right:0" coordorigin="4792,234" coordsize="4021,340">
            <v:shape style="position:absolute;left:4798;top:239;width:2028;height:328" coordorigin="4798,240" coordsize="2028,328" path="m6826,240l6823,303,6818,355,6809,390,6798,403,5839,403,5829,416,5820,451,5814,503,5812,567,5810,503,5804,451,5795,416,5785,403,4826,403,4815,390,4806,355,4800,303,4798,240e" filled="false" stroked="true" strokeweight=".602623pt" strokecolor="#a21f1f">
              <v:path arrowok="t"/>
              <v:stroke dashstyle="solid"/>
            </v:shape>
            <v:shape style="position:absolute;left:6869;top:261;width:1937;height:284" coordorigin="6870,262" coordsize="1937,284" path="m8807,262l8805,317,8800,362,8792,392,8783,403,7862,403,7853,414,7845,445,7840,490,7838,545,7836,490,7831,445,7824,414,7815,403,6894,403,6884,392,6877,362,6872,317,6870,262e" filled="false" stroked="true" strokeweight=".602617pt" strokecolor="#a21f1f">
              <v:path arrowok="t"/>
              <v:stroke dashstyle="solid"/>
            </v:shape>
            <w10:wrap type="topAndBottom"/>
          </v:group>
        </w:pict>
      </w:r>
    </w:p>
    <w:p>
      <w:pPr>
        <w:tabs>
          <w:tab w:pos="4258" w:val="left" w:leader="none"/>
          <w:tab w:pos="6174" w:val="left" w:leader="none"/>
        </w:tabs>
        <w:spacing w:before="21"/>
        <w:ind w:left="2189" w:right="0" w:firstLine="0"/>
        <w:jc w:val="left"/>
        <w:rPr>
          <w:b/>
          <w:i/>
          <w:sz w:val="15"/>
        </w:rPr>
      </w:pPr>
      <w:r>
        <w:rPr>
          <w:b/>
          <w:i/>
          <w:position w:val="-3"/>
          <w:sz w:val="15"/>
        </w:rPr>
        <w:t>1.-leds-bruger</w:t>
        <w:tab/>
      </w:r>
      <w:r>
        <w:rPr>
          <w:b/>
          <w:i/>
          <w:sz w:val="15"/>
        </w:rPr>
        <w:t>Mellemled</w:t>
        <w:tab/>
        <w:t>Slutbrugere</w:t>
      </w:r>
    </w:p>
    <w:p>
      <w:pPr>
        <w:pStyle w:val="BodyText"/>
        <w:rPr>
          <w:b/>
          <w:i/>
        </w:rPr>
      </w:pPr>
    </w:p>
    <w:p>
      <w:pPr>
        <w:pStyle w:val="BodyText"/>
        <w:spacing w:before="5"/>
        <w:rPr>
          <w:b/>
          <w:i/>
          <w:sz w:val="23"/>
        </w:rPr>
      </w:pPr>
    </w:p>
    <w:p>
      <w:pPr>
        <w:pStyle w:val="BodyText"/>
        <w:spacing w:line="360" w:lineRule="auto"/>
        <w:ind w:left="278" w:right="2088"/>
      </w:pPr>
      <w:r>
        <w:rPr/>
        <w:t>Scalgo optræder i case-undersøgelsen som første-leds-anvender, idet de er en aktiv anvender af Kortforsyningen, hvorfra de henter en række af de frie geodata, herunder;</w:t>
      </w:r>
    </w:p>
    <w:p>
      <w:pPr>
        <w:pStyle w:val="BodyText"/>
        <w:rPr>
          <w:sz w:val="21"/>
        </w:rPr>
      </w:pPr>
    </w:p>
    <w:p>
      <w:pPr>
        <w:pStyle w:val="ListParagraph"/>
        <w:numPr>
          <w:ilvl w:val="2"/>
          <w:numId w:val="23"/>
        </w:numPr>
        <w:tabs>
          <w:tab w:pos="998" w:val="left" w:leader="none"/>
          <w:tab w:pos="999" w:val="left" w:leader="none"/>
        </w:tabs>
        <w:spacing w:line="240" w:lineRule="auto" w:before="0" w:after="0"/>
        <w:ind w:left="998" w:right="0" w:hanging="360"/>
        <w:jc w:val="left"/>
        <w:rPr>
          <w:sz w:val="20"/>
        </w:rPr>
      </w:pPr>
      <w:r>
        <w:rPr>
          <w:sz w:val="20"/>
        </w:rPr>
        <w:t>Danmarks</w:t>
      </w:r>
      <w:r>
        <w:rPr>
          <w:spacing w:val="-2"/>
          <w:sz w:val="20"/>
        </w:rPr>
        <w:t> </w:t>
      </w:r>
      <w:r>
        <w:rPr>
          <w:sz w:val="20"/>
        </w:rPr>
        <w:t>Højdemodel</w:t>
      </w:r>
    </w:p>
    <w:p>
      <w:pPr>
        <w:spacing w:after="0" w:line="240" w:lineRule="auto"/>
        <w:jc w:val="left"/>
        <w:rPr>
          <w:sz w:val="20"/>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2"/>
          <w:numId w:val="23"/>
        </w:numPr>
        <w:tabs>
          <w:tab w:pos="998" w:val="left" w:leader="none"/>
          <w:tab w:pos="999" w:val="left" w:leader="none"/>
        </w:tabs>
        <w:spacing w:line="201" w:lineRule="exact" w:before="0" w:after="0"/>
        <w:ind w:left="998" w:right="0" w:hanging="360"/>
        <w:jc w:val="left"/>
        <w:rPr>
          <w:sz w:val="20"/>
        </w:rPr>
      </w:pPr>
      <w:r>
        <w:rPr>
          <w:sz w:val="20"/>
        </w:rPr>
        <w:t>GeoDanmark</w:t>
      </w:r>
    </w:p>
    <w:p>
      <w:pPr>
        <w:pStyle w:val="ListParagraph"/>
        <w:numPr>
          <w:ilvl w:val="2"/>
          <w:numId w:val="23"/>
        </w:numPr>
        <w:tabs>
          <w:tab w:pos="998" w:val="left" w:leader="none"/>
          <w:tab w:pos="999" w:val="left" w:leader="none"/>
        </w:tabs>
        <w:spacing w:line="240" w:lineRule="auto" w:before="115" w:after="0"/>
        <w:ind w:left="998" w:right="0" w:hanging="360"/>
        <w:jc w:val="left"/>
        <w:rPr>
          <w:sz w:val="20"/>
        </w:rPr>
      </w:pPr>
      <w:r>
        <w:rPr>
          <w:sz w:val="20"/>
        </w:rPr>
        <w:t>Ortofoto.</w:t>
      </w:r>
    </w:p>
    <w:p>
      <w:pPr>
        <w:pStyle w:val="BodyText"/>
        <w:rPr>
          <w:sz w:val="31"/>
        </w:rPr>
      </w:pPr>
    </w:p>
    <w:p>
      <w:pPr>
        <w:spacing w:before="0"/>
        <w:ind w:left="278" w:right="1458" w:firstLine="0"/>
        <w:jc w:val="left"/>
        <w:rPr>
          <w:sz w:val="18"/>
        </w:rPr>
      </w:pPr>
      <w:r>
        <w:rPr/>
        <w:drawing>
          <wp:anchor distT="0" distB="0" distL="0" distR="0" allowOverlap="1" layoutInCell="1" locked="0" behindDoc="0" simplePos="0" relativeHeight="440">
            <wp:simplePos x="0" y="0"/>
            <wp:positionH relativeFrom="page">
              <wp:posOffset>900430</wp:posOffset>
            </wp:positionH>
            <wp:positionV relativeFrom="paragraph">
              <wp:posOffset>336841</wp:posOffset>
            </wp:positionV>
            <wp:extent cx="5988979" cy="2891790"/>
            <wp:effectExtent l="0" t="0" r="0" b="0"/>
            <wp:wrapTopAndBottom/>
            <wp:docPr id="5" name="image27.jpeg" descr=""/>
            <wp:cNvGraphicFramePr>
              <a:graphicFrameLocks noChangeAspect="1"/>
            </wp:cNvGraphicFramePr>
            <a:graphic>
              <a:graphicData uri="http://schemas.openxmlformats.org/drawingml/2006/picture">
                <pic:pic>
                  <pic:nvPicPr>
                    <pic:cNvPr id="6" name="image27.jpeg"/>
                    <pic:cNvPicPr/>
                  </pic:nvPicPr>
                  <pic:blipFill>
                    <a:blip r:embed="rId38" cstate="print"/>
                    <a:stretch>
                      <a:fillRect/>
                    </a:stretch>
                  </pic:blipFill>
                  <pic:spPr>
                    <a:xfrm>
                      <a:off x="0" y="0"/>
                      <a:ext cx="5988979" cy="2891790"/>
                    </a:xfrm>
                    <a:prstGeom prst="rect">
                      <a:avLst/>
                    </a:prstGeom>
                  </pic:spPr>
                </pic:pic>
              </a:graphicData>
            </a:graphic>
          </wp:anchor>
        </w:drawing>
      </w:r>
      <w:r>
        <w:rPr>
          <w:i/>
          <w:color w:val="A21F1F"/>
          <w:sz w:val="18"/>
        </w:rPr>
        <w:t>Figur 52</w:t>
      </w:r>
      <w:r>
        <w:rPr>
          <w:color w:val="A21F1F"/>
          <w:sz w:val="18"/>
        </w:rPr>
        <w:t>: Eksempel på oplandet (i grønt) i et villakvarter, hvor regnvand ledes ned i et nyanlagt bassin og derefter videre ud til et større bassin nedstrøms</w:t>
      </w:r>
    </w:p>
    <w:p>
      <w:pPr>
        <w:spacing w:before="0"/>
        <w:ind w:left="278" w:right="0" w:firstLine="0"/>
        <w:jc w:val="left"/>
        <w:rPr>
          <w:i/>
          <w:sz w:val="18"/>
        </w:rPr>
      </w:pPr>
      <w:r>
        <w:rPr>
          <w:i/>
          <w:color w:val="A21F1F"/>
          <w:sz w:val="18"/>
        </w:rPr>
        <w:t>Kilde</w:t>
      </w:r>
      <w:hyperlink r:id="rId39">
        <w:r>
          <w:rPr>
            <w:i/>
            <w:color w:val="A21F1F"/>
            <w:sz w:val="18"/>
          </w:rPr>
          <w:t>: http://scalgo.com/live-flood-risk.html</w:t>
        </w:r>
      </w:hyperlink>
    </w:p>
    <w:p>
      <w:pPr>
        <w:pStyle w:val="BodyText"/>
        <w:spacing w:before="4"/>
        <w:rPr>
          <w:i/>
          <w:sz w:val="28"/>
        </w:rPr>
      </w:pPr>
    </w:p>
    <w:p>
      <w:pPr>
        <w:pStyle w:val="Heading3"/>
        <w:numPr>
          <w:ilvl w:val="2"/>
          <w:numId w:val="27"/>
        </w:numPr>
        <w:tabs>
          <w:tab w:pos="999" w:val="left" w:leader="none"/>
        </w:tabs>
        <w:spacing w:line="240" w:lineRule="auto" w:before="0" w:after="0"/>
        <w:ind w:left="998" w:right="0" w:hanging="720"/>
        <w:jc w:val="left"/>
        <w:rPr>
          <w:i/>
        </w:rPr>
      </w:pPr>
      <w:bookmarkStart w:name="_bookmark94" w:id="132"/>
      <w:bookmarkEnd w:id="132"/>
      <w:r>
        <w:rPr>
          <w:i/>
          <w:color w:val="A21F1F"/>
        </w:rPr>
        <w:t>M</w:t>
      </w:r>
      <w:r>
        <w:rPr>
          <w:i/>
          <w:color w:val="A21F1F"/>
        </w:rPr>
        <w:t>arkedseffekter</w:t>
      </w:r>
    </w:p>
    <w:p>
      <w:pPr>
        <w:pStyle w:val="BodyText"/>
        <w:spacing w:line="360" w:lineRule="auto" w:before="241"/>
        <w:ind w:left="278" w:right="1124"/>
      </w:pPr>
      <w:r>
        <w:rPr/>
        <w:t>Scalgos forretningsmodel er i høj grad afhængig af adgang til de frie geodata, hvor især Danmarks Højdemodel er en kritisk komponent i Scalgo Live. Adgangen til de frie geodata har betydet, at Scalgo som en relativt lille start-up-virksomhed i deres opstartsfase har kunnet fokusere på at udvikle løsningen og udarbejde en robust forretningsmodel fremfor at investere i dataindkøb. Det har medvirket til, at virksomhedens omsætning er fordoblet siden 2012 og vokset til syv medarbejdere, der alle er beskæftiget med at videreudvikle løsningen og tilbyde rådgivningsydelser i tilknytning hertil.</w:t>
      </w:r>
    </w:p>
    <w:p>
      <w:pPr>
        <w:pStyle w:val="BodyText"/>
        <w:spacing w:before="3"/>
        <w:rPr>
          <w:sz w:val="21"/>
        </w:rPr>
      </w:pPr>
    </w:p>
    <w:p>
      <w:pPr>
        <w:pStyle w:val="BodyText"/>
        <w:spacing w:line="360" w:lineRule="auto"/>
        <w:ind w:left="278" w:right="1035"/>
      </w:pPr>
      <w:r>
        <w:rPr/>
        <w:t>Scalgo har allerede opbygget et solidt aftryk på markedet og har således hovedparten af de rådgivende ingeniørfirmaer,</w:t>
      </w:r>
      <w:r>
        <w:rPr>
          <w:spacing w:val="-5"/>
        </w:rPr>
        <w:t> </w:t>
      </w:r>
      <w:r>
        <w:rPr/>
        <w:t>såsom</w:t>
      </w:r>
      <w:r>
        <w:rPr>
          <w:spacing w:val="-5"/>
        </w:rPr>
        <w:t> </w:t>
      </w:r>
      <w:r>
        <w:rPr/>
        <w:t>Niras,</w:t>
      </w:r>
      <w:r>
        <w:rPr>
          <w:spacing w:val="-5"/>
        </w:rPr>
        <w:t> </w:t>
      </w:r>
      <w:r>
        <w:rPr/>
        <w:t>Cowi,</w:t>
      </w:r>
      <w:r>
        <w:rPr>
          <w:spacing w:val="-3"/>
        </w:rPr>
        <w:t> </w:t>
      </w:r>
      <w:r>
        <w:rPr/>
        <w:t>Rambøll</w:t>
      </w:r>
      <w:r>
        <w:rPr>
          <w:spacing w:val="-4"/>
        </w:rPr>
        <w:t> </w:t>
      </w:r>
      <w:r>
        <w:rPr/>
        <w:t>og</w:t>
      </w:r>
      <w:r>
        <w:rPr>
          <w:spacing w:val="-1"/>
        </w:rPr>
        <w:t> </w:t>
      </w:r>
      <w:r>
        <w:rPr/>
        <w:t>Sweco,</w:t>
      </w:r>
      <w:r>
        <w:rPr>
          <w:spacing w:val="-6"/>
        </w:rPr>
        <w:t> </w:t>
      </w:r>
      <w:r>
        <w:rPr/>
        <w:t>som</w:t>
      </w:r>
      <w:r>
        <w:rPr>
          <w:spacing w:val="-3"/>
        </w:rPr>
        <w:t> </w:t>
      </w:r>
      <w:r>
        <w:rPr/>
        <w:t>kunder,</w:t>
      </w:r>
      <w:r>
        <w:rPr>
          <w:spacing w:val="-5"/>
        </w:rPr>
        <w:t> </w:t>
      </w:r>
      <w:r>
        <w:rPr/>
        <w:t>foruden</w:t>
      </w:r>
      <w:r>
        <w:rPr>
          <w:spacing w:val="-3"/>
        </w:rPr>
        <w:t> </w:t>
      </w:r>
      <w:r>
        <w:rPr/>
        <w:t>en</w:t>
      </w:r>
      <w:r>
        <w:rPr>
          <w:spacing w:val="-4"/>
        </w:rPr>
        <w:t> </w:t>
      </w:r>
      <w:r>
        <w:rPr/>
        <w:t>række</w:t>
      </w:r>
      <w:r>
        <w:rPr>
          <w:spacing w:val="-5"/>
        </w:rPr>
        <w:t> </w:t>
      </w:r>
      <w:r>
        <w:rPr/>
        <w:t>forsyningsselskaber og kommuner. En del af forklaringen på udbredelsen i markedet er, at Scalgo har formået at nedbryde den kompetencemæssige barriere, som deres type af løsninger ofte er begrænset af, idet de traditionelt kræver dyb faglig indsigt at anvende og dermed er svært tilgængelige. Scalgo Live er en cloud-baseret løsning med en webbaseret brugergrænseflade, der indeholder en overskuelig mængde værktøjer. Det betyder, at løsningen kan nå bredere ud i kommunernes forvaltninger såvel som i rådgivernes øvrige kontorer, hvorved der er en større anvenderkreds end for traditionelle specialistapplikationer, som eksempelvis desktop-GIS.</w:t>
      </w:r>
    </w:p>
    <w:p>
      <w:pPr>
        <w:pStyle w:val="BodyText"/>
        <w:spacing w:before="2"/>
        <w:rPr>
          <w:sz w:val="21"/>
        </w:rPr>
      </w:pPr>
    </w:p>
    <w:p>
      <w:pPr>
        <w:pStyle w:val="BodyText"/>
        <w:spacing w:line="360" w:lineRule="auto"/>
        <w:ind w:left="278" w:right="1157"/>
      </w:pPr>
      <w:r>
        <w:rPr/>
        <w:t>Frisættelsen af geodata banede vejen for, at Scalgo kunne udvikle et dataanalyseværktøj, hvor data er tæt integreret i den samlede løsning, og som kan distribueres til kunderne i form af software-as-a-service. Det medfører, at løsningen er skalerbar, idet hverken Scalgo eller deres kunder har behov for at foretage</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særskilte investeringer i indkøb af geodata for at komme i gang, og Scalgo har således fået mulighed for at</w:t>
      </w:r>
    </w:p>
    <w:p>
      <w:pPr>
        <w:pStyle w:val="BodyText"/>
        <w:spacing w:before="114"/>
        <w:ind w:left="278"/>
      </w:pPr>
      <w:r>
        <w:rPr/>
        <w:t>inkludere data for hele Danmark.</w:t>
      </w:r>
    </w:p>
    <w:p>
      <w:pPr>
        <w:pStyle w:val="BodyText"/>
        <w:spacing w:before="1"/>
        <w:rPr>
          <w:sz w:val="31"/>
        </w:rPr>
      </w:pPr>
    </w:p>
    <w:p>
      <w:pPr>
        <w:pStyle w:val="BodyText"/>
        <w:spacing w:line="360" w:lineRule="auto"/>
        <w:ind w:left="278" w:right="1166"/>
      </w:pPr>
      <w:r>
        <w:rPr/>
        <w:t>Værdien i Scalgo Live ligger i, at løsningen muliggør, at de frie geodata importeres, organiseres og analyseres på forhånd, så data gøres let tilgængelige for slutbrugerne og giver nogle helt nye anvendelsesmuligheder. Brugerne skal således ikke bekymre sig om, hvem der er den bagvedliggende dataejer, eller hvordan data skal importeres, men kan i stedet koncentrere sig om den faglige</w:t>
      </w:r>
    </w:p>
    <w:p>
      <w:pPr>
        <w:pStyle w:val="BodyText"/>
        <w:spacing w:line="360" w:lineRule="auto"/>
        <w:ind w:left="278" w:right="1120"/>
      </w:pPr>
      <w:r>
        <w:rPr/>
        <w:t>opgaveløsning. Tilsvarende har den teknologiske udvikling betydet, at løsningen ikke længere er en ”tung” desktop-applikation, der skal downloades og installeres lokalt hos den enkelte slutbruger. I stedet er løsningen nu cloud-baseret og distribueres i form af en online-løsning, der igen har medført, at kunderne køber sig adgang i form af et årligt abonnement frem for at indkøbe desktop-licenser.</w:t>
      </w:r>
    </w:p>
    <w:p>
      <w:pPr>
        <w:pStyle w:val="BodyText"/>
        <w:rPr>
          <w:sz w:val="19"/>
        </w:rPr>
      </w:pPr>
      <w:r>
        <w:rPr/>
        <w:pict>
          <v:shape style="position:absolute;margin-left:117.739998pt;margin-top:12.036079pt;width:385.65pt;height:54.05pt;mso-position-horizontal-relative:page;mso-position-vertical-relative:paragraph;z-index:9584;mso-wrap-distance-left:0;mso-wrap-distance-right:0" type="#_x0000_t202" filled="true" fillcolor="#f1f1f1" stroked="false">
            <v:textbox inset="0,0,0,0">
              <w:txbxContent>
                <w:p>
                  <w:pPr>
                    <w:pStyle w:val="BodyText"/>
                  </w:pPr>
                </w:p>
                <w:p>
                  <w:pPr>
                    <w:spacing w:line="360" w:lineRule="auto" w:before="0"/>
                    <w:ind w:left="225" w:right="1096" w:firstLine="0"/>
                    <w:jc w:val="left"/>
                    <w:rPr>
                      <w:sz w:val="20"/>
                    </w:rPr>
                  </w:pPr>
                  <w:r>
                    <w:rPr>
                      <w:i/>
                      <w:sz w:val="20"/>
                    </w:rPr>
                    <w:t>” Den egentlige værdi ligger i de nye anvendelsesmuligheder” – </w:t>
                  </w:r>
                  <w:r>
                    <w:rPr>
                      <w:sz w:val="20"/>
                    </w:rPr>
                    <w:t>Morten Revsbæk, CEO, Scalgo</w:t>
                  </w:r>
                </w:p>
              </w:txbxContent>
            </v:textbox>
            <v:fill type="solid"/>
            <w10:wrap type="topAndBottom"/>
          </v:shape>
        </w:pict>
      </w:r>
    </w:p>
    <w:p>
      <w:pPr>
        <w:pStyle w:val="BodyText"/>
        <w:spacing w:before="9"/>
        <w:rPr>
          <w:sz w:val="19"/>
        </w:rPr>
      </w:pPr>
    </w:p>
    <w:p>
      <w:pPr>
        <w:pStyle w:val="BodyText"/>
        <w:spacing w:line="360" w:lineRule="auto" w:before="100"/>
        <w:ind w:left="278" w:right="1154"/>
      </w:pPr>
      <w:r>
        <w:rPr/>
        <w:t>Fremadrettet vurderer Scalgo, at der fortsat er et større omsætningspotentiale på det danske marked, og virksomheden har en ambition om i løbet af de kommende år at bevæge sig ind i andre brancher, som eksempelvis bygge- og anlægssektoren. Tilsvarende vurderer Scalgo, at der er et stort markedspotentiale for deres løsning i en række øvrige, europæiske lande, såsom Sverige, Norge, England og Holland, hvor en række af deres eksisterende kunder (rådgivende ingeniørvirksomheder) allerede er etableret og har en kundebaser. Løsningen er endvidere allerede forberedt til at kunne blive anvendt udenfor Danmark.</w:t>
      </w:r>
    </w:p>
    <w:p>
      <w:pPr>
        <w:pStyle w:val="BodyText"/>
        <w:rPr>
          <w:sz w:val="21"/>
        </w:rPr>
      </w:pPr>
    </w:p>
    <w:p>
      <w:pPr>
        <w:pStyle w:val="BodyText"/>
        <w:spacing w:line="360" w:lineRule="auto" w:before="1"/>
        <w:ind w:left="278" w:right="1166"/>
      </w:pPr>
      <w:r>
        <w:rPr/>
        <w:t>Niras er én af de store rådgivende ingeniørvirksomheder, der anvender Scalgo Live i deres rådgivningsydelser til forsyningsvirksomheder og kommuner. Ifølge Niras betyder anvendelsen af produktet i deres rådgivning, at virksomheden arbejder mere tværfagligt med klimasikring, hvilket igen åbner nogle helt nye markeder og giver et større kundegrundlag. Eksempelvis er det billigt at foretage indledende screeninger med Scalgo Live, hvilket betyder, at Niras kan komme tidligere ind i processen og give merværdi for sine kunder på et tidligt stadie i arbejdet med klimasikring.</w:t>
      </w:r>
    </w:p>
    <w:p>
      <w:pPr>
        <w:pStyle w:val="BodyText"/>
        <w:spacing w:before="10"/>
      </w:pPr>
    </w:p>
    <w:p>
      <w:pPr>
        <w:pStyle w:val="Heading3"/>
        <w:numPr>
          <w:ilvl w:val="2"/>
          <w:numId w:val="27"/>
        </w:numPr>
        <w:tabs>
          <w:tab w:pos="999" w:val="left" w:leader="none"/>
        </w:tabs>
        <w:spacing w:line="240" w:lineRule="auto" w:before="0" w:after="0"/>
        <w:ind w:left="998" w:right="0" w:hanging="720"/>
        <w:jc w:val="left"/>
        <w:rPr>
          <w:i/>
        </w:rPr>
      </w:pPr>
      <w:bookmarkStart w:name="_bookmark95" w:id="133"/>
      <w:bookmarkEnd w:id="133"/>
      <w:r>
        <w:rPr>
          <w:i w:val="0"/>
        </w:rPr>
      </w:r>
      <w:bookmarkStart w:name="_bookmark95" w:id="134"/>
      <w:bookmarkEnd w:id="134"/>
      <w:r>
        <w:rPr>
          <w:i/>
          <w:color w:val="A21F1F"/>
        </w:rPr>
        <w:t>Ef</w:t>
      </w:r>
      <w:r>
        <w:rPr>
          <w:i/>
          <w:color w:val="A21F1F"/>
        </w:rPr>
        <w:t>fektiviseringseffekter</w:t>
      </w:r>
    </w:p>
    <w:p>
      <w:pPr>
        <w:pStyle w:val="BodyText"/>
        <w:spacing w:line="360" w:lineRule="auto" w:before="241"/>
        <w:ind w:left="278" w:right="1110"/>
      </w:pPr>
      <w:r>
        <w:rPr/>
        <w:t>Før frisættelsen af geodata var Scalgo nødsaget til at have en kommerciel samarbejdsrelation til forskellige dataejere og -leverandører, hvorfra de måtte indkøbe det nødvendige datagrundlag. Ud over at kræve investeringer i data betød det også, at Scalgo måtte bruge ressourcer på løbende at afdække behovet for data og forhandle med de respektive dataleverandører.</w:t>
      </w:r>
    </w:p>
    <w:p>
      <w:pPr>
        <w:pStyle w:val="BodyText"/>
        <w:spacing w:before="4"/>
        <w:rPr>
          <w:sz w:val="21"/>
        </w:rPr>
      </w:pPr>
    </w:p>
    <w:p>
      <w:pPr>
        <w:pStyle w:val="BodyText"/>
        <w:spacing w:line="360" w:lineRule="auto"/>
        <w:ind w:left="278" w:right="1149"/>
      </w:pPr>
      <w:r>
        <w:rPr/>
        <w:t>Niras oplever, at anvendelsen af Scalgo Live giver store tidsbesparelser i forhold til at screene og afprøve flere forskellige scenarier tidligt i processen – en mulighed som tidligere anvendte værktøjer ikke havde i samme omfang. Niras vurderer, at ca. 100 medarbejdere arbejder med Scalgo Live og de frie geodata, og anvendelsen af Scalgo Live er således bredt meget ud i organisationen, idet det er blevet lettere for ”ikke- specialister” at arbejde med klimasikring. Det medfører også, at Niras hurtigere kan komme i gang med at</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beregne og konsekvensvurdere de(t) mest realistiske scenarie(r), ligesom de kan være mere præcise i deres</w:t>
      </w:r>
    </w:p>
    <w:p>
      <w:pPr>
        <w:pStyle w:val="BodyText"/>
        <w:spacing w:line="360" w:lineRule="auto" w:before="114"/>
        <w:ind w:left="278" w:right="1398"/>
      </w:pPr>
      <w:r>
        <w:rPr/>
        <w:t>rådgivningsydelser. Niras påpeger også, at sammenlignelige rådgivningsydelser ved brug af Scalgo Live enten kan leveres billigere end før, eller gør det muligt for Niras at gå længere i deres rådgivning end tidligere for det samme budget, fx ved at udarbejde konkrete løsningsforslag.</w:t>
      </w:r>
    </w:p>
    <w:p>
      <w:pPr>
        <w:pStyle w:val="BodyText"/>
        <w:spacing w:before="1"/>
        <w:rPr>
          <w:sz w:val="21"/>
        </w:rPr>
      </w:pPr>
    </w:p>
    <w:p>
      <w:pPr>
        <w:pStyle w:val="BodyText"/>
        <w:spacing w:line="360" w:lineRule="auto"/>
        <w:ind w:left="278" w:right="1324"/>
      </w:pPr>
      <w:r>
        <w:rPr/>
        <w:t>Hos forsyningsselskabet Vandcenter Syd indgår de frie geodata i rigtigt mange forretningsprocesser, og selskabet ville ikke kunne fungere uden adgang til de frie geodata. Selskabet oplever en omkostningsreduktion i og med, at selskabet ikke længere skal bruge ressourcer på at opbygge og vedligeholde lokale systemer og geodatabaser, men i stedet får én samlet løsning i Scalgo Live, som også indeholder de relevante data.</w:t>
      </w:r>
    </w:p>
    <w:p>
      <w:pPr>
        <w:pStyle w:val="BodyText"/>
        <w:rPr>
          <w:sz w:val="19"/>
        </w:rPr>
      </w:pPr>
      <w:r>
        <w:rPr/>
        <w:pict>
          <v:shape style="position:absolute;margin-left:117.739998pt;margin-top:12.039536pt;width:385.65pt;height:54.05pt;mso-position-horizontal-relative:page;mso-position-vertical-relative:paragraph;z-index:9632;mso-wrap-distance-left:0;mso-wrap-distance-right:0" type="#_x0000_t202" filled="true" fillcolor="#f1f1f1" stroked="false">
            <v:textbox inset="0,0,0,0">
              <w:txbxContent>
                <w:p>
                  <w:pPr>
                    <w:pStyle w:val="BodyText"/>
                    <w:spacing w:before="11"/>
                    <w:rPr>
                      <w:sz w:val="19"/>
                    </w:rPr>
                  </w:pPr>
                </w:p>
                <w:p>
                  <w:pPr>
                    <w:spacing w:line="360" w:lineRule="auto" w:before="0"/>
                    <w:ind w:left="225" w:right="210" w:firstLine="0"/>
                    <w:jc w:val="left"/>
                    <w:rPr>
                      <w:sz w:val="20"/>
                    </w:rPr>
                  </w:pPr>
                  <w:r>
                    <w:rPr>
                      <w:i/>
                      <w:sz w:val="20"/>
                    </w:rPr>
                    <w:t>”Det er min mission med at være her, at jeg kan effektivisere arbejdsprocesser </w:t>
                  </w:r>
                  <w:r>
                    <w:rPr>
                      <w:i/>
                      <w:sz w:val="20"/>
                    </w:rPr>
                    <w:t>ved hjælp af geodata” - </w:t>
                  </w:r>
                  <w:r>
                    <w:rPr>
                      <w:sz w:val="20"/>
                    </w:rPr>
                    <w:t>Thomas Møller, GIS-chef, Vandcenter Syd</w:t>
                  </w:r>
                </w:p>
              </w:txbxContent>
            </v:textbox>
            <v:fill type="solid"/>
            <w10:wrap type="topAndBottom"/>
          </v:shape>
        </w:pict>
      </w:r>
    </w:p>
    <w:p>
      <w:pPr>
        <w:pStyle w:val="BodyText"/>
        <w:spacing w:before="9"/>
        <w:rPr>
          <w:sz w:val="19"/>
        </w:rPr>
      </w:pPr>
    </w:p>
    <w:p>
      <w:pPr>
        <w:pStyle w:val="BodyText"/>
        <w:spacing w:line="360" w:lineRule="auto" w:before="100"/>
        <w:ind w:left="278" w:right="1166"/>
      </w:pPr>
      <w:r>
        <w:rPr/>
        <w:t>Det er ikke kun i forbindelse med klimasikringsarbejdet, at selskabet har opnået effektiviseringsgevinster ved hjælp af de frie geodata. Eksempelvis anvendes der færre ressourcer i forbindelse med feltarbejde, såsom måleraflæsninger, som kan understøttes digitalt med brug af de frie geodata.</w:t>
      </w:r>
    </w:p>
    <w:p>
      <w:pPr>
        <w:pStyle w:val="BodyText"/>
        <w:spacing w:before="10"/>
      </w:pPr>
    </w:p>
    <w:p>
      <w:pPr>
        <w:pStyle w:val="Heading2"/>
        <w:numPr>
          <w:ilvl w:val="1"/>
          <w:numId w:val="28"/>
        </w:numPr>
        <w:tabs>
          <w:tab w:pos="855" w:val="left" w:leader="none"/>
        </w:tabs>
        <w:spacing w:line="240" w:lineRule="auto" w:before="0" w:after="0"/>
        <w:ind w:left="854" w:right="0" w:hanging="576"/>
        <w:jc w:val="left"/>
        <w:rPr>
          <w:i/>
        </w:rPr>
      </w:pPr>
      <w:bookmarkStart w:name="_bookmark96" w:id="135"/>
      <w:bookmarkEnd w:id="135"/>
      <w:r>
        <w:rPr>
          <w:b w:val="0"/>
          <w:i w:val="0"/>
        </w:rPr>
      </w:r>
      <w:bookmarkStart w:name="_bookmark96" w:id="136"/>
      <w:bookmarkEnd w:id="136"/>
      <w:r>
        <w:rPr>
          <w:i/>
          <w:color w:val="A21F1F"/>
        </w:rPr>
        <w:t>Ge</w:t>
      </w:r>
      <w:r>
        <w:rPr>
          <w:i/>
          <w:color w:val="A21F1F"/>
        </w:rPr>
        <w:t>odata som input til bankers</w:t>
      </w:r>
      <w:r>
        <w:rPr>
          <w:i/>
          <w:color w:val="A21F1F"/>
          <w:spacing w:val="-3"/>
        </w:rPr>
        <w:t> </w:t>
      </w:r>
      <w:r>
        <w:rPr>
          <w:i/>
          <w:color w:val="A21F1F"/>
        </w:rPr>
        <w:t>brancheanalyser</w:t>
      </w:r>
    </w:p>
    <w:p>
      <w:pPr>
        <w:pStyle w:val="BodyText"/>
        <w:spacing w:line="360" w:lineRule="auto" w:before="241"/>
        <w:ind w:left="278" w:right="1160"/>
      </w:pPr>
      <w:r>
        <w:rPr/>
        <w:t>Denne case-undersøgelse belyser, hvordan virksomheden Bisbase anvender både de frie geodata, de frie regnskabsdata og CVR-registret til at levere analyseværktøjer til Nordeas erhvervsrådgivere. Bisbases konsulenter arbejder tæt sammen med Nordea om at udvikle og implementere en løsning, der integreres i Nordeas øvrige applikationsinfrastruktur. Løsningen anvendes af Nordeas erhvervsrådgivere og hjælper dem med at yde en mere kvalificeret og målrettet rådgivning af deres kunder i virksomhedssegmentet.</w:t>
      </w:r>
    </w:p>
    <w:p>
      <w:pPr>
        <w:pStyle w:val="BodyText"/>
        <w:rPr>
          <w:sz w:val="22"/>
        </w:rPr>
      </w:pPr>
    </w:p>
    <w:p>
      <w:pPr>
        <w:pStyle w:val="BodyText"/>
        <w:rPr>
          <w:sz w:val="22"/>
        </w:rPr>
      </w:pPr>
    </w:p>
    <w:p>
      <w:pPr>
        <w:pStyle w:val="BodyText"/>
        <w:spacing w:before="3"/>
        <w:rPr>
          <w:sz w:val="25"/>
        </w:rPr>
      </w:pPr>
    </w:p>
    <w:p>
      <w:pPr>
        <w:pStyle w:val="BodyText"/>
        <w:spacing w:line="360" w:lineRule="auto"/>
        <w:ind w:left="278" w:right="1335"/>
      </w:pPr>
      <w:hyperlink w:history="true" w:anchor="_bookmark97">
        <w:r>
          <w:rPr/>
          <w:t>Figur 53 </w:t>
        </w:r>
      </w:hyperlink>
      <w:r>
        <w:rPr/>
        <w:t>viser case-undersøgelsens værdikæde med angivelse af de markeds- og effektiviseringseffekter, som de frie geodata afstedkommer. I de efterfølgende afsnit behandles effekterne i de enkelte led af værdikæde</w:t>
      </w:r>
      <w:bookmarkStart w:name="_bookmark97" w:id="137"/>
      <w:bookmarkEnd w:id="137"/>
      <w:r>
        <w:rPr/>
        <w:t>n.</w:t>
      </w:r>
    </w:p>
    <w:p>
      <w:pPr>
        <w:pStyle w:val="BodyText"/>
        <w:rPr>
          <w:sz w:val="21"/>
        </w:rPr>
      </w:pPr>
    </w:p>
    <w:p>
      <w:pPr>
        <w:spacing w:before="1"/>
        <w:ind w:left="278" w:right="0" w:firstLine="0"/>
        <w:jc w:val="left"/>
        <w:rPr>
          <w:i/>
          <w:sz w:val="18"/>
        </w:rPr>
      </w:pPr>
      <w:r>
        <w:rPr>
          <w:i/>
          <w:color w:val="A21F1F"/>
          <w:sz w:val="18"/>
        </w:rPr>
        <w:t>Figur 53: Illustration af case-undersøgelsens værdikæde for de frie geodata i relation til brancheanalyser</w:t>
      </w:r>
    </w:p>
    <w:p>
      <w:pPr>
        <w:spacing w:after="0"/>
        <w:jc w:val="left"/>
        <w:rPr>
          <w:sz w:val="18"/>
        </w:rPr>
        <w:sectPr>
          <w:pgSz w:w="11910" w:h="16840"/>
          <w:pgMar w:header="572" w:footer="577" w:top="1220" w:bottom="760" w:left="1140" w:right="0"/>
        </w:sectPr>
      </w:pPr>
    </w:p>
    <w:p>
      <w:pPr>
        <w:pStyle w:val="BodyText"/>
        <w:ind w:left="278"/>
      </w:pPr>
      <w:r>
        <w:rPr/>
        <w:pict>
          <v:group style="position:absolute;margin-left:99.048042pt;margin-top:76.038239pt;width:343.5pt;height:152.050pt;mso-position-horizontal-relative:page;mso-position-vertical-relative:page;z-index:-170488" coordorigin="1981,1521" coordsize="6870,3041">
            <v:rect style="position:absolute;left:3055;top:2855;width:1706;height:441" filled="true" fillcolor="#a21f1f" stroked="false">
              <v:fill type="solid"/>
            </v:rect>
            <v:line style="position:absolute" from="2846,3067" to="3041,3067" stroked="true" strokeweight="1.324641pt" strokecolor="#a11c1c">
              <v:stroke dashstyle="solid"/>
            </v:line>
            <v:shape style="position:absolute;left:3856;top:3133;width:696;height:945" coordorigin="3856,3134" coordsize="696,945" path="m4126,4044l3856,4044,3856,4078,4145,4078,4152,4074,4155,4068,4160,4055,4121,4055,4126,4044xm4487,3189l4121,4055,4138,4044,4165,4044,4520,3203,4516,3203,4502,3201,4490,3193,4487,3189xm4165,4044l4138,4044,4121,4055,4160,4055,4165,4044xm4498,3162l4487,3189,4490,3193,4502,3201,4516,3203,4521,3202,4532,3175,4498,3162xm4521,3202l4516,3203,4520,3203,4521,3202xm4550,3162l4498,3162,4532,3175,4521,3202,4530,3200,4541,3193,4549,3181,4552,3168,4550,3162xm4515,3134l4501,3137,4490,3144,4482,3156,4479,3169,4482,3182,4487,3189,4498,3162,4550,3162,4549,3155,4541,3144,4529,3136,4515,3134xe" filled="true" fillcolor="#5f221f" stroked="false">
              <v:path arrowok="t"/>
              <v:fill type="solid"/>
            </v:shape>
            <v:line style="position:absolute" from="4756,3068" to="6623,3068" stroked="true" strokeweight="1.290677pt" strokecolor="#a11c1c">
              <v:stroke dashstyle="solid"/>
            </v:line>
            <v:shape style="position:absolute;left:3763;top:12271;width:2088;height:1572" coordorigin="3763,12271" coordsize="2088,1572" path="m4762,3075l5689,3075,5689,2377,6617,2377m4762,3076l5689,3076,5689,1741,6617,1741e" filled="false" stroked="true" strokeweight=".625550pt" strokecolor="#a11c1c">
              <v:path arrowok="t"/>
              <v:stroke dashstyle="solid"/>
            </v:shape>
            <v:shape style="position:absolute;left:6616;top:3471;width:1813;height:1091" coordorigin="6617,3471" coordsize="1813,1091" path="m8429,4119l6617,4119,6617,4561,8429,4561,8429,4119m8429,3471l6617,3471,6617,3911,8429,3911,8429,3471e" filled="true" fillcolor="#ea9595" stroked="false">
              <v:path arrowok="t"/>
              <v:fill type="solid"/>
            </v:shape>
            <v:shape style="position:absolute;left:8207;top:3656;width:644;height:580" coordorigin="8207,3656" coordsize="644,580" path="m8244,4168l8235,4168,8222,4173,8212,4183,8207,4196,8207,4209,8213,4221,8223,4231,8237,4236,8251,4235,8264,4230,8274,4220,8277,4211,8258,4211,8228,4192,8244,4168xm8249,4167l8244,4168,8228,4192,8258,4211,8275,4186,8273,4182,8262,4172,8249,4167xm8275,4186l8258,4211,8277,4211,8279,4207,8278,4194,8275,4186xm8287,4167l8249,4167,8262,4172,8273,4182,8275,4186,8287,4167xm8851,3656l8585,3656,8579,3660,8244,4168,8249,4167,8287,4167,8601,3691,8591,3691,8606,3683,8851,3683,8851,3656xm8606,3683l8591,3691,8601,3691,8606,3683xm8851,3683l8606,3683,8601,3691,8851,3691,8851,3683xe" filled="true" fillcolor="#5f221f" stroked="false">
              <v:path arrowok="t"/>
              <v:fill type="solid"/>
            </v:shape>
            <v:shape style="position:absolute;left:3763;top:13843;width:2088;height:1490" coordorigin="3763,13843" coordsize="2088,1490" path="m4762,3076l5689,3076,5689,3692,6617,3692m4762,3076l5689,3076,5689,4340,6617,4340e" filled="false" stroked="true" strokeweight=".625550pt" strokecolor="#a11c1c">
              <v:path arrowok="t"/>
              <v:stroke dashstyle="solid"/>
            </v:shape>
            <v:shape style="position:absolute;left:6616;top:4119;width:1813;height:443" type="#_x0000_t202" filled="false" stroked="false">
              <v:textbox inset="0,0,0,0">
                <w:txbxContent>
                  <w:p>
                    <w:pPr>
                      <w:spacing w:before="142"/>
                      <w:ind w:left="628" w:right="628" w:firstLine="0"/>
                      <w:jc w:val="center"/>
                      <w:rPr>
                        <w:sz w:val="15"/>
                      </w:rPr>
                    </w:pPr>
                    <w:r>
                      <w:rPr>
                        <w:color w:val="FFFFFF"/>
                        <w:w w:val="105"/>
                        <w:sz w:val="15"/>
                      </w:rPr>
                      <w:t>Nordea</w:t>
                    </w:r>
                  </w:p>
                </w:txbxContent>
              </v:textbox>
              <w10:wrap type="none"/>
            </v:shape>
            <v:shape style="position:absolute;left:6616;top:3471;width:1813;height:441" type="#_x0000_t202" filled="false" stroked="false">
              <v:textbox inset="0,0,0,0">
                <w:txbxContent>
                  <w:p>
                    <w:pPr>
                      <w:spacing w:before="141"/>
                      <w:ind w:left="403" w:right="0" w:firstLine="0"/>
                      <w:jc w:val="left"/>
                      <w:rPr>
                        <w:sz w:val="15"/>
                      </w:rPr>
                    </w:pPr>
                    <w:r>
                      <w:rPr>
                        <w:color w:val="FFFFFF"/>
                        <w:w w:val="105"/>
                        <w:sz w:val="15"/>
                      </w:rPr>
                      <w:t>Virksomhed B</w:t>
                    </w:r>
                  </w:p>
                </w:txbxContent>
              </v:textbox>
              <w10:wrap type="none"/>
            </v:shape>
            <v:shape style="position:absolute;left:6616;top:2841;width:1813;height:441" type="#_x0000_t202" filled="true" fillcolor="#ea9595" stroked="false">
              <v:textbox inset="0,0,0,0">
                <w:txbxContent>
                  <w:p>
                    <w:pPr>
                      <w:spacing w:before="140"/>
                      <w:ind w:left="403" w:right="0" w:firstLine="0"/>
                      <w:jc w:val="left"/>
                      <w:rPr>
                        <w:sz w:val="15"/>
                      </w:rPr>
                    </w:pPr>
                    <w:r>
                      <w:rPr>
                        <w:color w:val="FFFFFF"/>
                        <w:w w:val="105"/>
                        <w:sz w:val="15"/>
                      </w:rPr>
                      <w:t>Virksomhed A</w:t>
                    </w:r>
                  </w:p>
                </w:txbxContent>
              </v:textbox>
              <v:fill type="solid"/>
              <w10:wrap type="none"/>
            </v:shape>
            <v:shape style="position:absolute;left:3055;top:2855;width:1706;height:441" type="#_x0000_t202" filled="false" stroked="false">
              <v:textbox inset="0,0,0,0">
                <w:txbxContent>
                  <w:p>
                    <w:pPr>
                      <w:spacing w:before="128"/>
                      <w:ind w:left="556" w:right="0" w:firstLine="0"/>
                      <w:jc w:val="left"/>
                      <w:rPr>
                        <w:sz w:val="17"/>
                      </w:rPr>
                    </w:pPr>
                    <w:r>
                      <w:rPr>
                        <w:color w:val="FFFFFF"/>
                        <w:w w:val="105"/>
                        <w:sz w:val="17"/>
                      </w:rPr>
                      <w:t>Bisbase</w:t>
                    </w:r>
                  </w:p>
                </w:txbxContent>
              </v:textbox>
              <w10:wrap type="none"/>
            </v:shape>
            <v:shape style="position:absolute;left:6616;top:2156;width:1815;height:441" type="#_x0000_t202" filled="true" fillcolor="#df6060" stroked="false">
              <v:textbox inset="0,0,0,0">
                <w:txbxContent>
                  <w:p>
                    <w:pPr>
                      <w:spacing w:before="140"/>
                      <w:ind w:left="471" w:right="0" w:firstLine="0"/>
                      <w:jc w:val="left"/>
                      <w:rPr>
                        <w:sz w:val="15"/>
                      </w:rPr>
                    </w:pPr>
                    <w:r>
                      <w:rPr>
                        <w:color w:val="FFFFFF"/>
                        <w:w w:val="105"/>
                        <w:sz w:val="15"/>
                      </w:rPr>
                      <w:t>Kommune 2</w:t>
                    </w:r>
                  </w:p>
                </w:txbxContent>
              </v:textbox>
              <v:fill type="solid"/>
              <w10:wrap type="none"/>
            </v:shape>
            <v:shape style="position:absolute;left:6616;top:1520;width:1815;height:441" type="#_x0000_t202" filled="true" fillcolor="#df6060" stroked="false">
              <v:textbox inset="0,0,0,0">
                <w:txbxContent>
                  <w:p>
                    <w:pPr>
                      <w:spacing w:before="139"/>
                      <w:ind w:left="482" w:right="0" w:firstLine="0"/>
                      <w:jc w:val="left"/>
                      <w:rPr>
                        <w:sz w:val="15"/>
                      </w:rPr>
                    </w:pPr>
                    <w:r>
                      <w:rPr>
                        <w:color w:val="FFFFFF"/>
                        <w:w w:val="105"/>
                        <w:sz w:val="15"/>
                      </w:rPr>
                      <w:t>Kommune 1</w:t>
                    </w:r>
                  </w:p>
                </w:txbxContent>
              </v:textbox>
              <v:fill type="solid"/>
              <w10:wrap type="none"/>
            </v:shape>
            <v:shape style="position:absolute;left:1980;top:3579;width:1875;height:962" type="#_x0000_t202" filled="true" fillcolor="#a21f1f" stroked="false">
              <v:textbox inset="0,0,0,0">
                <w:txbxContent>
                  <w:p>
                    <w:pPr>
                      <w:numPr>
                        <w:ilvl w:val="0"/>
                        <w:numId w:val="29"/>
                      </w:numPr>
                      <w:tabs>
                        <w:tab w:pos="175" w:val="left" w:leader="none"/>
                      </w:tabs>
                      <w:spacing w:before="111"/>
                      <w:ind w:left="174" w:right="0" w:hanging="124"/>
                      <w:jc w:val="left"/>
                      <w:rPr>
                        <w:i/>
                        <w:sz w:val="15"/>
                      </w:rPr>
                    </w:pPr>
                    <w:r>
                      <w:rPr>
                        <w:i/>
                        <w:color w:val="FFFFFF"/>
                        <w:w w:val="105"/>
                        <w:sz w:val="15"/>
                      </w:rPr>
                      <w:t>Øget</w:t>
                    </w:r>
                    <w:r>
                      <w:rPr>
                        <w:i/>
                        <w:color w:val="FFFFFF"/>
                        <w:spacing w:val="-1"/>
                        <w:w w:val="105"/>
                        <w:sz w:val="15"/>
                      </w:rPr>
                      <w:t> </w:t>
                    </w:r>
                    <w:r>
                      <w:rPr>
                        <w:i/>
                        <w:color w:val="FFFFFF"/>
                        <w:w w:val="105"/>
                        <w:sz w:val="15"/>
                      </w:rPr>
                      <w:t>omsætning</w:t>
                    </w:r>
                  </w:p>
                  <w:p>
                    <w:pPr>
                      <w:numPr>
                        <w:ilvl w:val="0"/>
                        <w:numId w:val="29"/>
                      </w:numPr>
                      <w:tabs>
                        <w:tab w:pos="175" w:val="left" w:leader="none"/>
                      </w:tabs>
                      <w:spacing w:before="10"/>
                      <w:ind w:left="174" w:right="0" w:hanging="124"/>
                      <w:jc w:val="left"/>
                      <w:rPr>
                        <w:i/>
                        <w:sz w:val="15"/>
                      </w:rPr>
                    </w:pPr>
                    <w:r>
                      <w:rPr>
                        <w:i/>
                        <w:color w:val="FFFFFF"/>
                        <w:w w:val="105"/>
                        <w:sz w:val="15"/>
                      </w:rPr>
                      <w:t>Standardiseret</w:t>
                    </w:r>
                    <w:r>
                      <w:rPr>
                        <w:i/>
                        <w:color w:val="FFFFFF"/>
                        <w:spacing w:val="-2"/>
                        <w:w w:val="105"/>
                        <w:sz w:val="15"/>
                      </w:rPr>
                      <w:t> </w:t>
                    </w:r>
                    <w:r>
                      <w:rPr>
                        <w:i/>
                        <w:color w:val="FFFFFF"/>
                        <w:w w:val="105"/>
                        <w:sz w:val="15"/>
                      </w:rPr>
                      <w:t>løsning</w:t>
                    </w:r>
                  </w:p>
                  <w:p>
                    <w:pPr>
                      <w:numPr>
                        <w:ilvl w:val="0"/>
                        <w:numId w:val="29"/>
                      </w:numPr>
                      <w:tabs>
                        <w:tab w:pos="175" w:val="left" w:leader="none"/>
                      </w:tabs>
                      <w:spacing w:line="256" w:lineRule="auto" w:before="10"/>
                      <w:ind w:left="174" w:right="57" w:hanging="124"/>
                      <w:jc w:val="left"/>
                      <w:rPr>
                        <w:i/>
                        <w:sz w:val="15"/>
                      </w:rPr>
                    </w:pPr>
                    <w:r>
                      <w:rPr>
                        <w:i/>
                        <w:color w:val="FFFFFF"/>
                        <w:w w:val="105"/>
                        <w:sz w:val="15"/>
                      </w:rPr>
                      <w:t>Mulighed for sammen- </w:t>
                    </w:r>
                    <w:r>
                      <w:rPr>
                        <w:i/>
                        <w:color w:val="FFFFFF"/>
                        <w:w w:val="105"/>
                        <w:sz w:val="15"/>
                      </w:rPr>
                      <w:t>stilling af data.</w:t>
                    </w:r>
                  </w:p>
                </w:txbxContent>
              </v:textbox>
              <v:fill type="solid"/>
              <w10:wrap type="none"/>
            </v:shape>
            <w10:wrap type="none"/>
          </v:group>
        </w:pict>
      </w: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rPr>
          <w:i/>
        </w:rPr>
      </w:pPr>
    </w:p>
    <w:p>
      <w:pPr>
        <w:pStyle w:val="BodyText"/>
        <w:rPr>
          <w:i/>
        </w:rPr>
      </w:pPr>
    </w:p>
    <w:p>
      <w:pPr>
        <w:pStyle w:val="BodyText"/>
        <w:rPr>
          <w:i/>
        </w:rPr>
      </w:pPr>
    </w:p>
    <w:p>
      <w:pPr>
        <w:pStyle w:val="BodyText"/>
        <w:rPr>
          <w:i/>
        </w:rPr>
      </w:pPr>
    </w:p>
    <w:p>
      <w:pPr>
        <w:pStyle w:val="BodyText"/>
        <w:spacing w:before="2"/>
        <w:rPr>
          <w:i/>
          <w:sz w:val="25"/>
        </w:rPr>
      </w:pPr>
      <w:r>
        <w:rPr/>
        <w:pict>
          <v:shape style="position:absolute;margin-left:70.900002pt;margin-top:15.538723pt;width:71.25pt;height:30.8pt;mso-position-horizontal-relative:page;mso-position-vertical-relative:paragraph;z-index:9680;mso-wrap-distance-left:0;mso-wrap-distance-right:0" type="#_x0000_t202" filled="true" fillcolor="#520f0f" stroked="false">
            <v:textbox inset="0,0,0,0">
              <w:txbxContent>
                <w:p>
                  <w:pPr>
                    <w:spacing w:before="113"/>
                    <w:ind w:left="401" w:right="0" w:firstLine="0"/>
                    <w:jc w:val="left"/>
                    <w:rPr>
                      <w:b/>
                      <w:sz w:val="17"/>
                    </w:rPr>
                  </w:pPr>
                  <w:r>
                    <w:rPr>
                      <w:b/>
                      <w:color w:val="FFFFFF"/>
                      <w:w w:val="105"/>
                      <w:sz w:val="17"/>
                    </w:rPr>
                    <w:t>De frie</w:t>
                  </w:r>
                </w:p>
                <w:p>
                  <w:pPr>
                    <w:spacing w:before="11"/>
                    <w:ind w:left="356" w:right="0" w:firstLine="0"/>
                    <w:jc w:val="left"/>
                    <w:rPr>
                      <w:b/>
                      <w:sz w:val="17"/>
                    </w:rPr>
                  </w:pPr>
                  <w:r>
                    <w:rPr>
                      <w:b/>
                      <w:color w:val="FFFFFF"/>
                      <w:w w:val="105"/>
                      <w:sz w:val="17"/>
                    </w:rPr>
                    <w:t>geodata</w:t>
                  </w:r>
                </w:p>
              </w:txbxContent>
            </v:textbox>
            <v:fill type="solid"/>
            <w10:wrap type="topAndBottom"/>
          </v:shape>
        </w:pict>
      </w:r>
      <w:r>
        <w:rPr/>
        <w:pict>
          <v:shape style="position:absolute;margin-left:445.24762pt;margin-top:38.262257pt;width:97.15pt;height:48.3pt;mso-position-horizontal-relative:page;mso-position-vertical-relative:paragraph;z-index:9704;mso-wrap-distance-left:0;mso-wrap-distance-right:0" type="#_x0000_t202" filled="true" fillcolor="#ea9595" stroked="false">
            <v:textbox inset="0,0,0,0">
              <w:txbxContent>
                <w:p>
                  <w:pPr>
                    <w:numPr>
                      <w:ilvl w:val="0"/>
                      <w:numId w:val="30"/>
                    </w:numPr>
                    <w:tabs>
                      <w:tab w:pos="176" w:val="left" w:leader="none"/>
                    </w:tabs>
                    <w:spacing w:before="33"/>
                    <w:ind w:left="175" w:right="0" w:hanging="123"/>
                    <w:jc w:val="left"/>
                    <w:rPr>
                      <w:i/>
                      <w:sz w:val="15"/>
                    </w:rPr>
                  </w:pPr>
                  <w:r>
                    <w:rPr>
                      <w:i/>
                      <w:color w:val="FFFFFF"/>
                      <w:w w:val="105"/>
                      <w:sz w:val="15"/>
                    </w:rPr>
                    <w:t>Målrettet</w:t>
                  </w:r>
                  <w:r>
                    <w:rPr>
                      <w:i/>
                      <w:color w:val="FFFFFF"/>
                      <w:spacing w:val="4"/>
                      <w:w w:val="105"/>
                      <w:sz w:val="15"/>
                    </w:rPr>
                    <w:t> </w:t>
                  </w:r>
                  <w:r>
                    <w:rPr>
                      <w:i/>
                      <w:color w:val="FFFFFF"/>
                      <w:w w:val="105"/>
                      <w:sz w:val="15"/>
                    </w:rPr>
                    <w:t>segmentering</w:t>
                  </w:r>
                </w:p>
                <w:p>
                  <w:pPr>
                    <w:numPr>
                      <w:ilvl w:val="0"/>
                      <w:numId w:val="30"/>
                    </w:numPr>
                    <w:tabs>
                      <w:tab w:pos="176" w:val="left" w:leader="none"/>
                    </w:tabs>
                    <w:spacing w:line="256" w:lineRule="auto" w:before="10"/>
                    <w:ind w:left="175" w:right="521" w:hanging="123"/>
                    <w:jc w:val="left"/>
                    <w:rPr>
                      <w:i/>
                      <w:sz w:val="15"/>
                    </w:rPr>
                  </w:pPr>
                  <w:r>
                    <w:rPr>
                      <w:i/>
                      <w:color w:val="FFFFFF"/>
                      <w:w w:val="105"/>
                      <w:sz w:val="15"/>
                    </w:rPr>
                    <w:t>Bedre, relevant </w:t>
                  </w:r>
                  <w:r>
                    <w:rPr>
                      <w:i/>
                      <w:color w:val="FFFFFF"/>
                      <w:spacing w:val="-1"/>
                      <w:w w:val="105"/>
                      <w:sz w:val="15"/>
                    </w:rPr>
                    <w:t>kunderådgivning</w:t>
                  </w:r>
                </w:p>
                <w:p>
                  <w:pPr>
                    <w:numPr>
                      <w:ilvl w:val="0"/>
                      <w:numId w:val="30"/>
                    </w:numPr>
                    <w:tabs>
                      <w:tab w:pos="176" w:val="left" w:leader="none"/>
                    </w:tabs>
                    <w:spacing w:line="259" w:lineRule="auto" w:before="0"/>
                    <w:ind w:left="175" w:right="103" w:hanging="123"/>
                    <w:jc w:val="left"/>
                    <w:rPr>
                      <w:i/>
                      <w:sz w:val="15"/>
                    </w:rPr>
                  </w:pPr>
                  <w:r>
                    <w:rPr>
                      <w:i/>
                      <w:color w:val="FFFFFF"/>
                      <w:w w:val="105"/>
                      <w:sz w:val="15"/>
                    </w:rPr>
                    <w:t>Effektiv forberedelse af </w:t>
                  </w:r>
                  <w:r>
                    <w:rPr>
                      <w:i/>
                      <w:color w:val="FFFFFF"/>
                      <w:w w:val="105"/>
                      <w:sz w:val="15"/>
                    </w:rPr>
                    <w:t>kundemøder.</w:t>
                  </w:r>
                </w:p>
              </w:txbxContent>
            </v:textbox>
            <v:fill type="solid"/>
            <w10:wrap type="topAndBottom"/>
          </v:shape>
        </w:pict>
      </w:r>
    </w:p>
    <w:p>
      <w:pPr>
        <w:pStyle w:val="BodyText"/>
        <w:rPr>
          <w:i/>
        </w:rPr>
      </w:pPr>
    </w:p>
    <w:p>
      <w:pPr>
        <w:pStyle w:val="BodyText"/>
        <w:rPr>
          <w:i/>
        </w:rPr>
      </w:pPr>
    </w:p>
    <w:p>
      <w:pPr>
        <w:pStyle w:val="BodyText"/>
        <w:spacing w:before="6"/>
        <w:rPr>
          <w:i/>
          <w:sz w:val="17"/>
        </w:rPr>
      </w:pPr>
      <w:r>
        <w:rPr/>
        <w:pict>
          <v:shape style="position:absolute;margin-left:149.586563pt;margin-top:13.513438pt;width:93.2pt;height:15.6pt;mso-position-horizontal-relative:page;mso-position-vertical-relative:paragraph;z-index:9728;mso-wrap-distance-left:0;mso-wrap-distance-right:0" coordorigin="2992,270" coordsize="1864,312" path="m4855,270l4853,331,4848,381,4839,414,4828,426,3951,426,3940,438,3932,472,3926,521,3924,582,3921,521,3916,472,3907,438,3896,426,3019,426,3008,414,3000,381,2994,331,2992,270e" filled="false" stroked="true" strokeweight=".612145pt" strokecolor="#a11c1c">
            <v:path arrowok="t"/>
            <v:stroke dashstyle="solid"/>
            <w10:wrap type="topAndBottom"/>
          </v:shape>
        </w:pict>
      </w:r>
      <w:r>
        <w:rPr/>
        <w:pict>
          <v:shape style="position:absolute;margin-left:325.725067pt;margin-top:12.290692pt;width:102.6pt;height:14.4pt;mso-position-horizontal-relative:page;mso-position-vertical-relative:paragraph;z-index:9752;mso-wrap-distance-left:0;mso-wrap-distance-right:0" coordorigin="6515,246" coordsize="2052,288" path="m8566,246l8564,302,8559,347,8551,378,8541,389,7565,389,7555,401,7548,432,7542,477,7540,533,7538,477,7533,432,7525,401,7515,389,6540,389,6530,378,6522,347,6516,302,6515,246e" filled="false" stroked="true" strokeweight=".611918pt" strokecolor="#a11c1c">
            <v:path arrowok="t"/>
            <v:stroke dashstyle="solid"/>
            <w10:wrap type="topAndBottom"/>
          </v:shape>
        </w:pict>
      </w:r>
    </w:p>
    <w:p>
      <w:pPr>
        <w:tabs>
          <w:tab w:pos="5845" w:val="left" w:leader="none"/>
        </w:tabs>
        <w:spacing w:before="24"/>
        <w:ind w:left="2302" w:right="0" w:firstLine="0"/>
        <w:jc w:val="left"/>
        <w:rPr>
          <w:b/>
          <w:i/>
          <w:sz w:val="15"/>
        </w:rPr>
      </w:pPr>
      <w:r>
        <w:rPr>
          <w:b/>
          <w:i/>
          <w:w w:val="105"/>
          <w:sz w:val="15"/>
        </w:rPr>
        <w:t>1.-leds-bruger</w:t>
        <w:tab/>
      </w:r>
      <w:r>
        <w:rPr>
          <w:b/>
          <w:i/>
          <w:w w:val="105"/>
          <w:position w:val="4"/>
          <w:sz w:val="15"/>
        </w:rPr>
        <w:t>Slutbrugere</w:t>
      </w:r>
    </w:p>
    <w:p>
      <w:pPr>
        <w:pStyle w:val="BodyText"/>
        <w:rPr>
          <w:b/>
          <w:i/>
        </w:rPr>
      </w:pPr>
    </w:p>
    <w:p>
      <w:pPr>
        <w:pStyle w:val="BodyText"/>
        <w:spacing w:before="7"/>
        <w:rPr>
          <w:b/>
          <w:i/>
          <w:sz w:val="23"/>
        </w:rPr>
      </w:pPr>
    </w:p>
    <w:p>
      <w:pPr>
        <w:pStyle w:val="BodyText"/>
        <w:spacing w:line="360" w:lineRule="auto"/>
        <w:ind w:left="278" w:right="1092"/>
      </w:pPr>
      <w:r>
        <w:rPr/>
        <w:t>Bisbase er en lille dansk virksomhed, der blev etableret i 2013 og fokuserer på at stille løsninger og data til rådighed for mellemstore og store virksomheder via </w:t>
      </w:r>
      <w:hyperlink r:id="rId40">
        <w:r>
          <w:rPr/>
          <w:t>www.bisbase.dk. </w:t>
        </w:r>
      </w:hyperlink>
      <w:r>
        <w:rPr/>
        <w:t>Løsningerne omfatter brancheanalyser, virksomhedsanalyser og konkurrentanalyser, der kan hjælpe deres kunder til at skabe bedre driftsresultater, forbedrede kreditmuligheder og øget konkurrenceevne.</w:t>
      </w:r>
    </w:p>
    <w:p>
      <w:pPr>
        <w:pStyle w:val="BodyText"/>
        <w:spacing w:before="1"/>
        <w:rPr>
          <w:sz w:val="21"/>
        </w:rPr>
      </w:pPr>
    </w:p>
    <w:p>
      <w:pPr>
        <w:pStyle w:val="BodyText"/>
        <w:spacing w:line="360" w:lineRule="auto"/>
        <w:ind w:left="278" w:right="1072"/>
      </w:pPr>
      <w:r>
        <w:rPr/>
        <w:t>Løsningerne er målrettet virksomhedsrådgivere, virksomhedsejere, revisorer, forretningsudviklere mv., som baseret på de forskellige analysemuligheder kan konkludere på og rådgive om virksomhedernes formåen i forhold til sammenlignelige virksomheder. Løsningen understøtter fx, at brancheforeninger helt enkelt kan oprette sine medlemmer i sin egen branche og straks derefter se branchens performance på en lang række nøgletal. Dele af løsningen kan fx integreres i virksomhedens eget CRM-system, således at Bisbase-funktionaliteten opleves som værende en del af virksomhedens egen løsning. Udover produkterne på </w:t>
      </w:r>
      <w:hyperlink r:id="rId40">
        <w:r>
          <w:rPr/>
          <w:t>www.bisbase.dk </w:t>
        </w:r>
      </w:hyperlink>
      <w:r>
        <w:rPr/>
        <w:t>leverer Bisbase tilpassede løsninger til rådgivere, virksomheder, brancheorganisationer mv.</w:t>
      </w:r>
    </w:p>
    <w:p>
      <w:pPr>
        <w:pStyle w:val="BodyText"/>
        <w:spacing w:before="1"/>
        <w:rPr>
          <w:sz w:val="21"/>
        </w:rPr>
      </w:pPr>
    </w:p>
    <w:p>
      <w:pPr>
        <w:pStyle w:val="BodyText"/>
        <w:spacing w:line="360" w:lineRule="auto"/>
        <w:ind w:left="278" w:right="1546"/>
      </w:pPr>
      <w:r>
        <w:rPr/>
        <w:t>Informationen om og analyserne af danske virksomheder er baseret på Erhvervsstyrelsens data og regnskabstal, der er indrapporteret af virksomhederne selv, samt en række af SDFE’s frie geodata fra:</w:t>
      </w:r>
    </w:p>
    <w:p>
      <w:pPr>
        <w:pStyle w:val="BodyText"/>
        <w:rPr>
          <w:sz w:val="21"/>
        </w:rPr>
      </w:pPr>
    </w:p>
    <w:p>
      <w:pPr>
        <w:pStyle w:val="ListParagraph"/>
        <w:numPr>
          <w:ilvl w:val="2"/>
          <w:numId w:val="28"/>
        </w:numPr>
        <w:tabs>
          <w:tab w:pos="998" w:val="left" w:leader="none"/>
          <w:tab w:pos="999" w:val="left" w:leader="none"/>
        </w:tabs>
        <w:spacing w:line="240" w:lineRule="auto" w:before="1" w:after="0"/>
        <w:ind w:left="998" w:right="0" w:hanging="360"/>
        <w:jc w:val="left"/>
        <w:rPr>
          <w:rFonts w:ascii="Symbol" w:hAnsi="Symbol"/>
          <w:sz w:val="20"/>
        </w:rPr>
      </w:pPr>
      <w:r>
        <w:rPr>
          <w:sz w:val="20"/>
        </w:rPr>
        <w:t>DAGI (Danmarks Administrative Geografiske</w:t>
      </w:r>
      <w:r>
        <w:rPr>
          <w:spacing w:val="1"/>
          <w:sz w:val="20"/>
        </w:rPr>
        <w:t> </w:t>
      </w:r>
      <w:r>
        <w:rPr>
          <w:sz w:val="20"/>
        </w:rPr>
        <w:t>Inddeling)</w:t>
      </w:r>
    </w:p>
    <w:p>
      <w:pPr>
        <w:pStyle w:val="ListParagraph"/>
        <w:numPr>
          <w:ilvl w:val="2"/>
          <w:numId w:val="28"/>
        </w:numPr>
        <w:tabs>
          <w:tab w:pos="998" w:val="left" w:leader="none"/>
          <w:tab w:pos="999" w:val="left" w:leader="none"/>
        </w:tabs>
        <w:spacing w:line="240" w:lineRule="auto" w:before="113" w:after="0"/>
        <w:ind w:left="998" w:right="0" w:hanging="360"/>
        <w:jc w:val="left"/>
        <w:rPr>
          <w:rFonts w:ascii="Symbol" w:hAnsi="Symbol"/>
          <w:sz w:val="18"/>
        </w:rPr>
      </w:pPr>
      <w:r>
        <w:rPr>
          <w:sz w:val="20"/>
        </w:rPr>
        <w:t>Skærmkortet.</w:t>
      </w:r>
    </w:p>
    <w:p>
      <w:pPr>
        <w:spacing w:after="0" w:line="240" w:lineRule="auto"/>
        <w:jc w:val="left"/>
        <w:rPr>
          <w:rFonts w:ascii="Symbol" w:hAnsi="Symbol"/>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sz w:val="18"/>
        </w:rPr>
      </w:pPr>
      <w:r>
        <w:rPr/>
        <w:drawing>
          <wp:anchor distT="0" distB="0" distL="0" distR="0" allowOverlap="1" layoutInCell="1" locked="0" behindDoc="0" simplePos="0" relativeHeight="459">
            <wp:simplePos x="0" y="0"/>
            <wp:positionH relativeFrom="page">
              <wp:posOffset>907414</wp:posOffset>
            </wp:positionH>
            <wp:positionV relativeFrom="paragraph">
              <wp:posOffset>176148</wp:posOffset>
            </wp:positionV>
            <wp:extent cx="4871283" cy="4207764"/>
            <wp:effectExtent l="0" t="0" r="0" b="0"/>
            <wp:wrapTopAndBottom/>
            <wp:docPr id="7" name="image28.png" descr=""/>
            <wp:cNvGraphicFramePr>
              <a:graphicFrameLocks noChangeAspect="1"/>
            </wp:cNvGraphicFramePr>
            <a:graphic>
              <a:graphicData uri="http://schemas.openxmlformats.org/drawingml/2006/picture">
                <pic:pic>
                  <pic:nvPicPr>
                    <pic:cNvPr id="8" name="image28.png"/>
                    <pic:cNvPicPr/>
                  </pic:nvPicPr>
                  <pic:blipFill>
                    <a:blip r:embed="rId41" cstate="print"/>
                    <a:stretch>
                      <a:fillRect/>
                    </a:stretch>
                  </pic:blipFill>
                  <pic:spPr>
                    <a:xfrm>
                      <a:off x="0" y="0"/>
                      <a:ext cx="4871283" cy="4207764"/>
                    </a:xfrm>
                    <a:prstGeom prst="rect">
                      <a:avLst/>
                    </a:prstGeom>
                  </pic:spPr>
                </pic:pic>
              </a:graphicData>
            </a:graphic>
          </wp:anchor>
        </w:drawing>
      </w:r>
      <w:r>
        <w:rPr>
          <w:i/>
          <w:color w:val="A21F1F"/>
          <w:sz w:val="18"/>
        </w:rPr>
        <w:t>Figur 54</w:t>
      </w:r>
      <w:r>
        <w:rPr>
          <w:color w:val="A21F1F"/>
          <w:sz w:val="18"/>
        </w:rPr>
        <w:t>: Eksempel på præsentation af brancheanalyse (maskinindustri) i Bisbases løsning</w:t>
      </w:r>
    </w:p>
    <w:p>
      <w:pPr>
        <w:spacing w:before="8"/>
        <w:ind w:left="278" w:right="0" w:firstLine="0"/>
        <w:jc w:val="left"/>
        <w:rPr>
          <w:i/>
          <w:sz w:val="18"/>
        </w:rPr>
      </w:pPr>
      <w:r>
        <w:rPr>
          <w:b/>
          <w:i/>
          <w:color w:val="A21F1F"/>
          <w:sz w:val="18"/>
        </w:rPr>
        <w:t>Kilde</w:t>
      </w:r>
      <w:hyperlink r:id="rId40">
        <w:r>
          <w:rPr>
            <w:i/>
            <w:color w:val="A21F1F"/>
            <w:sz w:val="18"/>
          </w:rPr>
          <w:t>: www.bisbase.dk</w:t>
        </w:r>
      </w:hyperlink>
    </w:p>
    <w:p>
      <w:pPr>
        <w:pStyle w:val="BodyText"/>
        <w:rPr>
          <w:i/>
          <w:sz w:val="18"/>
        </w:rPr>
      </w:pPr>
    </w:p>
    <w:p>
      <w:pPr>
        <w:pStyle w:val="Heading3"/>
        <w:numPr>
          <w:ilvl w:val="2"/>
          <w:numId w:val="31"/>
        </w:numPr>
        <w:tabs>
          <w:tab w:pos="999" w:val="left" w:leader="none"/>
        </w:tabs>
        <w:spacing w:line="240" w:lineRule="auto" w:before="0" w:after="0"/>
        <w:ind w:left="998" w:right="0" w:hanging="720"/>
        <w:jc w:val="left"/>
        <w:rPr>
          <w:i/>
        </w:rPr>
      </w:pPr>
      <w:bookmarkStart w:name="_bookmark98" w:id="138"/>
      <w:bookmarkEnd w:id="138"/>
      <w:r>
        <w:rPr>
          <w:i w:val="0"/>
        </w:rPr>
      </w:r>
      <w:bookmarkStart w:name="_bookmark98" w:id="139"/>
      <w:bookmarkEnd w:id="139"/>
      <w:r>
        <w:rPr>
          <w:i/>
          <w:color w:val="A21F1F"/>
        </w:rPr>
        <w:t>M</w:t>
      </w:r>
      <w:r>
        <w:rPr>
          <w:i/>
          <w:color w:val="A21F1F"/>
        </w:rPr>
        <w:t>arkedseffekter</w:t>
      </w:r>
    </w:p>
    <w:p>
      <w:pPr>
        <w:pStyle w:val="BodyText"/>
        <w:spacing w:line="360" w:lineRule="auto" w:before="241"/>
        <w:ind w:left="278" w:right="1014"/>
      </w:pPr>
      <w:r>
        <w:rPr/>
        <w:t>Bisbase har en årlig omsætning på ca. 2,5 mio. kr., som har været stigende, siden virksomheden blev etableret i 2013. Omsætningen kommer dels fra salg af standardiserede branche-, virksomheds- og konkurrentanalyser, som leveres online via </w:t>
      </w:r>
      <w:hyperlink r:id="rId40">
        <w:r>
          <w:rPr/>
          <w:t>www.bisbase.dk, </w:t>
        </w:r>
      </w:hyperlink>
      <w:r>
        <w:rPr/>
        <w:t>dels fra kundetilpassede løsninger, som udarbejdes med afsæt i standardprodukterne, men justeres og målrettes den enkelte kundes ønsker og behov. Bisbases forretningsmodel er baseret på mulighederne for at sammenstille data fra forskellige domæner og er i høj grad afhængig af adgang til de frie regnskabsdata såvel som de frie geodata, hvor især DAGI indgår som en vigtig komponent i Bisbases brancheanalyser. Adgangen til de frie regnskabsdata og geodata, som dermed ikke har krævet særskilt betaling, har betydet, at Bisbase som en lille start-up- virksomhed i deres opstartsfase har kunnet koncentrere sig om at udvikle løsningen og udarbejde en robust forretningsmodel.</w:t>
      </w:r>
    </w:p>
    <w:p>
      <w:pPr>
        <w:pStyle w:val="BodyText"/>
        <w:spacing w:before="2"/>
        <w:rPr>
          <w:sz w:val="21"/>
        </w:rPr>
      </w:pPr>
    </w:p>
    <w:p>
      <w:pPr>
        <w:pStyle w:val="BodyText"/>
        <w:spacing w:line="360" w:lineRule="auto"/>
        <w:ind w:left="278" w:right="1109"/>
      </w:pPr>
      <w:r>
        <w:rPr/>
        <w:t>Bisbase har i dag kun ganske få medarbejdere, men har en forventning om at ansætte yderligere medarbejdere i fremtiden, efterhånden som efterspørgslen efter deres produkter øges. Derudover har Bisbase en ambition om at ekspandere deres nuværende marked, dels i form af løsninger målrettet det kommunale marked, dels til udlandet. Eksempelvis påtænker Bisbase at lancere et produkt, der er målrettet kommuners indsats for erhvervsfremme, hvor den enkelte kommune kan måle sig op mod andre</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kommuner på en række relevante parametre, såsom virksomhedernes vækst i top- og bundlinje,</w:t>
      </w:r>
    </w:p>
    <w:p>
      <w:pPr>
        <w:pStyle w:val="BodyText"/>
        <w:spacing w:before="114"/>
        <w:ind w:left="278"/>
      </w:pPr>
      <w:r>
        <w:rPr/>
        <w:t>iværksætteri mv.</w:t>
      </w:r>
    </w:p>
    <w:p>
      <w:pPr>
        <w:pStyle w:val="BodyText"/>
        <w:spacing w:before="1"/>
        <w:rPr>
          <w:sz w:val="31"/>
        </w:rPr>
      </w:pPr>
    </w:p>
    <w:p>
      <w:pPr>
        <w:pStyle w:val="BodyText"/>
        <w:spacing w:line="360" w:lineRule="auto"/>
        <w:ind w:left="278" w:right="1021"/>
      </w:pPr>
      <w:r>
        <w:rPr/>
        <w:t>Nordeas valg af Bisbase som samarbejdspartner begrundes blandt andet med, at Bisbase har en tæt kobling mellem geodata og regnskabsdata, som derved kan målrette de finansielle analyser ud fra en geografisk segmentering. Det giver analyserne en ekstra, værdifuld dimension, som især er relevant, når en specifik kundes økonomiske forhold måles op mod sammenlignelige virksomheder.</w:t>
      </w:r>
    </w:p>
    <w:p>
      <w:pPr>
        <w:pStyle w:val="BodyText"/>
        <w:spacing w:before="1"/>
        <w:rPr>
          <w:sz w:val="21"/>
        </w:rPr>
      </w:pPr>
    </w:p>
    <w:p>
      <w:pPr>
        <w:pStyle w:val="BodyText"/>
        <w:spacing w:line="360" w:lineRule="auto"/>
        <w:ind w:left="278" w:right="1028"/>
      </w:pPr>
      <w:r>
        <w:rPr/>
        <w:t>Derudover vurderer Nordea, at Bisbases brugergrænseflade, hvor regnskabsdata kobles med geodata, er et godt formidlingsværktøj, der gør bankens kunderådgivere i stand til at yde deres kunder en mere personlig, relevant og samtidig objektiv rådgivning. Nordea anvender endvidere Bisbases løsning til at identificere og målrette arbejdet med at indlemme nye potentielle kunder i forretningen og derved øge sin markedsandel.</w:t>
      </w:r>
    </w:p>
    <w:p>
      <w:pPr>
        <w:pStyle w:val="BodyText"/>
        <w:spacing w:before="2"/>
        <w:rPr>
          <w:sz w:val="21"/>
        </w:rPr>
      </w:pPr>
    </w:p>
    <w:p>
      <w:pPr>
        <w:pStyle w:val="BodyText"/>
        <w:spacing w:line="360" w:lineRule="auto"/>
        <w:ind w:left="278" w:right="1068"/>
        <w:jc w:val="both"/>
      </w:pPr>
      <w:r>
        <w:rPr/>
        <w:t>Tidligere udarbejdede Nordea selv et relativt begrænset antal brancheanalyser, som primært var baseret på informationer fra virksomhedernes regnskaber. Dette er nu erstattet af Bisbases løsning, som giver adgang til mere detaljeret brancheinformation, og derfor anvendes aktivt som en del af rådgivningen.</w:t>
      </w:r>
    </w:p>
    <w:p>
      <w:pPr>
        <w:pStyle w:val="BodyText"/>
        <w:spacing w:before="3"/>
        <w:rPr>
          <w:sz w:val="21"/>
        </w:rPr>
      </w:pPr>
    </w:p>
    <w:p>
      <w:pPr>
        <w:pStyle w:val="BodyText"/>
        <w:spacing w:line="360" w:lineRule="auto"/>
        <w:ind w:left="278" w:right="1029"/>
      </w:pPr>
      <w:r>
        <w:rPr/>
        <w:t>Selv om den geografiske komponent kun udgør en mindre del af Bisbases samlede produkt, bidrager den til en stor del af den samlede værdiskabelse for slutbrugerne. Det viser, at integrationen af geodata i digitale løsninger medfører en væsentlig merværdi, selvom geodata isoleret set kun udgør en mindre andel hos den enkelte anvender eller i den samlede dataværdikæde.</w:t>
      </w:r>
    </w:p>
    <w:p>
      <w:pPr>
        <w:pStyle w:val="BodyText"/>
        <w:spacing w:before="11"/>
      </w:pPr>
    </w:p>
    <w:p>
      <w:pPr>
        <w:pStyle w:val="Heading3"/>
        <w:numPr>
          <w:ilvl w:val="2"/>
          <w:numId w:val="31"/>
        </w:numPr>
        <w:tabs>
          <w:tab w:pos="999" w:val="left" w:leader="none"/>
        </w:tabs>
        <w:spacing w:line="240" w:lineRule="auto" w:before="0" w:after="0"/>
        <w:ind w:left="998" w:right="0" w:hanging="720"/>
        <w:jc w:val="left"/>
        <w:rPr>
          <w:i/>
        </w:rPr>
      </w:pPr>
      <w:bookmarkStart w:name="_bookmark99" w:id="140"/>
      <w:bookmarkEnd w:id="140"/>
      <w:r>
        <w:rPr>
          <w:i w:val="0"/>
        </w:rPr>
      </w:r>
      <w:bookmarkStart w:name="_bookmark99" w:id="141"/>
      <w:bookmarkEnd w:id="141"/>
      <w:r>
        <w:rPr>
          <w:i/>
          <w:color w:val="A21F1F"/>
        </w:rPr>
        <w:t>Ef</w:t>
      </w:r>
      <w:r>
        <w:rPr>
          <w:i/>
          <w:color w:val="A21F1F"/>
        </w:rPr>
        <w:t>fektiviseringseffekter</w:t>
      </w:r>
    </w:p>
    <w:p>
      <w:pPr>
        <w:pStyle w:val="BodyText"/>
        <w:spacing w:line="360" w:lineRule="auto" w:before="241"/>
        <w:ind w:left="278" w:right="995"/>
      </w:pPr>
      <w:r>
        <w:rPr/>
        <w:t>Det giver en virksomhed som Bisbase en effektiviseringseffekt, at de uden yderligere omkostninger end deres egen udviklingstid kan tilgå og anvende både de frie geodata og de frie regnskabsdata. Havde det ikke været muligt, ville Bisbase have været nødsaget til at indkøbe eksempelvis finansielle nøgletal fra en tredjepartsleverandør. Det ville have krævet relativt høje omkostninger for en mindre virksomhed som Bisbase, ligesom en løbende forhandling om øvrige eller tilpassede dataleverancer ville udgøre en barriere.</w:t>
      </w:r>
    </w:p>
    <w:p>
      <w:pPr>
        <w:pStyle w:val="BodyText"/>
        <w:spacing w:before="1"/>
        <w:rPr>
          <w:sz w:val="21"/>
        </w:rPr>
      </w:pPr>
    </w:p>
    <w:p>
      <w:pPr>
        <w:pStyle w:val="BodyText"/>
        <w:spacing w:line="360" w:lineRule="auto"/>
        <w:ind w:left="278" w:right="1022"/>
      </w:pPr>
      <w:r>
        <w:rPr/>
        <w:t>Bisbases løsning er integreret i en række af Nordeas øvrige løsninger. Det giver blandt andet kunderådgivere en række muligheder for effektivt at fremsøge viden og informationer om de enkelte kunder, hvilket betyder, at informationerne anvendes mere aktivt end tidligere. Tilsvarende anvendes den lette adgang til informationer fra Bisbases løsninger som en del af Nordeas forberedelse forud for et kundemøde. Det betyder, at kundemøder kan forberedes og materiale hertil udarbejdes på meget kort tid. På den måde er der sket en udvikling i tilrettelæggelsen af arbejdsopgaver. Tidligere ville banken manuelt søge efter nationale opgørelser/lister i rådgivningen af deres kunder. Det krævede flere ressourcer og gav et ringere grundlag for benchmarking. I dag kan banken anvende et digitalt analyseværktøj, som giver mere relevant og beslutningsunderstøttende rådgivning.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31"/>
        </w:numPr>
        <w:tabs>
          <w:tab w:pos="855" w:val="left" w:leader="none"/>
        </w:tabs>
        <w:spacing w:line="319" w:lineRule="exact" w:before="0" w:after="0"/>
        <w:ind w:left="854" w:right="0" w:hanging="576"/>
        <w:jc w:val="left"/>
        <w:rPr>
          <w:i/>
          <w:color w:val="A21F1F"/>
        </w:rPr>
      </w:pPr>
      <w:bookmarkStart w:name="_bookmark100" w:id="142"/>
      <w:bookmarkEnd w:id="142"/>
      <w:r>
        <w:rPr>
          <w:b w:val="0"/>
          <w:i w:val="0"/>
        </w:rPr>
      </w:r>
      <w:bookmarkStart w:name="_bookmark100" w:id="143"/>
      <w:bookmarkEnd w:id="143"/>
      <w:r>
        <w:rPr>
          <w:i/>
          <w:color w:val="A21F1F"/>
        </w:rPr>
        <w:t>Ge</w:t>
      </w:r>
      <w:r>
        <w:rPr>
          <w:i/>
          <w:color w:val="A21F1F"/>
        </w:rPr>
        <w:t>odata i relation til facility management</w:t>
      </w:r>
      <w:r>
        <w:rPr>
          <w:i/>
          <w:color w:val="A21F1F"/>
          <w:spacing w:val="1"/>
        </w:rPr>
        <w:t> </w:t>
      </w:r>
      <w:r>
        <w:rPr>
          <w:i/>
          <w:color w:val="A21F1F"/>
        </w:rPr>
        <w:t>(FM)</w:t>
      </w:r>
    </w:p>
    <w:p>
      <w:pPr>
        <w:pStyle w:val="BodyText"/>
        <w:spacing w:line="360" w:lineRule="auto" w:before="243"/>
        <w:ind w:left="278" w:right="1185"/>
      </w:pPr>
      <w:r>
        <w:rPr/>
        <w:t>Denne case-undersøgelse belyser, hvordan virksomheden Dalux anvender de frie geodata i deres produkt ”DaluxFM”, som anvendes af kommuner, styrelser, universiteter og private virksomheder med henblik på at styre driften af deres ejendomme (facility management). Hillerød Kommune samt Slots- og Kulturstyrelsen indgår i case-undersøgelsen og repræsenterer to slutbrugere.</w:t>
      </w:r>
    </w:p>
    <w:p>
      <w:pPr>
        <w:pStyle w:val="BodyText"/>
        <w:spacing w:before="1"/>
        <w:rPr>
          <w:sz w:val="21"/>
        </w:rPr>
      </w:pPr>
    </w:p>
    <w:p>
      <w:pPr>
        <w:pStyle w:val="BodyText"/>
        <w:spacing w:line="360" w:lineRule="auto"/>
        <w:ind w:left="278" w:right="1097"/>
      </w:pPr>
      <w:hyperlink w:history="true" w:anchor="_bookmark101">
        <w:r>
          <w:rPr/>
          <w:t>Figur 55 </w:t>
        </w:r>
      </w:hyperlink>
      <w:r>
        <w:rPr/>
        <w:t>viser case-undersøgelsens værdikæde med angivelse af de markeds- og effektiviseringseffekter, som de frie geodata medføre. I de efterfølgende afsnit behandles effekterne i de enkelte led af værdikæden.</w:t>
      </w:r>
    </w:p>
    <w:p>
      <w:pPr>
        <w:pStyle w:val="BodyText"/>
        <w:spacing w:before="1"/>
        <w:rPr>
          <w:sz w:val="21"/>
        </w:rPr>
      </w:pPr>
    </w:p>
    <w:p>
      <w:pPr>
        <w:spacing w:before="0"/>
        <w:ind w:left="278" w:right="0" w:firstLine="0"/>
        <w:jc w:val="left"/>
        <w:rPr>
          <w:i/>
          <w:sz w:val="18"/>
        </w:rPr>
      </w:pPr>
      <w:r>
        <w:rPr/>
        <w:pict>
          <v:shape style="position:absolute;margin-left:441.664917pt;margin-top:16.281921pt;width:102.55pt;height:48.65pt;mso-position-horizontal-relative:page;mso-position-vertical-relative:paragraph;z-index:10064;mso-wrap-distance-left:0;mso-wrap-distance-right:0" type="#_x0000_t202" filled="true" fillcolor="#df6060" stroked="false">
            <v:textbox inset="0,0,0,0">
              <w:txbxContent>
                <w:p>
                  <w:pPr>
                    <w:numPr>
                      <w:ilvl w:val="0"/>
                      <w:numId w:val="32"/>
                    </w:numPr>
                    <w:tabs>
                      <w:tab w:pos="175" w:val="left" w:leader="none"/>
                    </w:tabs>
                    <w:spacing w:before="119"/>
                    <w:ind w:left="174" w:right="0" w:hanging="123"/>
                    <w:jc w:val="left"/>
                    <w:rPr>
                      <w:i/>
                      <w:sz w:val="15"/>
                    </w:rPr>
                  </w:pPr>
                  <w:r>
                    <w:rPr>
                      <w:i/>
                      <w:color w:val="FFFFFF"/>
                      <w:w w:val="105"/>
                      <w:sz w:val="15"/>
                    </w:rPr>
                    <w:t>Effektiviseret indkøb</w:t>
                  </w:r>
                </w:p>
                <w:p>
                  <w:pPr>
                    <w:numPr>
                      <w:ilvl w:val="0"/>
                      <w:numId w:val="32"/>
                    </w:numPr>
                    <w:tabs>
                      <w:tab w:pos="175" w:val="left" w:leader="none"/>
                    </w:tabs>
                    <w:spacing w:line="254" w:lineRule="auto" w:before="7"/>
                    <w:ind w:left="174" w:right="593" w:hanging="123"/>
                    <w:jc w:val="left"/>
                    <w:rPr>
                      <w:i/>
                      <w:sz w:val="15"/>
                    </w:rPr>
                  </w:pPr>
                  <w:r>
                    <w:rPr>
                      <w:i/>
                      <w:color w:val="FFFFFF"/>
                      <w:w w:val="105"/>
                      <w:sz w:val="15"/>
                    </w:rPr>
                    <w:t>Mere målrettet og </w:t>
                  </w:r>
                  <w:r>
                    <w:rPr>
                      <w:i/>
                      <w:color w:val="FFFFFF"/>
                      <w:w w:val="105"/>
                      <w:sz w:val="15"/>
                    </w:rPr>
                    <w:t>effektiv</w:t>
                  </w:r>
                  <w:r>
                    <w:rPr>
                      <w:i/>
                      <w:color w:val="FFFFFF"/>
                      <w:spacing w:val="-1"/>
                      <w:w w:val="105"/>
                      <w:sz w:val="15"/>
                    </w:rPr>
                    <w:t> </w:t>
                  </w:r>
                  <w:r>
                    <w:rPr>
                      <w:i/>
                      <w:color w:val="FFFFFF"/>
                      <w:w w:val="105"/>
                      <w:sz w:val="15"/>
                    </w:rPr>
                    <w:t>indsats</w:t>
                  </w:r>
                </w:p>
                <w:p>
                  <w:pPr>
                    <w:numPr>
                      <w:ilvl w:val="0"/>
                      <w:numId w:val="32"/>
                    </w:numPr>
                    <w:tabs>
                      <w:tab w:pos="175" w:val="left" w:leader="none"/>
                    </w:tabs>
                    <w:spacing w:line="170" w:lineRule="exact" w:before="0"/>
                    <w:ind w:left="174" w:right="0" w:hanging="123"/>
                    <w:jc w:val="left"/>
                    <w:rPr>
                      <w:i/>
                      <w:sz w:val="15"/>
                    </w:rPr>
                  </w:pPr>
                  <w:r>
                    <w:rPr>
                      <w:i/>
                      <w:color w:val="FFFFFF"/>
                      <w:w w:val="105"/>
                      <w:sz w:val="15"/>
                    </w:rPr>
                    <w:t>Viden gjort</w:t>
                  </w:r>
                  <w:r>
                    <w:rPr>
                      <w:i/>
                      <w:color w:val="FFFFFF"/>
                      <w:spacing w:val="-5"/>
                      <w:w w:val="105"/>
                      <w:sz w:val="15"/>
                    </w:rPr>
                    <w:t> </w:t>
                  </w:r>
                  <w:r>
                    <w:rPr>
                      <w:i/>
                      <w:color w:val="FFFFFF"/>
                      <w:w w:val="105"/>
                      <w:sz w:val="15"/>
                    </w:rPr>
                    <w:t>tilgængelig.</w:t>
                  </w:r>
                </w:p>
              </w:txbxContent>
            </v:textbox>
            <v:fill type="solid"/>
            <w10:wrap type="topAndBottom"/>
          </v:shape>
        </w:pict>
      </w:r>
      <w:r>
        <w:rPr/>
        <w:pict>
          <v:group style="position:absolute;margin-left:109.444344pt;margin-top:32.71796pt;width:329.55pt;height:160.050pt;mso-position-horizontal-relative:page;mso-position-vertical-relative:paragraph;z-index:-170080" coordorigin="2189,654" coordsize="6591,3201">
            <v:rect style="position:absolute;left:3040;top:2177;width:1690;height:433" filled="true" fillcolor="#a21f1f" stroked="false">
              <v:fill type="solid"/>
            </v:rect>
            <v:line style="position:absolute" from="2832,2385" to="3025,2385" stroked="true" strokeweight="1.302857pt" strokecolor="#a11c1c">
              <v:stroke dashstyle="solid"/>
            </v:line>
            <v:shape style="position:absolute;left:4084;top:1105;width:547;height:1268" coordorigin="4084,1105" coordsize="547,1268" path="m4571,2315l4565,2321,4560,2333,4561,2347,4566,2359,4576,2368,4589,2373,4603,2372,4616,2367,4626,2357,4631,2345,4631,2343,4578,2343,4571,2315xm4602,2305l4588,2306,4575,2311,4571,2315,4578,2343,4613,2335,4606,2307,4602,2305xm4606,2307l4613,2335,4578,2343,4631,2343,4631,2331,4625,2319,4615,2310,4606,2307xm4285,1126l4571,2315,4575,2311,4588,2306,4602,2305,4606,2305,4325,1139,4303,1139,4285,1126xm4606,2305l4602,2305,4606,2307,4606,2305xm4311,1105l4084,1105,4084,1139,4288,1139,4285,1126,4322,1126,4320,1119,4319,1111,4311,1105xm4322,1126l4285,1126,4303,1139,4325,1139,4322,1126xe" filled="true" fillcolor="#5f221f" stroked="false">
              <v:path arrowok="t"/>
              <v:fill type="solid"/>
            </v:shape>
            <v:line style="position:absolute" from="4724,2387" to="6573,2387" stroked="true" strokeweight="1.269452pt" strokecolor="#a11c1c">
              <v:stroke dashstyle="solid"/>
            </v:line>
            <v:shape style="position:absolute;left:4729;top:1706;width:1838;height:687" coordorigin="4730,1707" coordsize="1838,687" path="m4730,2394l5648,2394,5648,1707,6567,1707e" filled="false" stroked="true" strokeweight=".605278pt" strokecolor="#a11c1c">
              <v:path arrowok="t"/>
              <v:stroke dashstyle="solid"/>
            </v:shape>
            <v:rect style="position:absolute;left:6567;top:864;width:1798;height:433" filled="true" fillcolor="#df6060" stroked="false">
              <v:fill type="solid"/>
            </v:rect>
            <v:shape style="position:absolute;left:4729;top:1081;width:1838;height:1313" coordorigin="4730,1081" coordsize="1838,1313" path="m4730,2394l5648,2394,5648,1081,6567,1081e" filled="false" stroked="true" strokeweight=".612229pt" strokecolor="#a11c1c">
              <v:path arrowok="t"/>
              <v:stroke dashstyle="solid"/>
            </v:shape>
            <v:shape style="position:absolute;left:6567;top:2783;width:1796;height:1073" coordorigin="6567,2783" coordsize="1796,1073" path="m8362,3420l6567,3420,6567,3855,8362,3855,8362,3420m8362,2783l6567,2783,6567,3216,8362,3216,8362,2783e" filled="true" fillcolor="#ea9595" stroked="false">
              <v:path arrowok="t"/>
              <v:fill type="solid"/>
            </v:shape>
            <v:shape style="position:absolute;left:8142;top:2965;width:638;height:570" coordorigin="8142,2965" coordsize="638,570" path="m8179,3468l8170,3468,8157,3474,8147,3483,8142,3496,8142,3509,8148,3521,8158,3530,8172,3535,8186,3535,8198,3530,8208,3520,8212,3511,8193,3511,8162,3492,8179,3468xm8183,3468l8179,3468,8162,3492,8193,3511,8209,3486,8207,3482,8197,3473,8183,3468xm8209,3486l8193,3511,8212,3511,8213,3507,8213,3494,8209,3486xm8221,3468l8183,3468,8197,3473,8207,3482,8209,3486,8221,3468xm8779,2965l8516,2965,8510,2968,8507,2973,8179,3468,8183,3468,8221,3468,8532,3000,8522,3000,8537,2991,8779,2991,8779,2965xm8537,2991l8522,3000,8532,3000,8537,2991xm8779,2991l8537,2991,8532,3000,8779,3000,8779,2991xe" filled="true" fillcolor="#5f221f" stroked="false">
              <v:path arrowok="t"/>
              <v:fill type="solid"/>
            </v:shape>
            <v:shape style="position:absolute;left:3763;top:9241;width:2088;height:1490" coordorigin="3763,9241" coordsize="2088,1490" path="m4730,2394l5648,2394,5648,3000,6567,3000m4730,2394l5648,2394,5648,3638,6567,3638e" filled="false" stroked="true" strokeweight=".617462pt" strokecolor="#a11c1c">
              <v:path arrowok="t"/>
              <v:stroke dashstyle="solid"/>
            </v:shape>
            <v:shape style="position:absolute;left:8226;top:806;width:554;height:212" coordorigin="8226,807" coordsize="554,212" path="m8258,950l8244,955,8233,963,8227,975,8226,988,8231,1001,8240,1011,8253,1017,8266,1018,8280,1014,8291,1005,8294,999,8271,999,8253,969,8279,955,8271,951,8258,950xm8279,955l8253,969,8271,999,8297,985,8298,980,8293,967,8284,957,8279,955xm8297,985l8271,999,8294,999,8297,993,8297,985xm8779,807l8555,807,8552,807,8279,955,8284,957,8293,967,8298,980,8297,985,8563,841,8558,841,8567,838,8779,838,8779,807xm8567,838l8558,841,8563,841,8567,838xm8779,838l8567,838,8563,841,8779,841,8779,838xe" filled="true" fillcolor="#5f221f" stroked="false">
              <v:path arrowok="t"/>
              <v:fill type="solid"/>
            </v:shape>
            <v:shape style="position:absolute;left:6567;top:2783;width:1797;height:433" type="#_x0000_t202" filled="false" stroked="false">
              <v:textbox inset="0,0,0,0">
                <w:txbxContent>
                  <w:p>
                    <w:pPr>
                      <w:spacing w:before="136"/>
                      <w:ind w:left="549" w:right="0" w:firstLine="0"/>
                      <w:jc w:val="left"/>
                      <w:rPr>
                        <w:sz w:val="15"/>
                      </w:rPr>
                    </w:pPr>
                    <w:r>
                      <w:rPr>
                        <w:color w:val="FFFFFF"/>
                        <w:w w:val="105"/>
                        <w:sz w:val="15"/>
                      </w:rPr>
                      <w:t>Styrelse A</w:t>
                    </w:r>
                  </w:p>
                </w:txbxContent>
              </v:textbox>
              <w10:wrap type="none"/>
            </v:shape>
            <v:shape style="position:absolute;left:6567;top:1490;width:1797;height:433" type="#_x0000_t202" filled="true" fillcolor="#df6060" stroked="false">
              <v:textbox inset="0,0,0,0">
                <w:txbxContent>
                  <w:p>
                    <w:pPr>
                      <w:spacing w:before="136"/>
                      <w:ind w:left="467" w:right="0" w:firstLine="0"/>
                      <w:jc w:val="left"/>
                      <w:rPr>
                        <w:sz w:val="15"/>
                      </w:rPr>
                    </w:pPr>
                    <w:r>
                      <w:rPr>
                        <w:color w:val="FFFFFF"/>
                        <w:w w:val="105"/>
                        <w:sz w:val="15"/>
                      </w:rPr>
                      <w:t>Kommune 2</w:t>
                    </w:r>
                  </w:p>
                </w:txbxContent>
              </v:textbox>
              <v:fill type="solid"/>
              <w10:wrap type="none"/>
            </v:shape>
            <v:shape style="position:absolute;left:6567;top:864;width:1797;height:433" type="#_x0000_t202" filled="false" stroked="false">
              <v:textbox inset="0,0,0,0">
                <w:txbxContent>
                  <w:p>
                    <w:pPr>
                      <w:spacing w:before="135"/>
                      <w:ind w:left="220" w:right="0" w:firstLine="0"/>
                      <w:jc w:val="left"/>
                      <w:rPr>
                        <w:sz w:val="15"/>
                      </w:rPr>
                    </w:pPr>
                    <w:r>
                      <w:rPr>
                        <w:color w:val="FFFFFF"/>
                        <w:w w:val="105"/>
                        <w:sz w:val="15"/>
                      </w:rPr>
                      <w:t>Hillerød Kommune</w:t>
                    </w:r>
                  </w:p>
                </w:txbxContent>
              </v:textbox>
              <w10:wrap type="none"/>
            </v:shape>
            <v:shape style="position:absolute;left:6567;top:3420;width:1796;height:435" type="#_x0000_t202" filled="false" stroked="false">
              <v:textbox inset="0,0,0,0">
                <w:txbxContent>
                  <w:p>
                    <w:pPr>
                      <w:spacing w:line="254" w:lineRule="auto" w:before="47"/>
                      <w:ind w:left="357" w:right="341" w:firstLine="238"/>
                      <w:jc w:val="left"/>
                      <w:rPr>
                        <w:sz w:val="15"/>
                      </w:rPr>
                    </w:pPr>
                    <w:r>
                      <w:rPr>
                        <w:color w:val="FFFFFF"/>
                        <w:w w:val="105"/>
                        <w:sz w:val="15"/>
                      </w:rPr>
                      <w:t>Slots- og Kulturstyrelsen</w:t>
                    </w:r>
                  </w:p>
                </w:txbxContent>
              </v:textbox>
              <w10:wrap type="none"/>
            </v:shape>
            <v:shape style="position:absolute;left:3040;top:2177;width:1690;height:433" type="#_x0000_t202" filled="false" stroked="false">
              <v:textbox inset="0,0,0,0">
                <w:txbxContent>
                  <w:p>
                    <w:pPr>
                      <w:spacing w:before="132"/>
                      <w:ind w:left="594" w:right="594" w:firstLine="0"/>
                      <w:jc w:val="center"/>
                      <w:rPr>
                        <w:sz w:val="16"/>
                      </w:rPr>
                    </w:pPr>
                    <w:r>
                      <w:rPr>
                        <w:color w:val="FFFFFF"/>
                        <w:w w:val="110"/>
                        <w:sz w:val="16"/>
                      </w:rPr>
                      <w:t>Dalux</w:t>
                    </w:r>
                  </w:p>
                </w:txbxContent>
              </v:textbox>
              <w10:wrap type="none"/>
            </v:shape>
            <v:shape style="position:absolute;left:6571;top:2137;width:1690;height:433" type="#_x0000_t202" filled="true" fillcolor="#df2f1e" stroked="false">
              <v:textbox inset="0,0,0,0">
                <w:txbxContent>
                  <w:p>
                    <w:pPr>
                      <w:spacing w:before="128"/>
                      <w:ind w:left="324" w:right="0" w:firstLine="0"/>
                      <w:jc w:val="left"/>
                      <w:rPr>
                        <w:rFonts w:ascii="Times New Roman"/>
                        <w:sz w:val="16"/>
                      </w:rPr>
                    </w:pPr>
                    <w:r>
                      <w:rPr>
                        <w:rFonts w:ascii="Times New Roman"/>
                        <w:color w:val="FFFFFF"/>
                        <w:w w:val="110"/>
                        <w:sz w:val="16"/>
                      </w:rPr>
                      <w:t>Virksomhed X</w:t>
                    </w:r>
                  </w:p>
                </w:txbxContent>
              </v:textbox>
              <v:fill type="solid"/>
              <w10:wrap type="none"/>
            </v:shape>
            <v:shape style="position:absolute;left:2188;top:654;width:1857;height:947" type="#_x0000_t202" filled="true" fillcolor="#a21f1f" stroked="false">
              <v:textbox inset="0,0,0,0">
                <w:txbxContent>
                  <w:p>
                    <w:pPr>
                      <w:numPr>
                        <w:ilvl w:val="0"/>
                        <w:numId w:val="33"/>
                      </w:numPr>
                      <w:tabs>
                        <w:tab w:pos="173" w:val="left" w:leader="none"/>
                      </w:tabs>
                      <w:spacing w:before="106"/>
                      <w:ind w:left="172" w:right="0" w:hanging="122"/>
                      <w:jc w:val="left"/>
                      <w:rPr>
                        <w:i/>
                        <w:sz w:val="15"/>
                      </w:rPr>
                    </w:pPr>
                    <w:r>
                      <w:rPr>
                        <w:i/>
                        <w:color w:val="FFFFFF"/>
                        <w:w w:val="105"/>
                        <w:sz w:val="15"/>
                      </w:rPr>
                      <w:t>Øget</w:t>
                    </w:r>
                    <w:r>
                      <w:rPr>
                        <w:i/>
                        <w:color w:val="FFFFFF"/>
                        <w:spacing w:val="-2"/>
                        <w:w w:val="105"/>
                        <w:sz w:val="15"/>
                      </w:rPr>
                      <w:t> </w:t>
                    </w:r>
                    <w:r>
                      <w:rPr>
                        <w:i/>
                        <w:color w:val="FFFFFF"/>
                        <w:w w:val="105"/>
                        <w:sz w:val="15"/>
                      </w:rPr>
                      <w:t>omsætning</w:t>
                    </w:r>
                  </w:p>
                  <w:p>
                    <w:pPr>
                      <w:numPr>
                        <w:ilvl w:val="0"/>
                        <w:numId w:val="33"/>
                      </w:numPr>
                      <w:tabs>
                        <w:tab w:pos="173" w:val="left" w:leader="none"/>
                      </w:tabs>
                      <w:spacing w:line="254" w:lineRule="auto" w:before="7"/>
                      <w:ind w:left="172" w:right="146" w:hanging="122"/>
                      <w:jc w:val="left"/>
                      <w:rPr>
                        <w:i/>
                        <w:sz w:val="15"/>
                      </w:rPr>
                    </w:pPr>
                    <w:r>
                      <w:rPr>
                        <w:i/>
                        <w:color w:val="FFFFFF"/>
                        <w:w w:val="105"/>
                        <w:sz w:val="15"/>
                      </w:rPr>
                      <w:t>Fordobling af antal </w:t>
                    </w:r>
                    <w:r>
                      <w:rPr>
                        <w:i/>
                        <w:color w:val="FFFFFF"/>
                        <w:w w:val="105"/>
                        <w:sz w:val="15"/>
                      </w:rPr>
                      <w:t>medarbejdere på 3</w:t>
                    </w:r>
                    <w:r>
                      <w:rPr>
                        <w:i/>
                        <w:color w:val="FFFFFF"/>
                        <w:spacing w:val="-3"/>
                        <w:w w:val="105"/>
                        <w:sz w:val="15"/>
                      </w:rPr>
                      <w:t> </w:t>
                    </w:r>
                    <w:r>
                      <w:rPr>
                        <w:i/>
                        <w:color w:val="FFFFFF"/>
                        <w:w w:val="105"/>
                        <w:sz w:val="15"/>
                      </w:rPr>
                      <w:t>år</w:t>
                    </w:r>
                  </w:p>
                  <w:p>
                    <w:pPr>
                      <w:numPr>
                        <w:ilvl w:val="0"/>
                        <w:numId w:val="33"/>
                      </w:numPr>
                      <w:tabs>
                        <w:tab w:pos="173" w:val="left" w:leader="none"/>
                      </w:tabs>
                      <w:spacing w:line="170" w:lineRule="exact" w:before="0"/>
                      <w:ind w:left="172" w:right="0" w:hanging="122"/>
                      <w:jc w:val="left"/>
                      <w:rPr>
                        <w:i/>
                        <w:sz w:val="15"/>
                      </w:rPr>
                    </w:pPr>
                    <w:r>
                      <w:rPr>
                        <w:i/>
                        <w:color w:val="FFFFFF"/>
                        <w:w w:val="105"/>
                        <w:sz w:val="15"/>
                      </w:rPr>
                      <w:t>Standard-</w:t>
                    </w:r>
                    <w:r>
                      <w:rPr>
                        <w:i/>
                        <w:color w:val="FFFFFF"/>
                        <w:spacing w:val="-7"/>
                        <w:w w:val="105"/>
                        <w:sz w:val="15"/>
                      </w:rPr>
                      <w:t> </w:t>
                    </w:r>
                    <w:r>
                      <w:rPr>
                        <w:i/>
                        <w:color w:val="FFFFFF"/>
                        <w:w w:val="105"/>
                        <w:sz w:val="15"/>
                      </w:rPr>
                      <w:t>løsning.</w:t>
                    </w:r>
                  </w:p>
                </w:txbxContent>
              </v:textbox>
              <v:fill type="solid"/>
              <w10:wrap type="none"/>
            </v:shape>
            <w10:wrap type="none"/>
          </v:group>
        </w:pict>
      </w:r>
      <w:bookmarkStart w:name="_bookmark101" w:id="144"/>
      <w:bookmarkEnd w:id="144"/>
      <w:r>
        <w:rPr/>
      </w:r>
      <w:r>
        <w:rPr>
          <w:i/>
          <w:color w:val="A21F1F"/>
          <w:sz w:val="18"/>
        </w:rPr>
        <w:t>Figur 55: Illustration af case-undersøgelsens værdikæde for de frie geodata i relation til facility management (FM)</w:t>
      </w:r>
    </w:p>
    <w:p>
      <w:pPr>
        <w:pStyle w:val="BodyText"/>
        <w:rPr>
          <w:i/>
        </w:rPr>
      </w:pPr>
    </w:p>
    <w:p>
      <w:pPr>
        <w:pStyle w:val="BodyText"/>
        <w:rPr>
          <w:i/>
        </w:rPr>
      </w:pPr>
    </w:p>
    <w:p>
      <w:pPr>
        <w:pStyle w:val="BodyText"/>
        <w:spacing w:before="6"/>
        <w:rPr>
          <w:i/>
          <w:sz w:val="23"/>
        </w:rPr>
      </w:pPr>
      <w:r>
        <w:rPr/>
        <w:pict>
          <v:shape style="position:absolute;margin-left:70.900002pt;margin-top:14.608894pt;width:70.55pt;height:30.3pt;mso-position-horizontal-relative:page;mso-position-vertical-relative:paragraph;z-index:10088;mso-wrap-distance-left:0;mso-wrap-distance-right:0" type="#_x0000_t202" filled="true" fillcolor="#520f0f" stroked="false">
            <v:textbox inset="0,0,0,0">
              <w:txbxContent>
                <w:p>
                  <w:pPr>
                    <w:spacing w:line="264" w:lineRule="auto" w:before="118"/>
                    <w:ind w:left="353" w:right="0" w:firstLine="44"/>
                    <w:jc w:val="left"/>
                    <w:rPr>
                      <w:b/>
                      <w:sz w:val="16"/>
                    </w:rPr>
                  </w:pPr>
                  <w:r>
                    <w:rPr>
                      <w:b/>
                      <w:color w:val="FFFFFF"/>
                      <w:w w:val="110"/>
                      <w:sz w:val="16"/>
                    </w:rPr>
                    <w:t>De frie geodata</w:t>
                  </w:r>
                </w:p>
              </w:txbxContent>
            </v:textbox>
            <v:fill type="solid"/>
            <w10:wrap type="topAndBottom"/>
          </v:shape>
        </w:pict>
      </w:r>
      <w:r>
        <w:rPr/>
        <w:pict>
          <v:shape style="position:absolute;margin-left:441.664917pt;margin-top:36.957062pt;width:102.55pt;height:47.55pt;mso-position-horizontal-relative:page;mso-position-vertical-relative:paragraph;z-index:10112;mso-wrap-distance-left:0;mso-wrap-distance-right:0" type="#_x0000_t202" filled="true" fillcolor="#ea9595" stroked="false">
            <v:textbox inset="0,0,0,0">
              <w:txbxContent>
                <w:p>
                  <w:pPr>
                    <w:numPr>
                      <w:ilvl w:val="0"/>
                      <w:numId w:val="34"/>
                    </w:numPr>
                    <w:tabs>
                      <w:tab w:pos="175" w:val="left" w:leader="none"/>
                    </w:tabs>
                    <w:spacing w:line="254" w:lineRule="auto" w:before="30"/>
                    <w:ind w:left="174" w:right="408" w:hanging="123"/>
                    <w:jc w:val="left"/>
                    <w:rPr>
                      <w:i/>
                      <w:sz w:val="15"/>
                    </w:rPr>
                  </w:pPr>
                  <w:r>
                    <w:rPr>
                      <w:i/>
                      <w:color w:val="FFFFFF"/>
                      <w:w w:val="105"/>
                      <w:sz w:val="15"/>
                    </w:rPr>
                    <w:t>Samlet overblik </w:t>
                  </w:r>
                  <w:r>
                    <w:rPr>
                      <w:i/>
                      <w:color w:val="FFFFFF"/>
                      <w:spacing w:val="-5"/>
                      <w:w w:val="105"/>
                      <w:sz w:val="15"/>
                    </w:rPr>
                    <w:t>over </w:t>
                  </w:r>
                  <w:r>
                    <w:rPr>
                      <w:i/>
                      <w:color w:val="FFFFFF"/>
                      <w:w w:val="105"/>
                      <w:sz w:val="15"/>
                    </w:rPr>
                    <w:t>bygningsmasse</w:t>
                  </w:r>
                </w:p>
                <w:p>
                  <w:pPr>
                    <w:numPr>
                      <w:ilvl w:val="0"/>
                      <w:numId w:val="34"/>
                    </w:numPr>
                    <w:tabs>
                      <w:tab w:pos="175" w:val="left" w:leader="none"/>
                    </w:tabs>
                    <w:spacing w:line="254" w:lineRule="auto" w:before="0"/>
                    <w:ind w:left="174" w:right="691" w:hanging="123"/>
                    <w:jc w:val="left"/>
                    <w:rPr>
                      <w:i/>
                      <w:sz w:val="15"/>
                    </w:rPr>
                  </w:pPr>
                  <w:r>
                    <w:rPr>
                      <w:i/>
                      <w:color w:val="FFFFFF"/>
                      <w:w w:val="105"/>
                      <w:sz w:val="15"/>
                    </w:rPr>
                    <w:t>Standardiseret </w:t>
                  </w:r>
                  <w:r>
                    <w:rPr>
                      <w:i/>
                      <w:color w:val="FFFFFF"/>
                      <w:w w:val="105"/>
                      <w:sz w:val="15"/>
                    </w:rPr>
                    <w:t>datamodel og begrebsapparat.</w:t>
                  </w:r>
                </w:p>
              </w:txbxContent>
            </v:textbox>
            <v:fill type="solid"/>
            <w10:wrap type="topAndBottom"/>
          </v:shape>
        </w:pict>
      </w:r>
    </w:p>
    <w:p>
      <w:pPr>
        <w:pStyle w:val="BodyText"/>
        <w:rPr>
          <w:i/>
        </w:rPr>
      </w:pPr>
    </w:p>
    <w:p>
      <w:pPr>
        <w:pStyle w:val="BodyText"/>
        <w:rPr>
          <w:i/>
        </w:rPr>
      </w:pPr>
    </w:p>
    <w:p>
      <w:pPr>
        <w:pStyle w:val="BodyText"/>
        <w:spacing w:before="6"/>
        <w:rPr>
          <w:i/>
          <w:sz w:val="16"/>
        </w:rPr>
      </w:pPr>
      <w:r>
        <w:rPr/>
        <w:pict>
          <v:shape style="position:absolute;margin-left:148.833496pt;margin-top:12.90516pt;width:92.3pt;height:15.35pt;mso-position-horizontal-relative:page;mso-position-vertical-relative:paragraph;z-index:10136;mso-wrap-distance-left:0;mso-wrap-distance-right:0" coordorigin="2977,258" coordsize="1846,307" path="m4823,258l4820,318,4815,367,4806,399,4796,411,3927,411,3916,423,3907,456,3902,505,3900,565,3898,505,3892,456,3883,423,3873,411,3004,411,2993,399,2985,367,2979,318,2977,258e" filled="false" stroked="true" strokeweight=".602186pt" strokecolor="#a11c1c">
            <v:path arrowok="t"/>
            <v:stroke dashstyle="solid"/>
            <w10:wrap type="topAndBottom"/>
          </v:shape>
        </w:pict>
      </w:r>
      <w:r>
        <w:rPr/>
        <w:pict>
          <v:shape style="position:absolute;margin-left:323.286255pt;margin-top:11.702523pt;width:101.6pt;height:14.15pt;mso-position-horizontal-relative:page;mso-position-vertical-relative:paragraph;z-index:10160;mso-wrap-distance-left:0;mso-wrap-distance-right:0" coordorigin="6466,234" coordsize="2032,283" path="m8497,234l8496,289,8490,334,8482,364,8473,375,7506,375,7497,386,7489,417,7484,462,7482,517,7480,462,7474,417,7466,386,7457,375,6491,375,6481,364,6473,334,6468,289,6466,234e" filled="false" stroked="true" strokeweight=".601931pt" strokecolor="#a11c1c">
            <v:path arrowok="t"/>
            <v:stroke dashstyle="solid"/>
            <w10:wrap type="topAndBottom"/>
          </v:shape>
        </w:pict>
      </w:r>
    </w:p>
    <w:p>
      <w:pPr>
        <w:tabs>
          <w:tab w:pos="5792" w:val="left" w:leader="none"/>
        </w:tabs>
        <w:spacing w:before="20"/>
        <w:ind w:left="2283" w:right="0" w:firstLine="0"/>
        <w:jc w:val="left"/>
        <w:rPr>
          <w:b/>
          <w:i/>
          <w:sz w:val="15"/>
        </w:rPr>
      </w:pPr>
      <w:r>
        <w:rPr>
          <w:b/>
          <w:i/>
          <w:w w:val="105"/>
          <w:sz w:val="15"/>
        </w:rPr>
        <w:t>1.-leds-bruger</w:t>
        <w:tab/>
      </w:r>
      <w:r>
        <w:rPr>
          <w:b/>
          <w:i/>
          <w:w w:val="105"/>
          <w:position w:val="4"/>
          <w:sz w:val="15"/>
        </w:rPr>
        <w:t>Slutbrugere</w:t>
      </w:r>
    </w:p>
    <w:p>
      <w:pPr>
        <w:pStyle w:val="BodyText"/>
        <w:rPr>
          <w:b/>
          <w:i/>
        </w:rPr>
      </w:pPr>
    </w:p>
    <w:p>
      <w:pPr>
        <w:pStyle w:val="BodyText"/>
        <w:spacing w:before="4"/>
        <w:rPr>
          <w:b/>
          <w:i/>
          <w:sz w:val="23"/>
        </w:rPr>
      </w:pPr>
    </w:p>
    <w:p>
      <w:pPr>
        <w:pStyle w:val="BodyText"/>
        <w:spacing w:line="360" w:lineRule="auto" w:before="1"/>
        <w:ind w:left="278" w:right="1079"/>
      </w:pPr>
      <w:r>
        <w:rPr/>
        <w:t>DaluxFM er en modulopbygget løsning, der er centreret om et bygningsarkiv, der har en grafisk brugergrænseflade med GIS-funktionaliteter, som giver brugerne en nem adgang til de vigtigste informationer knyttet til deres bygninger og ejendomme. Brugergrænsefladen integrerer sømløst kundernes egne informationer med data fra en række offentlige datakilder, herunder de frie geodata, data fra OIS (den offentlige informationsserver) og PlansystemDK. Løsningen indeholder følgende frie geodata:</w:t>
      </w:r>
    </w:p>
    <w:p>
      <w:pPr>
        <w:pStyle w:val="BodyText"/>
        <w:rPr>
          <w:sz w:val="21"/>
        </w:rPr>
      </w:pPr>
    </w:p>
    <w:p>
      <w:pPr>
        <w:pStyle w:val="ListParagraph"/>
        <w:numPr>
          <w:ilvl w:val="0"/>
          <w:numId w:val="35"/>
        </w:numPr>
        <w:tabs>
          <w:tab w:pos="998" w:val="left" w:leader="none"/>
          <w:tab w:pos="999" w:val="left" w:leader="none"/>
        </w:tabs>
        <w:spacing w:line="240" w:lineRule="auto" w:before="0" w:after="0"/>
        <w:ind w:left="998" w:right="0" w:hanging="360"/>
        <w:jc w:val="left"/>
        <w:rPr>
          <w:sz w:val="20"/>
        </w:rPr>
      </w:pPr>
      <w:r>
        <w:rPr>
          <w:sz w:val="20"/>
        </w:rPr>
        <w:t>Skærmkort</w:t>
      </w:r>
    </w:p>
    <w:p>
      <w:pPr>
        <w:pStyle w:val="ListParagraph"/>
        <w:numPr>
          <w:ilvl w:val="0"/>
          <w:numId w:val="35"/>
        </w:numPr>
        <w:tabs>
          <w:tab w:pos="998" w:val="left" w:leader="none"/>
          <w:tab w:pos="999" w:val="left" w:leader="none"/>
        </w:tabs>
        <w:spacing w:line="240" w:lineRule="auto" w:before="112" w:after="0"/>
        <w:ind w:left="998" w:right="0" w:hanging="360"/>
        <w:jc w:val="left"/>
        <w:rPr>
          <w:sz w:val="20"/>
        </w:rPr>
      </w:pPr>
      <w:r>
        <w:rPr>
          <w:sz w:val="20"/>
        </w:rPr>
        <w:t>Ortofoto</w:t>
      </w:r>
    </w:p>
    <w:p>
      <w:pPr>
        <w:pStyle w:val="ListParagraph"/>
        <w:numPr>
          <w:ilvl w:val="0"/>
          <w:numId w:val="35"/>
        </w:numPr>
        <w:tabs>
          <w:tab w:pos="998" w:val="left" w:leader="none"/>
          <w:tab w:pos="999" w:val="left" w:leader="none"/>
        </w:tabs>
        <w:spacing w:line="240" w:lineRule="auto" w:before="113" w:after="0"/>
        <w:ind w:left="998" w:right="0" w:hanging="360"/>
        <w:jc w:val="left"/>
        <w:rPr>
          <w:sz w:val="20"/>
        </w:rPr>
      </w:pPr>
      <w:r>
        <w:rPr>
          <w:sz w:val="20"/>
        </w:rPr>
        <w:t>GeoDanmark</w:t>
      </w:r>
    </w:p>
    <w:p>
      <w:pPr>
        <w:pStyle w:val="ListParagraph"/>
        <w:numPr>
          <w:ilvl w:val="0"/>
          <w:numId w:val="35"/>
        </w:numPr>
        <w:tabs>
          <w:tab w:pos="998" w:val="left" w:leader="none"/>
          <w:tab w:pos="999" w:val="left" w:leader="none"/>
        </w:tabs>
        <w:spacing w:line="240" w:lineRule="auto" w:before="115" w:after="0"/>
        <w:ind w:left="998" w:right="0" w:hanging="360"/>
        <w:jc w:val="left"/>
        <w:rPr>
          <w:sz w:val="20"/>
        </w:rPr>
      </w:pPr>
      <w:r>
        <w:rPr>
          <w:sz w:val="20"/>
        </w:rPr>
        <w:t>Adresser.</w:t>
      </w:r>
    </w:p>
    <w:p>
      <w:pPr>
        <w:pStyle w:val="BodyText"/>
        <w:spacing w:before="2"/>
        <w:rPr>
          <w:sz w:val="31"/>
        </w:rPr>
      </w:pPr>
    </w:p>
    <w:p>
      <w:pPr>
        <w:pStyle w:val="BodyText"/>
        <w:spacing w:line="360" w:lineRule="auto"/>
        <w:ind w:left="278" w:right="1075"/>
      </w:pPr>
      <w:r>
        <w:rPr/>
        <w:t>Løsningen giver blandt andet kunderne mulighed for at registrere opgaver, akutte såvel som forebyggende, i tilknytning til ejendommene, hvilket muliggør optimering af tid og ressourcer samt løbende prioritering og afrapportering af status.</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0" w:lineRule="exact" w:before="0"/>
        <w:ind w:left="278" w:right="0" w:firstLine="0"/>
        <w:jc w:val="left"/>
        <w:rPr>
          <w:i/>
          <w:sz w:val="18"/>
        </w:rPr>
      </w:pPr>
      <w:r>
        <w:rPr>
          <w:i/>
          <w:color w:val="A21F1F"/>
          <w:sz w:val="18"/>
        </w:rPr>
        <w:t>Figur 56: Eksempler på brugergrænseflade i DaluxFM, hvor de frie geodata kobles til øvrige informationer om</w:t>
      </w:r>
    </w:p>
    <w:p>
      <w:pPr>
        <w:spacing w:line="204" w:lineRule="exact" w:before="0" w:after="3"/>
        <w:ind w:left="278" w:right="0" w:firstLine="0"/>
        <w:jc w:val="left"/>
        <w:rPr>
          <w:i/>
          <w:sz w:val="18"/>
        </w:rPr>
      </w:pPr>
      <w:r>
        <w:rPr>
          <w:i/>
          <w:color w:val="A21F1F"/>
          <w:sz w:val="18"/>
        </w:rPr>
        <w:t>bygninger og ejendomme.</w:t>
      </w:r>
    </w:p>
    <w:p>
      <w:pPr>
        <w:pStyle w:val="BodyText"/>
        <w:ind w:left="278"/>
      </w:pPr>
      <w:r>
        <w:rPr/>
        <w:drawing>
          <wp:inline distT="0" distB="0" distL="0" distR="0">
            <wp:extent cx="6068439" cy="3792854"/>
            <wp:effectExtent l="0" t="0" r="0" b="0"/>
            <wp:docPr id="9" name="image29.jpeg" descr=""/>
            <wp:cNvGraphicFramePr>
              <a:graphicFrameLocks noChangeAspect="1"/>
            </wp:cNvGraphicFramePr>
            <a:graphic>
              <a:graphicData uri="http://schemas.openxmlformats.org/drawingml/2006/picture">
                <pic:pic>
                  <pic:nvPicPr>
                    <pic:cNvPr id="10" name="image29.jpeg"/>
                    <pic:cNvPicPr/>
                  </pic:nvPicPr>
                  <pic:blipFill>
                    <a:blip r:embed="rId42" cstate="print"/>
                    <a:stretch>
                      <a:fillRect/>
                    </a:stretch>
                  </pic:blipFill>
                  <pic:spPr>
                    <a:xfrm>
                      <a:off x="0" y="0"/>
                      <a:ext cx="6068439" cy="3792854"/>
                    </a:xfrm>
                    <a:prstGeom prst="rect">
                      <a:avLst/>
                    </a:prstGeom>
                  </pic:spPr>
                </pic:pic>
              </a:graphicData>
            </a:graphic>
          </wp:inline>
        </w:drawing>
      </w:r>
      <w:r>
        <w:rPr/>
      </w:r>
    </w:p>
    <w:p>
      <w:pPr>
        <w:pStyle w:val="BodyText"/>
        <w:spacing w:before="7"/>
        <w:rPr>
          <w:i/>
          <w:sz w:val="5"/>
        </w:rPr>
      </w:pPr>
    </w:p>
    <w:p>
      <w:pPr>
        <w:pStyle w:val="BodyText"/>
        <w:ind w:left="278"/>
      </w:pPr>
      <w:r>
        <w:rPr/>
        <w:drawing>
          <wp:inline distT="0" distB="0" distL="0" distR="0">
            <wp:extent cx="6068439" cy="3792854"/>
            <wp:effectExtent l="0" t="0" r="0" b="0"/>
            <wp:docPr id="11" name="image30.jpeg" descr=""/>
            <wp:cNvGraphicFramePr>
              <a:graphicFrameLocks noChangeAspect="1"/>
            </wp:cNvGraphicFramePr>
            <a:graphic>
              <a:graphicData uri="http://schemas.openxmlformats.org/drawingml/2006/picture">
                <pic:pic>
                  <pic:nvPicPr>
                    <pic:cNvPr id="12" name="image30.jpeg"/>
                    <pic:cNvPicPr/>
                  </pic:nvPicPr>
                  <pic:blipFill>
                    <a:blip r:embed="rId43" cstate="print"/>
                    <a:stretch>
                      <a:fillRect/>
                    </a:stretch>
                  </pic:blipFill>
                  <pic:spPr>
                    <a:xfrm>
                      <a:off x="0" y="0"/>
                      <a:ext cx="6068439" cy="3792854"/>
                    </a:xfrm>
                    <a:prstGeom prst="rect">
                      <a:avLst/>
                    </a:prstGeom>
                  </pic:spPr>
                </pic:pic>
              </a:graphicData>
            </a:graphic>
          </wp:inline>
        </w:drawing>
      </w:r>
      <w:r>
        <w:rPr/>
      </w:r>
    </w:p>
    <w:p>
      <w:pPr>
        <w:spacing w:before="63"/>
        <w:ind w:left="278" w:right="0" w:firstLine="0"/>
        <w:jc w:val="left"/>
        <w:rPr>
          <w:i/>
          <w:sz w:val="18"/>
        </w:rPr>
      </w:pPr>
      <w:r>
        <w:rPr>
          <w:i/>
          <w:color w:val="A21F1F"/>
          <w:sz w:val="18"/>
        </w:rPr>
        <w:t>Kilde</w:t>
      </w:r>
      <w:hyperlink r:id="rId44">
        <w:r>
          <w:rPr>
            <w:i/>
            <w:color w:val="A21F1F"/>
            <w:sz w:val="18"/>
          </w:rPr>
          <w:t>: www.dalux.dk</w:t>
        </w:r>
      </w:hyperlink>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3"/>
        <w:numPr>
          <w:ilvl w:val="2"/>
          <w:numId w:val="31"/>
        </w:numPr>
        <w:tabs>
          <w:tab w:pos="999" w:val="left" w:leader="none"/>
        </w:tabs>
        <w:spacing w:line="319" w:lineRule="exact" w:before="0" w:after="0"/>
        <w:ind w:left="998" w:right="0" w:hanging="720"/>
        <w:jc w:val="left"/>
        <w:rPr>
          <w:i/>
        </w:rPr>
      </w:pPr>
      <w:bookmarkStart w:name="_bookmark102" w:id="145"/>
      <w:bookmarkEnd w:id="145"/>
      <w:r>
        <w:rPr>
          <w:i w:val="0"/>
        </w:rPr>
      </w:r>
      <w:bookmarkStart w:name="_bookmark102" w:id="146"/>
      <w:bookmarkEnd w:id="146"/>
      <w:r>
        <w:rPr>
          <w:i/>
          <w:color w:val="A21F1F"/>
        </w:rPr>
        <w:t>M</w:t>
      </w:r>
      <w:r>
        <w:rPr>
          <w:i/>
          <w:color w:val="A21F1F"/>
        </w:rPr>
        <w:t>arkedseffekter</w:t>
      </w:r>
    </w:p>
    <w:p>
      <w:pPr>
        <w:pStyle w:val="BodyText"/>
        <w:spacing w:line="360" w:lineRule="auto" w:before="243"/>
        <w:ind w:left="278" w:right="1074"/>
      </w:pPr>
      <w:r>
        <w:rPr/>
        <w:t>Dalux er en relativt ung virksomhed, der blev etableret i 2005 og har en årlig omsætning på ca. 8 mio. kr. Virksomheden har i dag 18 ansatte, hvilket er en fordobling af medarbejderantallet over en treårig periode. Otte af disse arbejder primært med udvikling og markedsføring af DaluxFM-løsningen, der er omdrejningspunktet i case-undersøgelsen.</w:t>
      </w:r>
    </w:p>
    <w:p>
      <w:pPr>
        <w:pStyle w:val="BodyText"/>
        <w:spacing w:before="1"/>
        <w:rPr>
          <w:sz w:val="21"/>
        </w:rPr>
      </w:pPr>
    </w:p>
    <w:p>
      <w:pPr>
        <w:pStyle w:val="BodyText"/>
        <w:spacing w:line="360" w:lineRule="auto"/>
        <w:ind w:left="278" w:right="1042"/>
      </w:pPr>
      <w:r>
        <w:rPr/>
        <w:t>Ifølge Dalux har adgangen til de frie geodata givet en omsætningsforøgelse i omegnen af 25 pct., og virksomheden har en forventning om, at denne positive udvikling vil fortsætte de næste 3-4 år, blandt andet gennem fortsat vækst indenfor den eksisterende kundeportefølje. En af forklaringerne på omsætningsvæksten skal findes i, at Dalux – med adgangen til de frie geodata – kan integrere data tæt med løsningen og udvikle én samlet løsning. Det giver en række skalafordele for virksomheden, idet én og samme løsning kan sælges til alle, potentielle kunder, uden at hverken Dalux eller kunderne skal foretage dataindkøb forud for anvendelse af løsningen.</w:t>
      </w:r>
    </w:p>
    <w:p>
      <w:pPr>
        <w:pStyle w:val="BodyText"/>
        <w:spacing w:before="2"/>
        <w:rPr>
          <w:sz w:val="19"/>
        </w:rPr>
      </w:pPr>
      <w:r>
        <w:rPr/>
        <w:pict>
          <v:shape style="position:absolute;margin-left:117.739998pt;margin-top:12.093711pt;width:385.65pt;height:63.85pt;mso-position-horizontal-relative:page;mso-position-vertical-relative:paragraph;z-index:10424;mso-wrap-distance-left:0;mso-wrap-distance-right:0" type="#_x0000_t202" filled="true" fillcolor="#f1f1f1" stroked="false">
            <v:textbox inset="0,0,0,0">
              <w:txbxContent>
                <w:p>
                  <w:pPr>
                    <w:pStyle w:val="BodyText"/>
                    <w:spacing w:before="2"/>
                    <w:rPr>
                      <w:sz w:val="32"/>
                    </w:rPr>
                  </w:pPr>
                </w:p>
                <w:p>
                  <w:pPr>
                    <w:spacing w:line="360" w:lineRule="auto" w:before="0"/>
                    <w:ind w:left="225" w:right="517" w:firstLine="0"/>
                    <w:jc w:val="left"/>
                    <w:rPr>
                      <w:sz w:val="20"/>
                    </w:rPr>
                  </w:pPr>
                  <w:r>
                    <w:rPr>
                      <w:i/>
                      <w:sz w:val="20"/>
                    </w:rPr>
                    <w:t>”Vi vil gerne nedbryde siloer på tværs af kommunens forvaltninger” – </w:t>
                  </w:r>
                  <w:r>
                    <w:rPr>
                      <w:sz w:val="20"/>
                    </w:rPr>
                    <w:t>Anders Scheel Nielsen, FM-produktansvarlig, Dalux</w:t>
                  </w:r>
                </w:p>
              </w:txbxContent>
            </v:textbox>
            <v:fill type="solid"/>
            <w10:wrap type="topAndBottom"/>
          </v:shape>
        </w:pict>
      </w:r>
    </w:p>
    <w:p>
      <w:pPr>
        <w:pStyle w:val="BodyText"/>
        <w:spacing w:before="9"/>
        <w:rPr>
          <w:sz w:val="19"/>
        </w:rPr>
      </w:pPr>
    </w:p>
    <w:p>
      <w:pPr>
        <w:pStyle w:val="BodyText"/>
        <w:spacing w:line="360" w:lineRule="auto" w:before="100"/>
        <w:ind w:left="278" w:right="995"/>
      </w:pPr>
      <w:r>
        <w:rPr/>
        <w:t>Ifølge Dalux er de den leverandør af FM-løsninger, der er gået længst i forhold til at inkludere de frie geodata og kombinere dem med øvrige informationer. Hertil giver de frie geodata en unik måde at visualisere bygningsmassen på, og med få klik kan brugeren få svar på selv relativt komplicerede spørgsmål og derved få overblik over bygningerne og deres faciliteter. Dalux vurderer, at den tætte integration til de frie geodata samt visualiserings- og formidlingsmulighederne på baggrund heraf giver dem en fordel i forhold til konkurrenterne, da efterspørgslen efter denne type informationer og visualiseringer er stigende.</w:t>
      </w:r>
    </w:p>
    <w:p>
      <w:pPr>
        <w:pStyle w:val="BodyText"/>
        <w:spacing w:before="1"/>
        <w:rPr>
          <w:sz w:val="21"/>
        </w:rPr>
      </w:pPr>
    </w:p>
    <w:p>
      <w:pPr>
        <w:pStyle w:val="BodyText"/>
        <w:spacing w:line="360" w:lineRule="auto"/>
        <w:ind w:left="278" w:right="995"/>
      </w:pPr>
      <w:r>
        <w:rPr/>
        <w:t>På trods af at de frie geodata kun udgør en mindre del af Dalux’ samlede produkt, bidrager de til en stor del af den samlede værdiskabelse for slutbrugerne. Det viser – på lige fod med case-undersøgelsen vedrørende brancheanalyser – at integrationen af geodata i relation til andre data medfører en væsentlig merværdi, selvom geodata isoleret set kun udgør en mindre andel hos den enkelte anvender eller i den samlede dataværdikæde.</w:t>
      </w:r>
    </w:p>
    <w:p>
      <w:pPr>
        <w:pStyle w:val="BodyText"/>
        <w:spacing w:before="10"/>
      </w:pPr>
    </w:p>
    <w:p>
      <w:pPr>
        <w:pStyle w:val="Heading3"/>
        <w:numPr>
          <w:ilvl w:val="2"/>
          <w:numId w:val="31"/>
        </w:numPr>
        <w:tabs>
          <w:tab w:pos="999" w:val="left" w:leader="none"/>
        </w:tabs>
        <w:spacing w:line="240" w:lineRule="auto" w:before="0" w:after="0"/>
        <w:ind w:left="998" w:right="0" w:hanging="720"/>
        <w:jc w:val="left"/>
        <w:rPr>
          <w:i/>
        </w:rPr>
      </w:pPr>
      <w:bookmarkStart w:name="_bookmark103" w:id="147"/>
      <w:bookmarkEnd w:id="147"/>
      <w:r>
        <w:rPr>
          <w:i w:val="0"/>
        </w:rPr>
      </w:r>
      <w:bookmarkStart w:name="_bookmark103" w:id="148"/>
      <w:bookmarkEnd w:id="148"/>
      <w:r>
        <w:rPr>
          <w:i/>
          <w:color w:val="A21F1F"/>
        </w:rPr>
        <w:t>Ef</w:t>
      </w:r>
      <w:r>
        <w:rPr>
          <w:i/>
          <w:color w:val="A21F1F"/>
        </w:rPr>
        <w:t>fektiviseringseffekter</w:t>
      </w:r>
    </w:p>
    <w:p>
      <w:pPr>
        <w:pStyle w:val="BodyText"/>
        <w:spacing w:line="360" w:lineRule="auto" w:before="244"/>
        <w:ind w:left="278" w:right="1061"/>
      </w:pPr>
      <w:r>
        <w:rPr/>
        <w:t>Adgangen til de frie geodata har gjort det lettere for Dalux at integrere geodata og visualisering heraf i deres produkter, ligesom betalingsbarrieren for geodata nu er fjernet. Det har muliggjort, at Dalux kan tilbyde en nedskaleret udgave af deres produkt uden beregning til potentielle kunder, der ønsker at afprøve løsningen, da virksomheden ikke har nævneværdige omkostninger forbundet hermed.</w:t>
      </w:r>
    </w:p>
    <w:p>
      <w:pPr>
        <w:pStyle w:val="BodyText"/>
        <w:spacing w:before="1"/>
        <w:rPr>
          <w:sz w:val="21"/>
        </w:rPr>
      </w:pPr>
    </w:p>
    <w:p>
      <w:pPr>
        <w:pStyle w:val="BodyText"/>
        <w:spacing w:line="360" w:lineRule="auto"/>
        <w:ind w:left="278" w:right="1168"/>
      </w:pPr>
      <w:r>
        <w:rPr/>
        <w:t>Hillerød Kommune indkøbte DaluxFM for ca. to år siden og har taget løsningen i brug i forhold til drift og vedligeholdelse. Tidligere var viden om bygningernes drift forankret i hovedet på de pågældende driftsmedarbejdere, kombineret forskellige listebaserede oversigter over ejendomme, bygninger og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udendørs arealer. Det betød, at meget viden om kommunens ejendomme var forankret hos få personer og</w:t>
      </w:r>
    </w:p>
    <w:p>
      <w:pPr>
        <w:pStyle w:val="BodyText"/>
        <w:spacing w:line="360" w:lineRule="auto" w:before="114"/>
        <w:ind w:left="278" w:right="995"/>
      </w:pPr>
      <w:r>
        <w:rPr/>
        <w:t>var svært tilgængeligt på tværs af kommunens forvaltninger. DaluxFM har bidraget til at få systematiseret og visualiseret den samlede viden om kommunens ejendomme. Det betyder, at informationerne, der tidligere var svært tilgængelige, nu kan anvendes til eksempelvis bedre økonomistyring, kapacitetsanalyser og ledelsesinformation, hvor især den geografiske dimension letter kommunikationen med ledelsen.</w:t>
      </w:r>
    </w:p>
    <w:p>
      <w:pPr>
        <w:pStyle w:val="BodyText"/>
        <w:spacing w:before="1"/>
        <w:rPr>
          <w:sz w:val="21"/>
        </w:rPr>
      </w:pPr>
    </w:p>
    <w:p>
      <w:pPr>
        <w:pStyle w:val="BodyText"/>
        <w:spacing w:line="360" w:lineRule="auto"/>
        <w:ind w:left="278" w:right="1151"/>
      </w:pPr>
      <w:r>
        <w:rPr/>
        <w:t>I Hillerød Kommune giver anvendelsen af DaluxFM også mulighed for at effektivisere deres indkøb, herunder gennemførelse af udbud i forhold til eksempelvis vedligehold af elevatorer, ventilationssystemer og kommunens grønne arealer. Kommunen er også begyndt at arbejde med en graduering af vedligeholdelsesgrader af deres bygninger, hvilket på sigt vil give mulighed for en mere effektiv og målrettet vedligeholdelsesindsats, så ressourcerne prioriteres og bruges bedst muligt ud fra en helhedsbetragtning.</w:t>
      </w:r>
    </w:p>
    <w:p>
      <w:pPr>
        <w:pStyle w:val="BodyText"/>
        <w:spacing w:before="1"/>
        <w:rPr>
          <w:sz w:val="21"/>
        </w:rPr>
      </w:pPr>
    </w:p>
    <w:p>
      <w:pPr>
        <w:pStyle w:val="BodyText"/>
        <w:spacing w:line="360" w:lineRule="auto"/>
        <w:ind w:left="278" w:right="1166"/>
      </w:pPr>
      <w:r>
        <w:rPr/>
        <w:t>Slots- og Kulturstyrelsen har anvendt DaluxFM i ca. fire år og bruger primært systemet til håndtering af drift og vedligehold, administration af lejekontrakter samt kvalitetssikring af BBR-oplysninger. Styrelsen fremhæver især, at de oplever en stor effektivisering i at få samlet alle informationer om deres bygninger, bygningsværker og skulpturer i ét system. Tidligere lå eksempelvis plantegninger over styrelsens ca.</w:t>
      </w:r>
    </w:p>
    <w:p>
      <w:pPr>
        <w:pStyle w:val="BodyText"/>
        <w:spacing w:line="360" w:lineRule="auto" w:before="2"/>
        <w:ind w:left="278" w:right="1092"/>
      </w:pPr>
      <w:r>
        <w:rPr/>
        <w:t>300.000 m</w:t>
      </w:r>
      <w:r>
        <w:rPr>
          <w:position w:val="5"/>
          <w:sz w:val="13"/>
        </w:rPr>
        <w:t>2 </w:t>
      </w:r>
      <w:r>
        <w:rPr/>
        <w:t>mange forskellige steder og var ikke struktureret – og derfor svært tilgængelige. Som en del af implementeringen af løsningen gennemførte styrelsen et standardiseringsarbejde for at få et fælles begrebsapparat og fælles en datamodel på tværs af styrelsen. Arbejdet har været medvirkende til mere effektive processer internt i styrelsen, men krævede allokering af mange medarbejderressourcer over en længere periode. Havde styrelsen på forhånd haft adgang til en fællesoffentlig standard for koblingen mellem geodata og bygningsdata, havde det potentielt givet en yderligere effektiviseringsgevinst.</w:t>
      </w:r>
    </w:p>
    <w:p>
      <w:pPr>
        <w:pStyle w:val="BodyText"/>
        <w:spacing w:before="2"/>
        <w:rPr>
          <w:sz w:val="21"/>
        </w:rPr>
      </w:pPr>
    </w:p>
    <w:p>
      <w:pPr>
        <w:pStyle w:val="BodyText"/>
        <w:ind w:left="278"/>
      </w:pPr>
      <w:r>
        <w:rPr/>
        <w:t>I næste kapitel dykker vi ned i de potentialer og barrierer for fremtidig anvendelse af de frie geodata.</w:t>
      </w:r>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595" w:lineRule="exact" w:before="0"/>
        <w:ind w:left="278" w:right="0" w:firstLine="0"/>
        <w:jc w:val="left"/>
        <w:rPr>
          <w:b/>
          <w:i/>
          <w:sz w:val="56"/>
        </w:rPr>
      </w:pPr>
      <w:bookmarkStart w:name="_bookmark104" w:id="149"/>
      <w:bookmarkEnd w:id="149"/>
      <w:r>
        <w:rPr/>
      </w:r>
      <w:r>
        <w:rPr>
          <w:b/>
          <w:i/>
          <w:sz w:val="56"/>
        </w:rPr>
        <w:t>8 Potentialer og barrierer</w:t>
      </w:r>
      <w:r>
        <w:rPr>
          <w:b/>
          <w:i/>
          <w:spacing w:val="-92"/>
          <w:sz w:val="56"/>
        </w:rPr>
        <w:t> </w:t>
      </w:r>
      <w:r>
        <w:rPr>
          <w:b/>
          <w:i/>
          <w:sz w:val="56"/>
        </w:rPr>
        <w:t>for</w:t>
      </w:r>
    </w:p>
    <w:p>
      <w:pPr>
        <w:spacing w:before="0"/>
        <w:ind w:left="710" w:right="1132" w:firstLine="0"/>
        <w:jc w:val="left"/>
        <w:rPr>
          <w:b/>
          <w:i/>
          <w:sz w:val="56"/>
        </w:rPr>
      </w:pPr>
      <w:r>
        <w:rPr>
          <w:b/>
          <w:i/>
          <w:sz w:val="56"/>
        </w:rPr>
        <w:t>fremtidig anvendelse af de frie </w:t>
      </w:r>
      <w:r>
        <w:rPr>
          <w:b/>
          <w:i/>
          <w:sz w:val="56"/>
        </w:rPr>
        <w:t>geodata</w:t>
      </w:r>
    </w:p>
    <w:p>
      <w:pPr>
        <w:pStyle w:val="BodyText"/>
        <w:spacing w:line="360" w:lineRule="auto" w:before="480"/>
        <w:ind w:left="278" w:right="1114"/>
      </w:pPr>
      <w:r>
        <w:rPr/>
        <w:t>Siden frisættelsen af de frie geodata den 1. januar 2013 er der fjernet en væsentlig adgangsbarriere, nemlig prisen, for private virksomheders og forsyningsselskabers anvendelse af geodata.</w:t>
      </w:r>
    </w:p>
    <w:p>
      <w:pPr>
        <w:pStyle w:val="BodyText"/>
        <w:spacing w:before="1"/>
        <w:rPr>
          <w:sz w:val="21"/>
        </w:rPr>
      </w:pPr>
    </w:p>
    <w:p>
      <w:pPr>
        <w:pStyle w:val="BodyText"/>
        <w:spacing w:line="360" w:lineRule="auto" w:before="1"/>
        <w:ind w:left="278" w:right="1199"/>
      </w:pPr>
      <w:r>
        <w:rPr/>
        <w:t>Siden før-målingen blev gennemført, er der som tidligere beskrevet sket en væsentlig stigning i antallet af brugere på Kortforsyningen, og antallet af træk herfra er ligeledes steget betragteligt. Det er i sig selv en indikator på, at de frie geodata i dag anvendes bredt. Som den analysen i de tidligere kapitler har vist, har de frie geodata bidraget til at realisere potentialer i form af øget innovation og produktudvikling i private virksomheder og ligeledes understøttet, at offentlige myndigheder har kunnet gennemføre deres myndighedsudøvelse og interne arbejdsprocesser mere effektivt.</w:t>
      </w:r>
    </w:p>
    <w:p>
      <w:pPr>
        <w:pStyle w:val="BodyText"/>
        <w:spacing w:before="1"/>
        <w:rPr>
          <w:sz w:val="21"/>
        </w:rPr>
      </w:pPr>
    </w:p>
    <w:p>
      <w:pPr>
        <w:pStyle w:val="BodyText"/>
        <w:spacing w:line="360" w:lineRule="auto"/>
        <w:ind w:left="278" w:right="1022"/>
      </w:pPr>
      <w:r>
        <w:rPr/>
        <w:t>I dette kapitel ser vi nærmere på, hvordan særligt de private virksomheder og i nogen grad forsyningsselskaber, der har deltaget i undersøgelsen, vurderer potentialet for endnu bedre udnyttelse af de frie geodata i fremtiden. Fokus i kapitlet er særligt på de private virksomheder, fordi det er blandt de private virksomheder, at der fremadrettet vil være et potentiale for, at de frie geodata kan bidrage til øget vækst. Dernæst er der en særskilt pointe i, at offentlige myndigheder også forud for frisættelsen af geodata havde fri adgang til data gennem fællesoffentlige aftaler.</w:t>
      </w:r>
    </w:p>
    <w:p>
      <w:pPr>
        <w:pStyle w:val="BodyText"/>
        <w:spacing w:before="1"/>
        <w:rPr>
          <w:sz w:val="21"/>
        </w:rPr>
      </w:pPr>
    </w:p>
    <w:p>
      <w:pPr>
        <w:pStyle w:val="BodyText"/>
        <w:spacing w:line="360" w:lineRule="auto" w:before="1"/>
        <w:ind w:left="278" w:right="1166"/>
      </w:pPr>
      <w:r>
        <w:rPr/>
        <w:t>Vi dykker i dette kapitel blandt andet ned i, om virksomhederne vurderer, at de frie geodata vil være med til at skabe nye dynamikker i markedet, der følger af øget innovation og skærper konkurrencen. Vi vil ligeledes kort berøre, hvordan de offentlige myndigheder vurderer, at de frie geodata fremadrettet kan understøtte, at opgaver løses bedre og mere effektivt.</w:t>
      </w:r>
    </w:p>
    <w:p>
      <w:pPr>
        <w:pStyle w:val="BodyText"/>
        <w:rPr>
          <w:sz w:val="21"/>
        </w:rPr>
      </w:pPr>
    </w:p>
    <w:p>
      <w:pPr>
        <w:pStyle w:val="BodyText"/>
        <w:spacing w:line="360" w:lineRule="auto" w:before="1"/>
        <w:ind w:left="278" w:right="1281"/>
      </w:pPr>
      <w:r>
        <w:rPr/>
        <w:t>Kapitlet belyser desuden, hvilke barrierer de deltagende virksomheder, forsyningsselskaber og offentlige myndigheder vurderer, at der er for øget anvendelse og udnyttelse af de frie geodatas potentialer samt, hvilke tiltag de tre brugergrupper ønsker prioriteret fremadrettet.</w:t>
      </w:r>
    </w:p>
    <w:p>
      <w:pPr>
        <w:pStyle w:val="BodyText"/>
        <w:spacing w:before="10"/>
      </w:pPr>
    </w:p>
    <w:p>
      <w:pPr>
        <w:pStyle w:val="Heading2"/>
        <w:numPr>
          <w:ilvl w:val="1"/>
          <w:numId w:val="36"/>
        </w:numPr>
        <w:tabs>
          <w:tab w:pos="855" w:val="left" w:leader="none"/>
        </w:tabs>
        <w:spacing w:line="240" w:lineRule="auto" w:before="0" w:after="0"/>
        <w:ind w:left="854" w:right="2276" w:hanging="576"/>
        <w:jc w:val="left"/>
      </w:pPr>
      <w:bookmarkStart w:name="_bookmark105" w:id="150"/>
      <w:bookmarkEnd w:id="150"/>
      <w:r>
        <w:rPr>
          <w:b w:val="0"/>
          <w:i w:val="0"/>
        </w:rPr>
      </w:r>
      <w:bookmarkStart w:name="_bookmark105" w:id="151"/>
      <w:bookmarkEnd w:id="151"/>
      <w:r>
        <w:rPr>
          <w:i/>
          <w:color w:val="A21F1F"/>
        </w:rPr>
        <w:t>P</w:t>
      </w:r>
      <w:r>
        <w:rPr>
          <w:i/>
          <w:color w:val="A21F1F"/>
        </w:rPr>
        <w:t>otentialer for fremtidig anvendelse af de frie </w:t>
      </w:r>
      <w:r>
        <w:rPr>
          <w:color w:val="A21F1F"/>
        </w:rPr>
        <w:t>geodata i den private</w:t>
      </w:r>
      <w:r>
        <w:rPr>
          <w:color w:val="A21F1F"/>
          <w:spacing w:val="-1"/>
        </w:rPr>
        <w:t> </w:t>
      </w:r>
      <w:r>
        <w:rPr>
          <w:color w:val="A21F1F"/>
        </w:rPr>
        <w:t>sektor</w:t>
      </w:r>
    </w:p>
    <w:p>
      <w:pPr>
        <w:pStyle w:val="BodyText"/>
        <w:spacing w:line="360" w:lineRule="auto" w:before="243"/>
        <w:ind w:left="278" w:right="1066"/>
      </w:pPr>
      <w:r>
        <w:rPr/>
        <w:t>En vigtig faktor i vurderingen af det fremadrettede markedspotentiale for øget anvendelse og udnyttelse af de frie geodata er, hvorvidt de private virksomheder forventer, at de frie geodata vil have en positiv effekt på virksomhedernes omsætning. I spørgeskemaundersøgelsen har PwC derfor spurgt ind til, om virksomhederne forventer, at de frie geodata på 3-4 års sigt vil påvirke væksten i virksomhedens omsætning. Ca. 70 pct. af de adspurgte virksomheder forventer, at de frie geodata vil have en betydning for virksomhedens vækst på 3-4 års sigt, jf. </w:t>
      </w:r>
      <w:hyperlink w:history="true" w:anchor="_bookmark106">
        <w:r>
          <w:rPr/>
          <w:t>Figur 57.</w:t>
        </w:r>
      </w:hyperlink>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58" w:lineRule="exact" w:before="0"/>
        <w:ind w:left="278" w:right="0" w:firstLine="0"/>
        <w:jc w:val="left"/>
        <w:rPr>
          <w:i/>
          <w:sz w:val="18"/>
        </w:rPr>
      </w:pPr>
      <w:bookmarkStart w:name="_bookmark106" w:id="152"/>
      <w:bookmarkEnd w:id="152"/>
      <w:r>
        <w:rPr/>
      </w:r>
      <w:r>
        <w:rPr>
          <w:i/>
          <w:color w:val="A21F1F"/>
          <w:sz w:val="18"/>
        </w:rPr>
        <w:t>Figur 57: Private virksomheders vurdering af betydningen af de frie geodata for væksten i omsætningen på 3-4 års</w:t>
      </w:r>
    </w:p>
    <w:p>
      <w:pPr>
        <w:spacing w:before="103"/>
        <w:ind w:left="278" w:right="0" w:firstLine="0"/>
        <w:jc w:val="left"/>
        <w:rPr>
          <w:i/>
          <w:sz w:val="18"/>
        </w:rPr>
      </w:pPr>
      <w:r>
        <w:rPr>
          <w:i/>
          <w:color w:val="A21F1F"/>
          <w:sz w:val="18"/>
        </w:rPr>
        <w:t>sigt</w:t>
      </w:r>
    </w:p>
    <w:p>
      <w:pPr>
        <w:pStyle w:val="BodyText"/>
        <w:spacing w:before="5"/>
        <w:rPr>
          <w:i/>
          <w:sz w:val="16"/>
        </w:rPr>
      </w:pPr>
      <w:r>
        <w:rPr/>
        <w:pict>
          <v:group style="position:absolute;margin-left:70.900002pt;margin-top:11.310794pt;width:468pt;height:129.6pt;mso-position-horizontal-relative:page;mso-position-vertical-relative:paragraph;z-index:10856;mso-wrap-distance-left:0;mso-wrap-distance-right:0" coordorigin="1418,226" coordsize="9360,2592">
            <v:rect style="position:absolute;left:1418;top:226;width:9360;height:2592" filled="true" fillcolor="#f1f1f1" stroked="false">
              <v:fill type="solid"/>
            </v:rect>
            <v:line style="position:absolute" from="4860,274" to="4860,759" stroked="true" strokeweight=".75pt" strokecolor="#d9d9d9">
              <v:stroke dashstyle="solid"/>
            </v:line>
            <v:line style="position:absolute" from="4860,889" to="4860,1127" stroked="true" strokeweight=".75pt" strokecolor="#d9d9d9">
              <v:stroke dashstyle="solid"/>
            </v:line>
            <v:line style="position:absolute" from="4860,1256" to="4860,1491" stroked="true" strokeweight=".75pt" strokecolor="#d9d9d9">
              <v:stroke dashstyle="solid"/>
            </v:line>
            <v:line style="position:absolute" from="4860,1621" to="4860,1859" stroked="true" strokeweight=".75pt" strokecolor="#d9d9d9">
              <v:stroke dashstyle="solid"/>
            </v:line>
            <v:line style="position:absolute" from="4860,1988" to="4860,2226" stroked="true" strokeweight=".75pt" strokecolor="#d9d9d9">
              <v:stroke dashstyle="solid"/>
            </v:line>
            <v:line style="position:absolute" from="4860,2355" to="4860,2474" stroked="true" strokeweight=".75pt" strokecolor="#d9d9d9">
              <v:stroke dashstyle="solid"/>
            </v:line>
            <v:line style="position:absolute" from="5983,274" to="5983,759" stroked="true" strokeweight=".75pt" strokecolor="#d9d9d9">
              <v:stroke dashstyle="solid"/>
            </v:line>
            <v:line style="position:absolute" from="5983,889" to="5983,1127" stroked="true" strokeweight=".75pt" strokecolor="#d9d9d9">
              <v:stroke dashstyle="solid"/>
            </v:line>
            <v:line style="position:absolute" from="5983,1256" to="5983,1491" stroked="true" strokeweight=".75pt" strokecolor="#d9d9d9">
              <v:stroke dashstyle="solid"/>
            </v:line>
            <v:line style="position:absolute" from="5983,1621" to="5983,1859" stroked="true" strokeweight=".75pt" strokecolor="#d9d9d9">
              <v:stroke dashstyle="solid"/>
            </v:line>
            <v:line style="position:absolute" from="5983,1988" to="5983,2226" stroked="true" strokeweight=".75pt" strokecolor="#d9d9d9">
              <v:stroke dashstyle="solid"/>
            </v:line>
            <v:line style="position:absolute" from="5983,2355" to="5983,2474" stroked="true" strokeweight=".75pt" strokecolor="#d9d9d9">
              <v:stroke dashstyle="solid"/>
            </v:line>
            <v:line style="position:absolute" from="7109,274" to="7109,759" stroked="true" strokeweight=".75pt" strokecolor="#d9d9d9">
              <v:stroke dashstyle="solid"/>
            </v:line>
            <v:line style="position:absolute" from="7109,889" to="7109,1127" stroked="true" strokeweight=".75pt" strokecolor="#d9d9d9">
              <v:stroke dashstyle="solid"/>
            </v:line>
            <v:line style="position:absolute" from="7109,1256" to="7109,1491" stroked="true" strokeweight=".75pt" strokecolor="#d9d9d9">
              <v:stroke dashstyle="solid"/>
            </v:line>
            <v:line style="position:absolute" from="7109,1621" to="7109,1859" stroked="true" strokeweight=".75pt" strokecolor="#d9d9d9">
              <v:stroke dashstyle="solid"/>
            </v:line>
            <v:line style="position:absolute" from="7109,1988" to="7109,2226" stroked="true" strokeweight=".75pt" strokecolor="#d9d9d9">
              <v:stroke dashstyle="solid"/>
            </v:line>
            <v:line style="position:absolute" from="7109,2355" to="7109,2474" stroked="true" strokeweight=".75pt" strokecolor="#d9d9d9">
              <v:stroke dashstyle="solid"/>
            </v:line>
            <v:line style="position:absolute" from="8232,274" to="8232,1127" stroked="true" strokeweight=".75pt" strokecolor="#d9d9d9">
              <v:stroke dashstyle="solid"/>
            </v:line>
            <v:line style="position:absolute" from="8232,1256" to="8232,1491" stroked="true" strokeweight=".75pt" strokecolor="#d9d9d9">
              <v:stroke dashstyle="solid"/>
            </v:line>
            <v:line style="position:absolute" from="8232,1621" to="8232,2474" stroked="true" strokeweight=".75pt" strokecolor="#d9d9d9">
              <v:stroke dashstyle="solid"/>
            </v:line>
            <v:line style="position:absolute" from="9355,274" to="9355,1491" stroked="true" strokeweight=".75pt" strokecolor="#d9d9d9">
              <v:stroke dashstyle="solid"/>
            </v:line>
            <v:line style="position:absolute" from="9355,1621" to="9355,2474" stroked="true" strokeweight=".75pt" strokecolor="#d9d9d9">
              <v:stroke dashstyle="solid"/>
            </v:line>
            <v:line style="position:absolute" from="10480,274" to="10480,2474" stroked="true" strokeweight=".75pt" strokecolor="#d9d9d9">
              <v:stroke dashstyle="solid"/>
            </v:line>
            <v:line style="position:absolute" from="3736,2291" to="7176,2291" stroked="true" strokeweight="6.48pt" strokecolor="#a21f1f">
              <v:stroke dashstyle="solid"/>
            </v:line>
            <v:line style="position:absolute" from="3736,1923" to="7634,1923" stroked="true" strokeweight="6.48pt" strokecolor="#a21f1f">
              <v:stroke dashstyle="solid"/>
            </v:line>
            <v:line style="position:absolute" from="3736,1556" to="9929,1556" stroked="true" strokeweight="6.48pt" strokecolor="#a21f1f">
              <v:stroke dashstyle="solid"/>
            </v:line>
            <v:line style="position:absolute" from="3736,1191" to="8554,1191" stroked="true" strokeweight="6.48pt" strokecolor="#a21f1f">
              <v:stroke dashstyle="solid"/>
            </v:line>
            <v:line style="position:absolute" from="3736,824" to="7176,824" stroked="true" strokeweight="6.48pt" strokecolor="#a21f1f">
              <v:stroke dashstyle="solid"/>
            </v:line>
            <v:line style="position:absolute" from="3736,457" to="4423,457" stroked="true" strokeweight="6.48pt" strokecolor="#a21f1f">
              <v:stroke dashstyle="solid"/>
            </v:line>
            <v:line style="position:absolute" from="3736,2474" to="3736,274" stroked="true" strokeweight=".75pt" strokecolor="#d9d9d9">
              <v:stroke dashstyle="solid"/>
            </v:line>
            <v:shape style="position:absolute;left:1887;top:349;width:1712;height:2038" type="#_x0000_t202" filled="false" stroked="false">
              <v:textbox inset="0,0,0,0">
                <w:txbxContent>
                  <w:p>
                    <w:pPr>
                      <w:spacing w:before="0"/>
                      <w:ind w:left="0" w:right="0" w:firstLine="0"/>
                      <w:jc w:val="left"/>
                      <w:rPr>
                        <w:sz w:val="18"/>
                      </w:rPr>
                    </w:pPr>
                    <w:r>
                      <w:rPr>
                        <w:color w:val="585858"/>
                        <w:sz w:val="18"/>
                      </w:rPr>
                      <w:t>Meget stor</w:t>
                    </w:r>
                    <w:r>
                      <w:rPr>
                        <w:color w:val="585858"/>
                        <w:spacing w:val="-11"/>
                        <w:sz w:val="18"/>
                      </w:rPr>
                      <w:t> </w:t>
                    </w:r>
                    <w:r>
                      <w:rPr>
                        <w:color w:val="585858"/>
                        <w:sz w:val="18"/>
                      </w:rPr>
                      <w:t>betydning</w:t>
                    </w:r>
                  </w:p>
                  <w:p>
                    <w:pPr>
                      <w:spacing w:line="429" w:lineRule="auto" w:before="162"/>
                      <w:ind w:left="258" w:right="18" w:firstLine="256"/>
                      <w:jc w:val="right"/>
                      <w:rPr>
                        <w:sz w:val="18"/>
                      </w:rPr>
                    </w:pPr>
                    <w:r>
                      <w:rPr>
                        <w:color w:val="585858"/>
                        <w:sz w:val="18"/>
                      </w:rPr>
                      <w:t>Stor</w:t>
                    </w:r>
                    <w:r>
                      <w:rPr>
                        <w:color w:val="585858"/>
                        <w:spacing w:val="9"/>
                        <w:sz w:val="18"/>
                      </w:rPr>
                      <w:t> </w:t>
                    </w:r>
                    <w:r>
                      <w:rPr>
                        <w:color w:val="585858"/>
                        <w:spacing w:val="-3"/>
                        <w:sz w:val="18"/>
                      </w:rPr>
                      <w:t>betydning</w:t>
                    </w:r>
                    <w:r>
                      <w:rPr>
                        <w:color w:val="585858"/>
                        <w:sz w:val="18"/>
                      </w:rPr>
                      <w:t> Nogen</w:t>
                    </w:r>
                    <w:r>
                      <w:rPr>
                        <w:color w:val="585858"/>
                        <w:spacing w:val="-9"/>
                        <w:sz w:val="18"/>
                      </w:rPr>
                      <w:t> </w:t>
                    </w:r>
                    <w:r>
                      <w:rPr>
                        <w:color w:val="585858"/>
                        <w:sz w:val="18"/>
                      </w:rPr>
                      <w:t>betydning Mindre</w:t>
                    </w:r>
                    <w:r>
                      <w:rPr>
                        <w:color w:val="585858"/>
                        <w:spacing w:val="-8"/>
                        <w:sz w:val="18"/>
                      </w:rPr>
                      <w:t> </w:t>
                    </w:r>
                    <w:r>
                      <w:rPr>
                        <w:color w:val="585858"/>
                        <w:sz w:val="18"/>
                      </w:rPr>
                      <w:t>betydning Ingen</w:t>
                    </w:r>
                    <w:r>
                      <w:rPr>
                        <w:color w:val="585858"/>
                        <w:spacing w:val="-8"/>
                        <w:sz w:val="18"/>
                      </w:rPr>
                      <w:t> </w:t>
                    </w:r>
                    <w:r>
                      <w:rPr>
                        <w:color w:val="585858"/>
                        <w:sz w:val="18"/>
                      </w:rPr>
                      <w:t>betydning</w:t>
                    </w:r>
                  </w:p>
                  <w:p>
                    <w:pPr>
                      <w:spacing w:before="2"/>
                      <w:ind w:left="0" w:right="18" w:firstLine="0"/>
                      <w:jc w:val="right"/>
                      <w:rPr>
                        <w:sz w:val="18"/>
                      </w:rPr>
                    </w:pPr>
                    <w:r>
                      <w:rPr>
                        <w:color w:val="585858"/>
                        <w:sz w:val="18"/>
                      </w:rPr>
                      <w:t>Ved</w:t>
                    </w:r>
                    <w:r>
                      <w:rPr>
                        <w:color w:val="585858"/>
                        <w:spacing w:val="-1"/>
                        <w:sz w:val="18"/>
                      </w:rPr>
                      <w:t> </w:t>
                    </w:r>
                    <w:r>
                      <w:rPr>
                        <w:color w:val="585858"/>
                        <w:sz w:val="18"/>
                      </w:rPr>
                      <w:t>ikke</w:t>
                    </w:r>
                  </w:p>
                </w:txbxContent>
              </v:textbox>
              <w10:wrap type="none"/>
            </v:shape>
            <v:shape style="position:absolute;left:4545;top:356;width:265;height:205" type="#_x0000_t202" filled="false" stroked="false">
              <v:textbox inset="0,0,0,0">
                <w:txbxContent>
                  <w:p>
                    <w:pPr>
                      <w:spacing w:before="0"/>
                      <w:ind w:left="0" w:right="0" w:firstLine="0"/>
                      <w:jc w:val="left"/>
                      <w:rPr>
                        <w:sz w:val="18"/>
                      </w:rPr>
                    </w:pPr>
                    <w:r>
                      <w:rPr>
                        <w:color w:val="404040"/>
                        <w:sz w:val="18"/>
                      </w:rPr>
                      <w:t>3%</w:t>
                    </w:r>
                  </w:p>
                </w:txbxContent>
              </v:textbox>
              <w10:wrap type="none"/>
            </v:shape>
            <v:shape style="position:absolute;left:8673;top:1089;width:346;height:205" type="#_x0000_t202" filled="false" stroked="false">
              <v:textbox inset="0,0,0,0">
                <w:txbxContent>
                  <w:p>
                    <w:pPr>
                      <w:spacing w:before="0"/>
                      <w:ind w:left="0" w:right="0" w:firstLine="0"/>
                      <w:jc w:val="left"/>
                      <w:rPr>
                        <w:sz w:val="18"/>
                      </w:rPr>
                    </w:pPr>
                    <w:r>
                      <w:rPr>
                        <w:color w:val="404040"/>
                        <w:sz w:val="18"/>
                      </w:rPr>
                      <w:t>21%</w:t>
                    </w:r>
                  </w:p>
                </w:txbxContent>
              </v:textbox>
              <w10:wrap type="none"/>
            </v:shape>
            <v:shape style="position:absolute;left:10050;top:1455;width:376;height:205" type="#_x0000_t202" filled="false" stroked="false">
              <v:textbox inset="0,0,0,0">
                <w:txbxContent>
                  <w:p>
                    <w:pPr>
                      <w:spacing w:before="0"/>
                      <w:ind w:left="0" w:right="0" w:firstLine="0"/>
                      <w:jc w:val="left"/>
                      <w:rPr>
                        <w:sz w:val="18"/>
                      </w:rPr>
                    </w:pPr>
                    <w:r>
                      <w:rPr>
                        <w:color w:val="404040"/>
                        <w:sz w:val="18"/>
                      </w:rPr>
                      <w:t>28%</w:t>
                    </w:r>
                  </w:p>
                </w:txbxContent>
              </v:textbox>
              <w10:wrap type="none"/>
            </v:shape>
            <v:shape style="position:absolute;left:7755;top:1822;width:336;height:205" type="#_x0000_t202" filled="false" stroked="false">
              <v:textbox inset="0,0,0,0">
                <w:txbxContent>
                  <w:p>
                    <w:pPr>
                      <w:spacing w:before="0"/>
                      <w:ind w:left="0" w:right="0" w:firstLine="0"/>
                      <w:jc w:val="left"/>
                      <w:rPr>
                        <w:sz w:val="18"/>
                      </w:rPr>
                    </w:pPr>
                    <w:r>
                      <w:rPr>
                        <w:color w:val="404040"/>
                        <w:sz w:val="18"/>
                      </w:rPr>
                      <w:t>17%</w:t>
                    </w:r>
                  </w:p>
                </w:txbxContent>
              </v:textbox>
              <w10:wrap type="none"/>
            </v:shape>
            <v:shape style="position:absolute;left:7297;top:2188;width:340;height:205" type="#_x0000_t202" filled="false" stroked="false">
              <v:textbox inset="0,0,0,0">
                <w:txbxContent>
                  <w:p>
                    <w:pPr>
                      <w:spacing w:before="0"/>
                      <w:ind w:left="0" w:right="0" w:firstLine="0"/>
                      <w:jc w:val="left"/>
                      <w:rPr>
                        <w:sz w:val="18"/>
                      </w:rPr>
                    </w:pPr>
                    <w:r>
                      <w:rPr>
                        <w:color w:val="404040"/>
                        <w:sz w:val="18"/>
                      </w:rPr>
                      <w:t>15%</w:t>
                    </w:r>
                  </w:p>
                </w:txbxContent>
              </v:textbox>
              <w10:wrap type="none"/>
            </v:shape>
            <v:shape style="position:absolute;left:3607;top:2584;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4739;top:2584;width:265;height:205" type="#_x0000_t202" filled="false" stroked="false">
              <v:textbox inset="0,0,0,0">
                <w:txbxContent>
                  <w:p>
                    <w:pPr>
                      <w:spacing w:before="0"/>
                      <w:ind w:left="0" w:right="0" w:firstLine="0"/>
                      <w:jc w:val="left"/>
                      <w:rPr>
                        <w:sz w:val="18"/>
                      </w:rPr>
                    </w:pPr>
                    <w:r>
                      <w:rPr>
                        <w:color w:val="585858"/>
                        <w:sz w:val="18"/>
                      </w:rPr>
                      <w:t>5%</w:t>
                    </w:r>
                  </w:p>
                </w:txbxContent>
              </v:textbox>
              <w10:wrap type="none"/>
            </v:shape>
            <v:shape style="position:absolute;left:5817;top:2584;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6949;top:2584;width:340;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8054;top:2584;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9185;top:2584;width:364;height:205" type="#_x0000_t202" filled="false" stroked="false">
              <v:textbox inset="0,0,0,0">
                <w:txbxContent>
                  <w:p>
                    <w:pPr>
                      <w:spacing w:before="0"/>
                      <w:ind w:left="0" w:right="0" w:firstLine="0"/>
                      <w:jc w:val="left"/>
                      <w:rPr>
                        <w:sz w:val="18"/>
                      </w:rPr>
                    </w:pPr>
                    <w:r>
                      <w:rPr>
                        <w:color w:val="585858"/>
                        <w:sz w:val="18"/>
                      </w:rPr>
                      <w:t>25%</w:t>
                    </w:r>
                  </w:p>
                </w:txbxContent>
              </v:textbox>
              <w10:wrap type="none"/>
            </v:shape>
            <v:shape style="position:absolute;left:10303;top:2584;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7116;top:226;width:1109;height:901" type="#_x0000_t202" filled="false" stroked="false">
              <v:textbox inset="0,0,0,0">
                <w:txbxContent>
                  <w:p>
                    <w:pPr>
                      <w:spacing w:line="240" w:lineRule="auto" w:before="0"/>
                      <w:rPr>
                        <w:i/>
                        <w:sz w:val="20"/>
                      </w:rPr>
                    </w:pPr>
                  </w:p>
                  <w:p>
                    <w:pPr>
                      <w:spacing w:line="240" w:lineRule="auto" w:before="8"/>
                      <w:rPr>
                        <w:i/>
                        <w:sz w:val="23"/>
                      </w:rPr>
                    </w:pPr>
                  </w:p>
                  <w:p>
                    <w:pPr>
                      <w:spacing w:before="0"/>
                      <w:ind w:left="180" w:right="0" w:firstLine="0"/>
                      <w:jc w:val="left"/>
                      <w:rPr>
                        <w:sz w:val="18"/>
                      </w:rPr>
                    </w:pPr>
                    <w:r>
                      <w:rPr>
                        <w:color w:val="404040"/>
                        <w:sz w:val="18"/>
                      </w:rPr>
                      <w:t>15%</w:t>
                    </w:r>
                  </w:p>
                </w:txbxContent>
              </v:textbox>
              <w10:wrap type="none"/>
            </v:shape>
            <w10:wrap type="topAndBottom"/>
          </v:group>
        </w:pict>
      </w:r>
    </w:p>
    <w:p>
      <w:pPr>
        <w:pStyle w:val="BodyText"/>
        <w:spacing w:before="5"/>
        <w:rPr>
          <w:i/>
          <w:sz w:val="18"/>
        </w:rPr>
      </w:pPr>
    </w:p>
    <w:p>
      <w:pPr>
        <w:spacing w:before="0"/>
        <w:ind w:left="278" w:right="0" w:firstLine="0"/>
        <w:jc w:val="left"/>
        <w:rPr>
          <w:i/>
          <w:sz w:val="18"/>
        </w:rPr>
      </w:pPr>
      <w:r>
        <w:rPr>
          <w:b/>
          <w:i/>
          <w:color w:val="A21F1F"/>
          <w:sz w:val="18"/>
        </w:rPr>
        <w:t>Kilde</w:t>
      </w:r>
      <w:r>
        <w:rPr>
          <w:i/>
          <w:color w:val="A21F1F"/>
          <w:sz w:val="18"/>
        </w:rPr>
        <w:t>: Spørgeskemaundersøgelse udført blandt private virksomheder</w:t>
      </w:r>
    </w:p>
    <w:p>
      <w:pPr>
        <w:spacing w:before="120"/>
        <w:ind w:left="278" w:right="0" w:firstLine="0"/>
        <w:jc w:val="left"/>
        <w:rPr>
          <w:i/>
          <w:sz w:val="18"/>
        </w:rPr>
      </w:pPr>
      <w:r>
        <w:rPr>
          <w:b/>
          <w:i/>
          <w:color w:val="A21F1F"/>
          <w:sz w:val="18"/>
        </w:rPr>
        <w:t>N</w:t>
      </w:r>
      <w:r>
        <w:rPr>
          <w:i/>
          <w:color w:val="A21F1F"/>
          <w:sz w:val="18"/>
        </w:rPr>
        <w:t>: 98</w:t>
      </w:r>
    </w:p>
    <w:p>
      <w:pPr>
        <w:pStyle w:val="BodyText"/>
        <w:spacing w:before="6"/>
        <w:rPr>
          <w:i/>
          <w:sz w:val="28"/>
        </w:rPr>
      </w:pPr>
    </w:p>
    <w:p>
      <w:pPr>
        <w:pStyle w:val="BodyText"/>
        <w:spacing w:line="362" w:lineRule="auto"/>
        <w:ind w:left="278" w:right="1170"/>
      </w:pPr>
      <w:r>
        <w:rPr/>
        <w:t>Denne tendens er også blevet bekræftet i case-undersøgelserne, hvor bl.a. Scalgo forventer en øget vækst i salget af deres løsninger, blandt andet til nye sektorer, som fx bygge- og anlægsbranchen.</w:t>
      </w:r>
    </w:p>
    <w:p>
      <w:pPr>
        <w:pStyle w:val="BodyText"/>
        <w:spacing w:before="11"/>
      </w:pPr>
    </w:p>
    <w:p>
      <w:pPr>
        <w:pStyle w:val="BodyText"/>
        <w:spacing w:line="360" w:lineRule="auto"/>
        <w:ind w:left="278" w:right="1060"/>
      </w:pPr>
      <w:r>
        <w:rPr/>
        <w:t>Blandt forsyningsselskaberne er det 54 pct., der vurderer, at de frie geodata ikke har betydning for væksten i omsætningen over en 3-4 års sigt. Det skyldes angiveligt, at geodata fortrinsvist anvendes til interne arbejdsprocesser og kontrolopgaver i forsyningsselskaberne.</w:t>
      </w:r>
    </w:p>
    <w:p>
      <w:pPr>
        <w:pStyle w:val="BodyText"/>
        <w:spacing w:before="1"/>
        <w:rPr>
          <w:sz w:val="21"/>
        </w:rPr>
      </w:pPr>
    </w:p>
    <w:p>
      <w:pPr>
        <w:pStyle w:val="BodyText"/>
        <w:spacing w:line="360" w:lineRule="auto"/>
        <w:ind w:left="278" w:right="1168"/>
      </w:pPr>
      <w:r>
        <w:rPr/>
        <w:t>Igennem case-undersøgelserne er det blevet bekræftet, at det er en vigtig faktor i virksomhedernes forventning om, hvorvidt de frie geodata har en positiv indvirkning på virksomhedernes omsætning, at de frie geodata giver mulighed for ”leg” og innovation i forhold til produktudvikling. I spørgeskemaundersøgelsen har PwC bedt virksomhederne vurdere, hvilke drivkræfter der i forhold til at benytte de frie geodata til innovationsprocesser. Her svarer 46 pct. af virksomhederne, at de frie geodata giver mulighed for at forbedre eksisterende produkter og ydelser eller optimere eksisterede processer i virksomhederne. Ligeledes angiver mange af de deltagende virksomheder, at de ser et innovationspotentiale i at kombinere de frie geodata med andre datatyper for at udvikle nye produkter og ydelser. Denne tendens blev også bekræftet i interviews med Nordea, som ser et stort potentiale i at anvende mere præcise og målrettede brancheanalyser, visualiseret ved hjælp af de frie geodata, i deres rådgivning af erhvervskunder.</w:t>
      </w:r>
    </w:p>
    <w:p>
      <w:pPr>
        <w:pStyle w:val="BodyText"/>
        <w:spacing w:before="1"/>
        <w:rPr>
          <w:sz w:val="21"/>
        </w:rPr>
      </w:pPr>
    </w:p>
    <w:p>
      <w:pPr>
        <w:pStyle w:val="BodyText"/>
        <w:spacing w:line="360" w:lineRule="auto"/>
        <w:ind w:left="278" w:right="1166"/>
      </w:pPr>
      <w:r>
        <w:rPr/>
        <w:t>Endelig er der i forhold til før-målingen også sket en stigning i andelen af virksomheder, der er optimistiske, i forhold til hvorvidt der er helt nye anvendelsesmuligheder og markeder, der åbner sig som følge af de frie geodata, jf. </w:t>
      </w:r>
      <w:hyperlink w:history="true" w:anchor="_bookmark107">
        <w:r>
          <w:rPr/>
          <w:t>Figur 58.</w:t>
        </w:r>
      </w:hyperlink>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525002pt;margin-top:13.775pt;width:468.75pt;height:275.55pt;mso-position-horizontal-relative:page;mso-position-vertical-relative:paragraph;z-index:11024;mso-wrap-distance-left:0;mso-wrap-distance-right:0" coordorigin="1411,275" coordsize="9375,5511">
            <v:rect style="position:absolute;left:1418;top:283;width:9360;height:5496" filled="true" fillcolor="#f1f1f1" stroked="false">
              <v:fill type="solid"/>
            </v:rect>
            <v:line style="position:absolute" from="6660,503" to="6660,678" stroked="true" strokeweight=".75pt" strokecolor="#d9d9d9">
              <v:stroke dashstyle="solid"/>
            </v:line>
            <v:line style="position:absolute" from="6660,1060" to="6660,1408" stroked="true" strokeweight=".75pt" strokecolor="#d9d9d9">
              <v:stroke dashstyle="solid"/>
            </v:line>
            <v:line style="position:absolute" from="6660,1792" to="6660,2140" stroked="true" strokeweight=".75pt" strokecolor="#d9d9d9">
              <v:stroke dashstyle="solid"/>
            </v:line>
            <v:line style="position:absolute" from="6660,2524" to="6660,2872" stroked="true" strokeweight=".75pt" strokecolor="#d9d9d9">
              <v:stroke dashstyle="solid"/>
            </v:line>
            <v:line style="position:absolute" from="6660,3256" to="6660,3796" stroked="true" strokeweight=".75pt" strokecolor="#d9d9d9">
              <v:stroke dashstyle="solid"/>
            </v:line>
            <v:line style="position:absolute" from="6660,3985" to="6660,4892" stroked="true" strokeweight=".75pt" strokecolor="#d9d9d9">
              <v:stroke dashstyle="solid"/>
            </v:line>
            <v:line style="position:absolute" from="7404,503" to="7404,678" stroked="true" strokeweight=".75pt" strokecolor="#d9d9d9">
              <v:stroke dashstyle="solid"/>
            </v:line>
            <v:line style="position:absolute" from="7404,1060" to="7404,1408" stroked="true" strokeweight=".75pt" strokecolor="#d9d9d9">
              <v:stroke dashstyle="solid"/>
            </v:line>
            <v:line style="position:absolute" from="7404,1792" to="7404,2140" stroked="true" strokeweight=".75pt" strokecolor="#d9d9d9">
              <v:stroke dashstyle="solid"/>
            </v:line>
            <v:line style="position:absolute" from="7404,2524" to="7404,2872" stroked="true" strokeweight=".75pt" strokecolor="#d9d9d9">
              <v:stroke dashstyle="solid"/>
            </v:line>
            <v:line style="position:absolute" from="7404,3064" to="7404,3796" stroked="true" strokeweight=".75pt" strokecolor="#d9d9d9">
              <v:stroke dashstyle="solid"/>
            </v:line>
            <v:line style="position:absolute" from="7404,3985" to="7404,4892" stroked="true" strokeweight=".75pt" strokecolor="#d9d9d9">
              <v:stroke dashstyle="solid"/>
            </v:line>
            <v:line style="position:absolute" from="8146,503" to="8146,678" stroked="true" strokeweight=".75pt" strokecolor="#d9d9d9">
              <v:stroke dashstyle="solid"/>
            </v:line>
            <v:line style="position:absolute" from="8146,1060" to="8146,1408" stroked="true" strokeweight=".75pt" strokecolor="#d9d9d9">
              <v:stroke dashstyle="solid"/>
            </v:line>
            <v:line style="position:absolute" from="8146,1792" to="8146,2140" stroked="true" strokeweight=".75pt" strokecolor="#d9d9d9">
              <v:stroke dashstyle="solid"/>
            </v:line>
            <v:line style="position:absolute" from="8146,2524" to="8146,2872" stroked="true" strokeweight=".75pt" strokecolor="#d9d9d9">
              <v:stroke dashstyle="solid"/>
            </v:line>
            <v:line style="position:absolute" from="8146,3064" to="8146,4892" stroked="true" strokeweight=".75pt" strokecolor="#d9d9d9">
              <v:stroke dashstyle="solid"/>
            </v:line>
            <v:line style="position:absolute" from="8890,503" to="8890,678" stroked="true" strokeweight=".75pt" strokecolor="#d9d9d9">
              <v:stroke dashstyle="solid"/>
            </v:line>
            <v:line style="position:absolute" from="8890,868" to="8890,1408" stroked="true" strokeweight=".75pt" strokecolor="#d9d9d9">
              <v:stroke dashstyle="solid"/>
            </v:line>
            <v:line style="position:absolute" from="8890,1792" to="8890,4892" stroked="true" strokeweight=".75pt" strokecolor="#d9d9d9">
              <v:stroke dashstyle="solid"/>
            </v:line>
            <v:line style="position:absolute" from="9634,503" to="9634,678" stroked="true" strokeweight=".75pt" strokecolor="#d9d9d9">
              <v:stroke dashstyle="solid"/>
            </v:line>
            <v:line style="position:absolute" from="9634,868" to="9634,4892" stroked="true" strokeweight=".75pt" strokecolor="#d9d9d9">
              <v:stroke dashstyle="solid"/>
            </v:line>
            <v:line style="position:absolute" from="10378,503" to="10378,4892" stroked="true" strokeweight=".75pt" strokecolor="#d9d9d9">
              <v:stroke dashstyle="solid"/>
            </v:line>
            <v:rect style="position:absolute;left:5915;top:4525;width:364;height:192" filled="true" fillcolor="#901b1b" stroked="false">
              <v:fill type="solid"/>
            </v:rect>
            <v:rect style="position:absolute;left:5915;top:3795;width:1816;height:190" filled="true" fillcolor="#901b1b" stroked="false">
              <v:fill type="solid"/>
            </v:rect>
            <v:rect style="position:absolute;left:5915;top:3063;width:1211;height:192" filled="true" fillcolor="#901b1b" stroked="false">
              <v:fill type="solid"/>
            </v:rect>
            <v:rect style="position:absolute;left:5915;top:2331;width:2963;height:192" filled="true" fillcolor="#901b1b" stroked="false">
              <v:fill type="solid"/>
            </v:rect>
            <v:rect style="position:absolute;left:5915;top:1599;width:3388;height:192" filled="true" fillcolor="#901b1b" stroked="false">
              <v:fill type="solid"/>
            </v:rect>
            <v:rect style="position:absolute;left:5915;top:867;width:2480;height:192" filled="true" fillcolor="#901b1b" stroked="false">
              <v:fill type="solid"/>
            </v:rect>
            <v:rect style="position:absolute;left:5915;top:3603;width:745;height:192" filled="true" fillcolor="#bd8686" stroked="false">
              <v:fill type="solid"/>
            </v:rect>
            <v:rect style="position:absolute;left:5915;top:2871;width:2603;height:192" filled="true" fillcolor="#bd8686" stroked="false">
              <v:fill type="solid"/>
            </v:rect>
            <v:rect style="position:absolute;left:5915;top:2139;width:2826;height:192" filled="true" fillcolor="#bd8686" stroked="false">
              <v:fill type="solid"/>
            </v:rect>
            <v:rect style="position:absolute;left:5915;top:1407;width:3570;height:192" filled="true" fillcolor="#bd8686" stroked="false">
              <v:fill type="solid"/>
            </v:rect>
            <v:rect style="position:absolute;left:5915;top:678;width:3868;height:190" filled="true" fillcolor="#bd8686" stroked="false">
              <v:fill type="solid"/>
            </v:rect>
            <v:line style="position:absolute" from="5915,4892" to="5915,503" stroked="true" strokeweight=".75pt" strokecolor="#d9d9d9">
              <v:stroke dashstyle="solid"/>
            </v:line>
            <v:rect style="position:absolute;left:5547;top:5451;width:93;height:93" filled="true" fillcolor="#bd8686" stroked="false">
              <v:fill type="solid"/>
            </v:rect>
            <v:rect style="position:absolute;left:6196;top:5451;width:93;height:93" filled="true" fillcolor="#901b1b" stroked="false">
              <v:fill type="solid"/>
            </v:rect>
            <v:rect style="position:absolute;left:1418;top:283;width:9360;height:5496" filled="false" stroked="true" strokeweight=".75pt" strokecolor="#d9d9d9">
              <v:stroke dashstyle="solid"/>
            </v:rect>
            <v:shape style="position:absolute;left:7225;top:5003;width:3356;height:205" type="#_x0000_t202" filled="false" stroked="false">
              <v:textbox inset="0,0,0,0">
                <w:txbxContent>
                  <w:p>
                    <w:pPr>
                      <w:tabs>
                        <w:tab w:pos="744" w:val="left" w:leader="none"/>
                        <w:tab w:pos="1487" w:val="left" w:leader="none"/>
                        <w:tab w:pos="2234" w:val="left" w:leader="none"/>
                        <w:tab w:pos="2975" w:val="left" w:leader="none"/>
                      </w:tabs>
                      <w:spacing w:before="0"/>
                      <w:ind w:left="0" w:right="0" w:firstLine="0"/>
                      <w:jc w:val="left"/>
                      <w:rPr>
                        <w:sz w:val="18"/>
                      </w:rPr>
                    </w:pPr>
                    <w:r>
                      <w:rPr>
                        <w:color w:val="585858"/>
                        <w:sz w:val="18"/>
                      </w:rPr>
                      <w:t>20%</w:t>
                      <w:tab/>
                      <w:t>30%</w:t>
                      <w:tab/>
                      <w:t>40%</w:t>
                      <w:tab/>
                      <w:t>50%</w:t>
                      <w:tab/>
                      <w:t>60%</w:t>
                    </w:r>
                  </w:p>
                </w:txbxContent>
              </v:textbox>
              <w10:wrap type="none"/>
            </v:shape>
            <v:shape style="position:absolute;left:6328;top:5003;width:520;height:592" type="#_x0000_t202" filled="false" stroked="false">
              <v:textbox inset="0,0,0,0">
                <w:txbxContent>
                  <w:p>
                    <w:pPr>
                      <w:spacing w:before="0"/>
                      <w:ind w:left="164" w:right="0" w:firstLine="0"/>
                      <w:jc w:val="left"/>
                      <w:rPr>
                        <w:sz w:val="18"/>
                      </w:rPr>
                    </w:pPr>
                    <w:r>
                      <w:rPr>
                        <w:color w:val="585858"/>
                        <w:sz w:val="18"/>
                      </w:rPr>
                      <w:t>10%</w:t>
                    </w:r>
                  </w:p>
                  <w:p>
                    <w:pPr>
                      <w:spacing w:line="240" w:lineRule="auto" w:before="1"/>
                      <w:rPr>
                        <w:i/>
                        <w:sz w:val="16"/>
                      </w:rPr>
                    </w:pPr>
                  </w:p>
                  <w:p>
                    <w:pPr>
                      <w:spacing w:before="0"/>
                      <w:ind w:left="0" w:right="0" w:firstLine="0"/>
                      <w:jc w:val="left"/>
                      <w:rPr>
                        <w:sz w:val="18"/>
                      </w:rPr>
                    </w:pPr>
                    <w:r>
                      <w:rPr>
                        <w:color w:val="585858"/>
                        <w:sz w:val="18"/>
                      </w:rPr>
                      <w:t>2016</w:t>
                    </w:r>
                  </w:p>
                </w:txbxContent>
              </v:textbox>
              <w10:wrap type="none"/>
            </v:shape>
            <v:shape style="position:absolute;left:5678;top:5003;width:409;height:592" type="#_x0000_t202" filled="false" stroked="false">
              <v:textbox inset="0,0,0,0">
                <w:txbxContent>
                  <w:p>
                    <w:pPr>
                      <w:spacing w:before="0"/>
                      <w:ind w:left="84" w:right="18" w:firstLine="0"/>
                      <w:jc w:val="center"/>
                      <w:rPr>
                        <w:sz w:val="18"/>
                      </w:rPr>
                    </w:pPr>
                    <w:r>
                      <w:rPr>
                        <w:color w:val="585858"/>
                        <w:sz w:val="18"/>
                      </w:rPr>
                      <w:t>0%</w:t>
                    </w:r>
                  </w:p>
                  <w:p>
                    <w:pPr>
                      <w:spacing w:line="240" w:lineRule="auto" w:before="1"/>
                      <w:rPr>
                        <w:i/>
                        <w:sz w:val="16"/>
                      </w:rPr>
                    </w:pPr>
                  </w:p>
                  <w:p>
                    <w:pPr>
                      <w:spacing w:before="0"/>
                      <w:ind w:left="0" w:right="18" w:firstLine="0"/>
                      <w:jc w:val="center"/>
                      <w:rPr>
                        <w:sz w:val="18"/>
                      </w:rPr>
                    </w:pPr>
                    <w:r>
                      <w:rPr>
                        <w:color w:val="585858"/>
                        <w:sz w:val="18"/>
                      </w:rPr>
                      <w:t>2012</w:t>
                    </w:r>
                  </w:p>
                </w:txbxContent>
              </v:textbox>
              <w10:wrap type="none"/>
            </v:shape>
            <v:shape style="position:absolute;left:5340;top:4429;width:458;height:183" type="#_x0000_t202" filled="false" stroked="false">
              <v:textbox inset="0,0,0,0">
                <w:txbxContent>
                  <w:p>
                    <w:pPr>
                      <w:spacing w:before="0"/>
                      <w:ind w:left="0" w:right="0" w:firstLine="0"/>
                      <w:jc w:val="left"/>
                      <w:rPr>
                        <w:sz w:val="16"/>
                      </w:rPr>
                    </w:pPr>
                    <w:r>
                      <w:rPr>
                        <w:color w:val="585858"/>
                        <w:sz w:val="16"/>
                      </w:rPr>
                      <w:t>Andre</w:t>
                    </w:r>
                  </w:p>
                </w:txbxContent>
              </v:textbox>
              <w10:wrap type="none"/>
            </v:shape>
            <v:shape style="position:absolute;left:1548;top:680;width:4248;height:3291" type="#_x0000_t202" filled="false" stroked="false">
              <v:textbox inset="0,0,0,0">
                <w:txbxContent>
                  <w:p>
                    <w:pPr>
                      <w:spacing w:before="0"/>
                      <w:ind w:left="1112" w:right="0" w:hanging="764"/>
                      <w:jc w:val="left"/>
                      <w:rPr>
                        <w:sz w:val="16"/>
                      </w:rPr>
                    </w:pPr>
                    <w:r>
                      <w:rPr>
                        <w:color w:val="585858"/>
                        <w:sz w:val="16"/>
                      </w:rPr>
                      <w:t>De frie geodata giver unikke muligheder i sig selv for at udvikle nye produkter og ydelser.</w:t>
                    </w:r>
                  </w:p>
                  <w:p>
                    <w:pPr>
                      <w:spacing w:line="240" w:lineRule="auto" w:before="4"/>
                      <w:rPr>
                        <w:i/>
                        <w:sz w:val="16"/>
                      </w:rPr>
                    </w:pPr>
                  </w:p>
                  <w:p>
                    <w:pPr>
                      <w:spacing w:before="1"/>
                      <w:ind w:left="72" w:right="19" w:firstLine="0"/>
                      <w:jc w:val="center"/>
                      <w:rPr>
                        <w:sz w:val="16"/>
                      </w:rPr>
                    </w:pPr>
                    <w:r>
                      <w:rPr>
                        <w:color w:val="585858"/>
                        <w:sz w:val="16"/>
                      </w:rPr>
                      <w:t>De frie geodata giver mulighed for at forbedre eksisterende produkter og</w:t>
                    </w:r>
                  </w:p>
                  <w:p>
                    <w:pPr>
                      <w:spacing w:before="0"/>
                      <w:ind w:left="73" w:right="17" w:firstLine="0"/>
                      <w:jc w:val="center"/>
                      <w:rPr>
                        <w:sz w:val="16"/>
                      </w:rPr>
                    </w:pPr>
                    <w:r>
                      <w:rPr>
                        <w:color w:val="585858"/>
                        <w:sz w:val="16"/>
                      </w:rPr>
                      <w:t>ydelser og/eller optimere eksisterende processer i virksomheden.</w:t>
                    </w:r>
                  </w:p>
                  <w:p>
                    <w:pPr>
                      <w:spacing w:line="240" w:lineRule="auto" w:before="4"/>
                      <w:rPr>
                        <w:i/>
                        <w:sz w:val="16"/>
                      </w:rPr>
                    </w:pPr>
                  </w:p>
                  <w:p>
                    <w:pPr>
                      <w:spacing w:before="0"/>
                      <w:ind w:left="-1" w:right="19" w:firstLine="0"/>
                      <w:jc w:val="center"/>
                      <w:rPr>
                        <w:sz w:val="16"/>
                      </w:rPr>
                    </w:pPr>
                    <w:r>
                      <w:rPr>
                        <w:color w:val="585858"/>
                        <w:sz w:val="16"/>
                      </w:rPr>
                      <w:t>I kombination med andre data giver de frie data</w:t>
                    </w:r>
                    <w:r>
                      <w:rPr>
                        <w:color w:val="585858"/>
                        <w:spacing w:val="-25"/>
                        <w:sz w:val="16"/>
                      </w:rPr>
                      <w:t> </w:t>
                    </w:r>
                    <w:r>
                      <w:rPr>
                        <w:color w:val="585858"/>
                        <w:sz w:val="16"/>
                      </w:rPr>
                      <w:t>muligheder for at udvikle nye produkter og</w:t>
                    </w:r>
                    <w:r>
                      <w:rPr>
                        <w:color w:val="585858"/>
                        <w:spacing w:val="-6"/>
                        <w:sz w:val="16"/>
                      </w:rPr>
                      <w:t> </w:t>
                    </w:r>
                    <w:r>
                      <w:rPr>
                        <w:color w:val="585858"/>
                        <w:sz w:val="16"/>
                      </w:rPr>
                      <w:t>ydelser.</w:t>
                    </w:r>
                  </w:p>
                  <w:p>
                    <w:pPr>
                      <w:spacing w:line="240" w:lineRule="auto" w:before="0"/>
                      <w:rPr>
                        <w:i/>
                        <w:sz w:val="18"/>
                      </w:rPr>
                    </w:pPr>
                  </w:p>
                  <w:p>
                    <w:pPr>
                      <w:spacing w:line="240" w:lineRule="auto" w:before="4"/>
                      <w:rPr>
                        <w:i/>
                        <w:sz w:val="14"/>
                      </w:rPr>
                    </w:pPr>
                  </w:p>
                  <w:p>
                    <w:pPr>
                      <w:spacing w:before="0"/>
                      <w:ind w:left="1699" w:right="1" w:hanging="177"/>
                      <w:jc w:val="left"/>
                      <w:rPr>
                        <w:sz w:val="16"/>
                      </w:rPr>
                    </w:pPr>
                    <w:r>
                      <w:rPr>
                        <w:color w:val="585858"/>
                        <w:sz w:val="16"/>
                      </w:rPr>
                      <w:t>Konkurrencepresset betyder, at vi skal udvikle nye produkter og ydelser.</w:t>
                    </w:r>
                  </w:p>
                  <w:p>
                    <w:pPr>
                      <w:spacing w:line="240" w:lineRule="auto" w:before="0"/>
                      <w:rPr>
                        <w:i/>
                        <w:sz w:val="18"/>
                      </w:rPr>
                    </w:pPr>
                  </w:p>
                  <w:p>
                    <w:pPr>
                      <w:spacing w:line="240" w:lineRule="auto" w:before="5"/>
                      <w:rPr>
                        <w:i/>
                        <w:sz w:val="14"/>
                      </w:rPr>
                    </w:pPr>
                  </w:p>
                  <w:p>
                    <w:pPr>
                      <w:spacing w:before="0"/>
                      <w:ind w:left="1443" w:right="0" w:hanging="770"/>
                      <w:jc w:val="left"/>
                      <w:rPr>
                        <w:sz w:val="16"/>
                      </w:rPr>
                    </w:pPr>
                    <w:r>
                      <w:rPr>
                        <w:color w:val="585858"/>
                        <w:sz w:val="16"/>
                      </w:rPr>
                      <w:t>Der er helt nye anvendelsesmuligheder/markeder, som ikke er opdyrket endnu.</w:t>
                    </w:r>
                  </w:p>
                </w:txbxContent>
              </v:textbox>
              <w10:wrap type="none"/>
            </v:shape>
            <w10:wrap type="topAndBottom"/>
          </v:group>
        </w:pict>
      </w:r>
      <w:bookmarkStart w:name="_bookmark107" w:id="153"/>
      <w:bookmarkEnd w:id="153"/>
      <w:r>
        <w:rPr/>
      </w:r>
      <w:r>
        <w:rPr>
          <w:i/>
          <w:color w:val="A21F1F"/>
          <w:sz w:val="18"/>
        </w:rPr>
        <w:t>Figur 58: Virksomheders angivelse af de drivkræfter, der øger deres innovation, henholdsvis i 2012 og i 2016</w:t>
      </w:r>
    </w:p>
    <w:p>
      <w:pPr>
        <w:spacing w:before="100"/>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20"/>
        <w:ind w:left="278" w:right="0" w:firstLine="0"/>
        <w:jc w:val="left"/>
        <w:rPr>
          <w:i/>
          <w:sz w:val="18"/>
        </w:rPr>
      </w:pPr>
      <w:r>
        <w:rPr>
          <w:b/>
          <w:i/>
          <w:color w:val="A21F1F"/>
          <w:sz w:val="18"/>
        </w:rPr>
        <w:t>N: </w:t>
      </w:r>
      <w:r>
        <w:rPr>
          <w:i/>
          <w:color w:val="A21F1F"/>
          <w:sz w:val="18"/>
        </w:rPr>
        <w:t>2016: 87 og 2012: 71</w:t>
      </w:r>
    </w:p>
    <w:p>
      <w:pPr>
        <w:spacing w:before="119"/>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spacing w:before="8"/>
        <w:rPr>
          <w:i/>
          <w:sz w:val="28"/>
        </w:rPr>
      </w:pPr>
    </w:p>
    <w:p>
      <w:pPr>
        <w:pStyle w:val="BodyText"/>
        <w:spacing w:line="360" w:lineRule="auto" w:before="1"/>
        <w:ind w:left="278" w:right="1108"/>
      </w:pPr>
      <w:r>
        <w:rPr/>
        <w:t>Optimismen i forhold til det fremtidige markedspotentiale, der følger af de frie geodata, kan bunde i, at ca. 20 pct. af virksomhederne angiver, at de har iværksat udvikling af et eller flere nye produkter og ydelser, som de forventer at gå i markedet med inden for en overskuelig fremtid, jf. </w:t>
      </w:r>
      <w:hyperlink w:history="true" w:anchor="_bookmark108">
        <w:r>
          <w:rPr/>
          <w:t>Figur 59 </w:t>
        </w:r>
      </w:hyperlink>
      <w:r>
        <w:rPr/>
        <w:t>herunder. Samtidig angiver ca. 35 pct., at de har videreudviklet egne produkter og ydelser som følge af de frie geodata.</w:t>
      </w:r>
    </w:p>
    <w:p>
      <w:pPr>
        <w:pStyle w:val="BodyText"/>
        <w:rPr>
          <w:sz w:val="21"/>
        </w:rPr>
      </w:pPr>
    </w:p>
    <w:p>
      <w:pPr>
        <w:spacing w:before="0"/>
        <w:ind w:left="278" w:right="1592" w:firstLine="0"/>
        <w:jc w:val="left"/>
        <w:rPr>
          <w:i/>
          <w:sz w:val="18"/>
        </w:rPr>
      </w:pPr>
      <w:r>
        <w:rPr/>
        <w:pict>
          <v:group style="position:absolute;margin-left:70.525002pt;margin-top:26.06793pt;width:468.75pt;height:132.75pt;mso-position-horizontal-relative:page;mso-position-vertical-relative:paragraph;z-index:11072;mso-wrap-distance-left:0;mso-wrap-distance-right:0" coordorigin="1411,521" coordsize="9375,2655">
            <v:rect style="position:absolute;left:1418;top:528;width:9360;height:2640" filled="true" fillcolor="#f1f1f1" stroked="false">
              <v:fill type="solid"/>
            </v:rect>
            <v:line style="position:absolute" from="6528,749" to="6528,876" stroked="true" strokeweight=".75pt" strokecolor="#d9d9d9">
              <v:stroke dashstyle="solid"/>
            </v:line>
            <v:line style="position:absolute" from="6528,1155" to="6528,1409" stroked="true" strokeweight=".75pt" strokecolor="#d9d9d9">
              <v:stroke dashstyle="solid"/>
            </v:line>
            <v:line style="position:absolute" from="6528,1690" to="6528,1944" stroked="true" strokeweight=".75pt" strokecolor="#d9d9d9">
              <v:stroke dashstyle="solid"/>
            </v:line>
            <v:line style="position:absolute" from="6528,2223" to="6528,2351" stroked="true" strokeweight=".75pt" strokecolor="#d9d9d9">
              <v:stroke dashstyle="solid"/>
            </v:line>
            <v:line style="position:absolute" from="7082,749" to="7082,876" stroked="true" strokeweight=".75pt" strokecolor="#d9d9d9">
              <v:stroke dashstyle="solid"/>
            </v:line>
            <v:line style="position:absolute" from="7082,1155" to="7082,1409" stroked="true" strokeweight=".75pt" strokecolor="#d9d9d9">
              <v:stroke dashstyle="solid"/>
            </v:line>
            <v:line style="position:absolute" from="7082,1690" to="7082,1944" stroked="true" strokeweight=".75pt" strokecolor="#d9d9d9">
              <v:stroke dashstyle="solid"/>
            </v:line>
            <v:line style="position:absolute" from="7082,2223" to="7082,2351" stroked="true" strokeweight=".75pt" strokecolor="#d9d9d9">
              <v:stroke dashstyle="solid"/>
            </v:line>
            <v:line style="position:absolute" from="7634,749" to="7634,876" stroked="true" strokeweight=".75pt" strokecolor="#d9d9d9">
              <v:stroke dashstyle="solid"/>
            </v:line>
            <v:line style="position:absolute" from="7634,1155" to="7634,1551" stroked="true" strokeweight=".75pt" strokecolor="#d9d9d9">
              <v:stroke dashstyle="solid"/>
            </v:line>
            <v:line style="position:absolute" from="7634,1690" to="7634,2084" stroked="true" strokeweight=".75pt" strokecolor="#d9d9d9">
              <v:stroke dashstyle="solid"/>
            </v:line>
            <v:line style="position:absolute" from="7634,2223" to="7634,2351" stroked="true" strokeweight=".75pt" strokecolor="#d9d9d9">
              <v:stroke dashstyle="solid"/>
            </v:line>
            <v:line style="position:absolute" from="8189,749" to="8189,876" stroked="true" strokeweight=".75pt" strokecolor="#d9d9d9">
              <v:stroke dashstyle="solid"/>
            </v:line>
            <v:line style="position:absolute" from="8189,1155" to="8189,1551" stroked="true" strokeweight=".75pt" strokecolor="#d9d9d9">
              <v:stroke dashstyle="solid"/>
            </v:line>
            <v:line style="position:absolute" from="8189,1690" to="8189,2351" stroked="true" strokeweight=".75pt" strokecolor="#d9d9d9">
              <v:stroke dashstyle="solid"/>
            </v:line>
            <v:line style="position:absolute" from="8741,749" to="8741,876" stroked="true" strokeweight=".75pt" strokecolor="#d9d9d9">
              <v:stroke dashstyle="solid"/>
            </v:line>
            <v:line style="position:absolute" from="8741,1155" to="8741,2351" stroked="true" strokeweight=".75pt" strokecolor="#d9d9d9">
              <v:stroke dashstyle="solid"/>
            </v:line>
            <v:line style="position:absolute" from="9295,749" to="9295,876" stroked="true" strokeweight=".75pt" strokecolor="#d9d9d9">
              <v:stroke dashstyle="solid"/>
            </v:line>
            <v:line style="position:absolute" from="9295,1155" to="9295,2351" stroked="true" strokeweight=".75pt" strokecolor="#d9d9d9">
              <v:stroke dashstyle="solid"/>
            </v:line>
            <v:line style="position:absolute" from="9850,749" to="9850,1016" stroked="true" strokeweight=".75pt" strokecolor="#d9d9d9">
              <v:stroke dashstyle="solid"/>
            </v:line>
            <v:line style="position:absolute" from="9850,1155" to="9850,2351" stroked="true" strokeweight=".75pt" strokecolor="#d9d9d9">
              <v:stroke dashstyle="solid"/>
            </v:line>
            <v:line style="position:absolute" from="10402,749" to="10402,2351" stroked="true" strokeweight=".75pt" strokecolor="#d9d9d9">
              <v:stroke dashstyle="solid"/>
            </v:line>
            <v:rect style="position:absolute;left:5974;top:2083;width:2037;height:140" filled="true" fillcolor="#901b1b" stroked="false">
              <v:fill type="solid"/>
            </v:rect>
            <v:rect style="position:absolute;left:5974;top:1550;width:2419;height:140" filled="true" fillcolor="#901b1b" stroked="false">
              <v:fill type="solid"/>
            </v:rect>
            <v:rect style="position:absolute;left:5974;top:1015;width:4072;height:140" filled="true" fillcolor="#901b1b" stroked="false">
              <v:fill type="solid"/>
            </v:rect>
            <v:rect style="position:absolute;left:5974;top:1944;width:1660;height:140" filled="true" fillcolor="#bd8686" stroked="false">
              <v:fill type="solid"/>
            </v:rect>
            <v:rect style="position:absolute;left:5974;top:1409;width:1660;height:142" filled="true" fillcolor="#bd8686" stroked="false">
              <v:fill type="solid"/>
            </v:rect>
            <v:rect style="position:absolute;left:5974;top:876;width:3876;height:140" filled="true" fillcolor="#bd8686" stroked="false">
              <v:fill type="solid"/>
            </v:rect>
            <v:line style="position:absolute" from="5974,2351" to="5974,749" stroked="true" strokeweight=".75pt" strokecolor="#d9d9d9">
              <v:stroke dashstyle="solid"/>
            </v:line>
            <v:rect style="position:absolute;left:5622;top:2861;width:80;height:80" filled="true" fillcolor="#bd8686" stroked="false">
              <v:fill type="solid"/>
            </v:rect>
            <v:rect style="position:absolute;left:6185;top:2861;width:80;height:80" filled="true" fillcolor="#901b1b" stroked="false">
              <v:fill type="solid"/>
            </v:rect>
            <v:shape style="position:absolute;left:1418;top:528;width:9360;height:2640" type="#_x0000_t202" filled="false" stroked="true" strokeweight=".75pt" strokecolor="#d9d9d9">
              <v:textbox inset="0,0,0,0">
                <w:txbxContent>
                  <w:p>
                    <w:pPr>
                      <w:spacing w:line="240" w:lineRule="auto" w:before="9"/>
                      <w:rPr>
                        <w:i/>
                        <w:sz w:val="26"/>
                      </w:rPr>
                    </w:pPr>
                  </w:p>
                  <w:p>
                    <w:pPr>
                      <w:spacing w:line="249" w:lineRule="auto" w:before="0"/>
                      <w:ind w:left="2240" w:right="4376" w:hanging="1638"/>
                      <w:jc w:val="left"/>
                      <w:rPr>
                        <w:sz w:val="15"/>
                      </w:rPr>
                    </w:pPr>
                    <w:r>
                      <w:rPr>
                        <w:color w:val="585858"/>
                        <w:w w:val="105"/>
                        <w:sz w:val="15"/>
                      </w:rPr>
                      <w:t>Ja, virksomheden har videreudviklet egne produkter og ydelser.</w:t>
                    </w:r>
                  </w:p>
                  <w:p>
                    <w:pPr>
                      <w:spacing w:line="240" w:lineRule="auto" w:before="9"/>
                      <w:rPr>
                        <w:i/>
                        <w:sz w:val="15"/>
                      </w:rPr>
                    </w:pPr>
                  </w:p>
                  <w:p>
                    <w:pPr>
                      <w:spacing w:line="249" w:lineRule="auto" w:before="0"/>
                      <w:ind w:left="122" w:right="4933" w:hanging="2"/>
                      <w:jc w:val="center"/>
                      <w:rPr>
                        <w:sz w:val="15"/>
                      </w:rPr>
                    </w:pPr>
                    <w:r>
                      <w:rPr>
                        <w:color w:val="585858"/>
                        <w:w w:val="105"/>
                        <w:sz w:val="15"/>
                      </w:rPr>
                      <w:t>Ja, virksomheden har udviklet et eller flere nye produkter og ydelser,</w:t>
                    </w:r>
                    <w:r>
                      <w:rPr>
                        <w:color w:val="585858"/>
                        <w:spacing w:val="-7"/>
                        <w:w w:val="105"/>
                        <w:sz w:val="15"/>
                      </w:rPr>
                      <w:t> </w:t>
                    </w:r>
                    <w:r>
                      <w:rPr>
                        <w:color w:val="585858"/>
                        <w:w w:val="105"/>
                        <w:sz w:val="15"/>
                      </w:rPr>
                      <w:t>som</w:t>
                    </w:r>
                    <w:r>
                      <w:rPr>
                        <w:color w:val="585858"/>
                        <w:spacing w:val="-8"/>
                        <w:w w:val="105"/>
                        <w:sz w:val="15"/>
                      </w:rPr>
                      <w:t> </w:t>
                    </w:r>
                    <w:r>
                      <w:rPr>
                        <w:color w:val="585858"/>
                        <w:w w:val="105"/>
                        <w:sz w:val="15"/>
                      </w:rPr>
                      <w:t>på</w:t>
                    </w:r>
                    <w:r>
                      <w:rPr>
                        <w:color w:val="585858"/>
                        <w:spacing w:val="-8"/>
                        <w:w w:val="105"/>
                        <w:sz w:val="15"/>
                      </w:rPr>
                      <w:t> </w:t>
                    </w:r>
                    <w:r>
                      <w:rPr>
                        <w:color w:val="585858"/>
                        <w:w w:val="105"/>
                        <w:sz w:val="15"/>
                      </w:rPr>
                      <w:t>nuværende</w:t>
                    </w:r>
                    <w:r>
                      <w:rPr>
                        <w:color w:val="585858"/>
                        <w:spacing w:val="-8"/>
                        <w:w w:val="105"/>
                        <w:sz w:val="15"/>
                      </w:rPr>
                      <w:t> </w:t>
                    </w:r>
                    <w:r>
                      <w:rPr>
                        <w:color w:val="585858"/>
                        <w:w w:val="105"/>
                        <w:sz w:val="15"/>
                      </w:rPr>
                      <w:t>tidspunkt</w:t>
                    </w:r>
                    <w:r>
                      <w:rPr>
                        <w:color w:val="585858"/>
                        <w:spacing w:val="-8"/>
                        <w:w w:val="105"/>
                        <w:sz w:val="15"/>
                      </w:rPr>
                      <w:t> </w:t>
                    </w:r>
                    <w:r>
                      <w:rPr>
                        <w:color w:val="585858"/>
                        <w:w w:val="105"/>
                        <w:sz w:val="15"/>
                      </w:rPr>
                      <w:t>er</w:t>
                    </w:r>
                    <w:r>
                      <w:rPr>
                        <w:color w:val="585858"/>
                        <w:spacing w:val="-7"/>
                        <w:w w:val="105"/>
                        <w:sz w:val="15"/>
                      </w:rPr>
                      <w:t> </w:t>
                    </w:r>
                    <w:r>
                      <w:rPr>
                        <w:color w:val="585858"/>
                        <w:w w:val="105"/>
                        <w:sz w:val="15"/>
                      </w:rPr>
                      <w:t>lanceret</w:t>
                    </w:r>
                    <w:r>
                      <w:rPr>
                        <w:color w:val="585858"/>
                        <w:spacing w:val="-8"/>
                        <w:w w:val="105"/>
                        <w:sz w:val="15"/>
                      </w:rPr>
                      <w:t> </w:t>
                    </w:r>
                    <w:r>
                      <w:rPr>
                        <w:color w:val="585858"/>
                        <w:w w:val="105"/>
                        <w:sz w:val="15"/>
                      </w:rPr>
                      <w:t>på</w:t>
                    </w:r>
                    <w:r>
                      <w:rPr>
                        <w:color w:val="585858"/>
                        <w:spacing w:val="-8"/>
                        <w:w w:val="105"/>
                        <w:sz w:val="15"/>
                      </w:rPr>
                      <w:t> </w:t>
                    </w:r>
                    <w:r>
                      <w:rPr>
                        <w:color w:val="585858"/>
                        <w:w w:val="105"/>
                        <w:sz w:val="15"/>
                      </w:rPr>
                      <w:t>markedet.</w:t>
                    </w:r>
                  </w:p>
                  <w:p>
                    <w:pPr>
                      <w:spacing w:line="249" w:lineRule="auto" w:before="91"/>
                      <w:ind w:left="201" w:right="4828" w:firstLine="0"/>
                      <w:jc w:val="center"/>
                      <w:rPr>
                        <w:sz w:val="15"/>
                      </w:rPr>
                    </w:pPr>
                    <w:r>
                      <w:rPr>
                        <w:color w:val="585858"/>
                        <w:w w:val="105"/>
                        <w:sz w:val="15"/>
                      </w:rPr>
                      <w:t>Ja, virksomheden har iværksat udvikling af et eller flere nye produkter og ydelser, som forventes at komme på markedet inden for en overskuelig fremtid.</w:t>
                    </w:r>
                  </w:p>
                  <w:p>
                    <w:pPr>
                      <w:tabs>
                        <w:tab w:pos="4998" w:val="left" w:leader="none"/>
                        <w:tab w:pos="5511" w:val="left" w:leader="none"/>
                        <w:tab w:pos="6072" w:val="left" w:leader="none"/>
                        <w:tab w:pos="6609" w:val="left" w:leader="none"/>
                        <w:tab w:pos="7169" w:val="left" w:leader="none"/>
                        <w:tab w:pos="7717" w:val="left" w:leader="none"/>
                        <w:tab w:pos="8277" w:val="left" w:leader="none"/>
                        <w:tab w:pos="8822" w:val="left" w:leader="none"/>
                      </w:tabs>
                      <w:spacing w:before="102"/>
                      <w:ind w:left="4438" w:right="0" w:firstLine="0"/>
                      <w:jc w:val="left"/>
                      <w:rPr>
                        <w:sz w:val="15"/>
                      </w:rPr>
                    </w:pPr>
                    <w:r>
                      <w:rPr>
                        <w:color w:val="585858"/>
                        <w:w w:val="105"/>
                        <w:sz w:val="15"/>
                      </w:rPr>
                      <w:t>0%</w:t>
                      <w:tab/>
                      <w:t>5%</w:t>
                      <w:tab/>
                      <w:t>10%</w:t>
                      <w:tab/>
                      <w:t>15%</w:t>
                      <w:tab/>
                      <w:t>20%</w:t>
                      <w:tab/>
                      <w:t>25%</w:t>
                      <w:tab/>
                      <w:t>30%</w:t>
                      <w:tab/>
                      <w:t>35%</w:t>
                      <w:tab/>
                      <w:t>40%</w:t>
                    </w:r>
                  </w:p>
                  <w:p>
                    <w:pPr>
                      <w:spacing w:line="240" w:lineRule="auto" w:before="9"/>
                      <w:rPr>
                        <w:i/>
                        <w:sz w:val="16"/>
                      </w:rPr>
                    </w:pPr>
                  </w:p>
                  <w:p>
                    <w:pPr>
                      <w:tabs>
                        <w:tab w:pos="738" w:val="left" w:leader="none"/>
                      </w:tabs>
                      <w:spacing w:before="0"/>
                      <w:ind w:left="176" w:right="0" w:firstLine="0"/>
                      <w:jc w:val="center"/>
                      <w:rPr>
                        <w:sz w:val="15"/>
                      </w:rPr>
                    </w:pPr>
                    <w:r>
                      <w:rPr>
                        <w:color w:val="585858"/>
                        <w:w w:val="105"/>
                        <w:sz w:val="15"/>
                      </w:rPr>
                      <w:t>2012</w:t>
                      <w:tab/>
                      <w:t>2016</w:t>
                    </w:r>
                  </w:p>
                </w:txbxContent>
              </v:textbox>
              <v:stroke dashstyle="solid"/>
              <w10:wrap type="none"/>
            </v:shape>
            <w10:wrap type="topAndBottom"/>
          </v:group>
        </w:pict>
      </w:r>
      <w:bookmarkStart w:name="_bookmark108" w:id="154"/>
      <w:bookmarkEnd w:id="154"/>
      <w:r>
        <w:rPr/>
      </w:r>
      <w:r>
        <w:rPr>
          <w:i/>
          <w:color w:val="A21F1F"/>
          <w:sz w:val="18"/>
        </w:rPr>
        <w:t>Figur 59: Private virksomheders angivelse af, hvorvidt virksomheden havde videreudviklet egne produkter og </w:t>
      </w:r>
      <w:r>
        <w:rPr>
          <w:i/>
          <w:color w:val="A21F1F"/>
          <w:sz w:val="18"/>
        </w:rPr>
        <w:t>ydelser eller igangsat udvikling af nye produkter og ydelser, henholdsvis i 2012 og i 2016</w:t>
      </w:r>
    </w:p>
    <w:p>
      <w:pPr>
        <w:spacing w:before="75"/>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22"/>
        <w:ind w:left="278" w:right="0" w:firstLine="0"/>
        <w:jc w:val="left"/>
        <w:rPr>
          <w:i/>
          <w:sz w:val="18"/>
        </w:rPr>
      </w:pPr>
      <w:r>
        <w:rPr>
          <w:b/>
          <w:i/>
          <w:color w:val="A21F1F"/>
          <w:sz w:val="18"/>
        </w:rPr>
        <w:t>N: </w:t>
      </w:r>
      <w:r>
        <w:rPr>
          <w:i/>
          <w:color w:val="A21F1F"/>
          <w:sz w:val="18"/>
        </w:rPr>
        <w:t>2016: 87 og 2012: 71</w:t>
      </w:r>
    </w:p>
    <w:p>
      <w:pPr>
        <w:spacing w:before="120"/>
        <w:ind w:left="278" w:right="0" w:firstLine="0"/>
        <w:jc w:val="left"/>
        <w:rPr>
          <w:i/>
          <w:sz w:val="18"/>
        </w:rPr>
      </w:pPr>
      <w:r>
        <w:rPr>
          <w:b/>
          <w:i/>
          <w:color w:val="A21F1F"/>
          <w:sz w:val="18"/>
        </w:rPr>
        <w:t>Note: </w:t>
      </w:r>
      <w:r>
        <w:rPr>
          <w:i/>
          <w:color w:val="A21F1F"/>
          <w:sz w:val="18"/>
        </w:rPr>
        <w:t>Bemærk, at hver virksomhed har kunnet angive mere end ét svar</w:t>
      </w:r>
    </w:p>
    <w:p>
      <w:pPr>
        <w:pStyle w:val="BodyText"/>
        <w:spacing w:before="6"/>
        <w:rPr>
          <w:i/>
          <w:sz w:val="28"/>
        </w:rPr>
      </w:pPr>
    </w:p>
    <w:p>
      <w:pPr>
        <w:pStyle w:val="BodyText"/>
        <w:spacing w:line="360" w:lineRule="auto"/>
        <w:ind w:left="278" w:right="1166"/>
      </w:pPr>
      <w:r>
        <w:rPr/>
        <w:t>I forlængelse heraf vurderer ca. en tredjedel af de deltagende virksomheder, at de frie geodata vil styrke innovationen i virksomheden på 3-4 års sigt, jf. nedenstående </w:t>
      </w:r>
      <w:hyperlink w:history="true" w:anchor="_bookmark109">
        <w:r>
          <w:rPr/>
          <w:t>Figur 60.</w:t>
        </w:r>
      </w:hyperlink>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0" w:lineRule="exact" w:before="0"/>
        <w:ind w:left="278" w:right="0" w:firstLine="0"/>
        <w:jc w:val="left"/>
        <w:rPr>
          <w:i/>
          <w:sz w:val="18"/>
        </w:rPr>
      </w:pPr>
      <w:bookmarkStart w:name="_bookmark109" w:id="155"/>
      <w:bookmarkEnd w:id="155"/>
      <w:r>
        <w:rPr/>
      </w:r>
      <w:r>
        <w:rPr>
          <w:i/>
          <w:color w:val="A21F1F"/>
          <w:sz w:val="18"/>
        </w:rPr>
        <w:t>Figur 60: Private virksomheders vurdering af, hvorvidt de frie geodata ville give bedre muligheder for på 3-4 års</w:t>
      </w:r>
    </w:p>
    <w:p>
      <w:pPr>
        <w:spacing w:line="204" w:lineRule="exact" w:before="0"/>
        <w:ind w:left="278" w:right="0" w:firstLine="0"/>
        <w:jc w:val="left"/>
        <w:rPr>
          <w:i/>
          <w:sz w:val="18"/>
        </w:rPr>
      </w:pPr>
      <w:r>
        <w:rPr/>
        <w:pict>
          <v:group style="position:absolute;margin-left:70.900002pt;margin-top:16.349903pt;width:474pt;height:111.6pt;mso-position-horizontal-relative:page;mso-position-vertical-relative:paragraph;z-index:11360;mso-wrap-distance-left:0;mso-wrap-distance-right:0" coordorigin="1418,327" coordsize="9480,2232">
            <v:rect style="position:absolute;left:1418;top:327;width:9480;height:2232" filled="true" fillcolor="#f1f1f1" stroked="false">
              <v:fill type="solid"/>
            </v:rect>
            <v:line style="position:absolute" from="3550,547" to="3550,635" stroked="true" strokeweight=".75pt" strokecolor="#d9d9d9">
              <v:stroke dashstyle="solid"/>
            </v:line>
            <v:line style="position:absolute" from="3550,832" to="3550,1012" stroked="true" strokeweight=".75pt" strokecolor="#d9d9d9">
              <v:stroke dashstyle="solid"/>
            </v:line>
            <v:line style="position:absolute" from="3550,1206" to="3550,1386" stroked="true" strokeweight=".75pt" strokecolor="#d9d9d9">
              <v:stroke dashstyle="solid"/>
            </v:line>
            <v:line style="position:absolute" from="3550,1583" to="3550,1672" stroked="true" strokeweight=".75pt" strokecolor="#d9d9d9">
              <v:stroke dashstyle="solid"/>
            </v:line>
            <v:line style="position:absolute" from="4709,547" to="4709,734" stroked="true" strokeweight=".75pt" strokecolor="#d9d9d9">
              <v:stroke dashstyle="solid"/>
            </v:line>
            <v:line style="position:absolute" from="4709,832" to="4709,1386" stroked="true" strokeweight=".75pt" strokecolor="#d9d9d9">
              <v:stroke dashstyle="solid"/>
            </v:line>
            <v:line style="position:absolute" from="4709,1583" to="4709,1672" stroked="true" strokeweight=".75pt" strokecolor="#d9d9d9">
              <v:stroke dashstyle="solid"/>
            </v:line>
            <v:line style="position:absolute" from="5868,547" to="5868,1386" stroked="true" strokeweight=".75pt" strokecolor="#d9d9d9">
              <v:stroke dashstyle="solid"/>
            </v:line>
            <v:line style="position:absolute" from="5868,1583" to="5868,1672" stroked="true" strokeweight=".75pt" strokecolor="#d9d9d9">
              <v:stroke dashstyle="solid"/>
            </v:line>
            <v:line style="position:absolute" from="7027,547" to="7027,1386" stroked="true" strokeweight=".75pt" strokecolor="#d9d9d9">
              <v:stroke dashstyle="solid"/>
            </v:line>
            <v:line style="position:absolute" from="7027,1583" to="7027,1672" stroked="true" strokeweight=".75pt" strokecolor="#d9d9d9">
              <v:stroke dashstyle="solid"/>
            </v:line>
            <v:line style="position:absolute" from="8186,547" to="8186,1386" stroked="true" strokeweight=".75pt" strokecolor="#d9d9d9">
              <v:stroke dashstyle="solid"/>
            </v:line>
            <v:line style="position:absolute" from="8186,1583" to="8186,1672" stroked="true" strokeweight=".75pt" strokecolor="#d9d9d9">
              <v:stroke dashstyle="solid"/>
            </v:line>
            <v:line style="position:absolute" from="9346,547" to="9346,1386" stroked="true" strokeweight=".75pt" strokecolor="#d9d9d9">
              <v:stroke dashstyle="solid"/>
            </v:line>
            <v:line style="position:absolute" from="9346,1583" to="9346,1672" stroked="true" strokeweight=".75pt" strokecolor="#d9d9d9">
              <v:stroke dashstyle="solid"/>
            </v:line>
            <v:line style="position:absolute" from="10504,547" to="10504,1672" stroked="true" strokeweight=".75pt" strokecolor="#d9d9d9">
              <v:stroke dashstyle="solid"/>
            </v:line>
            <v:line style="position:absolute" from="2392,1534" to="9650,1534" stroked="true" strokeweight="4.92pt" strokecolor="#901b1b">
              <v:stroke dashstyle="solid"/>
            </v:line>
            <v:line style="position:absolute" from="2392,1158" to="4030,1158" stroked="true" strokeweight="4.8pt" strokecolor="#901b1b">
              <v:stroke dashstyle="solid"/>
            </v:line>
            <v:line style="position:absolute" from="2392,783" to="5083,783" stroked="true" strokeweight="4.92pt" strokecolor="#901b1b">
              <v:stroke dashstyle="solid"/>
            </v:line>
            <v:line style="position:absolute" from="2392,1436" to="10387,1436" stroked="true" strokeweight="4.92pt" strokecolor="#bd8686">
              <v:stroke dashstyle="solid"/>
            </v:line>
            <v:line style="position:absolute" from="2392,1061" to="4130,1061" stroked="true" strokeweight="4.92pt" strokecolor="#bd8686">
              <v:stroke dashstyle="solid"/>
            </v:line>
            <v:line style="position:absolute" from="2392,684" to="4130,684" stroked="true" strokeweight="4.92pt" strokecolor="#bd8686">
              <v:stroke dashstyle="solid"/>
            </v:line>
            <v:line style="position:absolute" from="2392,1672" to="2392,547" stroked="true" strokeweight=".75pt" strokecolor="#d9d9d9">
              <v:stroke dashstyle="solid"/>
            </v:line>
            <v:rect style="position:absolute;left:5607;top:2231;width:93;height:93" filled="true" fillcolor="#bd8686" stroked="false">
              <v:fill type="solid"/>
            </v:rect>
            <v:rect style="position:absolute;left:6256;top:2231;width:93;height:93" filled="true" fillcolor="#901b1b" stroked="false">
              <v:fill type="solid"/>
            </v:rect>
            <v:shape style="position:absolute;left:6388;top:2170;width:410;height:205" type="#_x0000_t202" filled="false" stroked="false">
              <v:textbox inset="0,0,0,0">
                <w:txbxContent>
                  <w:p>
                    <w:pPr>
                      <w:spacing w:before="0"/>
                      <w:ind w:left="0" w:right="0" w:firstLine="0"/>
                      <w:jc w:val="left"/>
                      <w:rPr>
                        <w:sz w:val="18"/>
                      </w:rPr>
                    </w:pPr>
                    <w:r>
                      <w:rPr>
                        <w:color w:val="585858"/>
                        <w:sz w:val="18"/>
                      </w:rPr>
                      <w:t>2016</w:t>
                    </w:r>
                  </w:p>
                </w:txbxContent>
              </v:textbox>
              <w10:wrap type="none"/>
            </v:shape>
            <v:shape style="position:absolute;left:10332;top:1782;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9167;top:1782;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8011;top:1782;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6848;top:1782;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5690;top:1782;width:457;height:592" type="#_x0000_t202" filled="false" stroked="false">
              <v:textbox inset="0,0,0,0">
                <w:txbxContent>
                  <w:p>
                    <w:pPr>
                      <w:spacing w:before="0"/>
                      <w:ind w:left="0" w:right="0" w:firstLine="0"/>
                      <w:jc w:val="left"/>
                      <w:rPr>
                        <w:sz w:val="18"/>
                      </w:rPr>
                    </w:pPr>
                    <w:r>
                      <w:rPr>
                        <w:color w:val="585858"/>
                        <w:sz w:val="18"/>
                      </w:rPr>
                      <w:t>30%</w:t>
                    </w:r>
                  </w:p>
                  <w:p>
                    <w:pPr>
                      <w:spacing w:line="240" w:lineRule="auto" w:before="1"/>
                      <w:rPr>
                        <w:i/>
                        <w:sz w:val="16"/>
                      </w:rPr>
                    </w:pPr>
                  </w:p>
                  <w:p>
                    <w:pPr>
                      <w:spacing w:before="0"/>
                      <w:ind w:left="47" w:right="0" w:firstLine="0"/>
                      <w:jc w:val="left"/>
                      <w:rPr>
                        <w:sz w:val="18"/>
                      </w:rPr>
                    </w:pPr>
                    <w:r>
                      <w:rPr>
                        <w:color w:val="585858"/>
                        <w:sz w:val="18"/>
                      </w:rPr>
                      <w:t>2012</w:t>
                    </w:r>
                  </w:p>
                </w:txbxContent>
              </v:textbox>
              <w10:wrap type="none"/>
            </v:shape>
            <v:shape style="position:absolute;left:4531;top:1782;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3383;top:1782;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2263;top:1782;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627;width:708;height:955" type="#_x0000_t202" filled="false" stroked="false">
              <v:textbox inset="0,0,0,0">
                <w:txbxContent>
                  <w:p>
                    <w:pPr>
                      <w:spacing w:before="0"/>
                      <w:ind w:left="0" w:right="0" w:firstLine="0"/>
                      <w:jc w:val="left"/>
                      <w:rPr>
                        <w:sz w:val="18"/>
                      </w:rPr>
                    </w:pPr>
                    <w:r>
                      <w:rPr>
                        <w:color w:val="585858"/>
                        <w:sz w:val="18"/>
                      </w:rPr>
                      <w:t>Ved</w:t>
                    </w:r>
                    <w:r>
                      <w:rPr>
                        <w:color w:val="585858"/>
                        <w:spacing w:val="-1"/>
                        <w:sz w:val="18"/>
                      </w:rPr>
                      <w:t> </w:t>
                    </w:r>
                    <w:r>
                      <w:rPr>
                        <w:color w:val="585858"/>
                        <w:sz w:val="18"/>
                      </w:rPr>
                      <w:t>ikke</w:t>
                    </w:r>
                  </w:p>
                  <w:p>
                    <w:pPr>
                      <w:spacing w:line="376" w:lineRule="exact" w:before="34"/>
                      <w:ind w:left="502" w:right="18" w:hanging="94"/>
                      <w:jc w:val="right"/>
                      <w:rPr>
                        <w:sz w:val="18"/>
                      </w:rPr>
                    </w:pPr>
                    <w:r>
                      <w:rPr>
                        <w:color w:val="585858"/>
                        <w:spacing w:val="-1"/>
                        <w:sz w:val="18"/>
                      </w:rPr>
                      <w:t>Nej</w:t>
                    </w:r>
                    <w:r>
                      <w:rPr>
                        <w:color w:val="585858"/>
                        <w:sz w:val="18"/>
                      </w:rPr>
                      <w:t> Ja</w:t>
                    </w:r>
                  </w:p>
                </w:txbxContent>
              </v:textbox>
              <w10:wrap type="none"/>
            </v:shape>
            <w10:wrap type="topAndBottom"/>
          </v:group>
        </w:pict>
      </w:r>
      <w:r>
        <w:rPr>
          <w:i/>
          <w:color w:val="A21F1F"/>
          <w:sz w:val="18"/>
        </w:rPr>
        <w:t>sigt at styrke innovationen i virksomheden, henholdsvis i 2012 og i 2016</w:t>
      </w:r>
    </w:p>
    <w:p>
      <w:pPr>
        <w:pStyle w:val="BodyText"/>
        <w:spacing w:before="6"/>
        <w:rPr>
          <w:i/>
          <w:sz w:val="18"/>
        </w:rPr>
      </w:pPr>
    </w:p>
    <w:p>
      <w:pPr>
        <w:spacing w:before="0"/>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19"/>
        <w:ind w:left="278" w:right="0" w:firstLine="0"/>
        <w:jc w:val="left"/>
        <w:rPr>
          <w:i/>
          <w:sz w:val="18"/>
        </w:rPr>
      </w:pPr>
      <w:r>
        <w:rPr>
          <w:b/>
          <w:i/>
          <w:color w:val="A21F1F"/>
          <w:sz w:val="18"/>
        </w:rPr>
        <w:t>N: </w:t>
      </w:r>
      <w:r>
        <w:rPr>
          <w:i/>
          <w:color w:val="A21F1F"/>
          <w:sz w:val="18"/>
        </w:rPr>
        <w:t>2016: 99 og 2012: 71</w:t>
      </w:r>
    </w:p>
    <w:p>
      <w:pPr>
        <w:pStyle w:val="BodyText"/>
        <w:rPr>
          <w:i/>
        </w:rPr>
      </w:pPr>
    </w:p>
    <w:p>
      <w:pPr>
        <w:pStyle w:val="BodyText"/>
        <w:spacing w:line="360" w:lineRule="auto" w:before="133"/>
        <w:ind w:left="278" w:right="1106"/>
      </w:pPr>
      <w:r>
        <w:rPr/>
        <w:t>Virksomhederne er også blevet spurgt om, hvordan de vurderer, at udviklingen vil være i forhold til den konkurrencemæssige situation. Her vurderer størstedelen af virksomhederne, at de frie geodata vil skærpe konkurrencen på 3-4 års sigt, jf. </w:t>
      </w:r>
      <w:hyperlink w:history="true" w:anchor="_bookmark110">
        <w:r>
          <w:rPr/>
          <w:t>Figur 61 </w:t>
        </w:r>
      </w:hyperlink>
      <w:r>
        <w:rPr/>
        <w:t>herunder. Samtidig vurderer virksomhederne, at konkurrencen primært vil komme fra eksisterede virksomheder i markedet.</w:t>
      </w:r>
    </w:p>
    <w:p>
      <w:pPr>
        <w:pStyle w:val="BodyText"/>
        <w:spacing w:before="1"/>
        <w:rPr>
          <w:sz w:val="21"/>
        </w:rPr>
      </w:pPr>
    </w:p>
    <w:p>
      <w:pPr>
        <w:spacing w:before="0"/>
        <w:ind w:left="278" w:right="0" w:firstLine="0"/>
        <w:jc w:val="left"/>
        <w:rPr>
          <w:i/>
          <w:sz w:val="18"/>
        </w:rPr>
      </w:pPr>
      <w:r>
        <w:rPr/>
        <w:pict>
          <v:group style="position:absolute;margin-left:70.900002pt;margin-top:16.282936pt;width:469.2pt;height:118.8pt;mso-position-horizontal-relative:page;mso-position-vertical-relative:paragraph;z-index:11792;mso-wrap-distance-left:0;mso-wrap-distance-right:0" coordorigin="1418,326" coordsize="9384,2376">
            <v:rect style="position:absolute;left:1418;top:325;width:9384;height:2376" filled="true" fillcolor="#f1f1f1" stroked="false">
              <v:fill type="solid"/>
            </v:rect>
            <v:line style="position:absolute" from="4349,326" to="4349,435" stroked="true" strokeweight=".75pt" strokecolor="#d9d9d9">
              <v:stroke dashstyle="solid"/>
            </v:line>
            <v:line style="position:absolute" from="4349,555" to="4349,774" stroked="true" strokeweight=".75pt" strokecolor="#d9d9d9">
              <v:stroke dashstyle="solid"/>
            </v:line>
            <v:line style="position:absolute" from="4349,894" to="4349,1450" stroked="true" strokeweight=".75pt" strokecolor="#d9d9d9">
              <v:stroke dashstyle="solid"/>
            </v:line>
            <v:line style="position:absolute" from="4349,1570" to="4349,1789" stroked="true" strokeweight=".75pt" strokecolor="#d9d9d9">
              <v:stroke dashstyle="solid"/>
            </v:line>
            <v:line style="position:absolute" from="4349,1909" to="4349,2127" stroked="true" strokeweight=".75pt" strokecolor="#d9d9d9">
              <v:stroke dashstyle="solid"/>
            </v:line>
            <v:line style="position:absolute" from="4349,2247" to="4349,2357" stroked="true" strokeweight=".75pt" strokecolor="#d9d9d9">
              <v:stroke dashstyle="solid"/>
            </v:line>
            <v:line style="position:absolute" from="5376,326" to="5376,774" stroked="true" strokeweight=".75pt" strokecolor="#d9d9d9">
              <v:stroke dashstyle="solid"/>
            </v:line>
            <v:line style="position:absolute" from="5376,894" to="5376,1450" stroked="true" strokeweight=".75pt" strokecolor="#d9d9d9">
              <v:stroke dashstyle="solid"/>
            </v:line>
            <v:line style="position:absolute" from="5376,1570" to="5376,1789" stroked="true" strokeweight=".75pt" strokecolor="#d9d9d9">
              <v:stroke dashstyle="solid"/>
            </v:line>
            <v:line style="position:absolute" from="5376,1909" to="5376,2127" stroked="true" strokeweight=".75pt" strokecolor="#d9d9d9">
              <v:stroke dashstyle="solid"/>
            </v:line>
            <v:line style="position:absolute" from="5376,2247" to="5376,2357" stroked="true" strokeweight=".75pt" strokecolor="#d9d9d9">
              <v:stroke dashstyle="solid"/>
            </v:line>
            <v:line style="position:absolute" from="6403,326" to="6403,774" stroked="true" strokeweight=".75pt" strokecolor="#d9d9d9">
              <v:stroke dashstyle="solid"/>
            </v:line>
            <v:line style="position:absolute" from="6403,894" to="6403,1789" stroked="true" strokeweight=".75pt" strokecolor="#d9d9d9">
              <v:stroke dashstyle="solid"/>
            </v:line>
            <v:line style="position:absolute" from="6403,1909" to="6403,2127" stroked="true" strokeweight=".75pt" strokecolor="#d9d9d9">
              <v:stroke dashstyle="solid"/>
            </v:line>
            <v:line style="position:absolute" from="6403,2247" to="6403,2357" stroked="true" strokeweight=".75pt" strokecolor="#d9d9d9">
              <v:stroke dashstyle="solid"/>
            </v:line>
            <v:line style="position:absolute" from="7430,326" to="7430,774" stroked="true" strokeweight=".75pt" strokecolor="#d9d9d9">
              <v:stroke dashstyle="solid"/>
            </v:line>
            <v:line style="position:absolute" from="7430,894" to="7430,2127" stroked="true" strokeweight=".75pt" strokecolor="#d9d9d9">
              <v:stroke dashstyle="solid"/>
            </v:line>
            <v:line style="position:absolute" from="7430,2247" to="7430,2357" stroked="true" strokeweight=".75pt" strokecolor="#d9d9d9">
              <v:stroke dashstyle="solid"/>
            </v:line>
            <v:line style="position:absolute" from="8458,326" to="8458,774" stroked="true" strokeweight=".75pt" strokecolor="#d9d9d9">
              <v:stroke dashstyle="solid"/>
            </v:line>
            <v:line style="position:absolute" from="8458,894" to="8458,2127" stroked="true" strokeweight=".75pt" strokecolor="#d9d9d9">
              <v:stroke dashstyle="solid"/>
            </v:line>
            <v:line style="position:absolute" from="8458,2247" to="8458,2357" stroked="true" strokeweight=".75pt" strokecolor="#d9d9d9">
              <v:stroke dashstyle="solid"/>
            </v:line>
            <v:line style="position:absolute" from="9485,326" to="9485,774" stroked="true" strokeweight=".75pt" strokecolor="#d9d9d9">
              <v:stroke dashstyle="solid"/>
            </v:line>
            <v:line style="position:absolute" from="9485,894" to="9485,2357" stroked="true" strokeweight=".75pt" strokecolor="#d9d9d9">
              <v:stroke dashstyle="solid"/>
            </v:line>
            <v:line style="position:absolute" from="10511,326" to="10511,2357" stroked="true" strokeweight=".75pt" strokecolor="#d9d9d9">
              <v:stroke dashstyle="solid"/>
            </v:line>
            <v:line style="position:absolute" from="3322,2187" to="8772,2187" stroked="true" strokeweight="6pt" strokecolor="#a21f1f">
              <v:stroke dashstyle="solid"/>
            </v:line>
            <v:line style="position:absolute" from="3322,1849" to="7094,1849" stroked="true" strokeweight="6pt" strokecolor="#a21f1f">
              <v:stroke dashstyle="solid"/>
            </v:line>
            <v:line style="position:absolute" from="3322,1510" to="5628,1510" stroked="true" strokeweight="6pt" strokecolor="#a21f1f">
              <v:stroke dashstyle="solid"/>
            </v:line>
            <v:line style="position:absolute" from="3322,1172" to="4162,1172" stroked="true" strokeweight="6pt" strokecolor="#a21f1f">
              <v:stroke dashstyle="solid"/>
            </v:line>
            <v:line style="position:absolute" from="3322,834" to="9818,834" stroked="true" strokeweight="6pt" strokecolor="#a21f1f">
              <v:stroke dashstyle="solid"/>
            </v:line>
            <v:line style="position:absolute" from="3322,495" to="4999,495" stroked="true" strokeweight="6pt" strokecolor="#a21f1f">
              <v:stroke dashstyle="solid"/>
            </v:line>
            <v:line style="position:absolute" from="3322,2357" to="3322,326" stroked="true" strokeweight=".75pt" strokecolor="#d9d9d9">
              <v:stroke dashstyle="solid"/>
            </v:line>
            <v:shape style="position:absolute;left:1545;top:388;width:1642;height:1898" type="#_x0000_t202" filled="false" stroked="false">
              <v:textbox inset="0,0,0,0">
                <w:txbxContent>
                  <w:p>
                    <w:pPr>
                      <w:spacing w:line="396" w:lineRule="auto" w:before="0"/>
                      <w:ind w:left="263" w:right="19" w:firstLine="327"/>
                      <w:jc w:val="both"/>
                      <w:rPr>
                        <w:sz w:val="18"/>
                      </w:rPr>
                    </w:pPr>
                    <w:r>
                      <w:rPr>
                        <w:color w:val="585858"/>
                        <w:sz w:val="18"/>
                      </w:rPr>
                      <w:t>Ja, i høj </w:t>
                    </w:r>
                    <w:r>
                      <w:rPr>
                        <w:color w:val="585858"/>
                        <w:spacing w:val="-4"/>
                        <w:sz w:val="18"/>
                      </w:rPr>
                      <w:t>grad </w:t>
                    </w:r>
                    <w:r>
                      <w:rPr>
                        <w:color w:val="585858"/>
                        <w:sz w:val="18"/>
                      </w:rPr>
                      <w:t>Ja, i nogen grad Ja, i mindre</w:t>
                    </w:r>
                    <w:r>
                      <w:rPr>
                        <w:color w:val="585858"/>
                        <w:spacing w:val="-8"/>
                        <w:sz w:val="18"/>
                      </w:rPr>
                      <w:t> </w:t>
                    </w:r>
                    <w:r>
                      <w:rPr>
                        <w:color w:val="585858"/>
                        <w:sz w:val="18"/>
                      </w:rPr>
                      <w:t>grad</w:t>
                    </w:r>
                  </w:p>
                  <w:p>
                    <w:pPr>
                      <w:spacing w:before="3"/>
                      <w:ind w:left="0" w:right="0" w:firstLine="0"/>
                      <w:jc w:val="left"/>
                      <w:rPr>
                        <w:sz w:val="18"/>
                      </w:rPr>
                    </w:pPr>
                    <w:r>
                      <w:rPr>
                        <w:color w:val="585858"/>
                        <w:sz w:val="18"/>
                      </w:rPr>
                      <w:t>Ja, i begrændet</w:t>
                    </w:r>
                    <w:r>
                      <w:rPr>
                        <w:color w:val="585858"/>
                        <w:spacing w:val="-12"/>
                        <w:sz w:val="18"/>
                      </w:rPr>
                      <w:t> </w:t>
                    </w:r>
                    <w:r>
                      <w:rPr>
                        <w:color w:val="585858"/>
                        <w:sz w:val="18"/>
                      </w:rPr>
                      <w:t>grad</w:t>
                    </w:r>
                  </w:p>
                  <w:p>
                    <w:pPr>
                      <w:spacing w:line="338" w:lineRule="exact" w:before="29"/>
                      <w:ind w:left="933" w:right="3" w:firstLine="408"/>
                      <w:jc w:val="left"/>
                      <w:rPr>
                        <w:sz w:val="18"/>
                      </w:rPr>
                    </w:pPr>
                    <w:r>
                      <w:rPr>
                        <w:color w:val="585858"/>
                        <w:sz w:val="18"/>
                      </w:rPr>
                      <w:t>Nej Ved</w:t>
                    </w:r>
                    <w:r>
                      <w:rPr>
                        <w:color w:val="585858"/>
                        <w:spacing w:val="-1"/>
                        <w:sz w:val="18"/>
                      </w:rPr>
                      <w:t> </w:t>
                    </w:r>
                    <w:r>
                      <w:rPr>
                        <w:color w:val="585858"/>
                        <w:spacing w:val="-4"/>
                        <w:sz w:val="18"/>
                      </w:rPr>
                      <w:t>ikke</w:t>
                    </w:r>
                  </w:p>
                </w:txbxContent>
              </v:textbox>
              <w10:wrap type="none"/>
            </v:shape>
            <v:shape style="position:absolute;left:5120;top:394;width:276;height:205" type="#_x0000_t202" filled="false" stroked="false">
              <v:textbox inset="0,0,0,0">
                <w:txbxContent>
                  <w:p>
                    <w:pPr>
                      <w:spacing w:before="0"/>
                      <w:ind w:left="0" w:right="0" w:firstLine="0"/>
                      <w:jc w:val="left"/>
                      <w:rPr>
                        <w:sz w:val="18"/>
                      </w:rPr>
                    </w:pPr>
                    <w:r>
                      <w:rPr>
                        <w:color w:val="404040"/>
                        <w:sz w:val="18"/>
                      </w:rPr>
                      <w:t>8%</w:t>
                    </w:r>
                  </w:p>
                </w:txbxContent>
              </v:textbox>
              <w10:wrap type="none"/>
            </v:shape>
            <v:shape style="position:absolute;left:9942;top:733;width:367;height:205" type="#_x0000_t202" filled="false" stroked="false">
              <v:textbox inset="0,0,0,0">
                <w:txbxContent>
                  <w:p>
                    <w:pPr>
                      <w:spacing w:before="0"/>
                      <w:ind w:left="0" w:right="0" w:firstLine="0"/>
                      <w:jc w:val="left"/>
                      <w:rPr>
                        <w:sz w:val="18"/>
                      </w:rPr>
                    </w:pPr>
                    <w:r>
                      <w:rPr>
                        <w:color w:val="404040"/>
                        <w:sz w:val="18"/>
                      </w:rPr>
                      <w:t>32%</w:t>
                    </w:r>
                  </w:p>
                </w:txbxContent>
              </v:textbox>
              <w10:wrap type="none"/>
            </v:shape>
            <v:shape style="position:absolute;left:4281;top:1071;width:121;height:205" type="#_x0000_t202" filled="false" stroked="false">
              <v:textbox inset="0,0,0,0">
                <w:txbxContent>
                  <w:p>
                    <w:pPr>
                      <w:spacing w:before="0"/>
                      <w:ind w:left="0" w:right="0" w:firstLine="0"/>
                      <w:jc w:val="left"/>
                      <w:rPr>
                        <w:sz w:val="18"/>
                      </w:rPr>
                    </w:pPr>
                    <w:r>
                      <w:rPr>
                        <w:color w:val="404040"/>
                        <w:spacing w:val="-1"/>
                        <w:sz w:val="18"/>
                      </w:rPr>
                      <w:t>4</w:t>
                    </w:r>
                  </w:p>
                </w:txbxContent>
              </v:textbox>
              <w10:wrap type="none"/>
            </v:shape>
            <v:shape style="position:absolute;left:5748;top:1410;width:321;height:205" type="#_x0000_t202" filled="false" stroked="false">
              <v:textbox inset="0,0,0,0">
                <w:txbxContent>
                  <w:p>
                    <w:pPr>
                      <w:spacing w:before="0"/>
                      <w:ind w:left="0" w:right="0" w:firstLine="0"/>
                      <w:jc w:val="left"/>
                      <w:rPr>
                        <w:sz w:val="18"/>
                      </w:rPr>
                    </w:pPr>
                    <w:r>
                      <w:rPr>
                        <w:color w:val="404040"/>
                        <w:sz w:val="18"/>
                      </w:rPr>
                      <w:t>11%</w:t>
                    </w:r>
                  </w:p>
                </w:txbxContent>
              </v:textbox>
              <w10:wrap type="none"/>
            </v:shape>
            <v:shape style="position:absolute;left:7216;top:1748;width:205;height:205" type="#_x0000_t202" filled="false" stroked="false">
              <v:textbox inset="0,0,0,0">
                <w:txbxContent>
                  <w:p>
                    <w:pPr>
                      <w:spacing w:before="0"/>
                      <w:ind w:left="0" w:right="0" w:firstLine="0"/>
                      <w:jc w:val="left"/>
                      <w:rPr>
                        <w:sz w:val="18"/>
                      </w:rPr>
                    </w:pPr>
                    <w:r>
                      <w:rPr>
                        <w:color w:val="404040"/>
                        <w:sz w:val="18"/>
                      </w:rPr>
                      <w:t>18</w:t>
                    </w:r>
                  </w:p>
                </w:txbxContent>
              </v:textbox>
              <w10:wrap type="none"/>
            </v:shape>
            <v:shape style="position:absolute;left:8892;top:2087;width:360;height:205" type="#_x0000_t202" filled="false" stroked="false">
              <v:textbox inset="0,0,0,0">
                <w:txbxContent>
                  <w:p>
                    <w:pPr>
                      <w:spacing w:before="0"/>
                      <w:ind w:left="0" w:right="0" w:firstLine="0"/>
                      <w:jc w:val="left"/>
                      <w:rPr>
                        <w:sz w:val="18"/>
                      </w:rPr>
                    </w:pPr>
                    <w:r>
                      <w:rPr>
                        <w:color w:val="404040"/>
                        <w:sz w:val="18"/>
                      </w:rPr>
                      <w:t>27%</w:t>
                    </w:r>
                  </w:p>
                </w:txbxContent>
              </v:textbox>
              <w10:wrap type="none"/>
            </v:shape>
            <v:shape style="position:absolute;left:3194;top:2469;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4228;top:2469;width:265;height:205" type="#_x0000_t202" filled="false" stroked="false">
              <v:textbox inset="0,0,0,0">
                <w:txbxContent>
                  <w:p>
                    <w:pPr>
                      <w:spacing w:before="0"/>
                      <w:ind w:left="0" w:right="0" w:firstLine="0"/>
                      <w:jc w:val="left"/>
                      <w:rPr>
                        <w:sz w:val="18"/>
                      </w:rPr>
                    </w:pPr>
                    <w:r>
                      <w:rPr>
                        <w:color w:val="585858"/>
                        <w:sz w:val="18"/>
                      </w:rPr>
                      <w:t>5%</w:t>
                    </w:r>
                  </w:p>
                </w:txbxContent>
              </v:textbox>
              <w10:wrap type="none"/>
            </v:shape>
            <v:shape style="position:absolute;left:5210;top:2469;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6244;top:2469;width:340;height:205" type="#_x0000_t202" filled="false" stroked="false">
              <v:textbox inset="0,0,0,0">
                <w:txbxContent>
                  <w:p>
                    <w:pPr>
                      <w:spacing w:before="0"/>
                      <w:ind w:left="0" w:right="0" w:firstLine="0"/>
                      <w:jc w:val="left"/>
                      <w:rPr>
                        <w:sz w:val="18"/>
                      </w:rPr>
                    </w:pPr>
                    <w:r>
                      <w:rPr>
                        <w:color w:val="585858"/>
                        <w:sz w:val="18"/>
                      </w:rPr>
                      <w:t>15%</w:t>
                    </w:r>
                  </w:p>
                </w:txbxContent>
              </v:textbox>
              <w10:wrap type="none"/>
            </v:shape>
            <v:shape style="position:absolute;left:7252;top:2469;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8287;top:2469;width:364;height:205" type="#_x0000_t202" filled="false" stroked="false">
              <v:textbox inset="0,0,0,0">
                <w:txbxContent>
                  <w:p>
                    <w:pPr>
                      <w:spacing w:before="0"/>
                      <w:ind w:left="0" w:right="0" w:firstLine="0"/>
                      <w:jc w:val="left"/>
                      <w:rPr>
                        <w:sz w:val="18"/>
                      </w:rPr>
                    </w:pPr>
                    <w:r>
                      <w:rPr>
                        <w:color w:val="585858"/>
                        <w:sz w:val="18"/>
                      </w:rPr>
                      <w:t>25%</w:t>
                    </w:r>
                  </w:p>
                </w:txbxContent>
              </v:textbox>
              <w10:wrap type="none"/>
            </v:shape>
            <v:shape style="position:absolute;left:9307;top:2469;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10342;top:2469;width:362;height:205" type="#_x0000_t202" filled="false" stroked="false">
              <v:textbox inset="0,0,0,0">
                <w:txbxContent>
                  <w:p>
                    <w:pPr>
                      <w:spacing w:before="0"/>
                      <w:ind w:left="0" w:right="0" w:firstLine="0"/>
                      <w:jc w:val="left"/>
                      <w:rPr>
                        <w:sz w:val="18"/>
                      </w:rPr>
                    </w:pPr>
                    <w:r>
                      <w:rPr>
                        <w:color w:val="585858"/>
                        <w:sz w:val="18"/>
                      </w:rPr>
                      <w:t>35%</w:t>
                    </w:r>
                  </w:p>
                </w:txbxContent>
              </v:textbox>
              <w10:wrap type="none"/>
            </v:shape>
            <v:shape style="position:absolute;left:7401;top:1748;width:168;height:205" type="#_x0000_t202" filled="false" stroked="false">
              <v:textbox inset="0,0,0,0">
                <w:txbxContent>
                  <w:p>
                    <w:pPr>
                      <w:spacing w:before="0"/>
                      <w:ind w:left="0" w:right="0" w:firstLine="0"/>
                      <w:jc w:val="left"/>
                      <w:rPr>
                        <w:sz w:val="18"/>
                      </w:rPr>
                    </w:pPr>
                    <w:r>
                      <w:rPr>
                        <w:color w:val="404040"/>
                        <w:sz w:val="18"/>
                      </w:rPr>
                      <w:t>%</w:t>
                    </w:r>
                  </w:p>
                </w:txbxContent>
              </v:textbox>
              <w10:wrap type="none"/>
            </v:shape>
            <v:shape style="position:absolute;left:4382;top:1071;width:167;height:205" type="#_x0000_t202" filled="false" stroked="false">
              <v:textbox inset="0,0,0,0">
                <w:txbxContent>
                  <w:p>
                    <w:pPr>
                      <w:spacing w:before="0"/>
                      <w:ind w:left="0" w:right="0" w:firstLine="0"/>
                      <w:jc w:val="left"/>
                      <w:rPr>
                        <w:sz w:val="18"/>
                      </w:rPr>
                    </w:pPr>
                    <w:r>
                      <w:rPr>
                        <w:color w:val="404040"/>
                        <w:spacing w:val="-1"/>
                        <w:sz w:val="18"/>
                      </w:rPr>
                      <w:t>%</w:t>
                    </w:r>
                  </w:p>
                </w:txbxContent>
              </v:textbox>
              <w10:wrap type="none"/>
            </v:shape>
            <w10:wrap type="topAndBottom"/>
          </v:group>
        </w:pict>
      </w:r>
      <w:bookmarkStart w:name="_bookmark110" w:id="156"/>
      <w:bookmarkEnd w:id="156"/>
      <w:r>
        <w:rPr/>
      </w:r>
      <w:r>
        <w:rPr>
          <w:i/>
          <w:color w:val="A21F1F"/>
          <w:sz w:val="18"/>
        </w:rPr>
        <w:t>Figur 61: Private virksomheders vurdering af, om de frie geodata vil skærpe konkurrencen på 3-4 års sigt</w:t>
      </w:r>
    </w:p>
    <w:p>
      <w:pPr>
        <w:pStyle w:val="BodyText"/>
        <w:spacing w:before="5"/>
        <w:rPr>
          <w:i/>
          <w:sz w:val="18"/>
        </w:rPr>
      </w:pPr>
    </w:p>
    <w:p>
      <w:pPr>
        <w:spacing w:before="0"/>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22"/>
        <w:ind w:left="278" w:right="0" w:firstLine="0"/>
        <w:jc w:val="left"/>
        <w:rPr>
          <w:i/>
          <w:sz w:val="18"/>
        </w:rPr>
      </w:pPr>
      <w:r>
        <w:rPr>
          <w:b/>
          <w:i/>
          <w:color w:val="A21F1F"/>
          <w:sz w:val="18"/>
        </w:rPr>
        <w:t>N: </w:t>
      </w:r>
      <w:r>
        <w:rPr>
          <w:i/>
          <w:color w:val="A21F1F"/>
          <w:sz w:val="18"/>
        </w:rPr>
        <w:t>2016: 98 og 2012: 71</w:t>
      </w:r>
    </w:p>
    <w:p>
      <w:pPr>
        <w:pStyle w:val="BodyText"/>
        <w:rPr>
          <w:i/>
        </w:rPr>
      </w:pPr>
    </w:p>
    <w:p>
      <w:pPr>
        <w:pStyle w:val="BodyText"/>
        <w:spacing w:line="360" w:lineRule="auto" w:before="133"/>
        <w:ind w:left="278" w:right="1262"/>
      </w:pPr>
      <w:r>
        <w:rPr/>
        <w:t>Yderligere angiver ca. 50 pct. flere virksomheder i 2016 end i 2012, at de frie geodata har givet anledning til, at virksomheden har udviklet eller ændret på interne processer og opgaver, jf. </w:t>
      </w:r>
      <w:hyperlink w:history="true" w:anchor="_bookmark111">
        <w:r>
          <w:rPr/>
          <w:t>Figur 62</w:t>
        </w:r>
      </w:hyperlink>
    </w:p>
    <w:p>
      <w:pPr>
        <w:spacing w:before="0"/>
        <w:ind w:left="278" w:right="1103" w:firstLine="0"/>
        <w:jc w:val="left"/>
        <w:rPr>
          <w:i/>
          <w:sz w:val="18"/>
        </w:rPr>
      </w:pPr>
      <w:r>
        <w:rPr/>
        <w:pict>
          <v:group style="position:absolute;margin-left:70.900002pt;margin-top:26.46294pt;width:469.8pt;height:113.4pt;mso-position-horizontal-relative:page;mso-position-vertical-relative:paragraph;z-index:12080;mso-wrap-distance-left:0;mso-wrap-distance-right:0" coordorigin="1418,529" coordsize="9396,2268">
            <v:rect style="position:absolute;left:1418;top:529;width:9396;height:2268" filled="true" fillcolor="#f1f1f1" stroked="false">
              <v:fill type="solid"/>
            </v:rect>
            <v:line style="position:absolute" from="3394,749" to="3394,1229" stroked="true" strokeweight=".75pt" strokecolor="#d9d9d9">
              <v:stroke dashstyle="solid"/>
            </v:line>
            <v:line style="position:absolute" from="3394,1431" to="3394,1616" stroked="true" strokeweight=".75pt" strokecolor="#d9d9d9">
              <v:stroke dashstyle="solid"/>
            </v:line>
            <v:line style="position:absolute" from="3394,1817" to="3394,1910" stroked="true" strokeweight=".75pt" strokecolor="#d9d9d9">
              <v:stroke dashstyle="solid"/>
            </v:line>
            <v:line style="position:absolute" from="4397,749" to="4397,1229" stroked="true" strokeweight=".75pt" strokecolor="#d9d9d9">
              <v:stroke dashstyle="solid"/>
            </v:line>
            <v:line style="position:absolute" from="4397,1431" to="4397,1616" stroked="true" strokeweight=".75pt" strokecolor="#d9d9d9">
              <v:stroke dashstyle="solid"/>
            </v:line>
            <v:line style="position:absolute" from="4397,1817" to="4397,1910" stroked="true" strokeweight=".75pt" strokecolor="#d9d9d9">
              <v:stroke dashstyle="solid"/>
            </v:line>
            <v:line style="position:absolute" from="5400,749" to="5400,1229" stroked="true" strokeweight=".75pt" strokecolor="#d9d9d9">
              <v:stroke dashstyle="solid"/>
            </v:line>
            <v:line style="position:absolute" from="5400,1431" to="5400,1716" stroked="true" strokeweight=".75pt" strokecolor="#d9d9d9">
              <v:stroke dashstyle="solid"/>
            </v:line>
            <v:line style="position:absolute" from="5400,1817" to="5400,1910" stroked="true" strokeweight=".75pt" strokecolor="#d9d9d9">
              <v:stroke dashstyle="solid"/>
            </v:line>
            <v:line style="position:absolute" from="6401,749" to="6401,1229" stroked="true" strokeweight=".75pt" strokecolor="#d9d9d9">
              <v:stroke dashstyle="solid"/>
            </v:line>
            <v:line style="position:absolute" from="6401,1431" to="6401,1716" stroked="true" strokeweight=".75pt" strokecolor="#d9d9d9">
              <v:stroke dashstyle="solid"/>
            </v:line>
            <v:line style="position:absolute" from="6401,1817" to="6401,1910" stroked="true" strokeweight=".75pt" strokecolor="#d9d9d9">
              <v:stroke dashstyle="solid"/>
            </v:line>
            <v:line style="position:absolute" from="7404,749" to="7404,1229" stroked="true" strokeweight=".75pt" strokecolor="#d9d9d9">
              <v:stroke dashstyle="solid"/>
            </v:line>
            <v:line style="position:absolute" from="7404,1330" to="7404,1910" stroked="true" strokeweight=".75pt" strokecolor="#d9d9d9">
              <v:stroke dashstyle="solid"/>
            </v:line>
            <v:line style="position:absolute" from="8407,749" to="8407,1229" stroked="true" strokeweight=".75pt" strokecolor="#d9d9d9">
              <v:stroke dashstyle="solid"/>
            </v:line>
            <v:line style="position:absolute" from="8407,1330" to="8407,1910" stroked="true" strokeweight=".75pt" strokecolor="#d9d9d9">
              <v:stroke dashstyle="solid"/>
            </v:line>
            <v:line style="position:absolute" from="9408,749" to="9408,1910" stroked="true" strokeweight=".75pt" strokecolor="#d9d9d9">
              <v:stroke dashstyle="solid"/>
            </v:line>
            <v:line style="position:absolute" from="10412,749" to="10412,1910" stroked="true" strokeweight=".75pt" strokecolor="#d9d9d9">
              <v:stroke dashstyle="solid"/>
            </v:line>
            <v:line style="position:absolute" from="2392,1767" to="6890,1767" stroked="true" strokeweight="5.04pt" strokecolor="#901b1b">
              <v:stroke dashstyle="solid"/>
            </v:line>
            <v:line style="position:absolute" from="2392,1380" to="7018,1380" stroked="true" strokeweight="5.04pt" strokecolor="#901b1b">
              <v:stroke dashstyle="solid"/>
            </v:line>
            <v:line style="position:absolute" from="2392,994" to="3290,994" stroked="true" strokeweight="5.04pt" strokecolor="#901b1b">
              <v:stroke dashstyle="solid"/>
            </v:line>
            <v:line style="position:absolute" from="2392,1666" to="4898,1666" stroked="true" strokeweight="5.04pt" strokecolor="#bd8686">
              <v:stroke dashstyle="solid"/>
            </v:line>
            <v:line style="position:absolute" from="2392,1280" to="9209,1280" stroked="true" strokeweight="5.04pt" strokecolor="#bd8686">
              <v:stroke dashstyle="solid"/>
            </v:line>
            <v:line style="position:absolute" from="2392,892" to="3094,892" stroked="true" strokeweight="5.16pt" strokecolor="#bd8686">
              <v:stroke dashstyle="solid"/>
            </v:line>
            <v:line style="position:absolute" from="2392,1910" to="2392,749" stroked="true" strokeweight=".75pt" strokecolor="#d9d9d9">
              <v:stroke dashstyle="solid"/>
            </v:line>
            <v:rect style="position:absolute;left:5565;top:2469;width:93;height:93" filled="true" fillcolor="#bd8686" stroked="false">
              <v:fill type="solid"/>
            </v:rect>
            <v:rect style="position:absolute;left:6214;top:2469;width:93;height:93" filled="true" fillcolor="#901b1b" stroked="false">
              <v:fill type="solid"/>
            </v:rect>
            <v:shape style="position:absolute;left:5696;top:2409;width:409;height:205" type="#_x0000_t202" filled="false" stroked="false">
              <v:textbox inset="0,0,0,0">
                <w:txbxContent>
                  <w:p>
                    <w:pPr>
                      <w:spacing w:before="0"/>
                      <w:ind w:left="0" w:right="0" w:firstLine="0"/>
                      <w:jc w:val="left"/>
                      <w:rPr>
                        <w:sz w:val="18"/>
                      </w:rPr>
                    </w:pPr>
                    <w:r>
                      <w:rPr>
                        <w:color w:val="585858"/>
                        <w:sz w:val="18"/>
                      </w:rPr>
                      <w:t>2012</w:t>
                    </w:r>
                  </w:p>
                </w:txbxContent>
              </v:textbox>
              <w10:wrap type="none"/>
            </v:shape>
            <v:shape style="position:absolute;left:10230;top:2022;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9236;top:2022;width:369;height:205" type="#_x0000_t202" filled="false" stroked="false">
              <v:textbox inset="0,0,0,0">
                <w:txbxContent>
                  <w:p>
                    <w:pPr>
                      <w:spacing w:before="0"/>
                      <w:ind w:left="0" w:right="0" w:firstLine="0"/>
                      <w:jc w:val="left"/>
                      <w:rPr>
                        <w:sz w:val="18"/>
                      </w:rPr>
                    </w:pPr>
                    <w:r>
                      <w:rPr>
                        <w:color w:val="585858"/>
                        <w:sz w:val="18"/>
                      </w:rPr>
                      <w:t>70%</w:t>
                    </w:r>
                  </w:p>
                </w:txbxContent>
              </v:textbox>
              <w10:wrap type="none"/>
            </v:shape>
            <v:shape style="position:absolute;left:8228;top:2022;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7229;top:2022;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6223;top:2022;width:534;height:592" type="#_x0000_t202" filled="false" stroked="false">
              <v:textbox inset="0,0,0,0">
                <w:txbxContent>
                  <w:p>
                    <w:pPr>
                      <w:spacing w:before="0"/>
                      <w:ind w:left="0" w:right="0" w:firstLine="0"/>
                      <w:jc w:val="left"/>
                      <w:rPr>
                        <w:sz w:val="18"/>
                      </w:rPr>
                    </w:pPr>
                    <w:r>
                      <w:rPr>
                        <w:color w:val="585858"/>
                        <w:sz w:val="18"/>
                      </w:rPr>
                      <w:t>40%</w:t>
                    </w:r>
                  </w:p>
                  <w:p>
                    <w:pPr>
                      <w:spacing w:line="240" w:lineRule="auto" w:before="1"/>
                      <w:rPr>
                        <w:i/>
                        <w:sz w:val="16"/>
                      </w:rPr>
                    </w:pPr>
                  </w:p>
                  <w:p>
                    <w:pPr>
                      <w:spacing w:before="0"/>
                      <w:ind w:left="123" w:right="0" w:firstLine="0"/>
                      <w:jc w:val="left"/>
                      <w:rPr>
                        <w:sz w:val="18"/>
                      </w:rPr>
                    </w:pPr>
                    <w:r>
                      <w:rPr>
                        <w:color w:val="585858"/>
                        <w:sz w:val="18"/>
                      </w:rPr>
                      <w:t>2016</w:t>
                    </w:r>
                  </w:p>
                </w:txbxContent>
              </v:textbox>
              <w10:wrap type="none"/>
            </v:shape>
            <v:shape style="position:absolute;left:5221;top:2022;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4218;top:2022;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3227;top:2022;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2263;top:2022;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836;width:708;height:979" type="#_x0000_t202" filled="false" stroked="false">
              <v:textbox inset="0,0,0,0">
                <w:txbxContent>
                  <w:p>
                    <w:pPr>
                      <w:spacing w:before="0"/>
                      <w:ind w:left="0" w:right="0" w:firstLine="0"/>
                      <w:jc w:val="left"/>
                      <w:rPr>
                        <w:sz w:val="18"/>
                      </w:rPr>
                    </w:pPr>
                    <w:r>
                      <w:rPr>
                        <w:color w:val="585858"/>
                        <w:sz w:val="18"/>
                      </w:rPr>
                      <w:t>Ved</w:t>
                    </w:r>
                    <w:r>
                      <w:rPr>
                        <w:color w:val="585858"/>
                        <w:spacing w:val="-1"/>
                        <w:sz w:val="18"/>
                      </w:rPr>
                      <w:t> </w:t>
                    </w:r>
                    <w:r>
                      <w:rPr>
                        <w:color w:val="585858"/>
                        <w:sz w:val="18"/>
                      </w:rPr>
                      <w:t>ikke</w:t>
                    </w:r>
                  </w:p>
                  <w:p>
                    <w:pPr>
                      <w:spacing w:line="380" w:lineRule="atLeast" w:before="7"/>
                      <w:ind w:left="502" w:right="18" w:hanging="94"/>
                      <w:jc w:val="right"/>
                      <w:rPr>
                        <w:sz w:val="18"/>
                      </w:rPr>
                    </w:pPr>
                    <w:r>
                      <w:rPr>
                        <w:color w:val="585858"/>
                        <w:spacing w:val="-1"/>
                        <w:sz w:val="18"/>
                      </w:rPr>
                      <w:t>Nej</w:t>
                    </w:r>
                    <w:r>
                      <w:rPr>
                        <w:color w:val="585858"/>
                        <w:sz w:val="18"/>
                      </w:rPr>
                      <w:t> Ja</w:t>
                    </w:r>
                  </w:p>
                </w:txbxContent>
              </v:textbox>
              <w10:wrap type="none"/>
            </v:shape>
            <w10:wrap type="topAndBottom"/>
          </v:group>
        </w:pict>
      </w:r>
      <w:bookmarkStart w:name="_bookmark111" w:id="157"/>
      <w:bookmarkEnd w:id="157"/>
      <w:r>
        <w:rPr/>
      </w:r>
      <w:r>
        <w:rPr>
          <w:i/>
          <w:color w:val="A21F1F"/>
          <w:sz w:val="18"/>
        </w:rPr>
        <w:t>Figur 62: Private virksomheders angivelse af, om virksomheden havde udviklet eller ændret på interne processer og </w:t>
      </w:r>
      <w:r>
        <w:rPr>
          <w:i/>
          <w:color w:val="A21F1F"/>
          <w:sz w:val="18"/>
        </w:rPr>
        <w:t>opgaver, henholdsvis i 2012 og i 2016</w:t>
      </w:r>
    </w:p>
    <w:p>
      <w:pPr>
        <w:pStyle w:val="BodyText"/>
        <w:spacing w:before="1"/>
        <w:rPr>
          <w:i/>
          <w:sz w:val="19"/>
        </w:rPr>
      </w:pPr>
    </w:p>
    <w:p>
      <w:pPr>
        <w:spacing w:before="0"/>
        <w:ind w:left="278" w:right="0" w:firstLine="0"/>
        <w:jc w:val="left"/>
        <w:rPr>
          <w:i/>
          <w:sz w:val="18"/>
        </w:rPr>
      </w:pPr>
      <w:r>
        <w:rPr>
          <w:b/>
          <w:i/>
          <w:color w:val="A21F1F"/>
          <w:sz w:val="18"/>
        </w:rPr>
        <w:t>Kilde: </w:t>
      </w:r>
      <w:r>
        <w:rPr>
          <w:i/>
          <w:color w:val="A21F1F"/>
          <w:sz w:val="18"/>
        </w:rPr>
        <w:t>Spørgeskemaundersøgelse blandt private virksomheder og før-måling</w:t>
      </w:r>
    </w:p>
    <w:p>
      <w:pPr>
        <w:pStyle w:val="BodyText"/>
        <w:spacing w:before="10"/>
        <w:rPr>
          <w:i/>
          <w:sz w:val="17"/>
        </w:rPr>
      </w:pPr>
    </w:p>
    <w:p>
      <w:pPr>
        <w:spacing w:before="1"/>
        <w:ind w:left="278" w:right="0" w:firstLine="0"/>
        <w:jc w:val="left"/>
        <w:rPr>
          <w:i/>
          <w:sz w:val="18"/>
        </w:rPr>
      </w:pPr>
      <w:r>
        <w:rPr>
          <w:b/>
          <w:i/>
          <w:color w:val="A21F1F"/>
          <w:sz w:val="18"/>
        </w:rPr>
        <w:t>N: </w:t>
      </w:r>
      <w:r>
        <w:rPr>
          <w:i/>
          <w:color w:val="A21F1F"/>
          <w:sz w:val="18"/>
        </w:rPr>
        <w:t>2016: 78 og 2012: 71</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Flere af interviewpersonerne i case-undersøgelserne har givet udtryk for, at de frie geodata har medvirket</w:t>
      </w:r>
    </w:p>
    <w:p>
      <w:pPr>
        <w:pStyle w:val="BodyText"/>
        <w:spacing w:line="360" w:lineRule="auto" w:before="114"/>
        <w:ind w:left="278" w:right="1090"/>
      </w:pPr>
      <w:r>
        <w:rPr/>
        <w:t>til, at virksomhederne fx har kunnet udvikle deres produkter og ydelser mere effektivt, i og med at der ikke længere er en betalingsbarriere i forhold til adgangen til de frie geodata.</w:t>
      </w:r>
    </w:p>
    <w:p>
      <w:pPr>
        <w:pStyle w:val="BodyText"/>
        <w:spacing w:before="1"/>
        <w:rPr>
          <w:sz w:val="21"/>
        </w:rPr>
      </w:pPr>
    </w:p>
    <w:p>
      <w:pPr>
        <w:pStyle w:val="BodyText"/>
        <w:spacing w:line="360" w:lineRule="auto"/>
        <w:ind w:left="278" w:right="1380"/>
      </w:pPr>
      <w:r>
        <w:rPr/>
        <w:t>For så vidt angår prissætningen på virksomhedernes produkter og ydelser, angiver ca. 50 pct., at de frie geodata ikke påvirker den pris, som virksomhederne tager for deres produkter og ydelser, jf. </w:t>
      </w:r>
      <w:hyperlink w:history="true" w:anchor="_bookmark112">
        <w:r>
          <w:rPr/>
          <w:t>Figur 63</w:t>
        </w:r>
      </w:hyperlink>
      <w:r>
        <w:rPr/>
        <w:t> herunder.</w:t>
      </w:r>
    </w:p>
    <w:p>
      <w:pPr>
        <w:pStyle w:val="BodyText"/>
        <w:rPr>
          <w:sz w:val="21"/>
        </w:rPr>
      </w:pPr>
    </w:p>
    <w:p>
      <w:pPr>
        <w:spacing w:before="0"/>
        <w:ind w:left="278" w:right="1321" w:firstLine="0"/>
        <w:jc w:val="left"/>
        <w:rPr>
          <w:i/>
          <w:sz w:val="18"/>
        </w:rPr>
      </w:pPr>
      <w:r>
        <w:rPr/>
        <w:pict>
          <v:group style="position:absolute;margin-left:70.525002pt;margin-top:26.187937pt;width:468.75pt;height:248.55pt;mso-position-horizontal-relative:page;mso-position-vertical-relative:paragraph;z-index:12344;mso-wrap-distance-left:0;mso-wrap-distance-right:0" coordorigin="1411,524" coordsize="9375,4971">
            <v:rect style="position:absolute;left:1418;top:531;width:9360;height:4956" filled="true" fillcolor="#f1f1f1" stroked="false">
              <v:fill type="solid"/>
            </v:rect>
            <v:line style="position:absolute" from="6562,751" to="6562,1713" stroked="true" strokeweight=".75pt" strokecolor="#d9d9d9">
              <v:stroke dashstyle="solid"/>
            </v:line>
            <v:line style="position:absolute" from="6562,1881" to="6562,2188" stroked="true" strokeweight=".75pt" strokecolor="#d9d9d9">
              <v:stroke dashstyle="solid"/>
            </v:line>
            <v:line style="position:absolute" from="6562,2524" to="6562,2829" stroked="true" strokeweight=".75pt" strokecolor="#d9d9d9">
              <v:stroke dashstyle="solid"/>
            </v:line>
            <v:line style="position:absolute" from="6562,3165" to="6562,3469" stroked="true" strokeweight=".75pt" strokecolor="#d9d9d9">
              <v:stroke dashstyle="solid"/>
            </v:line>
            <v:line style="position:absolute" from="6562,3805" to="6562,4110" stroked="true" strokeweight=".75pt" strokecolor="#d9d9d9">
              <v:stroke dashstyle="solid"/>
            </v:line>
            <v:line style="position:absolute" from="6562,4446" to="6562,4600" stroked="true" strokeweight=".75pt" strokecolor="#d9d9d9">
              <v:stroke dashstyle="solid"/>
            </v:line>
            <v:line style="position:absolute" from="7325,751" to="7325,3469" stroked="true" strokeweight=".75pt" strokecolor="#d9d9d9">
              <v:stroke dashstyle="solid"/>
            </v:line>
            <v:line style="position:absolute" from="7325,3805" to="7325,4600" stroked="true" strokeweight=".75pt" strokecolor="#d9d9d9">
              <v:stroke dashstyle="solid"/>
            </v:line>
            <v:line style="position:absolute" from="8088,751" to="8088,3469" stroked="true" strokeweight=".75pt" strokecolor="#d9d9d9">
              <v:stroke dashstyle="solid"/>
            </v:line>
            <v:line style="position:absolute" from="8088,3805" to="8088,4600" stroked="true" strokeweight=".75pt" strokecolor="#d9d9d9">
              <v:stroke dashstyle="solid"/>
            </v:line>
            <v:line style="position:absolute" from="8851,751" to="8851,3469" stroked="true" strokeweight=".75pt" strokecolor="#d9d9d9">
              <v:stroke dashstyle="solid"/>
            </v:line>
            <v:line style="position:absolute" from="8851,3805" to="8851,4600" stroked="true" strokeweight=".75pt" strokecolor="#d9d9d9">
              <v:stroke dashstyle="solid"/>
            </v:line>
            <v:line style="position:absolute" from="9614,751" to="9614,3469" stroked="true" strokeweight=".75pt" strokecolor="#d9d9d9">
              <v:stroke dashstyle="solid"/>
            </v:line>
            <v:line style="position:absolute" from="9614,3637" to="9614,4600" stroked="true" strokeweight=".75pt" strokecolor="#d9d9d9">
              <v:stroke dashstyle="solid"/>
            </v:line>
            <v:line style="position:absolute" from="10378,751" to="10378,4600" stroked="true" strokeweight=".75pt" strokecolor="#d9d9d9">
              <v:stroke dashstyle="solid"/>
            </v:line>
            <v:rect style="position:absolute;left:5798;top:4278;width:1405;height:168" filled="true" fillcolor="#901b1b" stroked="false">
              <v:fill type="solid"/>
            </v:rect>
            <v:rect style="position:absolute;left:5798;top:3637;width:3423;height:168" filled="true" fillcolor="#901b1b" stroked="false">
              <v:fill type="solid"/>
            </v:rect>
            <v:rect style="position:absolute;left:5798;top:2996;width:877;height:168" filled="true" fillcolor="#901b1b" stroked="false">
              <v:fill type="solid"/>
            </v:rect>
            <v:rect style="position:absolute;left:5798;top:2355;width:1141;height:168" filled="true" fillcolor="#901b1b" stroked="false">
              <v:fill type="solid"/>
            </v:rect>
            <v:rect style="position:absolute;left:5798;top:1712;width:790;height:168" filled="true" fillcolor="#901b1b" stroked="false">
              <v:fill type="solid"/>
            </v:rect>
            <v:rect style="position:absolute;left:5798;top:1071;width:526;height:168" filled="true" fillcolor="#901b1b" stroked="false">
              <v:fill type="solid"/>
            </v:rect>
            <v:rect style="position:absolute;left:5798;top:4110;width:841;height:168" filled="true" fillcolor="#bd8686" stroked="false">
              <v:fill type="solid"/>
            </v:rect>
            <v:rect style="position:absolute;left:5798;top:3469;width:3894;height:168" filled="true" fillcolor="#bd8686" stroked="false">
              <v:fill type="solid"/>
            </v:rect>
            <v:rect style="position:absolute;left:5798;top:2828;width:841;height:168" filled="true" fillcolor="#bd8686" stroked="false">
              <v:fill type="solid"/>
            </v:rect>
            <v:rect style="position:absolute;left:5798;top:2187;width:841;height:168" filled="true" fillcolor="#bd8686" stroked="false">
              <v:fill type="solid"/>
            </v:rect>
            <v:rect style="position:absolute;left:5798;top:1544;width:764;height:168" filled="true" fillcolor="#bd8686" stroked="false">
              <v:fill type="solid"/>
            </v:rect>
            <v:rect style="position:absolute;left:5798;top:903;width:459;height:168" filled="true" fillcolor="#bd8686" stroked="false">
              <v:fill type="solid"/>
            </v:rect>
            <v:line style="position:absolute" from="5798,4600" to="5798,751" stroked="true" strokeweight=".75pt" strokecolor="#d9d9d9">
              <v:stroke dashstyle="solid"/>
            </v:line>
            <v:rect style="position:absolute;left:5547;top:5159;width:93;height:93" filled="true" fillcolor="#bd8686" stroked="false">
              <v:fill type="solid"/>
            </v:rect>
            <v:rect style="position:absolute;left:6196;top:5159;width:93;height:93" filled="true" fillcolor="#901b1b" stroked="false">
              <v:fill type="solid"/>
            </v:rect>
            <v:rect style="position:absolute;left:1418;top:531;width:9360;height:4956" filled="false" stroked="true" strokeweight=".75pt" strokecolor="#d9d9d9">
              <v:stroke dashstyle="solid"/>
            </v:rect>
            <v:shape style="position:absolute;left:5678;top:5099;width:1060;height:205" type="#_x0000_t202" filled="false" stroked="false">
              <v:textbox inset="0,0,0,0">
                <w:txbxContent>
                  <w:p>
                    <w:pPr>
                      <w:tabs>
                        <w:tab w:pos="649" w:val="left" w:leader="none"/>
                      </w:tabs>
                      <w:spacing w:before="0"/>
                      <w:ind w:left="0" w:right="0" w:firstLine="0"/>
                      <w:jc w:val="left"/>
                      <w:rPr>
                        <w:sz w:val="18"/>
                      </w:rPr>
                    </w:pPr>
                    <w:r>
                      <w:rPr>
                        <w:color w:val="585858"/>
                        <w:sz w:val="18"/>
                      </w:rPr>
                      <w:t>2012</w:t>
                      <w:tab/>
                      <w:t>2016</w:t>
                    </w:r>
                  </w:p>
                </w:txbxContent>
              </v:textbox>
              <w10:wrap type="none"/>
            </v:shape>
            <v:shape style="position:absolute;left:10200;top:4711;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9440;top:4711;width:374;height:205" type="#_x0000_t202" filled="false" stroked="false">
              <v:textbox inset="0,0,0,0">
                <w:txbxContent>
                  <w:p>
                    <w:pPr>
                      <w:spacing w:before="0"/>
                      <w:ind w:left="0" w:right="0" w:firstLine="0"/>
                      <w:jc w:val="left"/>
                      <w:rPr>
                        <w:sz w:val="18"/>
                      </w:rPr>
                    </w:pPr>
                    <w:r>
                      <w:rPr>
                        <w:color w:val="585858"/>
                        <w:sz w:val="18"/>
                      </w:rPr>
                      <w:t>50%</w:t>
                    </w:r>
                  </w:p>
                </w:txbxContent>
              </v:textbox>
              <w10:wrap type="none"/>
            </v:shape>
            <v:shape style="position:absolute;left:8673;top:4711;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7910;top:4711;width:377;height:205" type="#_x0000_t202" filled="false" stroked="false">
              <v:textbox inset="0,0,0,0">
                <w:txbxContent>
                  <w:p>
                    <w:pPr>
                      <w:spacing w:before="0"/>
                      <w:ind w:left="0" w:right="0" w:firstLine="0"/>
                      <w:jc w:val="left"/>
                      <w:rPr>
                        <w:sz w:val="18"/>
                      </w:rPr>
                    </w:pPr>
                    <w:r>
                      <w:rPr>
                        <w:color w:val="585858"/>
                        <w:sz w:val="18"/>
                      </w:rPr>
                      <w:t>30%</w:t>
                    </w:r>
                  </w:p>
                </w:txbxContent>
              </v:textbox>
              <w10:wrap type="none"/>
            </v:shape>
            <v:shape style="position:absolute;left:7147;top:4711;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6395;top:4711;width:355;height:205" type="#_x0000_t202" filled="false" stroked="false">
              <v:textbox inset="0,0,0,0">
                <w:txbxContent>
                  <w:p>
                    <w:pPr>
                      <w:spacing w:before="0"/>
                      <w:ind w:left="0" w:right="0" w:firstLine="0"/>
                      <w:jc w:val="left"/>
                      <w:rPr>
                        <w:sz w:val="18"/>
                      </w:rPr>
                    </w:pPr>
                    <w:r>
                      <w:rPr>
                        <w:color w:val="585858"/>
                        <w:sz w:val="18"/>
                      </w:rPr>
                      <w:t>10%</w:t>
                    </w:r>
                  </w:p>
                </w:txbxContent>
              </v:textbox>
              <w10:wrap type="none"/>
            </v:shape>
            <v:shape style="position:absolute;left:5670;top:4711;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1548;top:760;width:4113;height:3617" type="#_x0000_t202" filled="false" stroked="false">
              <v:textbox inset="0,0,0,0">
                <w:txbxContent>
                  <w:p>
                    <w:pPr>
                      <w:spacing w:before="0"/>
                      <w:ind w:left="0" w:right="19" w:firstLine="0"/>
                      <w:jc w:val="center"/>
                      <w:rPr>
                        <w:sz w:val="18"/>
                      </w:rPr>
                    </w:pPr>
                    <w:r>
                      <w:rPr>
                        <w:color w:val="585858"/>
                        <w:sz w:val="18"/>
                      </w:rPr>
                      <w:t>Ja, vi har måttet sænke priserne på vores produkter og ydelser på grund af øget konkurrence fra andre markedsaktører.</w:t>
                    </w:r>
                  </w:p>
                  <w:p>
                    <w:pPr>
                      <w:spacing w:before="130"/>
                      <w:ind w:left="607" w:right="19" w:firstLine="0"/>
                      <w:jc w:val="center"/>
                      <w:rPr>
                        <w:sz w:val="18"/>
                      </w:rPr>
                    </w:pPr>
                    <w:r>
                      <w:rPr>
                        <w:color w:val="585858"/>
                        <w:sz w:val="18"/>
                      </w:rPr>
                      <w:t>Ja, vi har valgt at sænke priserne,</w:t>
                    </w:r>
                  </w:p>
                  <w:p>
                    <w:pPr>
                      <w:spacing w:before="0"/>
                      <w:ind w:left="630" w:right="1" w:firstLine="0"/>
                      <w:jc w:val="center"/>
                      <w:rPr>
                        <w:sz w:val="18"/>
                      </w:rPr>
                    </w:pPr>
                    <w:r>
                      <w:rPr>
                        <w:color w:val="585858"/>
                        <w:sz w:val="18"/>
                      </w:rPr>
                      <w:t>da vores samlede ydelser er blevet billigere.</w:t>
                    </w:r>
                  </w:p>
                  <w:p>
                    <w:pPr>
                      <w:spacing w:line="240" w:lineRule="auto" w:before="5"/>
                      <w:rPr>
                        <w:i/>
                        <w:sz w:val="20"/>
                      </w:rPr>
                    </w:pPr>
                  </w:p>
                  <w:p>
                    <w:pPr>
                      <w:spacing w:before="0"/>
                      <w:ind w:left="667" w:right="8" w:firstLine="0"/>
                      <w:jc w:val="center"/>
                      <w:rPr>
                        <w:sz w:val="18"/>
                      </w:rPr>
                    </w:pPr>
                    <w:r>
                      <w:rPr>
                        <w:color w:val="585858"/>
                        <w:sz w:val="18"/>
                      </w:rPr>
                      <w:t>Ja, vi har valgt at sænke priserne,</w:t>
                    </w:r>
                  </w:p>
                  <w:p>
                    <w:pPr>
                      <w:spacing w:before="0"/>
                      <w:ind w:left="659" w:right="1" w:firstLine="0"/>
                      <w:jc w:val="center"/>
                      <w:rPr>
                        <w:sz w:val="18"/>
                      </w:rPr>
                    </w:pPr>
                    <w:r>
                      <w:rPr>
                        <w:color w:val="585858"/>
                        <w:sz w:val="18"/>
                      </w:rPr>
                      <w:t>da vi kan løse vores opgaver mere</w:t>
                    </w:r>
                    <w:r>
                      <w:rPr>
                        <w:color w:val="585858"/>
                        <w:spacing w:val="-17"/>
                        <w:sz w:val="18"/>
                      </w:rPr>
                      <w:t> </w:t>
                    </w:r>
                    <w:r>
                      <w:rPr>
                        <w:color w:val="585858"/>
                        <w:sz w:val="18"/>
                      </w:rPr>
                      <w:t>effektivt.</w:t>
                    </w:r>
                  </w:p>
                  <w:p>
                    <w:pPr>
                      <w:spacing w:line="240" w:lineRule="auto" w:before="5"/>
                      <w:rPr>
                        <w:i/>
                        <w:sz w:val="20"/>
                      </w:rPr>
                    </w:pPr>
                  </w:p>
                  <w:p>
                    <w:pPr>
                      <w:spacing w:before="0"/>
                      <w:ind w:left="1144" w:right="19" w:firstLine="144"/>
                      <w:jc w:val="left"/>
                      <w:rPr>
                        <w:sz w:val="18"/>
                      </w:rPr>
                    </w:pPr>
                    <w:r>
                      <w:rPr>
                        <w:color w:val="585858"/>
                        <w:sz w:val="18"/>
                      </w:rPr>
                      <w:t>Nej, men vi oplever et prispres på virksomhedens produkter og</w:t>
                    </w:r>
                    <w:r>
                      <w:rPr>
                        <w:color w:val="585858"/>
                        <w:spacing w:val="-19"/>
                        <w:sz w:val="18"/>
                      </w:rPr>
                      <w:t> </w:t>
                    </w:r>
                    <w:r>
                      <w:rPr>
                        <w:color w:val="585858"/>
                        <w:sz w:val="18"/>
                      </w:rPr>
                      <w:t>ydelser.</w:t>
                    </w:r>
                  </w:p>
                  <w:p>
                    <w:pPr>
                      <w:spacing w:line="240" w:lineRule="auto" w:before="5"/>
                      <w:rPr>
                        <w:i/>
                        <w:sz w:val="20"/>
                      </w:rPr>
                    </w:pPr>
                  </w:p>
                  <w:p>
                    <w:pPr>
                      <w:spacing w:before="1"/>
                      <w:ind w:left="2142" w:right="0" w:hanging="199"/>
                      <w:jc w:val="left"/>
                      <w:rPr>
                        <w:sz w:val="18"/>
                      </w:rPr>
                    </w:pPr>
                    <w:r>
                      <w:rPr>
                        <w:color w:val="585858"/>
                        <w:sz w:val="18"/>
                      </w:rPr>
                      <w:t>Nej, priser på produkter og ydelser er upåvirkede.</w:t>
                    </w:r>
                  </w:p>
                  <w:p>
                    <w:pPr>
                      <w:spacing w:line="240" w:lineRule="auto" w:before="5"/>
                      <w:rPr>
                        <w:i/>
                        <w:sz w:val="29"/>
                      </w:rPr>
                    </w:pPr>
                  </w:p>
                  <w:p>
                    <w:pPr>
                      <w:spacing w:before="0"/>
                      <w:ind w:left="0" w:right="18" w:firstLine="0"/>
                      <w:jc w:val="right"/>
                      <w:rPr>
                        <w:sz w:val="18"/>
                      </w:rPr>
                    </w:pPr>
                    <w:r>
                      <w:rPr>
                        <w:color w:val="585858"/>
                        <w:sz w:val="18"/>
                      </w:rPr>
                      <w:t>Ved ikke.</w:t>
                    </w:r>
                  </w:p>
                </w:txbxContent>
              </v:textbox>
              <w10:wrap type="none"/>
            </v:shape>
            <w10:wrap type="topAndBottom"/>
          </v:group>
        </w:pict>
      </w:r>
      <w:bookmarkStart w:name="_bookmark112" w:id="158"/>
      <w:bookmarkEnd w:id="158"/>
      <w:r>
        <w:rPr/>
      </w:r>
      <w:r>
        <w:rPr>
          <w:i/>
          <w:color w:val="A21F1F"/>
          <w:sz w:val="18"/>
        </w:rPr>
        <w:t>Figur 63: Private virksomheders angivelse af, hvilken betydning de frie geodata havde for prissætningen af deres </w:t>
      </w:r>
      <w:r>
        <w:rPr>
          <w:i/>
          <w:color w:val="A21F1F"/>
          <w:sz w:val="18"/>
        </w:rPr>
        <w:t>produkter og ydelser, henholdsvis i 2012 og i 2016</w:t>
      </w:r>
    </w:p>
    <w:p>
      <w:pPr>
        <w:pStyle w:val="BodyText"/>
        <w:spacing w:before="11"/>
        <w:rPr>
          <w:i/>
          <w:sz w:val="19"/>
        </w:rPr>
      </w:pPr>
    </w:p>
    <w:p>
      <w:pPr>
        <w:spacing w:before="0"/>
        <w:ind w:left="278" w:right="0" w:firstLine="0"/>
        <w:jc w:val="left"/>
        <w:rPr>
          <w:i/>
          <w:sz w:val="18"/>
        </w:rPr>
      </w:pPr>
      <w:r>
        <w:rPr>
          <w:b/>
          <w:i/>
          <w:color w:val="A21F1F"/>
          <w:sz w:val="18"/>
        </w:rPr>
        <w:t>Kilde: </w:t>
      </w:r>
      <w:r>
        <w:rPr>
          <w:i/>
          <w:color w:val="A21F1F"/>
          <w:sz w:val="18"/>
        </w:rPr>
        <w:t>Spørgeskemaundersøgelse blandt private virksomheder og før-måling</w:t>
      </w:r>
    </w:p>
    <w:p>
      <w:pPr>
        <w:spacing w:before="119"/>
        <w:ind w:left="278" w:right="0" w:firstLine="0"/>
        <w:jc w:val="left"/>
        <w:rPr>
          <w:i/>
          <w:sz w:val="18"/>
        </w:rPr>
      </w:pPr>
      <w:r>
        <w:rPr>
          <w:b/>
          <w:i/>
          <w:color w:val="A21F1F"/>
          <w:sz w:val="18"/>
        </w:rPr>
        <w:t>N: </w:t>
      </w:r>
      <w:r>
        <w:rPr>
          <w:i/>
          <w:color w:val="A21F1F"/>
          <w:sz w:val="18"/>
        </w:rPr>
        <w:t>2016: 87 og 2012:</w:t>
      </w:r>
      <w:r>
        <w:rPr>
          <w:i/>
          <w:color w:val="A21F1F"/>
          <w:spacing w:val="-8"/>
          <w:sz w:val="18"/>
        </w:rPr>
        <w:t> </w:t>
      </w:r>
      <w:r>
        <w:rPr>
          <w:i/>
          <w:color w:val="A21F1F"/>
          <w:sz w:val="18"/>
        </w:rPr>
        <w:t>71</w:t>
      </w:r>
    </w:p>
    <w:p>
      <w:pPr>
        <w:pStyle w:val="BodyText"/>
        <w:spacing w:before="6"/>
        <w:rPr>
          <w:i/>
          <w:sz w:val="28"/>
        </w:rPr>
      </w:pPr>
    </w:p>
    <w:p>
      <w:pPr>
        <w:pStyle w:val="BodyText"/>
        <w:spacing w:line="360" w:lineRule="auto" w:before="1"/>
        <w:ind w:left="278" w:right="1025"/>
      </w:pPr>
      <w:r>
        <w:rPr/>
        <w:t>Denne tendens blev også bekræftet i interviews med etablerede spillere på markedet, der har udbudt geodatabaserede løsninger, før data blev frigivet. På trods af, at prisen for slutbrugerne ikke har ændret sig væsentligt siden frigivelsen af geodata, har udbyderne af geodatabaserede løsninger i interviews givet udtryk for, at de med de frie geodata, kan tilbyde ydelser og produkter af højere kvalitet, og som også i højere</w:t>
      </w:r>
      <w:r>
        <w:rPr>
          <w:spacing w:val="-2"/>
        </w:rPr>
        <w:t> </w:t>
      </w:r>
      <w:r>
        <w:rPr/>
        <w:t>grad</w:t>
      </w:r>
      <w:r>
        <w:rPr>
          <w:spacing w:val="-3"/>
        </w:rPr>
        <w:t> </w:t>
      </w:r>
      <w:r>
        <w:rPr/>
        <w:t>end</w:t>
      </w:r>
      <w:r>
        <w:rPr>
          <w:spacing w:val="-2"/>
        </w:rPr>
        <w:t> </w:t>
      </w:r>
      <w:r>
        <w:rPr/>
        <w:t>tidligere</w:t>
      </w:r>
      <w:r>
        <w:rPr>
          <w:spacing w:val="-4"/>
        </w:rPr>
        <w:t> </w:t>
      </w:r>
      <w:r>
        <w:rPr/>
        <w:t>er</w:t>
      </w:r>
      <w:r>
        <w:rPr>
          <w:spacing w:val="-1"/>
        </w:rPr>
        <w:t> </w:t>
      </w:r>
      <w:r>
        <w:rPr/>
        <w:t>tilpasset</w:t>
      </w:r>
      <w:r>
        <w:rPr>
          <w:spacing w:val="-2"/>
        </w:rPr>
        <w:t> </w:t>
      </w:r>
      <w:r>
        <w:rPr/>
        <w:t>den</w:t>
      </w:r>
      <w:r>
        <w:rPr>
          <w:spacing w:val="-2"/>
        </w:rPr>
        <w:t> </w:t>
      </w:r>
      <w:r>
        <w:rPr/>
        <w:t>enkelte</w:t>
      </w:r>
      <w:r>
        <w:rPr>
          <w:spacing w:val="-3"/>
        </w:rPr>
        <w:t> </w:t>
      </w:r>
      <w:r>
        <w:rPr/>
        <w:t>kundes</w:t>
      </w:r>
      <w:r>
        <w:rPr>
          <w:spacing w:val="-4"/>
        </w:rPr>
        <w:t> </w:t>
      </w:r>
      <w:r>
        <w:rPr/>
        <w:t>behov</w:t>
      </w:r>
      <w:r>
        <w:rPr>
          <w:spacing w:val="-4"/>
        </w:rPr>
        <w:t> </w:t>
      </w:r>
      <w:r>
        <w:rPr/>
        <w:t>og</w:t>
      </w:r>
      <w:r>
        <w:rPr>
          <w:spacing w:val="-3"/>
        </w:rPr>
        <w:t> </w:t>
      </w:r>
      <w:r>
        <w:rPr/>
        <w:t>situation.</w:t>
      </w:r>
      <w:r>
        <w:rPr>
          <w:spacing w:val="-3"/>
        </w:rPr>
        <w:t> </w:t>
      </w:r>
      <w:r>
        <w:rPr/>
        <w:t>Det kan</w:t>
      </w:r>
      <w:r>
        <w:rPr>
          <w:spacing w:val="-4"/>
        </w:rPr>
        <w:t> </w:t>
      </w:r>
      <w:r>
        <w:rPr>
          <w:spacing w:val="3"/>
        </w:rPr>
        <w:t>de,</w:t>
      </w:r>
      <w:r>
        <w:rPr>
          <w:spacing w:val="-4"/>
        </w:rPr>
        <w:t> </w:t>
      </w:r>
      <w:r>
        <w:rPr/>
        <w:t>fordi</w:t>
      </w:r>
      <w:r>
        <w:rPr>
          <w:spacing w:val="-2"/>
        </w:rPr>
        <w:t> </w:t>
      </w:r>
      <w:r>
        <w:rPr/>
        <w:t>de</w:t>
      </w:r>
      <w:r>
        <w:rPr>
          <w:spacing w:val="-4"/>
        </w:rPr>
        <w:t> </w:t>
      </w:r>
      <w:r>
        <w:rPr/>
        <w:t>nu i</w:t>
      </w:r>
      <w:r>
        <w:rPr>
          <w:spacing w:val="-5"/>
        </w:rPr>
        <w:t> </w:t>
      </w:r>
      <w:r>
        <w:rPr/>
        <w:t>højere grad end tidligere kan udnytte nye innovative løsninger og udføre opgaverne mere effektivt. Kunderne, der aftager geodatabaserede løsninger, får så at sige mere for pengene nu, i forhold til før de frie geodata blev stillet frit til</w:t>
      </w:r>
      <w:r>
        <w:rPr>
          <w:spacing w:val="-1"/>
        </w:rPr>
        <w:t> </w:t>
      </w:r>
      <w:r>
        <w:rPr/>
        <w:t>rådighed.</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ListParagraph"/>
        <w:numPr>
          <w:ilvl w:val="1"/>
          <w:numId w:val="36"/>
        </w:numPr>
        <w:tabs>
          <w:tab w:pos="855" w:val="left" w:leader="none"/>
        </w:tabs>
        <w:spacing w:line="319" w:lineRule="exact" w:before="0" w:after="0"/>
        <w:ind w:left="854" w:right="0" w:hanging="576"/>
        <w:jc w:val="left"/>
        <w:rPr>
          <w:b/>
          <w:i/>
          <w:sz w:val="32"/>
        </w:rPr>
      </w:pPr>
      <w:bookmarkStart w:name="_bookmark113" w:id="159"/>
      <w:bookmarkEnd w:id="159"/>
      <w:r>
        <w:rPr/>
      </w:r>
      <w:bookmarkStart w:name="_bookmark113" w:id="160"/>
      <w:bookmarkEnd w:id="160"/>
      <w:r>
        <w:rPr>
          <w:b/>
          <w:i/>
          <w:color w:val="A21F1F"/>
          <w:sz w:val="32"/>
        </w:rPr>
        <w:t>P</w:t>
      </w:r>
      <w:r>
        <w:rPr>
          <w:b/>
          <w:i/>
          <w:color w:val="A21F1F"/>
          <w:sz w:val="32"/>
        </w:rPr>
        <w:t>otentialer for fremtidig anvendelse af de</w:t>
      </w:r>
      <w:r>
        <w:rPr>
          <w:b/>
          <w:i/>
          <w:color w:val="A21F1F"/>
          <w:spacing w:val="-4"/>
          <w:sz w:val="32"/>
        </w:rPr>
        <w:t> </w:t>
      </w:r>
      <w:r>
        <w:rPr>
          <w:b/>
          <w:i/>
          <w:color w:val="A21F1F"/>
          <w:sz w:val="32"/>
        </w:rPr>
        <w:t>frie</w:t>
      </w:r>
    </w:p>
    <w:p>
      <w:pPr>
        <w:spacing w:before="1"/>
        <w:ind w:left="854" w:right="0" w:firstLine="0"/>
        <w:jc w:val="left"/>
        <w:rPr>
          <w:b/>
          <w:i/>
          <w:sz w:val="32"/>
        </w:rPr>
      </w:pPr>
      <w:r>
        <w:rPr>
          <w:b/>
          <w:i/>
          <w:color w:val="A21F1F"/>
          <w:sz w:val="32"/>
        </w:rPr>
        <w:t>geodata i den offentlige sektor</w:t>
      </w:r>
    </w:p>
    <w:p>
      <w:pPr>
        <w:pStyle w:val="BodyText"/>
        <w:spacing w:line="360" w:lineRule="auto" w:before="241"/>
        <w:ind w:left="278" w:right="1199"/>
      </w:pPr>
      <w:r>
        <w:rPr/>
        <w:t>Umiddelbart har frisættelsen af geodata som udgangspunkt mindre økonomisk betydning for offentlige myndigheder, da vilkårene for deres anvendelse af geodata ikke er forandret efter frisættelsen. De offentlige myndigheder havde før frisættelsen ubegrænset adgang til de frie geodata som følge af en aftale mellem regeringen, KL og Danske Regioner.</w:t>
      </w:r>
    </w:p>
    <w:p>
      <w:pPr>
        <w:pStyle w:val="BodyText"/>
        <w:spacing w:before="1"/>
        <w:rPr>
          <w:sz w:val="21"/>
        </w:rPr>
      </w:pPr>
    </w:p>
    <w:p>
      <w:pPr>
        <w:pStyle w:val="BodyText"/>
        <w:spacing w:line="360" w:lineRule="auto"/>
        <w:ind w:left="278" w:right="1059"/>
      </w:pPr>
      <w:r>
        <w:rPr/>
        <w:t>På trods af, at adgangen for de offentlige myndigheder ikke formelt set ændrede sig som følge af frisættelsen</w:t>
      </w:r>
      <w:r>
        <w:rPr>
          <w:spacing w:val="-5"/>
        </w:rPr>
        <w:t> </w:t>
      </w:r>
      <w:r>
        <w:rPr/>
        <w:t>af</w:t>
      </w:r>
      <w:r>
        <w:rPr>
          <w:spacing w:val="-3"/>
        </w:rPr>
        <w:t> </w:t>
      </w:r>
      <w:r>
        <w:rPr/>
        <w:t>geodata,</w:t>
      </w:r>
      <w:r>
        <w:rPr>
          <w:spacing w:val="-3"/>
        </w:rPr>
        <w:t> </w:t>
      </w:r>
      <w:r>
        <w:rPr/>
        <w:t>har</w:t>
      </w:r>
      <w:r>
        <w:rPr>
          <w:spacing w:val="-2"/>
        </w:rPr>
        <w:t> </w:t>
      </w:r>
      <w:r>
        <w:rPr/>
        <w:t>ovenstående</w:t>
      </w:r>
      <w:r>
        <w:rPr>
          <w:spacing w:val="-4"/>
        </w:rPr>
        <w:t> </w:t>
      </w:r>
      <w:r>
        <w:rPr/>
        <w:t>kapitler</w:t>
      </w:r>
      <w:r>
        <w:rPr>
          <w:spacing w:val="-3"/>
        </w:rPr>
        <w:t> </w:t>
      </w:r>
      <w:r>
        <w:rPr/>
        <w:t>vist,</w:t>
      </w:r>
      <w:r>
        <w:rPr>
          <w:spacing w:val="-5"/>
        </w:rPr>
        <w:t> </w:t>
      </w:r>
      <w:r>
        <w:rPr/>
        <w:t>at</w:t>
      </w:r>
      <w:r>
        <w:rPr>
          <w:spacing w:val="-4"/>
        </w:rPr>
        <w:t> </w:t>
      </w:r>
      <w:r>
        <w:rPr/>
        <w:t>de</w:t>
      </w:r>
      <w:r>
        <w:rPr>
          <w:spacing w:val="-5"/>
        </w:rPr>
        <w:t> </w:t>
      </w:r>
      <w:r>
        <w:rPr/>
        <w:t>offentlige</w:t>
      </w:r>
      <w:r>
        <w:rPr>
          <w:spacing w:val="-5"/>
        </w:rPr>
        <w:t> </w:t>
      </w:r>
      <w:r>
        <w:rPr/>
        <w:t>myndigheder</w:t>
      </w:r>
      <w:r>
        <w:rPr>
          <w:spacing w:val="-3"/>
        </w:rPr>
        <w:t> </w:t>
      </w:r>
      <w:r>
        <w:rPr/>
        <w:t>i</w:t>
      </w:r>
      <w:r>
        <w:rPr>
          <w:spacing w:val="-6"/>
        </w:rPr>
        <w:t> </w:t>
      </w:r>
      <w:r>
        <w:rPr/>
        <w:t>stigende</w:t>
      </w:r>
      <w:r>
        <w:rPr>
          <w:spacing w:val="-5"/>
        </w:rPr>
        <w:t> </w:t>
      </w:r>
      <w:r>
        <w:rPr/>
        <w:t>grad</w:t>
      </w:r>
      <w:r>
        <w:rPr>
          <w:spacing w:val="-4"/>
        </w:rPr>
        <w:t> </w:t>
      </w:r>
      <w:r>
        <w:rPr/>
        <w:t>har</w:t>
      </w:r>
      <w:r>
        <w:rPr>
          <w:spacing w:val="-4"/>
        </w:rPr>
        <w:t> </w:t>
      </w:r>
      <w:r>
        <w:rPr/>
        <w:t>taget geodata til sig. Som tidligere diskuteret anvender de offentlige myndigheder geodata til en række forskellige opgaver, fx i behandlingen af ansøgninger og til kontrolformål inden for en række forskellige forvaltningsområder.</w:t>
      </w:r>
    </w:p>
    <w:p>
      <w:pPr>
        <w:pStyle w:val="BodyText"/>
        <w:spacing w:before="2"/>
        <w:rPr>
          <w:sz w:val="21"/>
        </w:rPr>
      </w:pPr>
    </w:p>
    <w:p>
      <w:pPr>
        <w:pStyle w:val="BodyText"/>
        <w:spacing w:line="360" w:lineRule="auto"/>
        <w:ind w:left="278" w:right="1162"/>
      </w:pPr>
      <w:r>
        <w:rPr/>
        <w:t>PwC har også i spørgeskemaundersøgelsen blandt de offentlige myndigheder spurgt ind til, hvilken betydning de frie geodata forventes at have for effektiviteten i opgaveløsningen over de kommende 3-4 år. Her svarer næsten 80 pct., at de frie geodata vil have nogen eller stor betydning for effektiviteten i opgaveløsningen i myndigheden, jf. nedenstående </w:t>
      </w:r>
      <w:hyperlink w:history="true" w:anchor="_bookmark114">
        <w:r>
          <w:rPr/>
          <w:t>Figur 64.</w:t>
        </w:r>
      </w:hyperlink>
    </w:p>
    <w:p>
      <w:pPr>
        <w:pStyle w:val="BodyText"/>
        <w:spacing w:before="2"/>
        <w:rPr>
          <w:sz w:val="21"/>
        </w:rPr>
      </w:pPr>
    </w:p>
    <w:p>
      <w:pPr>
        <w:spacing w:before="1"/>
        <w:ind w:left="278" w:right="1696" w:firstLine="0"/>
        <w:jc w:val="left"/>
        <w:rPr>
          <w:i/>
          <w:sz w:val="18"/>
        </w:rPr>
      </w:pPr>
      <w:r>
        <w:rPr/>
        <w:pict>
          <v:group style="position:absolute;margin-left:70.525002pt;margin-top:26.117928pt;width:497.55pt;height:153.75pt;mso-position-horizontal-relative:page;mso-position-vertical-relative:paragraph;z-index:12512;mso-wrap-distance-left:0;mso-wrap-distance-right:0" coordorigin="1411,522" coordsize="9951,3075">
            <v:rect style="position:absolute;left:1418;top:529;width:9936;height:3060" filled="true" fillcolor="#f1f1f1" stroked="false">
              <v:fill type="solid"/>
            </v:rect>
            <v:line style="position:absolute" from="10646,2503" to="11134,2503" stroked="true" strokeweight=".75pt" strokecolor="#d9d9d9">
              <v:stroke dashstyle="solid"/>
            </v:line>
            <v:line style="position:absolute" from="9134,2503" to="10111,2503" stroked="true" strokeweight=".75pt" strokecolor="#d9d9d9">
              <v:stroke dashstyle="solid"/>
            </v:line>
            <v:line style="position:absolute" from="7622,2503" to="8599,2503" stroked="true" strokeweight=".75pt" strokecolor="#d9d9d9">
              <v:stroke dashstyle="solid"/>
            </v:line>
            <v:line style="position:absolute" from="2065,2503" to="7087,2503" stroked="true" strokeweight=".75pt" strokecolor="#d9d9d9">
              <v:stroke dashstyle="solid"/>
            </v:line>
            <v:line style="position:absolute" from="10646,2063" to="11134,2063" stroked="true" strokeweight=".75pt" strokecolor="#d9d9d9">
              <v:stroke dashstyle="solid"/>
            </v:line>
            <v:line style="position:absolute" from="9134,2063" to="10111,2063" stroked="true" strokeweight=".75pt" strokecolor="#d9d9d9">
              <v:stroke dashstyle="solid"/>
            </v:line>
            <v:line style="position:absolute" from="2065,2063" to="8599,2063" stroked="true" strokeweight=".75pt" strokecolor="#d9d9d9">
              <v:stroke dashstyle="solid"/>
            </v:line>
            <v:line style="position:absolute" from="10646,1627" to="11134,1627" stroked="true" strokeweight=".75pt" strokecolor="#d9d9d9">
              <v:stroke dashstyle="solid"/>
            </v:line>
            <v:line style="position:absolute" from="9134,1627" to="10111,1627" stroked="true" strokeweight=".75pt" strokecolor="#d9d9d9">
              <v:stroke dashstyle="solid"/>
            </v:line>
            <v:line style="position:absolute" from="2065,1627" to="8599,1627" stroked="true" strokeweight=".75pt" strokecolor="#d9d9d9">
              <v:stroke dashstyle="solid"/>
            </v:line>
            <v:line style="position:absolute" from="9134,1187" to="11134,1187" stroked="true" strokeweight=".75pt" strokecolor="#d9d9d9">
              <v:stroke dashstyle="solid"/>
            </v:line>
            <v:line style="position:absolute" from="2065,1187" to="8599,1187" stroked="true" strokeweight=".75pt" strokecolor="#d9d9d9">
              <v:stroke dashstyle="solid"/>
            </v:line>
            <v:line style="position:absolute" from="2065,750" to="11134,750" stroked="true" strokeweight=".75pt" strokecolor="#d9d9d9">
              <v:stroke dashstyle="solid"/>
            </v:line>
            <v:line style="position:absolute" from="2554,2911" to="3089,2911" stroked="true" strokeweight="2.93pt" strokecolor="#901b1b">
              <v:stroke dashstyle="solid"/>
            </v:line>
            <v:line style="position:absolute" from="4063,2882" to="4601,2882" stroked="true" strokeweight="5.81pt" strokecolor="#901b1b">
              <v:stroke dashstyle="solid"/>
            </v:line>
            <v:rect style="position:absolute;left:5575;top:2589;width:536;height:352" filled="true" fillcolor="#901b1b" stroked="false">
              <v:fill type="solid"/>
            </v:rect>
            <v:rect style="position:absolute;left:7087;top:2473;width:536;height:467" filled="true" fillcolor="#901b1b" stroked="false">
              <v:fill type="solid"/>
            </v:rect>
            <v:rect style="position:absolute;left:8599;top:894;width:536;height:2046" filled="true" fillcolor="#901b1b" stroked="false">
              <v:fill type="solid"/>
            </v:rect>
            <v:rect style="position:absolute;left:10111;top:1597;width:536;height:1343" filled="true" fillcolor="#901b1b" stroked="false">
              <v:fill type="solid"/>
            </v:rect>
            <v:line style="position:absolute" from="2065,2940" to="11134,2940" stroked="true" strokeweight=".75pt" strokecolor="#d9d9d9">
              <v:stroke dashstyle="solid"/>
            </v:line>
            <v:rect style="position:absolute;left:1418;top:529;width:9936;height:3060" filled="false" stroked="true" strokeweight=".75pt" strokecolor="#d9d9d9">
              <v:stroke dashstyle="solid"/>
            </v:rect>
            <v:shape style="position:absolute;left:9955;top:3052;width:869;height:410" type="#_x0000_t202" filled="false" stroked="false">
              <v:textbox inset="0,0,0,0">
                <w:txbxContent>
                  <w:p>
                    <w:pPr>
                      <w:spacing w:before="0"/>
                      <w:ind w:left="25" w:right="0" w:hanging="25"/>
                      <w:jc w:val="left"/>
                      <w:rPr>
                        <w:sz w:val="18"/>
                      </w:rPr>
                    </w:pPr>
                    <w:r>
                      <w:rPr>
                        <w:color w:val="585858"/>
                        <w:sz w:val="18"/>
                      </w:rPr>
                      <w:t>Meget stor betydning</w:t>
                    </w:r>
                  </w:p>
                </w:txbxContent>
              </v:textbox>
              <w10:wrap type="none"/>
            </v:shape>
            <v:shape style="position:absolute;left:5426;top:3052;width:4142;height:410" type="#_x0000_t202" filled="false" stroked="false">
              <v:textbox inset="0,0,0,0">
                <w:txbxContent>
                  <w:p>
                    <w:pPr>
                      <w:tabs>
                        <w:tab w:pos="1213" w:val="left" w:leader="none"/>
                      </w:tabs>
                      <w:spacing w:before="0"/>
                      <w:ind w:left="18" w:right="18" w:hanging="19"/>
                      <w:jc w:val="left"/>
                      <w:rPr>
                        <w:sz w:val="18"/>
                      </w:rPr>
                    </w:pPr>
                    <w:r>
                      <w:rPr>
                        <w:color w:val="585858"/>
                        <w:sz w:val="18"/>
                      </w:rPr>
                      <w:t>Begrænset</w:t>
                      <w:tab/>
                      <w:t>Mindre betydning Nogen betydning betydning</w:t>
                    </w:r>
                  </w:p>
                </w:txbxContent>
              </v:textbox>
              <w10:wrap type="none"/>
            </v:shape>
            <v:shape style="position:absolute;left:3680;top:3052;width:1324;height:205" type="#_x0000_t202" filled="false" stroked="false">
              <v:textbox inset="0,0,0,0">
                <w:txbxContent>
                  <w:p>
                    <w:pPr>
                      <w:spacing w:before="0"/>
                      <w:ind w:left="0" w:right="0" w:firstLine="0"/>
                      <w:jc w:val="left"/>
                      <w:rPr>
                        <w:sz w:val="18"/>
                      </w:rPr>
                    </w:pPr>
                    <w:r>
                      <w:rPr>
                        <w:color w:val="585858"/>
                        <w:sz w:val="18"/>
                      </w:rPr>
                      <w:t>Ingen betydning</w:t>
                    </w:r>
                  </w:p>
                </w:txbxContent>
              </v:textbox>
              <w10:wrap type="none"/>
            </v:shape>
            <v:shape style="position:absolute;left:2456;top:3052;width:708;height:205" type="#_x0000_t202" filled="false" stroked="false">
              <v:textbox inset="0,0,0,0">
                <w:txbxContent>
                  <w:p>
                    <w:pPr>
                      <w:spacing w:before="0"/>
                      <w:ind w:left="0" w:right="0" w:firstLine="0"/>
                      <w:jc w:val="left"/>
                      <w:rPr>
                        <w:sz w:val="18"/>
                      </w:rPr>
                    </w:pPr>
                    <w:r>
                      <w:rPr>
                        <w:color w:val="585858"/>
                        <w:sz w:val="18"/>
                      </w:rPr>
                      <w:t>Ved ikke</w:t>
                    </w:r>
                  </w:p>
                </w:txbxContent>
              </v:textbox>
              <w10:wrap type="none"/>
            </v:shape>
            <v:shape style="position:absolute;left:1548;top:643;width:380;height:2396" type="#_x0000_t202" filled="false" stroked="false">
              <v:textbox inset="0,0,0,0">
                <w:txbxContent>
                  <w:p>
                    <w:pPr>
                      <w:spacing w:before="0"/>
                      <w:ind w:left="6" w:right="0" w:firstLine="0"/>
                      <w:jc w:val="left"/>
                      <w:rPr>
                        <w:sz w:val="18"/>
                      </w:rPr>
                    </w:pPr>
                    <w:r>
                      <w:rPr>
                        <w:color w:val="585858"/>
                        <w:sz w:val="18"/>
                      </w:rPr>
                      <w:t>50%</w:t>
                    </w:r>
                  </w:p>
                  <w:p>
                    <w:pPr>
                      <w:spacing w:line="240" w:lineRule="auto" w:before="6"/>
                      <w:rPr>
                        <w:i/>
                        <w:sz w:val="20"/>
                      </w:rPr>
                    </w:pPr>
                  </w:p>
                  <w:p>
                    <w:pPr>
                      <w:spacing w:before="0"/>
                      <w:ind w:left="-1" w:right="19" w:firstLine="0"/>
                      <w:jc w:val="center"/>
                      <w:rPr>
                        <w:sz w:val="18"/>
                      </w:rPr>
                    </w:pPr>
                    <w:r>
                      <w:rPr>
                        <w:color w:val="585858"/>
                        <w:sz w:val="18"/>
                      </w:rPr>
                      <w:t>40%</w:t>
                    </w:r>
                  </w:p>
                  <w:p>
                    <w:pPr>
                      <w:spacing w:line="240" w:lineRule="auto" w:before="6"/>
                      <w:rPr>
                        <w:i/>
                        <w:sz w:val="20"/>
                      </w:rPr>
                    </w:pPr>
                  </w:p>
                  <w:p>
                    <w:pPr>
                      <w:spacing w:before="0"/>
                      <w:ind w:left="2" w:right="0" w:firstLine="0"/>
                      <w:jc w:val="left"/>
                      <w:rPr>
                        <w:sz w:val="18"/>
                      </w:rPr>
                    </w:pPr>
                    <w:r>
                      <w:rPr>
                        <w:color w:val="585858"/>
                        <w:sz w:val="18"/>
                      </w:rPr>
                      <w:t>30%</w:t>
                    </w:r>
                  </w:p>
                  <w:p>
                    <w:pPr>
                      <w:spacing w:line="240" w:lineRule="auto" w:before="6"/>
                      <w:rPr>
                        <w:i/>
                        <w:sz w:val="20"/>
                      </w:rPr>
                    </w:pPr>
                  </w:p>
                  <w:p>
                    <w:pPr>
                      <w:spacing w:before="1"/>
                      <w:ind w:left="0" w:right="17" w:firstLine="0"/>
                      <w:jc w:val="center"/>
                      <w:rPr>
                        <w:sz w:val="18"/>
                      </w:rPr>
                    </w:pPr>
                    <w:r>
                      <w:rPr>
                        <w:color w:val="585858"/>
                        <w:sz w:val="18"/>
                      </w:rPr>
                      <w:t>20%</w:t>
                    </w:r>
                  </w:p>
                  <w:p>
                    <w:pPr>
                      <w:spacing w:line="240" w:lineRule="auto" w:before="6"/>
                      <w:rPr>
                        <w:i/>
                        <w:sz w:val="20"/>
                      </w:rPr>
                    </w:pPr>
                  </w:p>
                  <w:p>
                    <w:pPr>
                      <w:spacing w:before="0"/>
                      <w:ind w:left="23" w:right="0" w:firstLine="0"/>
                      <w:jc w:val="left"/>
                      <w:rPr>
                        <w:sz w:val="18"/>
                      </w:rPr>
                    </w:pPr>
                    <w:r>
                      <w:rPr>
                        <w:color w:val="585858"/>
                        <w:sz w:val="18"/>
                      </w:rPr>
                      <w:t>10%</w:t>
                    </w:r>
                  </w:p>
                  <w:p>
                    <w:pPr>
                      <w:spacing w:line="240" w:lineRule="auto" w:before="6"/>
                      <w:rPr>
                        <w:i/>
                        <w:sz w:val="20"/>
                      </w:rPr>
                    </w:pPr>
                  </w:p>
                  <w:p>
                    <w:pPr>
                      <w:spacing w:before="1"/>
                      <w:ind w:left="81" w:right="0" w:firstLine="0"/>
                      <w:jc w:val="center"/>
                      <w:rPr>
                        <w:sz w:val="18"/>
                      </w:rPr>
                    </w:pPr>
                    <w:r>
                      <w:rPr>
                        <w:color w:val="585858"/>
                        <w:sz w:val="18"/>
                      </w:rPr>
                      <w:t>0%</w:t>
                    </w:r>
                  </w:p>
                </w:txbxContent>
              </v:textbox>
              <w10:wrap type="none"/>
            </v:shape>
            <w10:wrap type="topAndBottom"/>
          </v:group>
        </w:pict>
      </w:r>
      <w:bookmarkStart w:name="_bookmark114" w:id="161"/>
      <w:bookmarkEnd w:id="161"/>
      <w:r>
        <w:rPr/>
      </w:r>
      <w:r>
        <w:rPr>
          <w:i/>
          <w:color w:val="A21F1F"/>
          <w:sz w:val="18"/>
        </w:rPr>
        <w:t>Figur 64: Offentlige myndigheders vurdering af de frie geodatas betydning for effektiviteten i myndighedens </w:t>
      </w:r>
      <w:r>
        <w:rPr>
          <w:i/>
          <w:color w:val="A21F1F"/>
          <w:sz w:val="18"/>
        </w:rPr>
        <w:t>opgaveløsning på 3-4 års sigt</w:t>
      </w:r>
    </w:p>
    <w:p>
      <w:pPr>
        <w:pStyle w:val="BodyText"/>
        <w:spacing w:before="8"/>
        <w:rPr>
          <w:i/>
          <w:sz w:val="27"/>
        </w:rPr>
      </w:pPr>
    </w:p>
    <w:p>
      <w:pPr>
        <w:spacing w:before="0"/>
        <w:ind w:left="278" w:right="0" w:firstLine="0"/>
        <w:jc w:val="left"/>
        <w:rPr>
          <w:i/>
          <w:sz w:val="18"/>
        </w:rPr>
      </w:pPr>
      <w:r>
        <w:rPr>
          <w:b/>
          <w:i/>
          <w:color w:val="A21F1F"/>
          <w:sz w:val="18"/>
        </w:rPr>
        <w:t>Kilde: </w:t>
      </w:r>
      <w:r>
        <w:rPr>
          <w:i/>
          <w:color w:val="A21F1F"/>
          <w:sz w:val="18"/>
        </w:rPr>
        <w:t>Spørgeskemaundersøgelse blandt offentlige brugere</w:t>
      </w:r>
    </w:p>
    <w:p>
      <w:pPr>
        <w:spacing w:before="122"/>
        <w:ind w:left="278" w:right="0" w:firstLine="0"/>
        <w:jc w:val="left"/>
        <w:rPr>
          <w:i/>
          <w:sz w:val="18"/>
        </w:rPr>
      </w:pPr>
      <w:r>
        <w:rPr>
          <w:b/>
          <w:i/>
          <w:color w:val="A21F1F"/>
          <w:sz w:val="18"/>
        </w:rPr>
        <w:t>N: </w:t>
      </w:r>
      <w:r>
        <w:rPr>
          <w:i/>
          <w:color w:val="A21F1F"/>
          <w:sz w:val="18"/>
        </w:rPr>
        <w:t>73</w:t>
      </w:r>
    </w:p>
    <w:p>
      <w:pPr>
        <w:pStyle w:val="BodyText"/>
        <w:spacing w:before="6"/>
        <w:rPr>
          <w:i/>
          <w:sz w:val="28"/>
        </w:rPr>
      </w:pPr>
    </w:p>
    <w:p>
      <w:pPr>
        <w:pStyle w:val="BodyText"/>
        <w:spacing w:line="360" w:lineRule="auto"/>
        <w:ind w:left="278" w:right="995"/>
      </w:pPr>
      <w:r>
        <w:rPr/>
        <w:t>I interviews med Slots- og Kulturstyrelsen, som anvender DaluxFM til forvaltning af deres bygninger, gav styrelsen udtryk for, at de kunne se et stort potentiale i forhold til fremadrettet anvendelse af løsninger, der bygger på geodata. Eksempelvis ved, at vedligeholdelse af bygninger og skulpturer kunne foretages mere effektivt via øget anvendelse af digitale, mobile løsninger fremfor fysiske kort. Det samme gjorde sig gældende i Hillerød Kommune, som også så et potentiale i forhold til øget anvendelse af geodatabaserede løsninger i vedligehold af kommunens skoler.</w:t>
      </w:r>
    </w:p>
    <w:p>
      <w:pPr>
        <w:pStyle w:val="BodyText"/>
        <w:spacing w:before="2"/>
        <w:rPr>
          <w:sz w:val="21"/>
        </w:rPr>
      </w:pPr>
    </w:p>
    <w:p>
      <w:pPr>
        <w:pStyle w:val="BodyText"/>
        <w:spacing w:line="360" w:lineRule="auto"/>
        <w:ind w:left="278" w:right="1734"/>
      </w:pPr>
      <w:r>
        <w:rPr/>
        <w:t>De myndigheder, der har deltaget i interviews, kunne således bekræfte, at geodata indgår som en komponent i flere og flere forvaltningsområder og i forhold til flere og flere opgavetyper. Det er dog</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vurderingen hos interviewpersonerne, at anvendelsen af geodata uden for de traditionelle områder som</w:t>
      </w:r>
    </w:p>
    <w:p>
      <w:pPr>
        <w:pStyle w:val="BodyText"/>
        <w:spacing w:line="360" w:lineRule="auto" w:before="114"/>
        <w:ind w:left="278" w:right="1026"/>
      </w:pPr>
      <w:r>
        <w:rPr/>
        <w:t>teknik og miljø stadig er i sin vorden, hvorfor der fremadrettet fortsat kan være et uudnyttet potentiale i at øge anvendelsen. På trods af, at anvendelsen af geodata fortsat er stærkest forankret inden for de traditionelle områder, har case-undersøgelserne peget på, at geodata spredes til flere og flere opgaveområder, fx bygningstilsyn, vedligehold af fysiske aktiver, kloaker og ledninger samt styring af energiforbrug. Ligeledes er der en tendens til, at geodata i stigende grad spreder sig til nye arbejdsområder, såsom økonomistyring og budgetlægning. Endelig gjorde interviewpersonerne fra Hillerød Kommune opmærksom på, at der er et spirende potentiale for at anvende geodatabaserede løsninger inden for nye forvaltningsområder. Det kunne fx være inden for beredskab, sundhedsområdet og skoleområdet.</w:t>
      </w:r>
    </w:p>
    <w:p>
      <w:pPr>
        <w:pStyle w:val="BodyText"/>
        <w:rPr>
          <w:sz w:val="21"/>
        </w:rPr>
      </w:pPr>
    </w:p>
    <w:p>
      <w:pPr>
        <w:pStyle w:val="BodyText"/>
        <w:spacing w:line="360" w:lineRule="auto"/>
        <w:ind w:left="278" w:right="1395"/>
      </w:pPr>
      <w:r>
        <w:rPr/>
        <w:t>Endvidere har frisættelsen af geodata også givet et fælles datagrundlag, som giver mulighed for øget tværsektorielt samarbejde både mellem myndigheder og mellem offentlige og private virksomheder. Et eksempel herpå er GeoDanmark-data, som flere kommercielle leverandører af kort og navigation samt underholdning-apps nu integrerer i deres løsninger.</w:t>
      </w:r>
    </w:p>
    <w:p>
      <w:pPr>
        <w:pStyle w:val="BodyText"/>
        <w:spacing w:before="4"/>
        <w:rPr>
          <w:sz w:val="21"/>
        </w:rPr>
      </w:pPr>
    </w:p>
    <w:p>
      <w:pPr>
        <w:pStyle w:val="BodyText"/>
        <w:spacing w:line="360" w:lineRule="auto" w:before="1"/>
        <w:ind w:left="278" w:right="1108"/>
      </w:pPr>
      <w:r>
        <w:rPr/>
        <w:t>Samme tendens bekræftes i spørgeskemaundersøgelsen, hvor de offentlige myndigheder er blevet bedt om at vurdere, i hvor høj grad de var enige i, at frisættelsen af geodata har kunnet bane vejen for nye samarbejdsmodeller med andre myndigheder og private virksomheder. Her svarer 40-50 pct., at de frie geodata har fremmet muligheden for samarbejde på tværs af myndigheder og med tredjeparter, jf.</w:t>
      </w:r>
    </w:p>
    <w:p>
      <w:pPr>
        <w:pStyle w:val="BodyText"/>
        <w:spacing w:before="1"/>
        <w:rPr>
          <w:sz w:val="21"/>
        </w:rPr>
      </w:pPr>
    </w:p>
    <w:p>
      <w:pPr>
        <w:pStyle w:val="BodyText"/>
        <w:ind w:left="278"/>
      </w:pPr>
      <w:hyperlink w:history="true" w:anchor="_bookmark115">
        <w:r>
          <w:rPr/>
          <w:t>Figur 65 </w:t>
        </w:r>
      </w:hyperlink>
      <w:r>
        <w:rPr/>
        <w:t>herund</w:t>
      </w:r>
      <w:bookmarkStart w:name="_bookmark115" w:id="162"/>
      <w:bookmarkEnd w:id="162"/>
      <w:r>
        <w:rPr/>
        <w:t>er.</w:t>
      </w:r>
    </w:p>
    <w:p>
      <w:pPr>
        <w:pStyle w:val="BodyText"/>
        <w:rPr>
          <w:sz w:val="31"/>
        </w:rPr>
      </w:pPr>
    </w:p>
    <w:p>
      <w:pPr>
        <w:spacing w:before="0"/>
        <w:ind w:left="278" w:right="1343" w:firstLine="0"/>
        <w:jc w:val="left"/>
        <w:rPr>
          <w:i/>
          <w:sz w:val="18"/>
        </w:rPr>
      </w:pPr>
      <w:r>
        <w:rPr/>
        <w:pict>
          <v:group style="position:absolute;margin-left:70.525002pt;margin-top:26.077932pt;width:468.75pt;height:237.05pt;mso-position-horizontal-relative:page;mso-position-vertical-relative:paragraph;z-index:-167680" coordorigin="1411,522" coordsize="9375,4741">
            <v:rect style="position:absolute;left:1418;top:529;width:9360;height:4726" filled="true" fillcolor="#f1f1f1" stroked="false">
              <v:fill type="solid"/>
            </v:rect>
            <v:rect style="position:absolute;left:2488;top:4927;width:93;height:93" filled="true" fillcolor="#771313" stroked="false">
              <v:fill type="solid"/>
            </v:rect>
            <v:rect style="position:absolute;left:3627;top:4927;width:93;height:93" filled="true" fillcolor="#8a1a1a" stroked="false">
              <v:fill type="solid"/>
            </v:rect>
            <v:rect style="position:absolute;left:4999;top:4927;width:93;height:93" filled="true" fillcolor="#9b1e1e" stroked="false">
              <v:fill type="solid"/>
            </v:rect>
            <v:rect style="position:absolute;left:6447;top:4927;width:93;height:93" filled="true" fillcolor="#ae5e5e" stroked="false">
              <v:fill type="solid"/>
            </v:rect>
            <v:rect style="position:absolute;left:7913;top:4927;width:93;height:93" filled="true" fillcolor="#c59696" stroked="false">
              <v:fill type="solid"/>
            </v:rect>
            <v:rect style="position:absolute;left:8958;top:4927;width:93;height:93" filled="true" fillcolor="#d7bcbc" stroked="false">
              <v:fill type="solid"/>
            </v:rect>
            <v:rect style="position:absolute;left:1418;top:529;width:9360;height:4726" filled="false" stroked="true" strokeweight=".75pt" strokecolor="#d9d9d9">
              <v:stroke dashstyle="solid"/>
            </v:rect>
            <v:shape style="position:absolute;left:1548;top:901;width:4295;height:3305" type="#_x0000_t202" filled="false" stroked="false">
              <v:textbox inset="0,0,0,0">
                <w:txbxContent>
                  <w:p>
                    <w:pPr>
                      <w:spacing w:before="0"/>
                      <w:ind w:left="0" w:right="19" w:firstLine="0"/>
                      <w:jc w:val="center"/>
                      <w:rPr>
                        <w:sz w:val="18"/>
                      </w:rPr>
                    </w:pPr>
                    <w:r>
                      <w:rPr>
                        <w:color w:val="585858"/>
                        <w:sz w:val="18"/>
                      </w:rPr>
                      <w:t>Myndigheden vil arbejde for at fremme frisættelsen af andre data.</w:t>
                    </w:r>
                  </w:p>
                  <w:p>
                    <w:pPr>
                      <w:spacing w:line="240" w:lineRule="auto" w:before="8"/>
                      <w:rPr>
                        <w:i/>
                        <w:sz w:val="27"/>
                      </w:rPr>
                    </w:pPr>
                  </w:p>
                  <w:p>
                    <w:pPr>
                      <w:spacing w:before="0"/>
                      <w:ind w:left="1048" w:right="1" w:hanging="629"/>
                      <w:jc w:val="left"/>
                      <w:rPr>
                        <w:sz w:val="18"/>
                      </w:rPr>
                    </w:pPr>
                    <w:r>
                      <w:rPr>
                        <w:color w:val="585858"/>
                        <w:sz w:val="18"/>
                      </w:rPr>
                      <w:t>Mulighederne for at arbejde sammen på tværs af offentlige myndigheder fremmes</w:t>
                    </w:r>
                  </w:p>
                  <w:p>
                    <w:pPr>
                      <w:spacing w:line="240" w:lineRule="auto" w:before="8"/>
                      <w:rPr>
                        <w:i/>
                        <w:sz w:val="18"/>
                      </w:rPr>
                    </w:pPr>
                  </w:p>
                  <w:p>
                    <w:pPr>
                      <w:spacing w:before="0"/>
                      <w:ind w:left="61" w:right="21" w:firstLine="1"/>
                      <w:jc w:val="center"/>
                      <w:rPr>
                        <w:sz w:val="18"/>
                      </w:rPr>
                    </w:pPr>
                    <w:r>
                      <w:rPr>
                        <w:color w:val="585858"/>
                        <w:sz w:val="18"/>
                      </w:rPr>
                      <w:t>Myndigheden efterspørger og køber geodatarelaterede ydelser fra andre leverandører</w:t>
                    </w:r>
                    <w:r>
                      <w:rPr>
                        <w:color w:val="585858"/>
                        <w:spacing w:val="-24"/>
                        <w:sz w:val="18"/>
                      </w:rPr>
                      <w:t> </w:t>
                    </w:r>
                    <w:r>
                      <w:rPr>
                        <w:color w:val="585858"/>
                        <w:sz w:val="18"/>
                      </w:rPr>
                      <w:t>end SDFE</w:t>
                    </w:r>
                  </w:p>
                  <w:p>
                    <w:pPr>
                      <w:spacing w:line="240" w:lineRule="auto" w:before="8"/>
                      <w:rPr>
                        <w:i/>
                        <w:sz w:val="18"/>
                      </w:rPr>
                    </w:pPr>
                  </w:p>
                  <w:p>
                    <w:pPr>
                      <w:spacing w:before="0"/>
                      <w:ind w:left="125" w:right="18" w:firstLine="0"/>
                      <w:jc w:val="center"/>
                      <w:rPr>
                        <w:sz w:val="18"/>
                      </w:rPr>
                    </w:pPr>
                    <w:r>
                      <w:rPr>
                        <w:color w:val="585858"/>
                        <w:sz w:val="18"/>
                      </w:rPr>
                      <w:t>Myndigheden eksperimenterer mere med at udnytte geodata</w:t>
                    </w:r>
                  </w:p>
                  <w:p>
                    <w:pPr>
                      <w:spacing w:line="240" w:lineRule="auto" w:before="8"/>
                      <w:rPr>
                        <w:i/>
                        <w:sz w:val="27"/>
                      </w:rPr>
                    </w:pPr>
                  </w:p>
                  <w:p>
                    <w:pPr>
                      <w:spacing w:before="0"/>
                      <w:ind w:left="894" w:right="1" w:hanging="148"/>
                      <w:jc w:val="left"/>
                      <w:rPr>
                        <w:sz w:val="18"/>
                      </w:rPr>
                    </w:pPr>
                    <w:r>
                      <w:rPr>
                        <w:color w:val="585858"/>
                        <w:sz w:val="18"/>
                      </w:rPr>
                      <w:t>Det er nemmere at etablere samarbejde med tredjeparter (fx. om udviklingsprojekter)</w:t>
                    </w:r>
                  </w:p>
                </w:txbxContent>
              </v:textbox>
              <w10:wrap type="none"/>
            </v:shape>
            <v:shape style="position:absolute;left:5852;top:4480;width:278;height:205" type="#_x0000_t202" filled="false" stroked="false">
              <v:textbox inset="0,0,0,0">
                <w:txbxContent>
                  <w:p>
                    <w:pPr>
                      <w:spacing w:before="0"/>
                      <w:ind w:left="0" w:right="0" w:firstLine="0"/>
                      <w:jc w:val="left"/>
                      <w:rPr>
                        <w:sz w:val="18"/>
                      </w:rPr>
                    </w:pPr>
                    <w:r>
                      <w:rPr>
                        <w:color w:val="585858"/>
                        <w:sz w:val="18"/>
                      </w:rPr>
                      <w:t>0%</w:t>
                    </w:r>
                  </w:p>
                </w:txbxContent>
              </v:textbox>
              <w10:wrap type="none"/>
            </v:shape>
            <v:shape style="position:absolute;left:6673;top:4480;width:379;height:205" type="#_x0000_t202" filled="false" stroked="false">
              <v:textbox inset="0,0,0,0">
                <w:txbxContent>
                  <w:p>
                    <w:pPr>
                      <w:spacing w:before="0"/>
                      <w:ind w:left="0" w:right="0" w:firstLine="0"/>
                      <w:jc w:val="left"/>
                      <w:rPr>
                        <w:sz w:val="18"/>
                      </w:rPr>
                    </w:pPr>
                    <w:r>
                      <w:rPr>
                        <w:color w:val="585858"/>
                        <w:sz w:val="18"/>
                      </w:rPr>
                      <w:t>20%</w:t>
                    </w:r>
                  </w:p>
                </w:txbxContent>
              </v:textbox>
              <w10:wrap type="none"/>
            </v:shape>
            <v:shape style="position:absolute;left:7543;top:4480;width:379;height:205" type="#_x0000_t202" filled="false" stroked="false">
              <v:textbox inset="0,0,0,0">
                <w:txbxContent>
                  <w:p>
                    <w:pPr>
                      <w:spacing w:before="0"/>
                      <w:ind w:left="0" w:right="0" w:firstLine="0"/>
                      <w:jc w:val="left"/>
                      <w:rPr>
                        <w:sz w:val="18"/>
                      </w:rPr>
                    </w:pPr>
                    <w:r>
                      <w:rPr>
                        <w:color w:val="585858"/>
                        <w:sz w:val="18"/>
                      </w:rPr>
                      <w:t>40%</w:t>
                    </w:r>
                  </w:p>
                </w:txbxContent>
              </v:textbox>
              <w10:wrap type="none"/>
            </v:shape>
            <v:shape style="position:absolute;left:8414;top:4480;width:381;height:205" type="#_x0000_t202" filled="false" stroked="false">
              <v:textbox inset="0,0,0,0">
                <w:txbxContent>
                  <w:p>
                    <w:pPr>
                      <w:spacing w:before="0"/>
                      <w:ind w:left="0" w:right="0" w:firstLine="0"/>
                      <w:jc w:val="left"/>
                      <w:rPr>
                        <w:sz w:val="18"/>
                      </w:rPr>
                    </w:pPr>
                    <w:r>
                      <w:rPr>
                        <w:color w:val="585858"/>
                        <w:sz w:val="18"/>
                      </w:rPr>
                      <w:t>60%</w:t>
                    </w:r>
                  </w:p>
                </w:txbxContent>
              </v:textbox>
              <w10:wrap type="none"/>
            </v:shape>
            <v:shape style="position:absolute;left:9283;top:4480;width:386;height:205" type="#_x0000_t202" filled="false" stroked="false">
              <v:textbox inset="0,0,0,0">
                <w:txbxContent>
                  <w:p>
                    <w:pPr>
                      <w:spacing w:before="0"/>
                      <w:ind w:left="0" w:right="0" w:firstLine="0"/>
                      <w:jc w:val="left"/>
                      <w:rPr>
                        <w:sz w:val="18"/>
                      </w:rPr>
                    </w:pPr>
                    <w:r>
                      <w:rPr>
                        <w:color w:val="585858"/>
                        <w:sz w:val="18"/>
                      </w:rPr>
                      <w:t>80%</w:t>
                    </w:r>
                  </w:p>
                </w:txbxContent>
              </v:textbox>
              <w10:wrap type="none"/>
            </v:shape>
            <v:shape style="position:absolute;left:10114;top:4480;width:466;height:205" type="#_x0000_t202" filled="false" stroked="false">
              <v:textbox inset="0,0,0,0">
                <w:txbxContent>
                  <w:p>
                    <w:pPr>
                      <w:spacing w:before="0"/>
                      <w:ind w:left="0" w:right="0" w:firstLine="0"/>
                      <w:jc w:val="left"/>
                      <w:rPr>
                        <w:sz w:val="18"/>
                      </w:rPr>
                    </w:pPr>
                    <w:r>
                      <w:rPr>
                        <w:color w:val="585858"/>
                        <w:sz w:val="18"/>
                      </w:rPr>
                      <w:t>100%</w:t>
                    </w:r>
                  </w:p>
                </w:txbxContent>
              </v:textbox>
              <w10:wrap type="none"/>
            </v:shape>
            <v:shape style="position:absolute;left:2619;top:4867;width:7179;height:205" type="#_x0000_t202" filled="false" stroked="false">
              <v:textbox inset="0,0,0,0">
                <w:txbxContent>
                  <w:p>
                    <w:pPr>
                      <w:tabs>
                        <w:tab w:pos="1138" w:val="left" w:leader="none"/>
                        <w:tab w:pos="2511" w:val="left" w:leader="none"/>
                        <w:tab w:pos="3959" w:val="left" w:leader="none"/>
                        <w:tab w:pos="5425" w:val="left" w:leader="none"/>
                        <w:tab w:pos="6471" w:val="left" w:leader="none"/>
                      </w:tabs>
                      <w:spacing w:before="0"/>
                      <w:ind w:left="0" w:right="0" w:firstLine="0"/>
                      <w:jc w:val="left"/>
                      <w:rPr>
                        <w:sz w:val="18"/>
                      </w:rPr>
                    </w:pPr>
                    <w:r>
                      <w:rPr>
                        <w:color w:val="585858"/>
                        <w:sz w:val="18"/>
                      </w:rPr>
                      <w:t>I</w:t>
                    </w:r>
                    <w:r>
                      <w:rPr>
                        <w:color w:val="585858"/>
                        <w:spacing w:val="-2"/>
                        <w:sz w:val="18"/>
                      </w:rPr>
                      <w:t> </w:t>
                    </w:r>
                    <w:r>
                      <w:rPr>
                        <w:color w:val="585858"/>
                        <w:sz w:val="18"/>
                      </w:rPr>
                      <w:t>høj</w:t>
                    </w:r>
                    <w:r>
                      <w:rPr>
                        <w:color w:val="585858"/>
                        <w:spacing w:val="-2"/>
                        <w:sz w:val="18"/>
                      </w:rPr>
                      <w:t> </w:t>
                    </w:r>
                    <w:r>
                      <w:rPr>
                        <w:color w:val="585858"/>
                        <w:sz w:val="18"/>
                      </w:rPr>
                      <w:t>grad</w:t>
                      <w:tab/>
                      <w:t>I</w:t>
                    </w:r>
                    <w:r>
                      <w:rPr>
                        <w:color w:val="585858"/>
                        <w:spacing w:val="-2"/>
                        <w:sz w:val="18"/>
                      </w:rPr>
                      <w:t> </w:t>
                    </w:r>
                    <w:r>
                      <w:rPr>
                        <w:color w:val="585858"/>
                        <w:sz w:val="18"/>
                      </w:rPr>
                      <w:t>nogen grad</w:t>
                      <w:tab/>
                      <w:t>Hverken</w:t>
                    </w:r>
                    <w:r>
                      <w:rPr>
                        <w:color w:val="585858"/>
                        <w:spacing w:val="-2"/>
                        <w:sz w:val="18"/>
                      </w:rPr>
                      <w:t> </w:t>
                    </w:r>
                    <w:r>
                      <w:rPr>
                        <w:color w:val="585858"/>
                        <w:sz w:val="18"/>
                      </w:rPr>
                      <w:t>eller</w:t>
                      <w:tab/>
                      <w:t>I</w:t>
                    </w:r>
                    <w:r>
                      <w:rPr>
                        <w:color w:val="585858"/>
                        <w:spacing w:val="-2"/>
                        <w:sz w:val="18"/>
                      </w:rPr>
                      <w:t> </w:t>
                    </w:r>
                    <w:r>
                      <w:rPr>
                        <w:color w:val="585858"/>
                        <w:sz w:val="18"/>
                      </w:rPr>
                      <w:t>mindre grad</w:t>
                      <w:tab/>
                      <w:t>Slet</w:t>
                    </w:r>
                    <w:r>
                      <w:rPr>
                        <w:color w:val="585858"/>
                        <w:spacing w:val="-2"/>
                        <w:sz w:val="18"/>
                      </w:rPr>
                      <w:t> </w:t>
                    </w:r>
                    <w:r>
                      <w:rPr>
                        <w:color w:val="585858"/>
                        <w:sz w:val="18"/>
                      </w:rPr>
                      <w:t>ikke</w:t>
                      <w:tab/>
                      <w:t>Ved</w:t>
                    </w:r>
                    <w:r>
                      <w:rPr>
                        <w:color w:val="585858"/>
                        <w:spacing w:val="-1"/>
                        <w:sz w:val="18"/>
                      </w:rPr>
                      <w:t> </w:t>
                    </w:r>
                    <w:r>
                      <w:rPr>
                        <w:color w:val="585858"/>
                        <w:sz w:val="18"/>
                      </w:rPr>
                      <w:t>ikke</w:t>
                    </w:r>
                  </w:p>
                </w:txbxContent>
              </v:textbox>
              <w10:wrap type="none"/>
            </v:shape>
            <w10:wrap type="none"/>
          </v:group>
        </w:pict>
      </w:r>
      <w:r>
        <w:rPr>
          <w:i/>
          <w:color w:val="A21F1F"/>
          <w:sz w:val="18"/>
        </w:rPr>
        <w:t>Figur 65: Offentlige myndigheders vurdering af, hvor enig de er i mulighederne for nye samarbejdsmodeller som </w:t>
      </w:r>
      <w:r>
        <w:rPr>
          <w:i/>
          <w:color w:val="A21F1F"/>
          <w:sz w:val="18"/>
        </w:rPr>
        <w:t>følge af de frie geodata</w:t>
      </w:r>
    </w:p>
    <w:p>
      <w:pPr>
        <w:pStyle w:val="BodyText"/>
        <w:spacing w:before="3"/>
        <w:rPr>
          <w:i/>
          <w:sz w:val="29"/>
        </w:rPr>
      </w:pPr>
    </w:p>
    <w:tbl>
      <w:tblPr>
        <w:tblW w:w="0" w:type="auto"/>
        <w:jc w:val="left"/>
        <w:tblInd w:w="4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
        <w:gridCol w:w="336"/>
        <w:gridCol w:w="869"/>
        <w:gridCol w:w="168"/>
        <w:gridCol w:w="298"/>
        <w:gridCol w:w="406"/>
        <w:gridCol w:w="132"/>
        <w:gridCol w:w="328"/>
        <w:gridCol w:w="90"/>
        <w:gridCol w:w="150"/>
        <w:gridCol w:w="90"/>
        <w:gridCol w:w="90"/>
        <w:gridCol w:w="147"/>
        <w:gridCol w:w="209"/>
        <w:gridCol w:w="239"/>
        <w:gridCol w:w="269"/>
      </w:tblGrid>
      <w:tr>
        <w:trPr>
          <w:trHeight w:val="233"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6"/>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6"/>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6"/>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6"/>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6"/>
              </w:rPr>
            </w:pPr>
          </w:p>
        </w:tc>
      </w:tr>
      <w:tr>
        <w:trPr>
          <w:trHeight w:val="256" w:hRule="atLeast"/>
        </w:trPr>
        <w:tc>
          <w:tcPr>
            <w:tcW w:w="1741" w:type="dxa"/>
            <w:gridSpan w:val="3"/>
            <w:tcBorders>
              <w:left w:val="single" w:sz="6" w:space="0" w:color="D9D9D9"/>
            </w:tcBorders>
            <w:shd w:val="clear" w:color="auto" w:fill="771313"/>
          </w:tcPr>
          <w:p>
            <w:pPr>
              <w:pStyle w:val="TableParagraph"/>
              <w:rPr>
                <w:rFonts w:ascii="Times New Roman"/>
                <w:sz w:val="18"/>
              </w:rPr>
            </w:pPr>
          </w:p>
        </w:tc>
        <w:tc>
          <w:tcPr>
            <w:tcW w:w="1004" w:type="dxa"/>
            <w:gridSpan w:val="4"/>
            <w:shd w:val="clear" w:color="auto" w:fill="8A1A1A"/>
          </w:tcPr>
          <w:p>
            <w:pPr>
              <w:pStyle w:val="TableParagraph"/>
              <w:rPr>
                <w:rFonts w:ascii="Times New Roman"/>
                <w:sz w:val="18"/>
              </w:rPr>
            </w:pPr>
          </w:p>
        </w:tc>
        <w:tc>
          <w:tcPr>
            <w:tcW w:w="568" w:type="dxa"/>
            <w:gridSpan w:val="3"/>
            <w:shd w:val="clear" w:color="auto" w:fill="9B1E1E"/>
          </w:tcPr>
          <w:p>
            <w:pPr>
              <w:pStyle w:val="TableParagraph"/>
              <w:rPr>
                <w:rFonts w:ascii="Times New Roman"/>
                <w:sz w:val="18"/>
              </w:rPr>
            </w:pPr>
          </w:p>
        </w:tc>
        <w:tc>
          <w:tcPr>
            <w:tcW w:w="1044" w:type="dxa"/>
            <w:gridSpan w:val="6"/>
            <w:tcBorders>
              <w:right w:val="single" w:sz="6" w:space="0" w:color="D9D9D9"/>
            </w:tcBorders>
            <w:shd w:val="clear" w:color="auto" w:fill="D7BCBC"/>
          </w:tcPr>
          <w:p>
            <w:pPr>
              <w:pStyle w:val="TableParagraph"/>
              <w:rPr>
                <w:rFonts w:ascii="Times New Roman"/>
                <w:sz w:val="18"/>
              </w:rPr>
            </w:pPr>
          </w:p>
        </w:tc>
      </w:tr>
      <w:tr>
        <w:trPr>
          <w:trHeight w:val="468"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8"/>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8"/>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8"/>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8"/>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8"/>
              </w:rPr>
            </w:pPr>
          </w:p>
        </w:tc>
      </w:tr>
      <w:tr>
        <w:trPr>
          <w:trHeight w:val="256" w:hRule="atLeast"/>
        </w:trPr>
        <w:tc>
          <w:tcPr>
            <w:tcW w:w="2207" w:type="dxa"/>
            <w:gridSpan w:val="5"/>
            <w:tcBorders>
              <w:left w:val="single" w:sz="6" w:space="0" w:color="D9D9D9"/>
            </w:tcBorders>
            <w:shd w:val="clear" w:color="auto" w:fill="771313"/>
          </w:tcPr>
          <w:p>
            <w:pPr>
              <w:pStyle w:val="TableParagraph"/>
              <w:rPr>
                <w:rFonts w:ascii="Times New Roman"/>
                <w:sz w:val="18"/>
              </w:rPr>
            </w:pPr>
          </w:p>
        </w:tc>
        <w:tc>
          <w:tcPr>
            <w:tcW w:w="1196" w:type="dxa"/>
            <w:gridSpan w:val="6"/>
            <w:shd w:val="clear" w:color="auto" w:fill="8A1A1A"/>
          </w:tcPr>
          <w:p>
            <w:pPr>
              <w:pStyle w:val="TableParagraph"/>
              <w:rPr>
                <w:rFonts w:ascii="Times New Roman"/>
                <w:sz w:val="18"/>
              </w:rPr>
            </w:pPr>
          </w:p>
        </w:tc>
        <w:tc>
          <w:tcPr>
            <w:tcW w:w="446" w:type="dxa"/>
            <w:gridSpan w:val="3"/>
            <w:shd w:val="clear" w:color="auto" w:fill="9B1E1E"/>
          </w:tcPr>
          <w:p>
            <w:pPr>
              <w:pStyle w:val="TableParagraph"/>
              <w:rPr>
                <w:rFonts w:ascii="Times New Roman"/>
                <w:sz w:val="18"/>
              </w:rPr>
            </w:pPr>
          </w:p>
        </w:tc>
        <w:tc>
          <w:tcPr>
            <w:tcW w:w="508" w:type="dxa"/>
            <w:gridSpan w:val="2"/>
            <w:tcBorders>
              <w:right w:val="single" w:sz="6" w:space="0" w:color="D9D9D9"/>
            </w:tcBorders>
            <w:shd w:val="clear" w:color="auto" w:fill="D7BCBC"/>
          </w:tcPr>
          <w:p>
            <w:pPr>
              <w:pStyle w:val="TableParagraph"/>
              <w:rPr>
                <w:rFonts w:ascii="Times New Roman"/>
                <w:sz w:val="18"/>
              </w:rPr>
            </w:pPr>
          </w:p>
        </w:tc>
      </w:tr>
      <w:tr>
        <w:trPr>
          <w:trHeight w:val="465"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8"/>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8"/>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8"/>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8"/>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8"/>
              </w:rPr>
            </w:pPr>
          </w:p>
        </w:tc>
      </w:tr>
      <w:tr>
        <w:trPr>
          <w:trHeight w:val="256" w:hRule="atLeast"/>
        </w:trPr>
        <w:tc>
          <w:tcPr>
            <w:tcW w:w="536" w:type="dxa"/>
            <w:tcBorders>
              <w:left w:val="single" w:sz="6" w:space="0" w:color="D9D9D9"/>
            </w:tcBorders>
            <w:shd w:val="clear" w:color="auto" w:fill="771313"/>
          </w:tcPr>
          <w:p>
            <w:pPr>
              <w:pStyle w:val="TableParagraph"/>
              <w:rPr>
                <w:rFonts w:ascii="Times New Roman"/>
                <w:sz w:val="18"/>
              </w:rPr>
            </w:pPr>
          </w:p>
        </w:tc>
        <w:tc>
          <w:tcPr>
            <w:tcW w:w="1205" w:type="dxa"/>
            <w:gridSpan w:val="2"/>
            <w:shd w:val="clear" w:color="auto" w:fill="8A1A1A"/>
          </w:tcPr>
          <w:p>
            <w:pPr>
              <w:pStyle w:val="TableParagraph"/>
              <w:rPr>
                <w:rFonts w:ascii="Times New Roman"/>
                <w:sz w:val="18"/>
              </w:rPr>
            </w:pPr>
          </w:p>
        </w:tc>
        <w:tc>
          <w:tcPr>
            <w:tcW w:w="1332" w:type="dxa"/>
            <w:gridSpan w:val="5"/>
            <w:shd w:val="clear" w:color="auto" w:fill="9B1E1E"/>
          </w:tcPr>
          <w:p>
            <w:pPr>
              <w:pStyle w:val="TableParagraph"/>
              <w:rPr>
                <w:rFonts w:ascii="Times New Roman"/>
                <w:sz w:val="18"/>
              </w:rPr>
            </w:pPr>
          </w:p>
        </w:tc>
        <w:tc>
          <w:tcPr>
            <w:tcW w:w="240" w:type="dxa"/>
            <w:gridSpan w:val="2"/>
            <w:shd w:val="clear" w:color="auto" w:fill="AE5E5E"/>
          </w:tcPr>
          <w:p>
            <w:pPr>
              <w:pStyle w:val="TableParagraph"/>
              <w:rPr>
                <w:rFonts w:ascii="Times New Roman"/>
                <w:sz w:val="18"/>
              </w:rPr>
            </w:pPr>
          </w:p>
        </w:tc>
        <w:tc>
          <w:tcPr>
            <w:tcW w:w="327" w:type="dxa"/>
            <w:gridSpan w:val="3"/>
            <w:shd w:val="clear" w:color="auto" w:fill="C59696"/>
          </w:tcPr>
          <w:p>
            <w:pPr>
              <w:pStyle w:val="TableParagraph"/>
              <w:rPr>
                <w:rFonts w:ascii="Times New Roman"/>
                <w:sz w:val="18"/>
              </w:rPr>
            </w:pPr>
          </w:p>
        </w:tc>
        <w:tc>
          <w:tcPr>
            <w:tcW w:w="717" w:type="dxa"/>
            <w:gridSpan w:val="3"/>
            <w:tcBorders>
              <w:right w:val="single" w:sz="6" w:space="0" w:color="D9D9D9"/>
            </w:tcBorders>
            <w:shd w:val="clear" w:color="auto" w:fill="D7BCBC"/>
          </w:tcPr>
          <w:p>
            <w:pPr>
              <w:pStyle w:val="TableParagraph"/>
              <w:rPr>
                <w:rFonts w:ascii="Times New Roman"/>
                <w:sz w:val="18"/>
              </w:rPr>
            </w:pPr>
          </w:p>
        </w:tc>
      </w:tr>
      <w:tr>
        <w:trPr>
          <w:trHeight w:val="467"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8"/>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8"/>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8"/>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8"/>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8"/>
              </w:rPr>
            </w:pPr>
          </w:p>
        </w:tc>
      </w:tr>
      <w:tr>
        <w:trPr>
          <w:trHeight w:val="256" w:hRule="atLeast"/>
        </w:trPr>
        <w:tc>
          <w:tcPr>
            <w:tcW w:w="1741" w:type="dxa"/>
            <w:gridSpan w:val="3"/>
            <w:tcBorders>
              <w:left w:val="single" w:sz="6" w:space="0" w:color="D9D9D9"/>
            </w:tcBorders>
            <w:shd w:val="clear" w:color="auto" w:fill="771313"/>
          </w:tcPr>
          <w:p>
            <w:pPr>
              <w:pStyle w:val="TableParagraph"/>
              <w:rPr>
                <w:rFonts w:ascii="Times New Roman"/>
                <w:sz w:val="18"/>
              </w:rPr>
            </w:pPr>
          </w:p>
        </w:tc>
        <w:tc>
          <w:tcPr>
            <w:tcW w:w="1332" w:type="dxa"/>
            <w:gridSpan w:val="5"/>
            <w:shd w:val="clear" w:color="auto" w:fill="8A1A1A"/>
          </w:tcPr>
          <w:p>
            <w:pPr>
              <w:pStyle w:val="TableParagraph"/>
              <w:rPr>
                <w:rFonts w:ascii="Times New Roman"/>
                <w:sz w:val="18"/>
              </w:rPr>
            </w:pPr>
          </w:p>
        </w:tc>
        <w:tc>
          <w:tcPr>
            <w:tcW w:w="776" w:type="dxa"/>
            <w:gridSpan w:val="6"/>
            <w:shd w:val="clear" w:color="auto" w:fill="9B1E1E"/>
          </w:tcPr>
          <w:p>
            <w:pPr>
              <w:pStyle w:val="TableParagraph"/>
              <w:rPr>
                <w:rFonts w:ascii="Times New Roman"/>
                <w:sz w:val="18"/>
              </w:rPr>
            </w:pPr>
          </w:p>
        </w:tc>
        <w:tc>
          <w:tcPr>
            <w:tcW w:w="239" w:type="dxa"/>
            <w:tcBorders>
              <w:right w:val="single" w:sz="24" w:space="0" w:color="C59696"/>
            </w:tcBorders>
            <w:shd w:val="clear" w:color="auto" w:fill="AE5E5E"/>
          </w:tcPr>
          <w:p>
            <w:pPr>
              <w:pStyle w:val="TableParagraph"/>
              <w:rPr>
                <w:rFonts w:ascii="Times New Roman"/>
                <w:sz w:val="18"/>
              </w:rPr>
            </w:pPr>
          </w:p>
        </w:tc>
        <w:tc>
          <w:tcPr>
            <w:tcW w:w="269" w:type="dxa"/>
            <w:tcBorders>
              <w:left w:val="single" w:sz="24" w:space="0" w:color="C59696"/>
              <w:right w:val="single" w:sz="6" w:space="0" w:color="D9D9D9"/>
            </w:tcBorders>
            <w:shd w:val="clear" w:color="auto" w:fill="D7BCBC"/>
          </w:tcPr>
          <w:p>
            <w:pPr>
              <w:pStyle w:val="TableParagraph"/>
              <w:rPr>
                <w:rFonts w:ascii="Times New Roman"/>
                <w:sz w:val="18"/>
              </w:rPr>
            </w:pPr>
          </w:p>
        </w:tc>
      </w:tr>
      <w:tr>
        <w:trPr>
          <w:trHeight w:val="465"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8"/>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8"/>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8"/>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8"/>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8"/>
              </w:rPr>
            </w:pPr>
          </w:p>
        </w:tc>
      </w:tr>
      <w:tr>
        <w:trPr>
          <w:trHeight w:val="256" w:hRule="atLeast"/>
        </w:trPr>
        <w:tc>
          <w:tcPr>
            <w:tcW w:w="1909" w:type="dxa"/>
            <w:gridSpan w:val="4"/>
            <w:tcBorders>
              <w:left w:val="single" w:sz="6" w:space="0" w:color="D9D9D9"/>
            </w:tcBorders>
            <w:shd w:val="clear" w:color="auto" w:fill="771313"/>
          </w:tcPr>
          <w:p>
            <w:pPr>
              <w:pStyle w:val="TableParagraph"/>
              <w:rPr>
                <w:rFonts w:ascii="Times New Roman"/>
                <w:sz w:val="18"/>
              </w:rPr>
            </w:pPr>
          </w:p>
        </w:tc>
        <w:tc>
          <w:tcPr>
            <w:tcW w:w="1254" w:type="dxa"/>
            <w:gridSpan w:val="5"/>
            <w:shd w:val="clear" w:color="auto" w:fill="8A1A1A"/>
          </w:tcPr>
          <w:p>
            <w:pPr>
              <w:pStyle w:val="TableParagraph"/>
              <w:rPr>
                <w:rFonts w:ascii="Times New Roman"/>
                <w:sz w:val="18"/>
              </w:rPr>
            </w:pPr>
          </w:p>
        </w:tc>
        <w:tc>
          <w:tcPr>
            <w:tcW w:w="330" w:type="dxa"/>
            <w:gridSpan w:val="3"/>
            <w:tcBorders>
              <w:right w:val="single" w:sz="24" w:space="0" w:color="AE5E5E"/>
            </w:tcBorders>
            <w:shd w:val="clear" w:color="auto" w:fill="9B1E1E"/>
          </w:tcPr>
          <w:p>
            <w:pPr>
              <w:pStyle w:val="TableParagraph"/>
              <w:rPr>
                <w:rFonts w:ascii="Times New Roman"/>
                <w:sz w:val="18"/>
              </w:rPr>
            </w:pPr>
          </w:p>
        </w:tc>
        <w:tc>
          <w:tcPr>
            <w:tcW w:w="864" w:type="dxa"/>
            <w:gridSpan w:val="4"/>
            <w:tcBorders>
              <w:left w:val="single" w:sz="24" w:space="0" w:color="AE5E5E"/>
              <w:right w:val="single" w:sz="6" w:space="0" w:color="D9D9D9"/>
            </w:tcBorders>
            <w:shd w:val="clear" w:color="auto" w:fill="D7BCBC"/>
          </w:tcPr>
          <w:p>
            <w:pPr>
              <w:pStyle w:val="TableParagraph"/>
              <w:rPr>
                <w:rFonts w:ascii="Times New Roman"/>
                <w:sz w:val="18"/>
              </w:rPr>
            </w:pPr>
          </w:p>
        </w:tc>
      </w:tr>
      <w:tr>
        <w:trPr>
          <w:trHeight w:val="234" w:hRule="atLeast"/>
        </w:trPr>
        <w:tc>
          <w:tcPr>
            <w:tcW w:w="872" w:type="dxa"/>
            <w:gridSpan w:val="2"/>
            <w:tcBorders>
              <w:left w:val="single" w:sz="6" w:space="0" w:color="D9D9D9"/>
              <w:right w:val="single" w:sz="6" w:space="0" w:color="D9D9D9"/>
            </w:tcBorders>
            <w:shd w:val="clear" w:color="auto" w:fill="F1F1F1"/>
          </w:tcPr>
          <w:p>
            <w:pPr>
              <w:pStyle w:val="TableParagraph"/>
              <w:rPr>
                <w:rFonts w:ascii="Times New Roman"/>
                <w:sz w:val="16"/>
              </w:rPr>
            </w:pPr>
          </w:p>
        </w:tc>
        <w:tc>
          <w:tcPr>
            <w:tcW w:w="869" w:type="dxa"/>
            <w:tcBorders>
              <w:left w:val="single" w:sz="6" w:space="0" w:color="D9D9D9"/>
              <w:right w:val="single" w:sz="6" w:space="0" w:color="D9D9D9"/>
            </w:tcBorders>
            <w:shd w:val="clear" w:color="auto" w:fill="F1F1F1"/>
          </w:tcPr>
          <w:p>
            <w:pPr>
              <w:pStyle w:val="TableParagraph"/>
              <w:rPr>
                <w:rFonts w:ascii="Times New Roman"/>
                <w:sz w:val="16"/>
              </w:rPr>
            </w:pPr>
          </w:p>
        </w:tc>
        <w:tc>
          <w:tcPr>
            <w:tcW w:w="872" w:type="dxa"/>
            <w:gridSpan w:val="3"/>
            <w:tcBorders>
              <w:left w:val="single" w:sz="6" w:space="0" w:color="D9D9D9"/>
              <w:right w:val="single" w:sz="6" w:space="0" w:color="D9D9D9"/>
            </w:tcBorders>
            <w:shd w:val="clear" w:color="auto" w:fill="F1F1F1"/>
          </w:tcPr>
          <w:p>
            <w:pPr>
              <w:pStyle w:val="TableParagraph"/>
              <w:rPr>
                <w:rFonts w:ascii="Times New Roman"/>
                <w:sz w:val="16"/>
              </w:rPr>
            </w:pPr>
          </w:p>
        </w:tc>
        <w:tc>
          <w:tcPr>
            <w:tcW w:w="880" w:type="dxa"/>
            <w:gridSpan w:val="6"/>
            <w:tcBorders>
              <w:left w:val="single" w:sz="6" w:space="0" w:color="D9D9D9"/>
              <w:right w:val="single" w:sz="6" w:space="0" w:color="D9D9D9"/>
            </w:tcBorders>
            <w:shd w:val="clear" w:color="auto" w:fill="F1F1F1"/>
          </w:tcPr>
          <w:p>
            <w:pPr>
              <w:pStyle w:val="TableParagraph"/>
              <w:rPr>
                <w:rFonts w:ascii="Times New Roman"/>
                <w:sz w:val="16"/>
              </w:rPr>
            </w:pPr>
          </w:p>
        </w:tc>
        <w:tc>
          <w:tcPr>
            <w:tcW w:w="864" w:type="dxa"/>
            <w:gridSpan w:val="4"/>
            <w:tcBorders>
              <w:left w:val="single" w:sz="6" w:space="0" w:color="D9D9D9"/>
              <w:right w:val="single" w:sz="6" w:space="0" w:color="D9D9D9"/>
            </w:tcBorders>
            <w:shd w:val="clear" w:color="auto" w:fill="F1F1F1"/>
          </w:tcPr>
          <w:p>
            <w:pPr>
              <w:pStyle w:val="TableParagraph"/>
              <w:rPr>
                <w:rFonts w:ascii="Times New Roman"/>
                <w:sz w:val="16"/>
              </w:rPr>
            </w:pPr>
          </w:p>
        </w:tc>
      </w:tr>
    </w:tbl>
    <w:p>
      <w:pPr>
        <w:pStyle w:val="BodyText"/>
        <w:rPr>
          <w:i/>
        </w:rPr>
      </w:pPr>
    </w:p>
    <w:p>
      <w:pPr>
        <w:pStyle w:val="BodyText"/>
        <w:rPr>
          <w:i/>
        </w:rPr>
      </w:pPr>
    </w:p>
    <w:p>
      <w:pPr>
        <w:pStyle w:val="BodyText"/>
        <w:rPr>
          <w:i/>
        </w:rPr>
      </w:pPr>
    </w:p>
    <w:p>
      <w:pPr>
        <w:pStyle w:val="BodyText"/>
        <w:rPr>
          <w:i/>
        </w:rPr>
      </w:pPr>
    </w:p>
    <w:p>
      <w:pPr>
        <w:pStyle w:val="BodyText"/>
        <w:spacing w:before="6"/>
        <w:rPr>
          <w:i/>
          <w:sz w:val="16"/>
        </w:rPr>
      </w:pPr>
    </w:p>
    <w:p>
      <w:pPr>
        <w:spacing w:before="1"/>
        <w:ind w:left="278" w:right="0" w:firstLine="0"/>
        <w:jc w:val="left"/>
        <w:rPr>
          <w:i/>
          <w:sz w:val="18"/>
        </w:rPr>
      </w:pPr>
      <w:r>
        <w:rPr>
          <w:b/>
          <w:i/>
          <w:color w:val="A21F1F"/>
          <w:sz w:val="18"/>
        </w:rPr>
        <w:t>Kilde: </w:t>
      </w:r>
      <w:r>
        <w:rPr>
          <w:i/>
          <w:color w:val="A21F1F"/>
          <w:sz w:val="18"/>
        </w:rPr>
        <w:t>Spørgeskemaundersøgelse blandt offentlige brugere</w:t>
      </w:r>
    </w:p>
    <w:p>
      <w:pPr>
        <w:spacing w:before="121"/>
        <w:ind w:left="278" w:right="0" w:firstLine="0"/>
        <w:jc w:val="left"/>
        <w:rPr>
          <w:i/>
          <w:sz w:val="18"/>
        </w:rPr>
      </w:pPr>
      <w:r>
        <w:rPr>
          <w:b/>
          <w:i/>
          <w:color w:val="A21F1F"/>
          <w:sz w:val="18"/>
        </w:rPr>
        <w:t>N: </w:t>
      </w:r>
      <w:r>
        <w:rPr>
          <w:i/>
          <w:color w:val="A21F1F"/>
          <w:sz w:val="18"/>
        </w:rPr>
        <w:t>70</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Heading2"/>
        <w:numPr>
          <w:ilvl w:val="1"/>
          <w:numId w:val="36"/>
        </w:numPr>
        <w:tabs>
          <w:tab w:pos="855" w:val="left" w:leader="none"/>
        </w:tabs>
        <w:spacing w:line="319" w:lineRule="exact" w:before="0" w:after="0"/>
        <w:ind w:left="854" w:right="0" w:hanging="576"/>
        <w:jc w:val="left"/>
        <w:rPr>
          <w:i/>
        </w:rPr>
      </w:pPr>
      <w:bookmarkStart w:name="_bookmark116" w:id="163"/>
      <w:bookmarkEnd w:id="163"/>
      <w:r>
        <w:rPr>
          <w:b w:val="0"/>
          <w:i w:val="0"/>
        </w:rPr>
      </w:r>
      <w:bookmarkStart w:name="_bookmark116" w:id="164"/>
      <w:bookmarkEnd w:id="164"/>
      <w:r>
        <w:rPr>
          <w:i/>
          <w:color w:val="A21F1F"/>
        </w:rPr>
        <w:t>Barr</w:t>
      </w:r>
      <w:r>
        <w:rPr>
          <w:i/>
          <w:color w:val="A21F1F"/>
        </w:rPr>
        <w:t>ierer for fremtidig anvendelse af de frie</w:t>
      </w:r>
      <w:r>
        <w:rPr>
          <w:i/>
          <w:color w:val="A21F1F"/>
          <w:spacing w:val="-13"/>
        </w:rPr>
        <w:t> </w:t>
      </w:r>
      <w:r>
        <w:rPr>
          <w:i/>
          <w:color w:val="A21F1F"/>
        </w:rPr>
        <w:t>geodata</w:t>
      </w:r>
    </w:p>
    <w:p>
      <w:pPr>
        <w:pStyle w:val="BodyText"/>
        <w:spacing w:line="360" w:lineRule="auto" w:before="243"/>
        <w:ind w:left="278" w:right="1035"/>
      </w:pPr>
      <w:r>
        <w:rPr/>
        <w:t>For at de private virksomheder, forsyningsselskaberne og de offentlige myndigheder kan udnytte potentialet i de frie geodata, er det nødvendigt at undersøge, hvilke barrierer de centrale brugergrupper oplever i forhold til at øge deres anvendelse af de frie geodata. Det er barrierer, der står i vejen for at de frie geodata fremadrettet kan bidrage til øget vækst i den private sektor og samtidigt bidrage til at skabe en mere effektivt offentlig sektor.</w:t>
      </w:r>
    </w:p>
    <w:p>
      <w:pPr>
        <w:pStyle w:val="BodyText"/>
        <w:spacing w:before="1"/>
        <w:rPr>
          <w:sz w:val="21"/>
        </w:rPr>
      </w:pPr>
    </w:p>
    <w:p>
      <w:pPr>
        <w:pStyle w:val="BodyText"/>
        <w:spacing w:line="360" w:lineRule="auto"/>
        <w:ind w:left="278" w:right="995"/>
      </w:pPr>
      <w:r>
        <w:rPr/>
        <w:t>Trods frisættelsen af geodata og den øgede anvendelse af de frie geodata er der identificeret en række barrierer for yderligere anvendelse. Der er derfor fortsat behov for indsatser, der kan øge anvendelsen af de frie geodata. Visse barrierer er kendetegnet ved at kunne håndteres af SDFE selv, mens andre barrierer nødvendigvis skal håndteres som en del af et bredere fællesoffentligt samarbejde mellem staten, regionerne og kommunerne.</w:t>
      </w:r>
    </w:p>
    <w:p>
      <w:pPr>
        <w:pStyle w:val="BodyText"/>
        <w:spacing w:before="2"/>
        <w:rPr>
          <w:sz w:val="21"/>
        </w:rPr>
      </w:pPr>
    </w:p>
    <w:p>
      <w:pPr>
        <w:pStyle w:val="BodyText"/>
        <w:spacing w:line="360" w:lineRule="auto"/>
        <w:ind w:left="278" w:right="1456"/>
      </w:pPr>
      <w:r>
        <w:rPr/>
        <w:t>I nedenstående </w:t>
      </w:r>
      <w:hyperlink w:history="true" w:anchor="_bookmark117">
        <w:r>
          <w:rPr/>
          <w:t>Figur 66 </w:t>
        </w:r>
      </w:hyperlink>
      <w:r>
        <w:rPr/>
        <w:t>ses et overblik over de barrierer, som er identificeret af henholdsvis offentlige myndigheder, private virksomheder og forsyningsselskaber.</w:t>
      </w:r>
    </w:p>
    <w:p>
      <w:pPr>
        <w:pStyle w:val="BodyText"/>
        <w:spacing w:before="1"/>
        <w:rPr>
          <w:sz w:val="21"/>
        </w:rPr>
      </w:pPr>
    </w:p>
    <w:p>
      <w:pPr>
        <w:pStyle w:val="BodyText"/>
        <w:spacing w:line="360" w:lineRule="auto"/>
        <w:ind w:left="278" w:right="1152"/>
      </w:pPr>
      <w:r>
        <w:rPr/>
        <w:t>Alle tre sektorer kalder på, at der arbejdes efter at sikre en højere kvalitet af de frie geodata. Forklaringen herpå er formentlig, at de frie geodata indgår i mange kritiske forretningsprocesser, og virksomhedernes forretning er afhængig af, at data er valide og troværdige. Det fremgår således af interviews med Scalgo, at da de frie geodata er tæt integreret i løsningen, kræves der data af høj kvalitet for at skabe troværdige oversvømmelses-analyser. Især fremhæves behovet for løbende ajourføring af data som værende et kritisk element, og i den forbindelse efterspørger Scalgo muligheder for lettere at kunne ”tilbagelevere” ændringsmarkeringer eller lignende, når virksomheden eller dens kunder identificerer fejl i data.</w:t>
      </w:r>
    </w:p>
    <w:p>
      <w:pPr>
        <w:pStyle w:val="BodyText"/>
        <w:spacing w:before="1"/>
        <w:rPr>
          <w:sz w:val="21"/>
        </w:rPr>
      </w:pPr>
    </w:p>
    <w:p>
      <w:pPr>
        <w:pStyle w:val="BodyText"/>
        <w:spacing w:line="360" w:lineRule="auto" w:before="1"/>
        <w:ind w:left="278" w:right="1034"/>
      </w:pPr>
      <w:r>
        <w:rPr/>
        <w:t>Udvidelse af de frie geodata med yderligere datasæt fremhæves også af alle tre sektorer, men især af den private sektor. Det fremgår ikke entydigt af spørgeskemaundersøgelsen, hvilke datasæt der efterspørges, og angivelsen skal derfor ses som en indikation på, at åbnes der først op til nogle data, stiger ønsket om/behovet for frie data generelt. I case-undersøgelserne fremhævede Hillerød Kommune et ønske om at kunne koble de frie geodata sammen med indendørs positioneringsdata, så man så at sige får koblet den udendørs og den indendørs verden sammen.</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bookmarkStart w:name="_bookmark117" w:id="165"/>
      <w:bookmarkEnd w:id="165"/>
      <w:r>
        <w:rPr/>
      </w:r>
      <w:r>
        <w:rPr>
          <w:i/>
          <w:color w:val="A21F1F"/>
          <w:sz w:val="18"/>
        </w:rPr>
        <w:t>Figur 66: Oversigt over de barrierer, som anvendere af de frie geodata anser som værende de største</w:t>
      </w:r>
    </w:p>
    <w:p>
      <w:pPr>
        <w:pStyle w:val="BodyText"/>
        <w:rPr>
          <w:i/>
        </w:rPr>
      </w:pPr>
    </w:p>
    <w:p>
      <w:pPr>
        <w:pStyle w:val="BodyText"/>
        <w:spacing w:before="6"/>
        <w:rPr>
          <w:i/>
          <w:sz w:val="29"/>
        </w:rPr>
      </w:pPr>
    </w:p>
    <w:p>
      <w:pPr>
        <w:spacing w:before="100"/>
        <w:ind w:left="1958" w:right="6086" w:hanging="1404"/>
        <w:jc w:val="left"/>
        <w:rPr>
          <w:sz w:val="18"/>
        </w:rPr>
      </w:pPr>
      <w:r>
        <w:rPr/>
        <w:pict>
          <v:group style="position:absolute;margin-left:70.525002pt;margin-top:-22.402048pt;width:472.55pt;height:586.65pt;mso-position-horizontal-relative:page;mso-position-vertical-relative:paragraph;z-index:-167608" coordorigin="1411,-448" coordsize="9451,11733">
            <v:shape style="position:absolute;left:6602;top:-221;width:1287;height:10611" coordorigin="6602,-221" coordsize="1287,10611" path="m6602,-221l6602,-19m6602,420l6602,1042m6602,1702l6602,2102m6602,2762l6602,3163m6602,3823l6602,4445m6602,4884l6602,5285m6602,5945l6602,7406m6602,8069l6602,8467m6602,9130l6602,9530m6602,10190l6602,10390m7246,9749l7246,9970m7246,10190l7246,10390m7889,9130l7889,9970m7889,10190l7889,10390e" filled="false" stroked="true" strokeweight=".75pt" strokecolor="#d9d9d9">
              <v:path arrowok="t"/>
              <v:stroke dashstyle="solid"/>
            </v:shape>
            <v:rect style="position:absolute;left:5960;top:9969;width:2118;height:221" filled="true" fillcolor="#791717" stroked="false">
              <v:fill type="solid"/>
            </v:rect>
            <v:shape style="position:absolute;left:7245;top:5944;width:2573;height:4446" coordorigin="7246,5945" coordsize="2573,4446" path="m7246,9130l7246,9530m8532,9130l8532,10390m9175,8688l9175,8909m9175,9130l9175,10390m9818,5945l9818,10390e" filled="false" stroked="true" strokeweight=".75pt" strokecolor="#d9d9d9">
              <v:path arrowok="t"/>
              <v:stroke dashstyle="solid"/>
            </v:shape>
            <v:rect style="position:absolute;left:5960;top:8908;width:3858;height:221" filled="true" fillcolor="#791717" stroked="false">
              <v:fill type="solid"/>
            </v:rect>
            <v:shape style="position:absolute;left:7245;top:7848;width:1287;height:620" coordorigin="7246,7848" coordsize="1287,620" path="m7246,8069l7246,8467m7889,8069l7889,8467m8532,7848l8532,8467e" filled="false" stroked="true" strokeweight=".75pt" strokecolor="#d9d9d9">
              <v:path arrowok="t"/>
              <v:stroke dashstyle="solid"/>
            </v:shape>
            <v:shape style="position:absolute;left:5960;top:6787;width:2495;height:1282" coordorigin="5961,6787" coordsize="2495,1282" path="m6338,6787l5961,6787,5961,7006,6338,7006,6338,6787m8455,7848l5961,7848,5961,8069,8455,8069,8455,7848e" filled="true" fillcolor="#791717" stroked="false">
              <v:path arrowok="t"/>
              <v:fill type="solid"/>
            </v:shape>
            <v:shape style="position:absolute;left:7245;top:-221;width:2573;height:7627" coordorigin="7246,-221" coordsize="2573,7627" path="m7246,5945l7246,7406m7889,5945l7889,7406m8532,5945l8532,7406m9175,5506l9175,5726m9175,5945l9175,7406m9818,-221l9818,5726e" filled="false" stroked="true" strokeweight=".75pt" strokecolor="#d9d9d9">
              <v:path arrowok="t"/>
              <v:stroke dashstyle="solid"/>
            </v:shape>
            <v:shape style="position:absolute;left:5960;top:4663;width:4084;height:1282" coordorigin="5961,4663" coordsize="4084,1282" path="m6869,4663l5961,4663,5961,4884,6869,4884,6869,4663m10044,5726l5961,5726,5961,5945,10044,5945,10044,5726e" filled="true" fillcolor="#791717" stroked="false">
              <v:path arrowok="t"/>
              <v:fill type="solid"/>
            </v:shape>
            <v:line style="position:absolute" from="7246,3602" to="7246,4445" stroked="true" strokeweight=".75pt" strokecolor="#d9d9d9">
              <v:stroke dashstyle="solid"/>
            </v:line>
            <v:rect style="position:absolute;left:5960;top:3602;width:1285;height:221" filled="true" fillcolor="#791717" stroked="false">
              <v:fill type="solid"/>
            </v:rect>
            <v:shape style="position:absolute;left:7245;top:2762;width:1287;height:2523" coordorigin="7246,2762" coordsize="1287,2523" path="m7246,2762l7246,3163m7889,2762l7889,3384m8532,2762l8532,5285e" filled="false" stroked="true" strokeweight=".75pt" strokecolor="#d9d9d9">
              <v:path arrowok="t"/>
              <v:stroke dashstyle="solid"/>
            </v:shape>
            <v:shape style="position:absolute;left:5960;top:420;width:2723;height:2343" coordorigin="5961,420" coordsize="2723,2343" path="m6415,420l5961,420,5961,641,6415,641,6415,420m6943,1481l5961,1481,5961,1702,6943,1702,6943,1481m8683,2542l5961,2542,5961,2762,8683,2762,8683,2542e" filled="true" fillcolor="#791717" stroked="false">
              <v:path arrowok="t"/>
              <v:fill type="solid"/>
            </v:shape>
            <v:shape style="position:absolute;left:5960;top:8688;width:3073;height:1282" coordorigin="5961,8688" coordsize="3073,1282" path="m7078,9749l5961,9749,5961,9970,7078,9970,7078,9749m9034,8688l5961,8688,5961,8909,9034,8909,9034,8688e" filled="true" fillcolor="#a21f1f" stroked="false">
              <v:path arrowok="t"/>
              <v:fill type="solid"/>
            </v:shape>
            <v:line style="position:absolute" from="9175,7848" to="9175,8467" stroked="true" strokeweight=".75pt" strokecolor="#d9d9d9">
              <v:stroke dashstyle="solid"/>
            </v:line>
            <v:shape style="position:absolute;left:5960;top:5505;width:3633;height:2343" coordorigin="5961,5506" coordsize="3633,2343" path="m8755,5506l5961,5506,5961,5726,8755,5726,8755,5506m9593,7627l5961,7627,5961,7848,9593,7848,9593,7627e" filled="true" fillcolor="#a21f1f" stroked="false">
              <v:path arrowok="t"/>
              <v:fill type="solid"/>
            </v:shape>
            <v:line style="position:absolute" from="7246,4663" to="7246,5285" stroked="true" strokeweight=".75pt" strokecolor="#d9d9d9">
              <v:stroke dashstyle="solid"/>
            </v:line>
            <v:rect style="position:absolute;left:5960;top:4444;width:1398;height:219" filled="true" fillcolor="#a21f1f" stroked="false">
              <v:fill type="solid"/>
            </v:rect>
            <v:line style="position:absolute" from="7889,3602" to="7889,5285" stroked="true" strokeweight=".75pt" strokecolor="#d9d9d9">
              <v:stroke dashstyle="solid"/>
            </v:line>
            <v:shape style="position:absolute;left:5960;top:2320;width:3073;height:1282" coordorigin="5961,2321" coordsize="3073,1282" path="m7918,3384l5961,3384,5961,3602,7918,3602,7918,3384m9034,2321l5961,2321,5961,2542,9034,2542,9034,2321e" filled="true" fillcolor="#a21f1f" stroked="false">
              <v:path arrowok="t"/>
              <v:fill type="solid"/>
            </v:shape>
            <v:shape style="position:absolute;left:7245;top:-221;width:2;height:2323" coordorigin="7246,-221" coordsize="0,2323" path="m7246,-221l7246,1260m7246,1481l7246,2102e" filled="false" stroked="true" strokeweight=".75pt" strokecolor="#d9d9d9">
              <v:path arrowok="t"/>
              <v:stroke dashstyle="solid"/>
            </v:shape>
            <v:shape style="position:absolute;left:5960;top:199;width:1398;height:1282" coordorigin="5961,199" coordsize="1398,1282" path="m6799,199l5961,199,5961,420,6799,420,6799,199m7358,1260l5961,1260,5961,1481,7358,1481,7358,1260e" filled="true" fillcolor="#a21f1f" stroked="false">
              <v:path arrowok="t"/>
              <v:fill type="solid"/>
            </v:shape>
            <v:shape style="position:absolute;left:5960;top:6345;width:3712;height:3404" coordorigin="5961,6346" coordsize="3712,3404" path="m6595,6346l5961,6346,5961,6566,6595,6566,6595,6346m7409,9530l5961,9530,5961,9749,7409,9749,7409,9530m9492,8467l5961,8467,5961,8688,9492,8688,9492,8467m9672,7406l5961,7406,5961,7627,9672,7627,9672,7406e" filled="true" fillcolor="#bd8686" stroked="false">
              <v:path arrowok="t"/>
              <v:fill type="solid"/>
            </v:shape>
            <v:line style="position:absolute" from="9175,-221" to="9175,5285" stroked="true" strokeweight=".75pt" strokecolor="#d9d9d9">
              <v:stroke dashstyle="solid"/>
            </v:line>
            <v:shape style="position:absolute;left:5960;top:3163;width:3349;height:2343" coordorigin="5961,3163" coordsize="3349,2343" path="m6322,4224l5961,4224,5961,4445,6322,4445,6322,4224m7318,3163l5961,3163,5961,3384,7318,3384,7318,3163m9310,5285l5961,5285,5961,5506,9310,5506,9310,5285e" filled="true" fillcolor="#bd8686" stroked="false">
              <v:path arrowok="t"/>
              <v:fill type="solid"/>
            </v:shape>
            <v:shape style="position:absolute;left:7888;top:-221;width:644;height:2323" coordorigin="7889,-221" coordsize="644,2323" path="m7889,-221l7889,2102m8532,-221l8532,2102e" filled="false" stroked="true" strokeweight=".75pt" strokecolor="#d9d9d9">
              <v:path arrowok="t"/>
              <v:stroke dashstyle="solid"/>
            </v:shape>
            <v:shape style="position:absolute;left:5960;top:-20;width:2716;height:2340" coordorigin="5961,-19" coordsize="2716,2340" path="m6866,-19l5961,-19,5961,199,6866,199,6866,-19m7229,1042l5961,1042,5961,1260,7229,1260,7229,1042m8676,2102l5961,2102,5961,2321,8676,2321,8676,2102e" filled="true" fillcolor="#bd8686" stroked="false">
              <v:path arrowok="t"/>
              <v:fill type="solid"/>
            </v:shape>
            <v:shape style="position:absolute;left:5960;top:-221;width:4500;height:10611" coordorigin="5961,-221" coordsize="4500,10611" path="m5961,10390l5961,-221m10460,-221l10460,10390e" filled="false" stroked="true" strokeweight=".75pt" strokecolor="#d9d9d9">
              <v:path arrowok="t"/>
              <v:stroke dashstyle="solid"/>
            </v:shape>
            <v:rect style="position:absolute;left:3020;top:10949;width:93;height:93" filled="true" fillcolor="#bd8686" stroked="false">
              <v:fill type="solid"/>
            </v:rect>
            <v:rect style="position:absolute;left:5383;top:10949;width:93;height:93" filled="true" fillcolor="#a21f1f" stroked="false">
              <v:fill type="solid"/>
            </v:rect>
            <v:rect style="position:absolute;left:7478;top:10949;width:93;height:93" filled="true" fillcolor="#791717" stroked="false">
              <v:fill type="solid"/>
            </v:rect>
            <v:rect style="position:absolute;left:1418;top:-441;width:9436;height:11718" filled="false" stroked="true" strokeweight=".75pt" strokecolor="#d9d9d9">
              <v:stroke dashstyle="solid"/>
            </v:rect>
            <w10:wrap type="none"/>
          </v:group>
        </w:pict>
      </w:r>
      <w:r>
        <w:rPr>
          <w:color w:val="585858"/>
          <w:sz w:val="18"/>
        </w:rPr>
        <w:t>Bedre adgang til kompetencer med indsigt i data (fx dataanalytikere)</w:t>
      </w:r>
    </w:p>
    <w:p>
      <w:pPr>
        <w:pStyle w:val="BodyText"/>
      </w:pPr>
    </w:p>
    <w:p>
      <w:pPr>
        <w:pStyle w:val="BodyText"/>
        <w:spacing w:before="6"/>
        <w:rPr>
          <w:sz w:val="28"/>
        </w:rPr>
      </w:pPr>
    </w:p>
    <w:p>
      <w:pPr>
        <w:spacing w:before="101"/>
        <w:ind w:left="588" w:right="6085" w:firstLine="217"/>
        <w:jc w:val="left"/>
        <w:rPr>
          <w:sz w:val="18"/>
        </w:rPr>
      </w:pPr>
      <w:r>
        <w:rPr>
          <w:color w:val="585858"/>
          <w:sz w:val="18"/>
        </w:rPr>
        <w:t>Mulighed for én fælles indgang til angivelse af fejlrettelser og forbedringsforslag til de frie geodata</w:t>
      </w:r>
    </w:p>
    <w:p>
      <w:pPr>
        <w:pStyle w:val="BodyText"/>
      </w:pPr>
    </w:p>
    <w:p>
      <w:pPr>
        <w:pStyle w:val="BodyText"/>
        <w:spacing w:before="6"/>
        <w:rPr>
          <w:sz w:val="28"/>
        </w:rPr>
      </w:pPr>
    </w:p>
    <w:p>
      <w:pPr>
        <w:spacing w:before="101"/>
        <w:ind w:left="1312" w:right="6086" w:hanging="767"/>
        <w:jc w:val="left"/>
        <w:rPr>
          <w:sz w:val="18"/>
        </w:rPr>
      </w:pPr>
      <w:r>
        <w:rPr>
          <w:color w:val="585858"/>
          <w:sz w:val="18"/>
        </w:rPr>
        <w:t>Højere kvalitet af de frie geodata (komplette, valide, aktuelle, konsistente og præcise)</w:t>
      </w:r>
    </w:p>
    <w:p>
      <w:pPr>
        <w:pStyle w:val="BodyText"/>
      </w:pPr>
    </w:p>
    <w:p>
      <w:pPr>
        <w:pStyle w:val="BodyText"/>
        <w:spacing w:before="6"/>
        <w:rPr>
          <w:sz w:val="28"/>
        </w:rPr>
      </w:pPr>
    </w:p>
    <w:p>
      <w:pPr>
        <w:spacing w:before="100"/>
        <w:ind w:left="946" w:right="6086" w:firstLine="135"/>
        <w:jc w:val="left"/>
        <w:rPr>
          <w:sz w:val="18"/>
        </w:rPr>
      </w:pPr>
      <w:r>
        <w:rPr>
          <w:color w:val="585858"/>
          <w:sz w:val="18"/>
        </w:rPr>
        <w:t>Øget adgang til information og sparring om mulighederne for anvendelse af de frie</w:t>
      </w:r>
      <w:r>
        <w:rPr>
          <w:color w:val="585858"/>
          <w:spacing w:val="-17"/>
          <w:sz w:val="18"/>
        </w:rPr>
        <w:t> </w:t>
      </w:r>
      <w:r>
        <w:rPr>
          <w:color w:val="585858"/>
          <w:sz w:val="18"/>
        </w:rPr>
        <w:t>geodata</w:t>
      </w:r>
    </w:p>
    <w:p>
      <w:pPr>
        <w:pStyle w:val="BodyText"/>
      </w:pPr>
    </w:p>
    <w:p>
      <w:pPr>
        <w:pStyle w:val="BodyText"/>
        <w:spacing w:before="7"/>
        <w:rPr>
          <w:sz w:val="28"/>
        </w:rPr>
      </w:pPr>
    </w:p>
    <w:p>
      <w:pPr>
        <w:spacing w:before="100"/>
        <w:ind w:left="847" w:right="6089" w:firstLine="3"/>
        <w:jc w:val="left"/>
        <w:rPr>
          <w:sz w:val="18"/>
        </w:rPr>
      </w:pPr>
      <w:r>
        <w:rPr>
          <w:color w:val="585858"/>
          <w:sz w:val="18"/>
        </w:rPr>
        <w:t>Mere information om grunddataprogrammet og datafordelerens indflydelse på de frie</w:t>
      </w:r>
      <w:r>
        <w:rPr>
          <w:color w:val="585858"/>
          <w:spacing w:val="-26"/>
          <w:sz w:val="18"/>
        </w:rPr>
        <w:t> </w:t>
      </w:r>
      <w:r>
        <w:rPr>
          <w:color w:val="585858"/>
          <w:sz w:val="18"/>
        </w:rPr>
        <w:t>grunddata</w:t>
      </w:r>
    </w:p>
    <w:p>
      <w:pPr>
        <w:pStyle w:val="BodyText"/>
      </w:pPr>
    </w:p>
    <w:p>
      <w:pPr>
        <w:pStyle w:val="BodyText"/>
      </w:pPr>
    </w:p>
    <w:p>
      <w:pPr>
        <w:pStyle w:val="BodyText"/>
        <w:spacing w:before="7"/>
        <w:rPr>
          <w:sz w:val="17"/>
        </w:rPr>
      </w:pPr>
    </w:p>
    <w:p>
      <w:pPr>
        <w:spacing w:before="100"/>
        <w:ind w:left="1087" w:right="0" w:firstLine="0"/>
        <w:jc w:val="left"/>
        <w:rPr>
          <w:sz w:val="18"/>
        </w:rPr>
      </w:pPr>
      <w:r>
        <w:rPr>
          <w:color w:val="585858"/>
          <w:sz w:val="18"/>
        </w:rPr>
        <w:t>Udvidelse af de frie geodata med nye</w:t>
      </w:r>
      <w:r>
        <w:rPr>
          <w:color w:val="585858"/>
          <w:spacing w:val="-15"/>
          <w:sz w:val="18"/>
        </w:rPr>
        <w:t> </w:t>
      </w:r>
      <w:r>
        <w:rPr>
          <w:color w:val="585858"/>
          <w:sz w:val="18"/>
        </w:rPr>
        <w:t>datasæt</w:t>
      </w:r>
    </w:p>
    <w:p>
      <w:pPr>
        <w:pStyle w:val="BodyText"/>
      </w:pPr>
    </w:p>
    <w:p>
      <w:pPr>
        <w:pStyle w:val="BodyText"/>
        <w:spacing w:before="6"/>
        <w:rPr>
          <w:sz w:val="19"/>
        </w:rPr>
      </w:pPr>
    </w:p>
    <w:p>
      <w:pPr>
        <w:spacing w:before="100"/>
        <w:ind w:left="408" w:right="6101" w:hanging="2"/>
        <w:jc w:val="center"/>
        <w:rPr>
          <w:sz w:val="18"/>
        </w:rPr>
      </w:pPr>
      <w:r>
        <w:rPr>
          <w:color w:val="585858"/>
          <w:sz w:val="18"/>
        </w:rPr>
        <w:t>Øget indsigt i lovmæssige begrænsninger og muligheder for sammenstilling af de frie geodata med øvrige offentlige data (fx den nye EU- persondataforordning)</w:t>
      </w:r>
    </w:p>
    <w:p>
      <w:pPr>
        <w:pStyle w:val="BodyText"/>
        <w:spacing w:before="7"/>
        <w:rPr>
          <w:sz w:val="21"/>
        </w:rPr>
      </w:pPr>
    </w:p>
    <w:p>
      <w:pPr>
        <w:spacing w:before="100"/>
        <w:ind w:left="519" w:right="6101" w:hanging="2"/>
        <w:jc w:val="center"/>
        <w:rPr>
          <w:sz w:val="18"/>
        </w:rPr>
      </w:pPr>
      <w:r>
        <w:rPr>
          <w:color w:val="585858"/>
          <w:sz w:val="18"/>
        </w:rPr>
        <w:t>Standardiserede datamodeller, der letter sammenstillingen af de frie geodata med øvrige data (herunder data fra andre myndigheder)</w:t>
      </w:r>
    </w:p>
    <w:p>
      <w:pPr>
        <w:pStyle w:val="BodyText"/>
      </w:pPr>
    </w:p>
    <w:p>
      <w:pPr>
        <w:pStyle w:val="BodyText"/>
        <w:spacing w:before="5"/>
        <w:rPr>
          <w:sz w:val="19"/>
        </w:rPr>
      </w:pPr>
    </w:p>
    <w:p>
      <w:pPr>
        <w:spacing w:before="0"/>
        <w:ind w:left="422" w:right="6102" w:firstLine="0"/>
        <w:jc w:val="center"/>
        <w:rPr>
          <w:sz w:val="18"/>
        </w:rPr>
      </w:pPr>
      <w:r>
        <w:rPr>
          <w:color w:val="585858"/>
          <w:sz w:val="18"/>
        </w:rPr>
        <w:t>Adgang til "system-til-system"-grænseflader (API’er), der let kan integreres i andre fagsystemer (herunder web- og mobilbaserede systemer)</w:t>
      </w:r>
    </w:p>
    <w:p>
      <w:pPr>
        <w:pStyle w:val="BodyText"/>
      </w:pPr>
    </w:p>
    <w:p>
      <w:pPr>
        <w:pStyle w:val="BodyText"/>
        <w:spacing w:before="6"/>
        <w:rPr>
          <w:sz w:val="19"/>
        </w:rPr>
      </w:pPr>
    </w:p>
    <w:p>
      <w:pPr>
        <w:spacing w:before="101"/>
        <w:ind w:left="1700" w:right="6087" w:hanging="1031"/>
        <w:jc w:val="left"/>
        <w:rPr>
          <w:sz w:val="18"/>
        </w:rPr>
      </w:pPr>
      <w:r>
        <w:rPr>
          <w:color w:val="585858"/>
          <w:sz w:val="18"/>
        </w:rPr>
        <w:t>Bedre dokumentation af de frie geodata (herunder datamodel og metadata)</w:t>
      </w:r>
    </w:p>
    <w:p>
      <w:pPr>
        <w:pStyle w:val="BodyText"/>
      </w:pPr>
    </w:p>
    <w:p>
      <w:pPr>
        <w:pStyle w:val="BodyText"/>
        <w:spacing w:before="10"/>
        <w:rPr>
          <w:sz w:val="18"/>
        </w:rPr>
      </w:pPr>
    </w:p>
    <w:p>
      <w:pPr>
        <w:tabs>
          <w:tab w:pos="5297" w:val="left" w:leader="none"/>
          <w:tab w:pos="5928" w:val="left" w:leader="none"/>
          <w:tab w:pos="6571" w:val="left" w:leader="none"/>
          <w:tab w:pos="7213" w:val="left" w:leader="none"/>
          <w:tab w:pos="7859" w:val="left" w:leader="none"/>
          <w:tab w:pos="8499" w:val="left" w:leader="none"/>
          <w:tab w:pos="9147" w:val="left" w:leader="none"/>
        </w:tabs>
        <w:spacing w:before="0"/>
        <w:ind w:left="4692" w:right="0" w:firstLine="0"/>
        <w:jc w:val="left"/>
        <w:rPr>
          <w:sz w:val="18"/>
        </w:rPr>
      </w:pPr>
      <w:r>
        <w:rPr>
          <w:color w:val="585858"/>
          <w:sz w:val="18"/>
        </w:rPr>
        <w:t>0%</w:t>
        <w:tab/>
        <w:t>10%</w:t>
        <w:tab/>
        <w:t>20%</w:t>
        <w:tab/>
        <w:t>30%</w:t>
        <w:tab/>
        <w:t>40%</w:t>
        <w:tab/>
        <w:t>50%</w:t>
        <w:tab/>
        <w:t>60%</w:t>
        <w:tab/>
        <w:t>70%</w:t>
      </w:r>
    </w:p>
    <w:p>
      <w:pPr>
        <w:pStyle w:val="BodyText"/>
        <w:spacing w:before="1"/>
        <w:rPr>
          <w:sz w:val="16"/>
        </w:rPr>
      </w:pPr>
    </w:p>
    <w:p>
      <w:pPr>
        <w:tabs>
          <w:tab w:pos="4375" w:val="left" w:leader="none"/>
          <w:tab w:pos="6470" w:val="left" w:leader="none"/>
        </w:tabs>
        <w:spacing w:before="0"/>
        <w:ind w:left="2012" w:right="0" w:firstLine="0"/>
        <w:jc w:val="left"/>
        <w:rPr>
          <w:sz w:val="18"/>
        </w:rPr>
      </w:pPr>
      <w:r>
        <w:rPr>
          <w:color w:val="585858"/>
          <w:sz w:val="18"/>
        </w:rPr>
        <w:t>Offentlige</w:t>
      </w:r>
      <w:r>
        <w:rPr>
          <w:color w:val="585858"/>
          <w:spacing w:val="-5"/>
          <w:sz w:val="18"/>
        </w:rPr>
        <w:t> </w:t>
      </w:r>
      <w:r>
        <w:rPr>
          <w:color w:val="585858"/>
          <w:sz w:val="18"/>
        </w:rPr>
        <w:t>myndigheder</w:t>
        <w:tab/>
        <w:t>Forsyningsselskaber</w:t>
        <w:tab/>
        <w:t>Private</w:t>
      </w:r>
      <w:r>
        <w:rPr>
          <w:color w:val="585858"/>
          <w:spacing w:val="1"/>
          <w:sz w:val="18"/>
        </w:rPr>
        <w:t> </w:t>
      </w:r>
      <w:r>
        <w:rPr>
          <w:color w:val="585858"/>
          <w:sz w:val="18"/>
        </w:rPr>
        <w:t>virksomheder</w:t>
      </w:r>
    </w:p>
    <w:p>
      <w:pPr>
        <w:pStyle w:val="BodyText"/>
        <w:rPr>
          <w:sz w:val="19"/>
        </w:rPr>
      </w:pPr>
    </w:p>
    <w:p>
      <w:pPr>
        <w:spacing w:before="100"/>
        <w:ind w:left="278" w:right="0" w:firstLine="0"/>
        <w:jc w:val="left"/>
        <w:rPr>
          <w:i/>
          <w:sz w:val="18"/>
        </w:rPr>
      </w:pPr>
      <w:r>
        <w:rPr>
          <w:b/>
          <w:i/>
          <w:color w:val="A21F1F"/>
          <w:sz w:val="18"/>
        </w:rPr>
        <w:t>Kilde: </w:t>
      </w:r>
      <w:r>
        <w:rPr>
          <w:i/>
          <w:color w:val="A21F1F"/>
          <w:sz w:val="18"/>
        </w:rPr>
        <w:t>Spørgeskemaundersøgelse blandt offentlige brugere, private virksomheder og forsyningsselskaber</w:t>
      </w:r>
    </w:p>
    <w:p>
      <w:pPr>
        <w:spacing w:before="119"/>
        <w:ind w:left="278" w:right="0" w:firstLine="0"/>
        <w:jc w:val="left"/>
        <w:rPr>
          <w:i/>
          <w:sz w:val="18"/>
        </w:rPr>
      </w:pPr>
      <w:r>
        <w:rPr>
          <w:b/>
          <w:i/>
          <w:color w:val="A21F1F"/>
          <w:sz w:val="18"/>
        </w:rPr>
        <w:t>N: </w:t>
      </w:r>
      <w:r>
        <w:rPr>
          <w:i/>
          <w:color w:val="A21F1F"/>
          <w:sz w:val="18"/>
        </w:rPr>
        <w:t>Offentlige brugere: 71, private virksomheder: 85 og forsyningsselskaber: 23</w:t>
      </w:r>
    </w:p>
    <w:p>
      <w:pPr>
        <w:spacing w:before="120"/>
        <w:ind w:left="278" w:right="0" w:firstLine="0"/>
        <w:jc w:val="left"/>
        <w:rPr>
          <w:i/>
          <w:sz w:val="18"/>
        </w:rPr>
      </w:pPr>
      <w:r>
        <w:rPr>
          <w:b/>
          <w:i/>
          <w:color w:val="A21F1F"/>
          <w:sz w:val="18"/>
        </w:rPr>
        <w:t>Note: </w:t>
      </w:r>
      <w:r>
        <w:rPr>
          <w:i/>
          <w:color w:val="A21F1F"/>
          <w:sz w:val="18"/>
        </w:rPr>
        <w:t>Det har været muligt for de adspurgte at angive i alt tre barrierer</w:t>
      </w:r>
    </w:p>
    <w:p>
      <w:pPr>
        <w:spacing w:after="0"/>
        <w:jc w:val="left"/>
        <w:rPr>
          <w:sz w:val="18"/>
        </w:rPr>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Standardiserede datamodeller med henblik på at øge sammenhængen mellem de frie geodata og andre</w:t>
      </w:r>
    </w:p>
    <w:p>
      <w:pPr>
        <w:pStyle w:val="BodyText"/>
        <w:spacing w:line="360" w:lineRule="auto" w:before="114"/>
        <w:ind w:left="278" w:right="1159"/>
      </w:pPr>
      <w:r>
        <w:rPr/>
        <w:t>datadomæner efterspørges ligeledes af alle tre sektorer, dog især blandt offentlige myndigheder og forsyningsvirksomheder. Grunddataprogrammet er et glimrende eksempel på, at man allerede er godt i gang med at standardisere inden for grunddatadomænet, netop for at mindske barriererne for anvendelse af data på tværs af forskellige domæner</w:t>
      </w:r>
      <w:r>
        <w:rPr>
          <w:position w:val="5"/>
          <w:sz w:val="13"/>
        </w:rPr>
        <w:t>8</w:t>
      </w:r>
      <w:r>
        <w:rPr/>
        <w:t>. Bisbase gav under interviews i forbindelse med case- undersøgelsen vedrørende bankers brancheanalyser udtryk for, at de havde lagt mange ressourcer i at forstå sammenhængen mellem de frie regnskabsdata og de frie geodata, så begge datadomæner kunne implementeres og skabe værdi i deres løsning.</w:t>
      </w:r>
    </w:p>
    <w:p>
      <w:pPr>
        <w:pStyle w:val="BodyText"/>
        <w:rPr>
          <w:sz w:val="21"/>
        </w:rPr>
      </w:pPr>
    </w:p>
    <w:p>
      <w:pPr>
        <w:pStyle w:val="BodyText"/>
        <w:spacing w:line="360" w:lineRule="auto" w:before="1"/>
        <w:ind w:left="278" w:right="995"/>
      </w:pPr>
      <w:r>
        <w:rPr/>
        <w:t>Øget adgang til system-til-system grænseflader (API’er og webservices), der let kan integreres i forskellige fagsystemer, er ligeledes identificeret af alle tre sektorer som et initiativ, der kan være med til at nedbryde barrierer for anvendelse af de frie geodata. Kortforsyningen har en lang tradition for at udstille API’er, herunder forskellige OGC-standardiserede webservices, såsom WMS og WFS, samt en række REST- services, såsom Geokeys. Den kommende fællesoffentlige datafordeler fortsætter med at udbyde en lang række webservices, baseret på samme standarder, dog med et væsentlig større udbud af grunddata end Kortforsyningen, som udelukkende distribuerer de frie geodata. Datafordeleren er p.t. endnu kun i ”pilot- drift”</w:t>
      </w:r>
      <w:r>
        <w:rPr>
          <w:position w:val="5"/>
          <w:sz w:val="13"/>
        </w:rPr>
        <w:t>9</w:t>
      </w:r>
      <w:r>
        <w:rPr/>
        <w:t>, og det er endnu for tidligt at vurdere, hvorvidt udbuddet af webservices herfra er tilstrækkeligt til at nedbryde de identificerede barrierer, eller om der er behov for at udvide udbuddet af webservices og/eller distributionsteknologier.</w:t>
      </w:r>
    </w:p>
    <w:p>
      <w:pPr>
        <w:pStyle w:val="BodyText"/>
        <w:spacing w:before="1"/>
        <w:rPr>
          <w:sz w:val="21"/>
        </w:rPr>
      </w:pPr>
    </w:p>
    <w:p>
      <w:pPr>
        <w:pStyle w:val="Heading3"/>
        <w:numPr>
          <w:ilvl w:val="2"/>
          <w:numId w:val="37"/>
        </w:numPr>
        <w:tabs>
          <w:tab w:pos="999" w:val="left" w:leader="none"/>
        </w:tabs>
        <w:spacing w:line="240" w:lineRule="auto" w:before="0" w:after="0"/>
        <w:ind w:left="998" w:right="0" w:hanging="720"/>
        <w:jc w:val="left"/>
        <w:rPr>
          <w:i/>
        </w:rPr>
      </w:pPr>
      <w:bookmarkStart w:name="_bookmark118" w:id="166"/>
      <w:bookmarkEnd w:id="166"/>
      <w:r>
        <w:rPr>
          <w:i w:val="0"/>
        </w:rPr>
      </w:r>
      <w:bookmarkStart w:name="_bookmark118" w:id="167"/>
      <w:bookmarkEnd w:id="167"/>
      <w:r>
        <w:rPr>
          <w:i/>
          <w:color w:val="A21F1F"/>
        </w:rPr>
        <w:t>S</w:t>
      </w:r>
      <w:r>
        <w:rPr>
          <w:i/>
          <w:color w:val="A21F1F"/>
        </w:rPr>
        <w:t>ærlige barrierer i den private</w:t>
      </w:r>
      <w:r>
        <w:rPr>
          <w:i/>
          <w:color w:val="A21F1F"/>
          <w:spacing w:val="-7"/>
        </w:rPr>
        <w:t> </w:t>
      </w:r>
      <w:r>
        <w:rPr>
          <w:i/>
          <w:color w:val="A21F1F"/>
        </w:rPr>
        <w:t>sektor</w:t>
      </w:r>
    </w:p>
    <w:p>
      <w:pPr>
        <w:pStyle w:val="BodyText"/>
        <w:spacing w:line="360" w:lineRule="auto" w:before="241"/>
        <w:ind w:left="278" w:right="1166"/>
      </w:pPr>
      <w:r>
        <w:rPr/>
        <w:t>Nedenstående </w:t>
      </w:r>
      <w:hyperlink w:history="true" w:anchor="_bookmark119">
        <w:r>
          <w:rPr/>
          <w:t>Figur 67 </w:t>
        </w:r>
      </w:hyperlink>
      <w:r>
        <w:rPr/>
        <w:t>viser, at der blandt de private virksomheder og forsyningsselskaberne er identificeret fire overordnede typer af barrierer for øget anvendelse af de frie geodata:</w:t>
      </w:r>
    </w:p>
    <w:p>
      <w:pPr>
        <w:pStyle w:val="BodyText"/>
        <w:spacing w:before="1"/>
        <w:rPr>
          <w:sz w:val="21"/>
        </w:rPr>
      </w:pPr>
    </w:p>
    <w:p>
      <w:pPr>
        <w:pStyle w:val="ListParagraph"/>
        <w:numPr>
          <w:ilvl w:val="3"/>
          <w:numId w:val="37"/>
        </w:numPr>
        <w:tabs>
          <w:tab w:pos="998" w:val="left" w:leader="none"/>
          <w:tab w:pos="999" w:val="left" w:leader="none"/>
        </w:tabs>
        <w:spacing w:line="240" w:lineRule="auto" w:before="0" w:after="0"/>
        <w:ind w:left="998" w:right="0" w:hanging="360"/>
        <w:jc w:val="left"/>
        <w:rPr>
          <w:sz w:val="20"/>
        </w:rPr>
      </w:pPr>
      <w:r>
        <w:rPr>
          <w:sz w:val="20"/>
        </w:rPr>
        <w:t>Tekniske</w:t>
      </w:r>
      <w:r>
        <w:rPr>
          <w:spacing w:val="-2"/>
          <w:sz w:val="20"/>
        </w:rPr>
        <w:t> </w:t>
      </w:r>
      <w:r>
        <w:rPr>
          <w:sz w:val="20"/>
        </w:rPr>
        <w:t>udfordringer</w:t>
      </w:r>
    </w:p>
    <w:p>
      <w:pPr>
        <w:pStyle w:val="ListParagraph"/>
        <w:numPr>
          <w:ilvl w:val="3"/>
          <w:numId w:val="37"/>
        </w:numPr>
        <w:tabs>
          <w:tab w:pos="998" w:val="left" w:leader="none"/>
          <w:tab w:pos="999" w:val="left" w:leader="none"/>
        </w:tabs>
        <w:spacing w:line="240" w:lineRule="auto" w:before="115" w:after="0"/>
        <w:ind w:left="998" w:right="0" w:hanging="360"/>
        <w:jc w:val="left"/>
        <w:rPr>
          <w:sz w:val="20"/>
        </w:rPr>
      </w:pPr>
      <w:r>
        <w:rPr>
          <w:sz w:val="20"/>
        </w:rPr>
        <w:t>Usikkerhed vedrørende det fremadrettede</w:t>
      </w:r>
      <w:r>
        <w:rPr>
          <w:spacing w:val="-1"/>
          <w:sz w:val="20"/>
        </w:rPr>
        <w:t> </w:t>
      </w:r>
      <w:r>
        <w:rPr>
          <w:sz w:val="20"/>
        </w:rPr>
        <w:t>markedspotentiale</w:t>
      </w:r>
    </w:p>
    <w:p>
      <w:pPr>
        <w:pStyle w:val="ListParagraph"/>
        <w:numPr>
          <w:ilvl w:val="3"/>
          <w:numId w:val="37"/>
        </w:numPr>
        <w:tabs>
          <w:tab w:pos="998" w:val="left" w:leader="none"/>
          <w:tab w:pos="999" w:val="left" w:leader="none"/>
        </w:tabs>
        <w:spacing w:line="240" w:lineRule="auto" w:before="112" w:after="0"/>
        <w:ind w:left="998" w:right="0" w:hanging="360"/>
        <w:jc w:val="left"/>
        <w:rPr>
          <w:sz w:val="20"/>
        </w:rPr>
      </w:pPr>
      <w:r>
        <w:rPr>
          <w:sz w:val="20"/>
        </w:rPr>
        <w:t>De frie geodatas kvalitet og geografisk</w:t>
      </w:r>
      <w:r>
        <w:rPr>
          <w:spacing w:val="-2"/>
          <w:sz w:val="20"/>
        </w:rPr>
        <w:t> </w:t>
      </w:r>
      <w:r>
        <w:rPr>
          <w:sz w:val="20"/>
        </w:rPr>
        <w:t>rækkevidde</w:t>
      </w:r>
    </w:p>
    <w:p>
      <w:pPr>
        <w:pStyle w:val="ListParagraph"/>
        <w:numPr>
          <w:ilvl w:val="3"/>
          <w:numId w:val="37"/>
        </w:numPr>
        <w:tabs>
          <w:tab w:pos="998" w:val="left" w:leader="none"/>
          <w:tab w:pos="999" w:val="left" w:leader="none"/>
        </w:tabs>
        <w:spacing w:line="240" w:lineRule="auto" w:before="113" w:after="0"/>
        <w:ind w:left="998" w:right="0" w:hanging="360"/>
        <w:jc w:val="left"/>
        <w:rPr>
          <w:sz w:val="20"/>
        </w:rPr>
      </w:pPr>
      <w:r>
        <w:rPr>
          <w:sz w:val="20"/>
        </w:rPr>
        <w:t>Usikkerhed vedrørende rækkevidden af offentlige myndigheders</w:t>
      </w:r>
      <w:r>
        <w:rPr>
          <w:spacing w:val="-2"/>
          <w:sz w:val="20"/>
        </w:rPr>
        <w:t> </w:t>
      </w:r>
      <w:r>
        <w:rPr>
          <w:sz w:val="20"/>
        </w:rPr>
        <w:t>rolle.</w:t>
      </w:r>
    </w:p>
    <w:p>
      <w:pPr>
        <w:pStyle w:val="BodyText"/>
        <w:spacing w:before="8"/>
        <w:rPr>
          <w:sz w:val="27"/>
        </w:rPr>
      </w:pPr>
    </w:p>
    <w:p>
      <w:pPr>
        <w:pStyle w:val="BodyText"/>
        <w:spacing w:line="360" w:lineRule="auto"/>
        <w:ind w:left="278" w:right="1070"/>
      </w:pPr>
      <w:r>
        <w:rPr/>
        <w:t>For så vidt angår de tekniske udfordringer, peger begge brugergrupper på, at manglende brugervenlighed og systemustabilitet i Kortforsyningen udgør en barriere for deres anvendelse af de frie geodata. Det er dog ikke en barriere, der er blevet bekræftet i case-undersøgelserne. Dog har de deltagende interviewede virksomheder tilkendegivet, at det kræver specialistkompetencer at anvende de frie geodata.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9"/>
        </w:rPr>
      </w:pPr>
      <w:r>
        <w:rPr/>
        <w:pict>
          <v:line style="position:absolute;mso-position-horizontal-relative:page;mso-position-vertical-relative:paragraph;z-index:12872;mso-wrap-distance-left:0;mso-wrap-distance-right:0" from="70.944pt,19.115679pt" to="214.964pt,19.115679pt" stroked="true" strokeweight=".48004pt" strokecolor="#000000">
            <v:stroke dashstyle="solid"/>
            <w10:wrap type="topAndBottom"/>
          </v:line>
        </w:pict>
      </w:r>
    </w:p>
    <w:p>
      <w:pPr>
        <w:pStyle w:val="BodyText"/>
        <w:spacing w:before="61"/>
        <w:ind w:left="278"/>
      </w:pPr>
      <w:r>
        <w:rPr>
          <w:position w:val="5"/>
          <w:sz w:val="13"/>
        </w:rPr>
        <w:t>8 </w:t>
      </w:r>
      <w:hyperlink r:id="rId10">
        <w:r>
          <w:rPr/>
          <w:t>www.grunddata.dk</w:t>
        </w:r>
      </w:hyperlink>
    </w:p>
    <w:p>
      <w:pPr>
        <w:pStyle w:val="BodyText"/>
        <w:ind w:left="278"/>
      </w:pPr>
      <w:r>
        <w:rPr>
          <w:position w:val="5"/>
          <w:sz w:val="13"/>
        </w:rPr>
        <w:t>9 </w:t>
      </w:r>
      <w:hyperlink r:id="rId45">
        <w:r>
          <w:rPr/>
          <w:t>www.datafordeler.dk</w:t>
        </w:r>
      </w:hyperlink>
    </w:p>
    <w:p>
      <w:pPr>
        <w:spacing w:after="0"/>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spacing w:line="161" w:lineRule="exact" w:before="0"/>
        <w:ind w:left="278" w:right="0" w:firstLine="0"/>
        <w:jc w:val="left"/>
        <w:rPr>
          <w:i/>
          <w:sz w:val="18"/>
        </w:rPr>
      </w:pPr>
      <w:r>
        <w:rPr/>
        <w:pict>
          <v:group style="position:absolute;margin-left:70.525002pt;margin-top:13.775pt;width:468.75pt;height:344.55pt;mso-position-horizontal-relative:page;mso-position-vertical-relative:paragraph;z-index:13208;mso-wrap-distance-left:0;mso-wrap-distance-right:0" coordorigin="1411,275" coordsize="9375,6891">
            <v:rect style="position:absolute;left:1418;top:283;width:9360;height:6876" filled="true" fillcolor="#f1f1f1" stroked="false">
              <v:fill type="solid"/>
            </v:rect>
            <v:shape style="position:absolute;left:5783;top:3180;width:627;height:659" type="#_x0000_t75" stroked="false">
              <v:imagedata r:id="rId46" o:title=""/>
            </v:shape>
            <v:line style="position:absolute" from="6098,2867" to="6475,2989" stroked="true" strokeweight=".75pt" strokecolor="#d9d9d9">
              <v:stroke dashstyle="solid"/>
            </v:line>
            <v:line style="position:absolute" from="6475,2989" to="6710,3313" stroked="true" strokeweight=".75pt" strokecolor="#d9d9d9">
              <v:stroke dashstyle="solid"/>
            </v:line>
            <v:line style="position:absolute" from="6710,3313" to="6710,3709" stroked="true" strokeweight=".75pt" strokecolor="#d9d9d9">
              <v:stroke dashstyle="solid"/>
            </v:line>
            <v:line style="position:absolute" from="6710,3709" to="6475,4031" stroked="true" strokeweight=".75pt" strokecolor="#d9d9d9">
              <v:stroke dashstyle="solid"/>
            </v:line>
            <v:line style="position:absolute" from="6475,4031" to="6098,4156" stroked="true" strokeweight=".75pt" strokecolor="#d9d9d9">
              <v:stroke dashstyle="solid"/>
            </v:line>
            <v:line style="position:absolute" from="6098,4156" to="5719,4031" stroked="true" strokeweight=".75pt" strokecolor="#d9d9d9">
              <v:stroke dashstyle="solid"/>
            </v:line>
            <v:line style="position:absolute" from="5719,4031" to="5486,3709" stroked="true" strokeweight=".75pt" strokecolor="#d9d9d9">
              <v:stroke dashstyle="solid"/>
            </v:line>
            <v:line style="position:absolute" from="5486,3709" to="5486,3313" stroked="true" strokeweight=".75pt" strokecolor="#d9d9d9">
              <v:stroke dashstyle="solid"/>
            </v:line>
            <v:line style="position:absolute" from="5486,3313" to="5719,2989" stroked="true" strokeweight=".75pt" strokecolor="#d9d9d9">
              <v:stroke dashstyle="solid"/>
            </v:line>
            <v:line style="position:absolute" from="5719,2989" to="6098,2867" stroked="true" strokeweight=".75pt" strokecolor="#d9d9d9">
              <v:stroke dashstyle="solid"/>
            </v:line>
            <v:line style="position:absolute" from="6098,2545" to="6665,2730" stroked="true" strokeweight=".75pt" strokecolor="#d9d9d9">
              <v:stroke dashstyle="solid"/>
            </v:line>
            <v:line style="position:absolute" from="6665,2730" to="7015,3212" stroked="true" strokeweight=".75pt" strokecolor="#d9d9d9">
              <v:stroke dashstyle="solid"/>
            </v:line>
            <v:line style="position:absolute" from="7015,3212" to="7015,3810" stroked="true" strokeweight=".75pt" strokecolor="#d9d9d9">
              <v:stroke dashstyle="solid"/>
            </v:line>
            <v:line style="position:absolute" from="7015,3810" to="6665,4292" stroked="true" strokeweight=".75pt" strokecolor="#d9d9d9">
              <v:stroke dashstyle="solid"/>
            </v:line>
            <v:line style="position:absolute" from="6665,4292" to="6098,4477" stroked="true" strokeweight=".75pt" strokecolor="#d9d9d9">
              <v:stroke dashstyle="solid"/>
            </v:line>
            <v:line style="position:absolute" from="6098,4477" to="5530,4292" stroked="true" strokeweight=".75pt" strokecolor="#d9d9d9">
              <v:stroke dashstyle="solid"/>
            </v:line>
            <v:line style="position:absolute" from="5530,4292" to="5179,3810" stroked="true" strokeweight=".75pt" strokecolor="#d9d9d9">
              <v:stroke dashstyle="solid"/>
            </v:line>
            <v:line style="position:absolute" from="5179,3810" to="5179,3212" stroked="true" strokeweight=".75pt" strokecolor="#d9d9d9">
              <v:stroke dashstyle="solid"/>
            </v:line>
            <v:line style="position:absolute" from="5179,3212" to="5530,2730" stroked="true" strokeweight=".75pt" strokecolor="#d9d9d9">
              <v:stroke dashstyle="solid"/>
            </v:line>
            <v:line style="position:absolute" from="5530,2730" to="6098,2545" stroked="true" strokeweight=".75pt" strokecolor="#d9d9d9">
              <v:stroke dashstyle="solid"/>
            </v:line>
            <v:line style="position:absolute" from="6098,2224" to="6854,2468" stroked="true" strokeweight=".75pt" strokecolor="#d9d9d9">
              <v:stroke dashstyle="solid"/>
            </v:line>
            <v:line style="position:absolute" from="6854,2468" to="7322,3114" stroked="true" strokeweight=".75pt" strokecolor="#d9d9d9">
              <v:stroke dashstyle="solid"/>
            </v:line>
            <v:line style="position:absolute" from="7322,3114" to="7322,3908" stroked="true" strokeweight=".75pt" strokecolor="#d9d9d9">
              <v:stroke dashstyle="solid"/>
            </v:line>
            <v:line style="position:absolute" from="7322,3908" to="6854,4552" stroked="true" strokeweight=".75pt" strokecolor="#d9d9d9">
              <v:stroke dashstyle="solid"/>
            </v:line>
            <v:line style="position:absolute" from="6854,4552" to="6098,4799" stroked="true" strokeweight=".75pt" strokecolor="#d9d9d9">
              <v:stroke dashstyle="solid"/>
            </v:line>
            <v:line style="position:absolute" from="6098,4799" to="5342,4552" stroked="true" strokeweight=".75pt" strokecolor="#d9d9d9">
              <v:stroke dashstyle="solid"/>
            </v:line>
            <v:line style="position:absolute" from="5342,4552" to="4874,3908" stroked="true" strokeweight=".75pt" strokecolor="#d9d9d9">
              <v:stroke dashstyle="solid"/>
            </v:line>
            <v:line style="position:absolute" from="4874,3908" to="4874,3114" stroked="true" strokeweight=".75pt" strokecolor="#d9d9d9">
              <v:stroke dashstyle="solid"/>
            </v:line>
            <v:line style="position:absolute" from="4874,3114" to="5342,2468" stroked="true" strokeweight=".75pt" strokecolor="#d9d9d9">
              <v:stroke dashstyle="solid"/>
            </v:line>
            <v:line style="position:absolute" from="5342,2468" to="6098,2224" stroked="true" strokeweight=".75pt" strokecolor="#d9d9d9">
              <v:stroke dashstyle="solid"/>
            </v:line>
            <v:line style="position:absolute" from="6098,1902" to="7044,2209" stroked="true" strokeweight=".75pt" strokecolor="#d9d9d9">
              <v:stroke dashstyle="solid"/>
            </v:line>
            <v:line style="position:absolute" from="7044,2209" to="7627,3013" stroked="true" strokeweight=".75pt" strokecolor="#d9d9d9">
              <v:stroke dashstyle="solid"/>
            </v:line>
            <v:line style="position:absolute" from="7627,3013" to="7627,4009" stroked="true" strokeweight=".75pt" strokecolor="#d9d9d9">
              <v:stroke dashstyle="solid"/>
            </v:line>
            <v:line style="position:absolute" from="7627,4009" to="7044,4813" stroked="true" strokeweight=".75pt" strokecolor="#d9d9d9">
              <v:stroke dashstyle="solid"/>
            </v:line>
            <v:line style="position:absolute" from="7044,4813" to="6098,5120" stroked="true" strokeweight=".75pt" strokecolor="#d9d9d9">
              <v:stroke dashstyle="solid"/>
            </v:line>
            <v:line style="position:absolute" from="6098,5120" to="5153,4813" stroked="true" strokeweight=".75pt" strokecolor="#d9d9d9">
              <v:stroke dashstyle="solid"/>
            </v:line>
            <v:line style="position:absolute" from="5153,4813" to="4567,4009" stroked="true" strokeweight=".75pt" strokecolor="#d9d9d9">
              <v:stroke dashstyle="solid"/>
            </v:line>
            <v:line style="position:absolute" from="4567,4009" to="4567,3013" stroked="true" strokeweight=".75pt" strokecolor="#d9d9d9">
              <v:stroke dashstyle="solid"/>
            </v:line>
            <v:line style="position:absolute" from="4567,3013" to="5153,2209" stroked="true" strokeweight=".75pt" strokecolor="#d9d9d9">
              <v:stroke dashstyle="solid"/>
            </v:line>
            <v:line style="position:absolute" from="5153,2209" to="6098,1902" stroked="true" strokeweight=".75pt" strokecolor="#d9d9d9">
              <v:stroke dashstyle="solid"/>
            </v:line>
            <v:line style="position:absolute" from="6098,1580" to="7234,1950" stroked="true" strokeweight=".75pt" strokecolor="#d9d9d9">
              <v:stroke dashstyle="solid"/>
            </v:line>
            <v:line style="position:absolute" from="7234,1950" to="7934,2915" stroked="true" strokeweight=".75pt" strokecolor="#d9d9d9">
              <v:stroke dashstyle="solid"/>
            </v:line>
            <v:line style="position:absolute" from="7934,2915" to="7934,4108" stroked="true" strokeweight=".75pt" strokecolor="#d9d9d9">
              <v:stroke dashstyle="solid"/>
            </v:line>
            <v:line style="position:absolute" from="7934,4108" to="7234,5072" stroked="true" strokeweight=".75pt" strokecolor="#d9d9d9">
              <v:stroke dashstyle="solid"/>
            </v:line>
            <v:line style="position:absolute" from="7234,5072" to="6098,5442" stroked="true" strokeweight=".75pt" strokecolor="#d9d9d9">
              <v:stroke dashstyle="solid"/>
            </v:line>
            <v:line style="position:absolute" from="6098,5442" to="4963,5072" stroked="true" strokeweight=".75pt" strokecolor="#d9d9d9">
              <v:stroke dashstyle="solid"/>
            </v:line>
            <v:line style="position:absolute" from="4963,5072" to="4262,4108" stroked="true" strokeweight=".75pt" strokecolor="#d9d9d9">
              <v:stroke dashstyle="solid"/>
            </v:line>
            <v:line style="position:absolute" from="4262,4108" to="4262,2915" stroked="true" strokeweight=".75pt" strokecolor="#d9d9d9">
              <v:stroke dashstyle="solid"/>
            </v:line>
            <v:line style="position:absolute" from="4262,2915" to="4963,1950" stroked="true" strokeweight=".75pt" strokecolor="#d9d9d9">
              <v:stroke dashstyle="solid"/>
            </v:line>
            <v:line style="position:absolute" from="4963,1950" to="6098,1580" stroked="true" strokeweight=".75pt" strokecolor="#d9d9d9">
              <v:stroke dashstyle="solid"/>
            </v:line>
            <v:line style="position:absolute" from="6098,1258" to="7423,1688" stroked="true" strokeweight=".75pt" strokecolor="#d9d9d9">
              <v:stroke dashstyle="solid"/>
            </v:line>
            <v:line style="position:absolute" from="7423,1688" to="8240,2814" stroked="true" strokeweight=".75pt" strokecolor="#d9d9d9">
              <v:stroke dashstyle="solid"/>
            </v:line>
            <v:line style="position:absolute" from="8240,2814" to="8240,4206" stroked="true" strokeweight=".75pt" strokecolor="#d9d9d9">
              <v:stroke dashstyle="solid"/>
            </v:line>
            <v:line style="position:absolute" from="8240,4206" to="7423,5334" stroked="true" strokeweight=".75pt" strokecolor="#d9d9d9">
              <v:stroke dashstyle="solid"/>
            </v:line>
            <v:line style="position:absolute" from="7423,5334" to="6098,5763" stroked="true" strokeweight=".75pt" strokecolor="#d9d9d9">
              <v:stroke dashstyle="solid"/>
            </v:line>
            <v:line style="position:absolute" from="6098,5763" to="4774,5334" stroked="true" strokeweight=".75pt" strokecolor="#d9d9d9">
              <v:stroke dashstyle="solid"/>
            </v:line>
            <v:line style="position:absolute" from="4774,5334" to="3956,4206" stroked="true" strokeweight=".75pt" strokecolor="#d9d9d9">
              <v:stroke dashstyle="solid"/>
            </v:line>
            <v:line style="position:absolute" from="3956,4206" to="3956,2814" stroked="true" strokeweight=".75pt" strokecolor="#d9d9d9">
              <v:stroke dashstyle="solid"/>
            </v:line>
            <v:line style="position:absolute" from="3956,2814" to="4774,1688" stroked="true" strokeweight=".75pt" strokecolor="#d9d9d9">
              <v:stroke dashstyle="solid"/>
            </v:line>
            <v:line style="position:absolute" from="4774,1688" to="6098,1258" stroked="true" strokeweight=".75pt" strokecolor="#d9d9d9">
              <v:stroke dashstyle="solid"/>
            </v:line>
            <v:shape style="position:absolute;left:4332;top:1670;width:3519;height:3449" coordorigin="4332,1671" coordsize="3519,3449" path="m5160,2221l6098,1671,7272,1895,7673,2999,7851,4081,7106,4900,6098,5120,5088,4902,4332,4084,4394,2958,5160,2221e" filled="false" stroked="true" strokeweight="2.25pt" strokecolor="#901b1b">
              <v:path arrowok="t"/>
              <v:stroke dashstyle="solid"/>
            </v:shape>
            <v:shape style="position:absolute;left:6040;top:1615;width:116;height:116" type="#_x0000_t75" stroked="false">
              <v:imagedata r:id="rId47" o:title=""/>
            </v:shape>
            <v:shape style="position:absolute;left:7214;top:1838;width:116;height:116" type="#_x0000_t75" stroked="false">
              <v:imagedata r:id="rId48" o:title=""/>
            </v:shape>
            <v:shape style="position:absolute;left:7614;top:2942;width:116;height:116" type="#_x0000_t75" stroked="false">
              <v:imagedata r:id="rId47" o:title=""/>
            </v:shape>
            <v:shape style="position:absolute;left:7792;top:4024;width:116;height:116" type="#_x0000_t75" stroked="false">
              <v:imagedata r:id="rId48" o:title=""/>
            </v:shape>
            <v:shape style="position:absolute;left:7048;top:4843;width:116;height:116" type="#_x0000_t75" stroked="false">
              <v:imagedata r:id="rId48" o:title=""/>
            </v:shape>
            <v:shape style="position:absolute;left:6040;top:5063;width:116;height:116" type="#_x0000_t75" stroked="false">
              <v:imagedata r:id="rId49" o:title=""/>
            </v:shape>
            <v:shape style="position:absolute;left:5030;top:4845;width:116;height:116" type="#_x0000_t75" stroked="false">
              <v:imagedata r:id="rId48" o:title=""/>
            </v:shape>
            <v:shape style="position:absolute;left:4274;top:4027;width:116;height:116" type="#_x0000_t75" stroked="false">
              <v:imagedata r:id="rId48" o:title=""/>
            </v:shape>
            <v:shape style="position:absolute;left:4336;top:2901;width:116;height:116" type="#_x0000_t75" stroked="false">
              <v:imagedata r:id="rId49" o:title=""/>
            </v:shape>
            <v:shape style="position:absolute;left:5102;top:2164;width:116;height:116" type="#_x0000_t75" stroked="false">
              <v:imagedata r:id="rId49" o:title=""/>
            </v:shape>
            <v:shape style="position:absolute;left:4403;top:1459;width:3357;height:3854" coordorigin="4403,1460" coordsize="3357,3854" path="m5342,2468l6098,1460,7303,1852,7759,2970,7750,4048,7044,4813,6098,5313,5482,4360,4403,4062,4781,3083,5342,2468e" filled="false" stroked="true" strokeweight="2.25pt" strokecolor="#bd8686">
              <v:path arrowok="t"/>
              <v:stroke dashstyle="solid"/>
            </v:shape>
            <v:shape style="position:absolute;left:6040;top:1403;width:116;height:116" type="#_x0000_t75" stroked="false">
              <v:imagedata r:id="rId50" o:title=""/>
            </v:shape>
            <v:shape style="position:absolute;left:7245;top:1795;width:116;height:116" type="#_x0000_t75" stroked="false">
              <v:imagedata r:id="rId51" o:title=""/>
            </v:shape>
            <v:shape style="position:absolute;left:7701;top:2913;width:116;height:116" type="#_x0000_t75" stroked="false">
              <v:imagedata r:id="rId51" o:title=""/>
            </v:shape>
            <v:shape style="position:absolute;left:7691;top:3991;width:116;height:116" type="#_x0000_t75" stroked="false">
              <v:imagedata r:id="rId52" o:title=""/>
            </v:shape>
            <v:shape style="position:absolute;left:6986;top:4756;width:116;height:116" type="#_x0000_t75" stroked="false">
              <v:imagedata r:id="rId53" o:title=""/>
            </v:shape>
            <v:shape style="position:absolute;left:6040;top:5255;width:116;height:116" type="#_x0000_t75" stroked="false">
              <v:imagedata r:id="rId50" o:title=""/>
            </v:shape>
            <v:shape style="position:absolute;left:5423;top:4303;width:116;height:116" type="#_x0000_t75" stroked="false">
              <v:imagedata r:id="rId50" o:title=""/>
            </v:shape>
            <v:shape style="position:absolute;left:4346;top:4005;width:116;height:116" type="#_x0000_t75" stroked="false">
              <v:imagedata r:id="rId50" o:title=""/>
            </v:shape>
            <v:shape style="position:absolute;left:4722;top:3026;width:116;height:116" type="#_x0000_t75" stroked="false">
              <v:imagedata r:id="rId51" o:title=""/>
            </v:shape>
            <v:shape style="position:absolute;left:5284;top:2411;width:116;height:116" type="#_x0000_t75" stroked="false">
              <v:imagedata r:id="rId52" o:title=""/>
            </v:shape>
            <v:line style="position:absolute" from="3658,6889" to="4042,6889" stroked="true" strokeweight="2.25pt" strokecolor="#901b1b">
              <v:stroke dashstyle="solid"/>
            </v:line>
            <v:shape style="position:absolute;left:3808;top:6846;width:80;height:80" coordorigin="3809,6846" coordsize="80,80" path="m3848,6846l3833,6849,3820,6858,3812,6870,3809,6886,3812,6901,3820,6914,3833,6922,3848,6925,3864,6922,3876,6914,3885,6901,3888,6886,3885,6870,3876,6858,3864,6849,3848,6846xe" filled="true" fillcolor="#901b1b" stroked="false">
              <v:path arrowok="t"/>
              <v:fill type="solid"/>
            </v:shape>
            <v:shape style="position:absolute;left:3808;top:6846;width:80;height:80" coordorigin="3809,6846" coordsize="80,80" path="m3888,6886l3885,6901,3876,6914,3864,6922,3848,6925,3833,6922,3820,6914,3812,6901,3809,6886,3812,6870,3820,6858,3833,6849,3848,6846,3864,6849,3876,6858,3885,6870,3888,6886xe" filled="false" stroked="true" strokeweight=".75pt" strokecolor="#901b1b">
              <v:path arrowok="t"/>
              <v:stroke dashstyle="solid"/>
            </v:shape>
            <v:line style="position:absolute" from="6356,6889" to="6740,6889" stroked="true" strokeweight="2.25pt" strokecolor="#bd8686">
              <v:stroke dashstyle="solid"/>
            </v:line>
            <v:shape style="position:absolute;left:6506;top:6846;width:80;height:80" coordorigin="6506,6846" coordsize="80,80" path="m6546,6846l6531,6849,6518,6858,6510,6870,6506,6886,6510,6901,6518,6914,6531,6922,6546,6925,6561,6922,6574,6914,6582,6901,6586,6886,6582,6870,6574,6858,6561,6849,6546,6846xe" filled="true" fillcolor="#bd8686" stroked="false">
              <v:path arrowok="t"/>
              <v:fill type="solid"/>
            </v:shape>
            <v:shape style="position:absolute;left:6506;top:6846;width:80;height:80" coordorigin="6506,6846" coordsize="80,80" path="m6586,6886l6582,6901,6574,6914,6561,6922,6546,6925,6531,6922,6518,6914,6510,6901,6506,6886,6510,6870,6518,6858,6531,6849,6546,6846,6561,6849,6574,6858,6582,6870,6586,6886xe" filled="false" stroked="true" strokeweight=".75pt" strokecolor="#bd8686">
              <v:path arrowok="t"/>
              <v:stroke dashstyle="solid"/>
            </v:shape>
            <v:rect style="position:absolute;left:1418;top:283;width:9360;height:6876" filled="false" stroked="true" strokeweight=".75pt" strokecolor="#d9d9d9">
              <v:stroke dashstyle="solid"/>
            </v:rect>
            <v:shape style="position:absolute;left:6782;top:6792;width:1848;height:183" type="#_x0000_t202" filled="false" stroked="false">
              <v:textbox inset="0,0,0,0">
                <w:txbxContent>
                  <w:p>
                    <w:pPr>
                      <w:spacing w:before="0"/>
                      <w:ind w:left="0" w:right="0" w:firstLine="0"/>
                      <w:jc w:val="left"/>
                      <w:rPr>
                        <w:sz w:val="16"/>
                      </w:rPr>
                    </w:pPr>
                    <w:r>
                      <w:rPr>
                        <w:color w:val="585858"/>
                        <w:sz w:val="16"/>
                      </w:rPr>
                      <w:t>Forsyningsselskaber 2016</w:t>
                    </w:r>
                  </w:p>
                </w:txbxContent>
              </v:textbox>
              <w10:wrap type="none"/>
            </v:shape>
            <v:shape style="position:absolute;left:4083;top:6792;width:1926;height:183" type="#_x0000_t202" filled="false" stroked="false">
              <v:textbox inset="0,0,0,0">
                <w:txbxContent>
                  <w:p>
                    <w:pPr>
                      <w:spacing w:before="0"/>
                      <w:ind w:left="0" w:right="0" w:firstLine="0"/>
                      <w:jc w:val="left"/>
                      <w:rPr>
                        <w:sz w:val="16"/>
                      </w:rPr>
                    </w:pPr>
                    <w:r>
                      <w:rPr>
                        <w:color w:val="585858"/>
                        <w:sz w:val="16"/>
                      </w:rPr>
                      <w:t>Private virksomheder 2016</w:t>
                    </w:r>
                  </w:p>
                </w:txbxContent>
              </v:textbox>
              <w10:wrap type="none"/>
            </v:shape>
            <v:shape style="position:absolute;left:4988;top:5853;width:2240;height:728" type="#_x0000_t202" filled="false" stroked="false">
              <v:textbox inset="0,0,0,0">
                <w:txbxContent>
                  <w:p>
                    <w:pPr>
                      <w:spacing w:before="0"/>
                      <w:ind w:left="0" w:right="18" w:firstLine="0"/>
                      <w:jc w:val="center"/>
                      <w:rPr>
                        <w:sz w:val="16"/>
                      </w:rPr>
                    </w:pPr>
                    <w:r>
                      <w:rPr>
                        <w:color w:val="585858"/>
                        <w:sz w:val="16"/>
                      </w:rPr>
                      <w:t>Kvaliteten af SDFE’s geodata</w:t>
                    </w:r>
                    <w:r>
                      <w:rPr>
                        <w:color w:val="585858"/>
                        <w:spacing w:val="-19"/>
                        <w:sz w:val="16"/>
                      </w:rPr>
                      <w:t> </w:t>
                    </w:r>
                    <w:r>
                      <w:rPr>
                        <w:color w:val="585858"/>
                        <w:sz w:val="16"/>
                      </w:rPr>
                      <w:t>er ikke unik i forhold til andre udbydere, fx Google, Microsoft og</w:t>
                    </w:r>
                    <w:r>
                      <w:rPr>
                        <w:color w:val="585858"/>
                        <w:spacing w:val="-2"/>
                        <w:sz w:val="16"/>
                      </w:rPr>
                      <w:t> </w:t>
                    </w:r>
                    <w:r>
                      <w:rPr>
                        <w:color w:val="585858"/>
                        <w:sz w:val="16"/>
                      </w:rPr>
                      <w:t>OpenStreetMap</w:t>
                    </w:r>
                  </w:p>
                </w:txbxContent>
              </v:textbox>
              <w10:wrap type="none"/>
            </v:shape>
            <v:shape style="position:absolute;left:7476;top:5309;width:2202;height:183" type="#_x0000_t202" filled="false" stroked="false">
              <v:textbox inset="0,0,0,0">
                <w:txbxContent>
                  <w:p>
                    <w:pPr>
                      <w:spacing w:before="0"/>
                      <w:ind w:left="0" w:right="0" w:firstLine="0"/>
                      <w:jc w:val="left"/>
                      <w:rPr>
                        <w:sz w:val="16"/>
                      </w:rPr>
                    </w:pPr>
                    <w:r>
                      <w:rPr>
                        <w:color w:val="585858"/>
                        <w:sz w:val="16"/>
                      </w:rPr>
                      <w:t>Markedspotentialet er usikkert</w:t>
                    </w:r>
                  </w:p>
                </w:txbxContent>
              </v:textbox>
              <w10:wrap type="none"/>
            </v:shape>
            <v:shape style="position:absolute;left:2868;top:5127;width:1874;height:547" type="#_x0000_t202" filled="false" stroked="false">
              <v:textbox inset="0,0,0,0">
                <w:txbxContent>
                  <w:p>
                    <w:pPr>
                      <w:spacing w:before="0"/>
                      <w:ind w:left="-1" w:right="18" w:firstLine="0"/>
                      <w:jc w:val="center"/>
                      <w:rPr>
                        <w:sz w:val="16"/>
                      </w:rPr>
                    </w:pPr>
                    <w:r>
                      <w:rPr>
                        <w:color w:val="585858"/>
                        <w:sz w:val="16"/>
                      </w:rPr>
                      <w:t>Anvendelsen af geodata</w:t>
                    </w:r>
                    <w:r>
                      <w:rPr>
                        <w:color w:val="585858"/>
                        <w:spacing w:val="-12"/>
                        <w:sz w:val="16"/>
                      </w:rPr>
                      <w:t> </w:t>
                    </w:r>
                    <w:r>
                      <w:rPr>
                        <w:color w:val="585858"/>
                        <w:sz w:val="16"/>
                      </w:rPr>
                      <w:t>er begrænset af, at de alene dækker</w:t>
                    </w:r>
                    <w:r>
                      <w:rPr>
                        <w:color w:val="585858"/>
                        <w:spacing w:val="-3"/>
                        <w:sz w:val="16"/>
                      </w:rPr>
                      <w:t> </w:t>
                    </w:r>
                    <w:r>
                      <w:rPr>
                        <w:color w:val="585858"/>
                        <w:sz w:val="16"/>
                      </w:rPr>
                      <w:t>Danmark</w:t>
                    </w:r>
                  </w:p>
                </w:txbxContent>
              </v:textbox>
              <w10:wrap type="none"/>
            </v:shape>
            <v:shape style="position:absolute;left:8327;top:4047;width:2023;height:365" type="#_x0000_t202" filled="false" stroked="false">
              <v:textbox inset="0,0,0,0">
                <w:txbxContent>
                  <w:p>
                    <w:pPr>
                      <w:spacing w:before="0"/>
                      <w:ind w:left="210" w:right="2" w:hanging="211"/>
                      <w:jc w:val="left"/>
                      <w:rPr>
                        <w:sz w:val="16"/>
                      </w:rPr>
                    </w:pPr>
                    <w:r>
                      <w:rPr>
                        <w:color w:val="585858"/>
                        <w:sz w:val="16"/>
                      </w:rPr>
                      <w:t>Den fremtidige konkurrence forventes at være hård</w:t>
                    </w:r>
                  </w:p>
                </w:txbxContent>
              </v:textbox>
              <w10:wrap type="none"/>
            </v:shape>
            <v:shape style="position:absolute;left:1659;top:3956;width:2230;height:547" type="#_x0000_t202" filled="false" stroked="false">
              <v:textbox inset="0,0,0,0">
                <w:txbxContent>
                  <w:p>
                    <w:pPr>
                      <w:spacing w:before="0"/>
                      <w:ind w:left="-1" w:right="18" w:firstLine="0"/>
                      <w:jc w:val="center"/>
                      <w:rPr>
                        <w:sz w:val="16"/>
                      </w:rPr>
                    </w:pPr>
                    <w:r>
                      <w:rPr>
                        <w:color w:val="585858"/>
                        <w:sz w:val="16"/>
                      </w:rPr>
                      <w:t>Der er uafklarethed i forhold</w:t>
                    </w:r>
                    <w:r>
                      <w:rPr>
                        <w:color w:val="585858"/>
                        <w:spacing w:val="-12"/>
                        <w:sz w:val="16"/>
                      </w:rPr>
                      <w:t> </w:t>
                    </w:r>
                    <w:r>
                      <w:rPr>
                        <w:color w:val="585858"/>
                        <w:sz w:val="16"/>
                      </w:rPr>
                      <w:t>til indholdet i den annoncerede datafordeler</w:t>
                    </w:r>
                  </w:p>
                </w:txbxContent>
              </v:textbox>
              <w10:wrap type="none"/>
            </v:shape>
            <v:shape style="position:absolute;left:8327;top:2417;width:2171;height:729" type="#_x0000_t202" filled="false" stroked="false">
              <v:textbox inset="0,0,0,0">
                <w:txbxContent>
                  <w:p>
                    <w:pPr>
                      <w:spacing w:before="0"/>
                      <w:ind w:left="0" w:right="18" w:firstLine="0"/>
                      <w:jc w:val="center"/>
                      <w:rPr>
                        <w:sz w:val="16"/>
                      </w:rPr>
                    </w:pPr>
                    <w:r>
                      <w:rPr>
                        <w:color w:val="585858"/>
                        <w:sz w:val="16"/>
                      </w:rPr>
                      <w:t>Værdien af de frie data er af mindre betydning set i forhold til de samlede udviklingsomkostninger</w:t>
                    </w:r>
                  </w:p>
                </w:txbxContent>
              </v:textbox>
              <w10:wrap type="none"/>
            </v:shape>
            <v:shape style="position:absolute;left:1695;top:2326;width:2195;height:910" type="#_x0000_t202" filled="false" stroked="false">
              <v:textbox inset="0,0,0,0">
                <w:txbxContent>
                  <w:p>
                    <w:pPr>
                      <w:spacing w:before="0"/>
                      <w:ind w:left="0" w:right="18" w:firstLine="0"/>
                      <w:jc w:val="center"/>
                      <w:rPr>
                        <w:sz w:val="16"/>
                      </w:rPr>
                    </w:pPr>
                    <w:r>
                      <w:rPr>
                        <w:color w:val="585858"/>
                        <w:sz w:val="16"/>
                      </w:rPr>
                      <w:t>Det er for risikofyldt at bevæge sig ind på et marked, hvis omfang kan ændre sig hurtigt med de beslutninger, der træffes i SDFE</w:t>
                    </w:r>
                  </w:p>
                </w:txbxContent>
              </v:textbox>
              <w10:wrap type="none"/>
            </v:shape>
            <v:shape style="position:absolute;left:7476;top:1518;width:2010;height:183" type="#_x0000_t202" filled="false" stroked="false">
              <v:textbox inset="0,0,0,0">
                <w:txbxContent>
                  <w:p>
                    <w:pPr>
                      <w:spacing w:before="0"/>
                      <w:ind w:left="0" w:right="0" w:firstLine="0"/>
                      <w:jc w:val="left"/>
                      <w:rPr>
                        <w:sz w:val="16"/>
                      </w:rPr>
                    </w:pPr>
                    <w:r>
                      <w:rPr>
                        <w:color w:val="585858"/>
                        <w:sz w:val="16"/>
                      </w:rPr>
                      <w:t>Manglende brugervenlighed</w:t>
                    </w:r>
                  </w:p>
                </w:txbxContent>
              </v:textbox>
              <w10:wrap type="none"/>
            </v:shape>
            <v:shape style="position:absolute;left:2529;top:1245;width:2212;height:729" type="#_x0000_t202" filled="false" stroked="false">
              <v:textbox inset="0,0,0,0">
                <w:txbxContent>
                  <w:p>
                    <w:pPr>
                      <w:spacing w:before="0"/>
                      <w:ind w:left="0" w:right="18" w:firstLine="0"/>
                      <w:jc w:val="center"/>
                      <w:rPr>
                        <w:sz w:val="16"/>
                      </w:rPr>
                    </w:pPr>
                    <w:r>
                      <w:rPr>
                        <w:color w:val="585858"/>
                        <w:sz w:val="16"/>
                      </w:rPr>
                      <w:t>Offentlige myndigheder begrænser markedsudvikling ved selv at producere løsninger og tjenester</w:t>
                    </w:r>
                  </w:p>
                </w:txbxContent>
              </v:textbox>
              <w10:wrap type="none"/>
            </v:shape>
            <v:shape style="position:absolute;left:5443;top:793;width:1330;height:365" type="#_x0000_t202" filled="false" stroked="false">
              <v:textbox inset="0,0,0,0">
                <w:txbxContent>
                  <w:p>
                    <w:pPr>
                      <w:spacing w:before="0"/>
                      <w:ind w:left="76" w:right="-1" w:hanging="76"/>
                      <w:jc w:val="left"/>
                      <w:rPr>
                        <w:sz w:val="16"/>
                      </w:rPr>
                    </w:pPr>
                    <w:r>
                      <w:rPr>
                        <w:color w:val="585858"/>
                        <w:sz w:val="16"/>
                      </w:rPr>
                      <w:t>Systemustabilitet i Kortforsyningen</w:t>
                    </w:r>
                  </w:p>
                </w:txbxContent>
              </v:textbox>
              <w10:wrap type="none"/>
            </v:shape>
            <w10:wrap type="topAndBottom"/>
          </v:group>
        </w:pict>
      </w:r>
      <w:bookmarkStart w:name="_bookmark119" w:id="168"/>
      <w:bookmarkEnd w:id="168"/>
      <w:r>
        <w:rPr/>
      </w:r>
      <w:r>
        <w:rPr>
          <w:i/>
          <w:color w:val="A21F1F"/>
          <w:sz w:val="18"/>
        </w:rPr>
        <w:t>Figur 67: Barrierer for anvendelse af de frie geodata blandt private virksomheder og forsyningsselskaber</w:t>
      </w:r>
    </w:p>
    <w:p>
      <w:pPr>
        <w:pStyle w:val="BodyText"/>
        <w:spacing w:before="10"/>
        <w:rPr>
          <w:i/>
          <w:sz w:val="29"/>
        </w:rPr>
      </w:pPr>
    </w:p>
    <w:p>
      <w:pPr>
        <w:spacing w:before="1"/>
        <w:ind w:left="278" w:right="0" w:firstLine="0"/>
        <w:jc w:val="left"/>
        <w:rPr>
          <w:i/>
          <w:sz w:val="18"/>
        </w:rPr>
      </w:pPr>
      <w:r>
        <w:rPr>
          <w:b/>
          <w:i/>
          <w:color w:val="A21F1F"/>
          <w:sz w:val="18"/>
        </w:rPr>
        <w:t>Kilde: </w:t>
      </w:r>
      <w:r>
        <w:rPr>
          <w:i/>
          <w:color w:val="A21F1F"/>
          <w:sz w:val="18"/>
        </w:rPr>
        <w:t>Spørgeskemaundersøgelse blandt private virksomheder og forsyningsselskaber</w:t>
      </w:r>
    </w:p>
    <w:p>
      <w:pPr>
        <w:spacing w:before="119"/>
        <w:ind w:left="278" w:right="0" w:firstLine="0"/>
        <w:jc w:val="left"/>
        <w:rPr>
          <w:i/>
          <w:sz w:val="18"/>
        </w:rPr>
      </w:pPr>
      <w:r>
        <w:rPr>
          <w:b/>
          <w:i/>
          <w:color w:val="A21F1F"/>
          <w:sz w:val="18"/>
        </w:rPr>
        <w:t>N: </w:t>
      </w:r>
      <w:r>
        <w:rPr>
          <w:i/>
          <w:color w:val="A21F1F"/>
          <w:sz w:val="18"/>
        </w:rPr>
        <w:t>Private virksomheder: 85 og forsyningsselskaber: 23</w:t>
      </w:r>
    </w:p>
    <w:p>
      <w:pPr>
        <w:pStyle w:val="BodyText"/>
        <w:rPr>
          <w:i/>
        </w:rPr>
      </w:pPr>
    </w:p>
    <w:p>
      <w:pPr>
        <w:pStyle w:val="BodyText"/>
        <w:spacing w:before="1"/>
        <w:rPr>
          <w:i/>
          <w:sz w:val="19"/>
        </w:rPr>
      </w:pPr>
    </w:p>
    <w:p>
      <w:pPr>
        <w:pStyle w:val="BodyText"/>
        <w:spacing w:line="360" w:lineRule="auto" w:before="1"/>
        <w:ind w:left="278" w:right="1322"/>
        <w:jc w:val="both"/>
      </w:pPr>
      <w:r>
        <w:rPr/>
        <w:t>Det ses også af </w:t>
      </w:r>
      <w:hyperlink w:history="true" w:anchor="_bookmark119">
        <w:r>
          <w:rPr/>
          <w:t>Figur 67, </w:t>
        </w:r>
      </w:hyperlink>
      <w:r>
        <w:rPr/>
        <w:t>at de private virksomheder og forsyningsselskaberne i mindre grad vurderer, at der er usikkerhed vedrørende det fremadrettede markedspotentiale i de frie geodata. Det være sig både i forhold til udviklingsomkostninger, fremtidig konkurrence og selve markedspotentialet.</w:t>
      </w:r>
    </w:p>
    <w:p>
      <w:pPr>
        <w:pStyle w:val="BodyText"/>
        <w:spacing w:before="1"/>
        <w:rPr>
          <w:sz w:val="21"/>
        </w:rPr>
      </w:pPr>
    </w:p>
    <w:p>
      <w:pPr>
        <w:pStyle w:val="BodyText"/>
        <w:spacing w:line="360" w:lineRule="auto"/>
        <w:ind w:left="278" w:right="1051"/>
      </w:pPr>
      <w:r>
        <w:rPr/>
        <w:t>I forhold til geodatas kvalitet og rækkevidde vurderer særligt de private virksomheder, at der kan være udfordringer forbundet med, at de frie geodata geografisk kun dækker Danmark. Det var også en barriere, der blev pointeret i flere interviews i case-undersøgelserne. Det stærkeste behov for, at data også blev gjort tilgængeligt i andre lande, blev nævnt af nogle af de mindre start-up-virksomheder, der har baseret deres forretningsmodeller på de frie geodata. De kunne se et eksportpotentiale i at tilbyde deres løsninger på markeder uden for Danmark. Det er dog også antagelsen, at større virksomheder i Danmark vil kunne drage nytte af det forspring, som de har fået qua tilgængeligheden af de danske frie geodata, og at de derfor vil kunne udnytte det, hvis geodata også blev lettere tilgængelige i andre lande.</w:t>
      </w:r>
    </w:p>
    <w:p>
      <w:pPr>
        <w:pStyle w:val="BodyText"/>
        <w:spacing w:before="3"/>
        <w:rPr>
          <w:sz w:val="21"/>
        </w:rPr>
      </w:pPr>
    </w:p>
    <w:p>
      <w:pPr>
        <w:pStyle w:val="BodyText"/>
        <w:spacing w:line="360" w:lineRule="auto" w:before="1"/>
        <w:ind w:left="278" w:right="1360"/>
      </w:pPr>
      <w:r>
        <w:rPr/>
        <w:t>Foruden øget internationalt samarbejde om frisættelse af geodata i andre lande, er der også i interviews blevet peget på, at øget standardisering vil kunne understøtte, at geodata kan anvendes til flere formål</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fremadrettet. Beskrivelsen i nedenstående boks 6 er et eksempel herpå, hvor Dalux og Hillerød Kommune</w:t>
      </w:r>
    </w:p>
    <w:p>
      <w:pPr>
        <w:pStyle w:val="BodyText"/>
        <w:spacing w:before="114"/>
        <w:ind w:left="278"/>
      </w:pPr>
      <w:r>
        <w:rPr/>
        <w:t>efterspørger standarder for overgangen fra BIM til GIS.</w:t>
      </w:r>
    </w:p>
    <w:p>
      <w:pPr>
        <w:pStyle w:val="BodyText"/>
        <w:rPr>
          <w:sz w:val="31"/>
        </w:rPr>
      </w:pPr>
    </w:p>
    <w:p>
      <w:pPr>
        <w:spacing w:before="0"/>
        <w:ind w:left="278" w:right="0" w:firstLine="0"/>
        <w:jc w:val="left"/>
        <w:rPr>
          <w:i/>
          <w:sz w:val="18"/>
        </w:rPr>
      </w:pPr>
      <w:r>
        <w:rPr/>
        <w:pict>
          <v:shape style="position:absolute;margin-left:70.944pt;margin-top:16.29291pt;width:472.4pt;height:292.5pt;mso-position-horizontal-relative:page;mso-position-vertical-relative:paragraph;z-index:13256;mso-wrap-distance-left:0;mso-wrap-distance-right:0" type="#_x0000_t202" filled="true" fillcolor="#f1f1f1" stroked="false">
            <v:textbox inset="0,0,0,0">
              <w:txbxContent>
                <w:p>
                  <w:pPr>
                    <w:pStyle w:val="BodyText"/>
                    <w:spacing w:before="11"/>
                    <w:rPr>
                      <w:i/>
                      <w:sz w:val="19"/>
                    </w:rPr>
                  </w:pPr>
                </w:p>
                <w:p>
                  <w:pPr>
                    <w:pStyle w:val="BodyText"/>
                    <w:spacing w:line="360" w:lineRule="auto"/>
                    <w:ind w:left="225" w:right="291"/>
                  </w:pPr>
                  <w:r>
                    <w:rPr/>
                    <w:t>Dalux oplever et behov for standarder for overgangen fra BIM til GIS (fra indendørs geometri til udendørs geografi). Standardisering vil effektivisere bearbejdningen af data i forhold til den korrekte geografiske placering af brugernes bygninger og ejendomme vha. GeoDanmark data, Skærmkortet og ortofotos i kombination med en kobling til øvrige, offentlige registre.</w:t>
                  </w:r>
                </w:p>
                <w:p>
                  <w:pPr>
                    <w:pStyle w:val="BodyText"/>
                    <w:spacing w:before="7"/>
                    <w:rPr>
                      <w:i/>
                      <w:sz w:val="24"/>
                    </w:rPr>
                  </w:pPr>
                </w:p>
                <w:p>
                  <w:pPr>
                    <w:pStyle w:val="BodyText"/>
                    <w:spacing w:line="360" w:lineRule="auto" w:before="1"/>
                    <w:ind w:left="225" w:right="244"/>
                  </w:pPr>
                  <w:r>
                    <w:rPr/>
                    <w:t>Hillerød Kommune, som anvender DaluxFM, har vanskeligt ved at omsætte højdemodellens meget detaljerede punktsky i konkrete anvendelsessituationer. De efterspørger et 3D-referencegrundlag med tilhørende standarder for udveksling af data, som eksempelvis gør det nemmere at placere deres detaljerede 3D CAD-bygninger i en geografiske kontekst. Dette vil muliggøre, at der kan analyseres på bygninger, der kommer fra en ”BIM-verden” i forhold til udsyn og geografiske sammenhænge mellem omkringliggende bygninger og øvrigt terræn. Eksisterende metoder til at ramme en nøjagtig placering af bygningen er ressourcetunge at benytte. Det vil derfor betyde omfattende effektiviseringer i den kommunale forvaltning, hvis et udendørs referencegrundlag, eventuelt en 3D-bygningsmodel placeret i terræn, blev stillet til rådighed af SDFE. Herudover forventer Hillerød Kommune, at et offentligt tilgængeligt dataregister i væsentlig grad vil øge anvendelsen af BIM og effektivisere sagsgange i den offentlige forvaltning.</w:t>
                  </w:r>
                </w:p>
              </w:txbxContent>
            </v:textbox>
            <v:fill type="solid"/>
            <w10:wrap type="topAndBottom"/>
          </v:shape>
        </w:pict>
      </w:r>
      <w:r>
        <w:rPr>
          <w:i/>
          <w:color w:val="A21F1F"/>
          <w:sz w:val="18"/>
        </w:rPr>
        <w:t>Boks 6: Behov for standarder for overgangen mellem BIM og GIS</w:t>
      </w:r>
    </w:p>
    <w:p>
      <w:pPr>
        <w:pStyle w:val="BodyText"/>
        <w:spacing w:before="9"/>
        <w:rPr>
          <w:i/>
          <w:sz w:val="19"/>
        </w:rPr>
      </w:pPr>
    </w:p>
    <w:p>
      <w:pPr>
        <w:pStyle w:val="BodyText"/>
        <w:spacing w:line="360" w:lineRule="auto" w:before="100"/>
        <w:ind w:left="278" w:right="1053"/>
      </w:pPr>
      <w:r>
        <w:rPr/>
        <w:t>Den sidste overordnede udfordring angår rollefordelingen mellem offentlige myndigheder og private virksomheder, for så vidt angår geodatamarkedet. I før-målingen blev der peget på, at visse private virksomheder var tilbageholdende med at investere i geodatarelaterede løsninger og tillægge dem en stor vægt i deres virksomhed, fordi de var usikre på, om deres forretningsgrundlag blev overtaget af den offentlige sektor. Lignende bekymringer blev også udtryk i interviews i case-undersøgelserne i nærværende undersøgelse. For visse virksomheder er der fortsat tale om, at de har baseret deres forretning på en forretningsmodel, der kan blive udfordret og potentielt udvandet, ved at en offentlige myndighed som SDFE går ind og udbyder tilsvarende løsninger.</w:t>
      </w:r>
    </w:p>
    <w:p>
      <w:pPr>
        <w:pStyle w:val="BodyText"/>
        <w:spacing w:before="1"/>
        <w:rPr>
          <w:sz w:val="21"/>
        </w:rPr>
      </w:pPr>
    </w:p>
    <w:p>
      <w:pPr>
        <w:pStyle w:val="BodyText"/>
        <w:spacing w:line="360" w:lineRule="auto"/>
        <w:ind w:left="278" w:right="1059"/>
      </w:pPr>
      <w:r>
        <w:rPr/>
        <w:t>Flere af de interviewede virksomheder har derfor også peget på, at en styrket dialog med erhvervslivet om rollefordelingen mellem private virksomheder og offentlige myndigheder vil kunne reducere virksomheders usikkerhed. Et eksempel på styrket dialog kunne være større transparens i myndighedernes ”roadmap”, der indikerer, i hvilken retning myndigheden ønsker at bevæge sig, herunder hvor langt ud i værdikæden myndigheden vil bevæge sig. De interviewede virksomheder har peget på, at der ved at reducere virksomhedernes usikkerhed generelt vil blive større incitament til at investere i geodatarelaterede løsninger.</w:t>
      </w:r>
    </w:p>
    <w:p>
      <w:pPr>
        <w:pStyle w:val="BodyText"/>
        <w:spacing w:before="1"/>
        <w:rPr>
          <w:sz w:val="21"/>
        </w:rPr>
      </w:pPr>
    </w:p>
    <w:p>
      <w:pPr>
        <w:pStyle w:val="BodyText"/>
        <w:spacing w:line="360" w:lineRule="auto"/>
        <w:ind w:left="278" w:right="1265"/>
      </w:pPr>
      <w:r>
        <w:rPr/>
        <w:t>Foruden de ovenstående identificerede barrierer har der ligeledes generelt i interviews været peget på en efterspørgsel efter flere grunddatasæt, fx data om vand, havbunden og jordbundsforhold. Det har været</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tilfældet for både private virksomheder, forsyningsselskaber og offentlige myndigheder. På den måde kan</w:t>
      </w:r>
    </w:p>
    <w:p>
      <w:pPr>
        <w:pStyle w:val="BodyText"/>
        <w:spacing w:line="360" w:lineRule="auto" w:before="114"/>
        <w:ind w:left="278" w:right="1927"/>
      </w:pPr>
      <w:r>
        <w:rPr/>
        <w:t>man sige, at der er tale en form for positiv barriere, der har skabt øget blod på tanden i forhold til frisættelse af flere geodata.</w:t>
      </w:r>
    </w:p>
    <w:p>
      <w:pPr>
        <w:pStyle w:val="BodyText"/>
        <w:spacing w:before="10"/>
      </w:pPr>
    </w:p>
    <w:p>
      <w:pPr>
        <w:pStyle w:val="Heading3"/>
        <w:numPr>
          <w:ilvl w:val="2"/>
          <w:numId w:val="37"/>
        </w:numPr>
        <w:tabs>
          <w:tab w:pos="1076" w:val="left" w:leader="none"/>
        </w:tabs>
        <w:spacing w:line="240" w:lineRule="auto" w:before="0" w:after="0"/>
        <w:ind w:left="1075" w:right="0" w:hanging="797"/>
        <w:jc w:val="left"/>
        <w:rPr>
          <w:i/>
        </w:rPr>
      </w:pPr>
      <w:bookmarkStart w:name="_bookmark120" w:id="169"/>
      <w:bookmarkEnd w:id="169"/>
      <w:r>
        <w:rPr>
          <w:i/>
          <w:color w:val="A21F1F"/>
        </w:rPr>
        <w:t>S</w:t>
      </w:r>
      <w:r>
        <w:rPr>
          <w:i/>
          <w:color w:val="A21F1F"/>
        </w:rPr>
        <w:t>ærlige barrierer i den offentlige</w:t>
      </w:r>
      <w:r>
        <w:rPr>
          <w:i/>
          <w:color w:val="A21F1F"/>
          <w:spacing w:val="-2"/>
        </w:rPr>
        <w:t> </w:t>
      </w:r>
      <w:r>
        <w:rPr>
          <w:i/>
          <w:color w:val="A21F1F"/>
        </w:rPr>
        <w:t>sektor</w:t>
      </w:r>
    </w:p>
    <w:p>
      <w:pPr>
        <w:pStyle w:val="BodyText"/>
        <w:spacing w:line="360" w:lineRule="auto" w:before="243"/>
        <w:ind w:left="278" w:right="1166"/>
      </w:pPr>
      <w:r>
        <w:rPr/>
        <w:t>Nedenstående </w:t>
      </w:r>
      <w:hyperlink w:history="true" w:anchor="_bookmark121">
        <w:r>
          <w:rPr/>
          <w:t>Figur 68 </w:t>
        </w:r>
      </w:hyperlink>
      <w:r>
        <w:rPr/>
        <w:t>viser, at der blandt offentlige myndigheder er identificeret fire barrierer for øget anvendelse af de frie geodata.</w:t>
      </w:r>
    </w:p>
    <w:p>
      <w:pPr>
        <w:pStyle w:val="BodyText"/>
        <w:spacing w:before="2"/>
        <w:rPr>
          <w:sz w:val="21"/>
        </w:rPr>
      </w:pPr>
    </w:p>
    <w:p>
      <w:pPr>
        <w:pStyle w:val="BodyText"/>
        <w:spacing w:line="360" w:lineRule="auto"/>
        <w:ind w:left="278" w:right="1052"/>
      </w:pPr>
      <w:r>
        <w:rPr/>
        <w:t>For de offentlige myndigheder gælder det, at de særligt oplever manglende frisættelse af andre data som en barriere for øget anvendelse af geodata. I interviews med offentlige myndigheder er det blevet fremhævet, at adgang til indendørs geodata og 3D-bygningsmodeller samt en tættere og entydig kobling mellem BIM og GIS forventeligt vil have et stort potentiale.</w:t>
      </w:r>
    </w:p>
    <w:p>
      <w:pPr>
        <w:pStyle w:val="BodyText"/>
        <w:rPr>
          <w:sz w:val="21"/>
        </w:rPr>
      </w:pPr>
    </w:p>
    <w:p>
      <w:pPr>
        <w:spacing w:before="1"/>
        <w:ind w:left="278" w:right="0" w:firstLine="0"/>
        <w:jc w:val="left"/>
        <w:rPr>
          <w:i/>
          <w:sz w:val="18"/>
        </w:rPr>
      </w:pPr>
      <w:r>
        <w:rPr/>
        <w:pict>
          <v:group style="position:absolute;margin-left:70.525002pt;margin-top:15.937922pt;width:471.15pt;height:264.9pt;mso-position-horizontal-relative:page;mso-position-vertical-relative:paragraph;z-index:13400;mso-wrap-distance-left:0;mso-wrap-distance-right:0" coordorigin="1411,319" coordsize="9423,5298">
            <v:line style="position:absolute" from="6058,2738" to="6360,3043" stroked="true" strokeweight=".75pt" strokecolor="#d9d9d9">
              <v:stroke dashstyle="solid"/>
            </v:line>
            <v:line style="position:absolute" from="6360,3043" to="6058,3347" stroked="true" strokeweight=".75pt" strokecolor="#d9d9d9">
              <v:stroke dashstyle="solid"/>
            </v:line>
            <v:line style="position:absolute" from="6058,3347" to="5753,3043" stroked="true" strokeweight=".75pt" strokecolor="#d9d9d9">
              <v:stroke dashstyle="solid"/>
            </v:line>
            <v:line style="position:absolute" from="5753,3043" to="6058,2738" stroked="true" strokeweight=".75pt" strokecolor="#d9d9d9">
              <v:stroke dashstyle="solid"/>
            </v:line>
            <v:line style="position:absolute" from="6058,2435" to="6665,3043" stroked="true" strokeweight=".75pt" strokecolor="#d9d9d9">
              <v:stroke dashstyle="solid"/>
            </v:line>
            <v:line style="position:absolute" from="6665,3043" to="6058,3650" stroked="true" strokeweight=".75pt" strokecolor="#d9d9d9">
              <v:stroke dashstyle="solid"/>
            </v:line>
            <v:line style="position:absolute" from="6058,3650" to="5448,3043" stroked="true" strokeweight=".75pt" strokecolor="#d9d9d9">
              <v:stroke dashstyle="solid"/>
            </v:line>
            <v:line style="position:absolute" from="5448,3043" to="6058,2435" stroked="true" strokeweight=".75pt" strokecolor="#d9d9d9">
              <v:stroke dashstyle="solid"/>
            </v:line>
            <v:line style="position:absolute" from="6058,2131" to="6970,3043" stroked="true" strokeweight=".75pt" strokecolor="#d9d9d9">
              <v:stroke dashstyle="solid"/>
            </v:line>
            <v:line style="position:absolute" from="6970,3043" to="6058,3955" stroked="true" strokeweight=".75pt" strokecolor="#d9d9d9">
              <v:stroke dashstyle="solid"/>
            </v:line>
            <v:line style="position:absolute" from="6058,3955" to="5143,3043" stroked="true" strokeweight=".75pt" strokecolor="#d9d9d9">
              <v:stroke dashstyle="solid"/>
            </v:line>
            <v:line style="position:absolute" from="5143,3043" to="6058,2131" stroked="true" strokeweight=".75pt" strokecolor="#d9d9d9">
              <v:stroke dashstyle="solid"/>
            </v:line>
            <v:line style="position:absolute" from="6058,1826" to="7272,3043" stroked="true" strokeweight=".75pt" strokecolor="#d9d9d9">
              <v:stroke dashstyle="solid"/>
            </v:line>
            <v:line style="position:absolute" from="7272,3043" to="6058,4259" stroked="true" strokeweight=".75pt" strokecolor="#d9d9d9">
              <v:stroke dashstyle="solid"/>
            </v:line>
            <v:line style="position:absolute" from="6058,4259" to="4841,3043" stroked="true" strokeweight=".75pt" strokecolor="#d9d9d9">
              <v:stroke dashstyle="solid"/>
            </v:line>
            <v:line style="position:absolute" from="4841,3043" to="6058,1826" stroked="true" strokeweight=".75pt" strokecolor="#d9d9d9">
              <v:stroke dashstyle="solid"/>
            </v:line>
            <v:line style="position:absolute" from="6058,1521" to="7577,3043" stroked="true" strokeweight=".75pt" strokecolor="#d9d9d9">
              <v:stroke dashstyle="solid"/>
            </v:line>
            <v:line style="position:absolute" from="7577,3043" to="6058,4564" stroked="true" strokeweight=".75pt" strokecolor="#d9d9d9">
              <v:stroke dashstyle="solid"/>
            </v:line>
            <v:line style="position:absolute" from="6058,4564" to="4536,3043" stroked="true" strokeweight=".75pt" strokecolor="#d9d9d9">
              <v:stroke dashstyle="solid"/>
            </v:line>
            <v:line style="position:absolute" from="4536,3043" to="6058,1521" stroked="true" strokeweight=".75pt" strokecolor="#d9d9d9">
              <v:stroke dashstyle="solid"/>
            </v:line>
            <v:line style="position:absolute" from="6058,1217" to="7882,3043" stroked="true" strokeweight=".75pt" strokecolor="#d9d9d9">
              <v:stroke dashstyle="solid"/>
            </v:line>
            <v:line style="position:absolute" from="7882,3043" to="6058,4868" stroked="true" strokeweight=".75pt" strokecolor="#d9d9d9">
              <v:stroke dashstyle="solid"/>
            </v:line>
            <v:line style="position:absolute" from="6058,4868" to="4231,3043" stroked="true" strokeweight=".75pt" strokecolor="#d9d9d9">
              <v:stroke dashstyle="solid"/>
            </v:line>
            <v:line style="position:absolute" from="4231,3043" to="6058,1217" stroked="true" strokeweight=".75pt" strokecolor="#d9d9d9">
              <v:stroke dashstyle="solid"/>
            </v:line>
            <v:shape style="position:absolute;left:4231;top:1532;width:3128;height:2150" coordorigin="4231,1532" coordsize="3128,2150" path="m4231,3043l6058,1532,7359,3043,6058,3682,4231,3043e" filled="false" stroked="true" strokeweight="2.25pt" strokecolor="#a21f1f">
              <v:path arrowok="t"/>
              <v:stroke dashstyle="solid"/>
            </v:shape>
            <v:shape style="position:absolute;left:5999;top:1475;width:116;height:116" type="#_x0000_t75" stroked="false">
              <v:imagedata r:id="rId54" o:title=""/>
            </v:shape>
            <v:shape style="position:absolute;left:7300;top:2985;width:116;height:116" type="#_x0000_t75" stroked="false">
              <v:imagedata r:id="rId55" o:title=""/>
            </v:shape>
            <v:shape style="position:absolute;left:5999;top:3623;width:116;height:116" type="#_x0000_t75" stroked="false">
              <v:imagedata r:id="rId56" o:title=""/>
            </v:shape>
            <v:shape style="position:absolute;left:4173;top:2985;width:116;height:116" type="#_x0000_t75" stroked="false">
              <v:imagedata r:id="rId55" o:title=""/>
            </v:shape>
            <v:rect style="position:absolute;left:1418;top:326;width:9408;height:5283" filled="false" stroked="true" strokeweight=".75pt" strokecolor="#d9d9d9">
              <v:stroke dashstyle="solid"/>
            </v:rect>
            <v:shape style="position:absolute;left:4810;top:4942;width:2513;height:410" type="#_x0000_t202" filled="false" stroked="false">
              <v:textbox inset="0,0,0,0">
                <w:txbxContent>
                  <w:p>
                    <w:pPr>
                      <w:spacing w:before="0"/>
                      <w:ind w:left="874" w:right="0" w:hanging="875"/>
                      <w:jc w:val="left"/>
                      <w:rPr>
                        <w:sz w:val="18"/>
                      </w:rPr>
                    </w:pPr>
                    <w:r>
                      <w:rPr>
                        <w:color w:val="585858"/>
                        <w:sz w:val="18"/>
                      </w:rPr>
                      <w:t>Mangel på helt nye systemer og løsninger</w:t>
                    </w:r>
                  </w:p>
                </w:txbxContent>
              </v:textbox>
              <w10:wrap type="none"/>
            </v:shape>
            <v:shape style="position:absolute;left:7956;top:2833;width:2545;height:410" type="#_x0000_t202" filled="false" stroked="false">
              <v:textbox inset="0,0,0,0">
                <w:txbxContent>
                  <w:p>
                    <w:pPr>
                      <w:spacing w:before="0"/>
                      <w:ind w:left="532" w:right="-1" w:hanging="533"/>
                      <w:jc w:val="left"/>
                      <w:rPr>
                        <w:sz w:val="18"/>
                      </w:rPr>
                    </w:pPr>
                    <w:r>
                      <w:rPr>
                        <w:color w:val="585858"/>
                        <w:sz w:val="18"/>
                      </w:rPr>
                      <w:t>Mangel på systemløsninger, der integrerer geodata</w:t>
                    </w:r>
                  </w:p>
                </w:txbxContent>
              </v:textbox>
              <w10:wrap type="none"/>
            </v:shape>
            <v:shape style="position:absolute;left:1704;top:2833;width:2472;height:410" type="#_x0000_t202" filled="false" stroked="false">
              <v:textbox inset="0,0,0,0">
                <w:txbxContent>
                  <w:p>
                    <w:pPr>
                      <w:spacing w:before="0"/>
                      <w:ind w:left="1029" w:right="-2" w:hanging="1030"/>
                      <w:jc w:val="left"/>
                      <w:rPr>
                        <w:sz w:val="18"/>
                      </w:rPr>
                    </w:pPr>
                    <w:r>
                      <w:rPr>
                        <w:color w:val="585858"/>
                        <w:sz w:val="18"/>
                      </w:rPr>
                      <w:t>Manglende frisættelse af andre data.</w:t>
                    </w:r>
                  </w:p>
                </w:txbxContent>
              </v:textbox>
              <w10:wrap type="none"/>
            </v:shape>
            <v:shape style="position:absolute;left:4768;top:519;width:2596;height:614" type="#_x0000_t202" filled="false" stroked="false">
              <v:textbox inset="0,0,0,0">
                <w:txbxContent>
                  <w:p>
                    <w:pPr>
                      <w:spacing w:before="0"/>
                      <w:ind w:left="0" w:right="18" w:firstLine="0"/>
                      <w:jc w:val="center"/>
                      <w:rPr>
                        <w:sz w:val="18"/>
                      </w:rPr>
                    </w:pPr>
                    <w:r>
                      <w:rPr>
                        <w:color w:val="585858"/>
                        <w:sz w:val="18"/>
                      </w:rPr>
                      <w:t>Utilstrækkelige erfaringer og kompetencer på andre offentlige forvaltningsområder</w:t>
                    </w:r>
                  </w:p>
                </w:txbxContent>
              </v:textbox>
              <w10:wrap type="none"/>
            </v:shape>
            <w10:wrap type="topAndBottom"/>
          </v:group>
        </w:pict>
      </w:r>
      <w:bookmarkStart w:name="_bookmark121" w:id="170"/>
      <w:bookmarkEnd w:id="170"/>
      <w:r>
        <w:rPr/>
      </w:r>
      <w:r>
        <w:rPr>
          <w:i/>
          <w:color w:val="A21F1F"/>
          <w:sz w:val="18"/>
        </w:rPr>
        <w:t>Figur 68: Barrierer for anvendelse af de frie geodata blandt offentlige myndigheder</w:t>
      </w:r>
    </w:p>
    <w:p>
      <w:pPr>
        <w:pStyle w:val="BodyText"/>
        <w:rPr>
          <w:i/>
        </w:rPr>
      </w:pPr>
    </w:p>
    <w:p>
      <w:pPr>
        <w:spacing w:before="116"/>
        <w:ind w:left="278" w:right="0" w:firstLine="0"/>
        <w:jc w:val="left"/>
        <w:rPr>
          <w:i/>
          <w:sz w:val="18"/>
        </w:rPr>
      </w:pPr>
      <w:r>
        <w:rPr>
          <w:b/>
          <w:i/>
          <w:color w:val="A21F1F"/>
          <w:sz w:val="18"/>
        </w:rPr>
        <w:t>Kilde: </w:t>
      </w:r>
      <w:r>
        <w:rPr>
          <w:i/>
          <w:color w:val="A21F1F"/>
          <w:sz w:val="18"/>
        </w:rPr>
        <w:t>Spørgeskemaundersøgelse blandt offentlige brugere</w:t>
      </w:r>
    </w:p>
    <w:p>
      <w:pPr>
        <w:spacing w:before="119"/>
        <w:ind w:left="278" w:right="0" w:firstLine="0"/>
        <w:jc w:val="left"/>
        <w:rPr>
          <w:i/>
          <w:sz w:val="18"/>
        </w:rPr>
      </w:pPr>
      <w:r>
        <w:rPr>
          <w:b/>
          <w:i/>
          <w:color w:val="A21F1F"/>
          <w:sz w:val="18"/>
        </w:rPr>
        <w:t>N: </w:t>
      </w:r>
      <w:r>
        <w:rPr>
          <w:i/>
          <w:color w:val="A21F1F"/>
          <w:sz w:val="18"/>
        </w:rPr>
        <w:t>71</w:t>
      </w:r>
    </w:p>
    <w:p>
      <w:pPr>
        <w:pStyle w:val="BodyText"/>
        <w:spacing w:before="8"/>
        <w:rPr>
          <w:i/>
          <w:sz w:val="28"/>
        </w:rPr>
      </w:pPr>
    </w:p>
    <w:p>
      <w:pPr>
        <w:pStyle w:val="BodyText"/>
        <w:spacing w:line="360" w:lineRule="auto" w:before="1"/>
        <w:ind w:left="278" w:right="1024"/>
      </w:pPr>
      <w:r>
        <w:rPr/>
        <w:t>I før-målingen blev der peget på et stærkt behov for at udbygge antallet af fælles temaer i kortene, så der etableres fælles databærende objekter, fx vedrørende vandløb, veje og bygninger. Lignende behov blev også udtrykt i interviews i forbindelse med nærværende analyse, hvor eksempelvis Scalgo pegede på et behov for data vedrørende jordbundsforhold og mere detaljerede vandtemaer, som kunne være med til at gøre Scalgos løsning endnu mere nøjagtig. Tilsvarende ønskede Hillerød Kommune adgang til flere data om energiforbrug og energiklassificering af ejendomme. Begge eksempler peger i retning af, at der skabes merværdi for anvenderne, hvis der både gives adgang til flere data og disse udstilles på en måde, så de kan kobles og sammenstilles med de frie geodata, fx ved at arbejde mod fælles, standardiserede datamodeller.</w:t>
      </w:r>
    </w:p>
    <w:p>
      <w:pPr>
        <w:spacing w:after="0" w:line="360" w:lineRule="auto"/>
        <w:sectPr>
          <w:pgSz w:w="11910" w:h="16840"/>
          <w:pgMar w:header="572" w:footer="577" w:top="1220" w:bottom="760" w:left="1140" w:right="0"/>
        </w:sectPr>
      </w:pPr>
    </w:p>
    <w:p>
      <w:pPr>
        <w:pStyle w:val="BodyText"/>
        <w:ind w:left="278"/>
      </w:pPr>
      <w:r>
        <w:rPr/>
        <w:pict>
          <v:group style="width:473.5pt;height:11.3pt;mso-position-horizontal-relative:char;mso-position-vertical-relative:line" coordorigin="0,0" coordsize="9470,226">
            <v:line style="position:absolute" from="14,7" to="9469,7" stroked="true" strokeweight=".72pt" strokecolor="#a21f1f">
              <v:stroke dashstyle="solid"/>
            </v:line>
            <v:line style="position:absolute" from="7,0" to="7,226" stroked="true" strokeweight=".72pt" strokecolor="#a21f1f">
              <v:stroke dashstyle="solid"/>
            </v:line>
          </v:group>
        </w:pict>
      </w:r>
      <w:r>
        <w:rPr/>
      </w:r>
    </w:p>
    <w:p>
      <w:pPr>
        <w:pStyle w:val="BodyText"/>
        <w:spacing w:line="184" w:lineRule="exact"/>
        <w:ind w:left="278"/>
      </w:pPr>
      <w:r>
        <w:rPr/>
        <w:t>Foruden manglende frisættelse af øvrige datasæt er der også peget på, at utilstrækkelige erfaringer og</w:t>
      </w:r>
    </w:p>
    <w:p>
      <w:pPr>
        <w:pStyle w:val="BodyText"/>
        <w:spacing w:line="360" w:lineRule="auto" w:before="114"/>
        <w:ind w:left="278" w:right="1092"/>
      </w:pPr>
      <w:r>
        <w:rPr/>
        <w:t>kompetencer på andre fagområder udgør en barriere for offentlige myndigheders anvendelse af geodata. Dette kom blandt andet til udtryk i interviews med Slots- og Kulturstyrelsen, hvor det var klart, at der ligger et stort potentiale i at brede anvendelsen af geodata ud i de øvrige dele af styrelsen, men at knaphed af geodata-kompetencer vanskeliggør dette.</w:t>
      </w:r>
    </w:p>
    <w:sectPr>
      <w:pgSz w:w="11910" w:h="16840"/>
      <w:pgMar w:header="572" w:footer="577" w:top="1220" w:bottom="760" w:left="1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944pt;margin-top:802.073975pt;width:22.05pt;height:12.6pt;mso-position-horizontal-relative:page;mso-position-vertical-relative:page;z-index:-181408" type="#_x0000_t202" filled="false" stroked="false">
          <v:textbox inset="0,0,0,0">
            <w:txbxContent>
              <w:p>
                <w:pPr>
                  <w:spacing w:before="13"/>
                  <w:ind w:left="20" w:right="0" w:firstLine="0"/>
                  <w:jc w:val="left"/>
                  <w:rPr>
                    <w:rFonts w:ascii="Arial"/>
                    <w:sz w:val="19"/>
                  </w:rPr>
                </w:pPr>
                <w:r>
                  <w:rPr>
                    <w:rFonts w:ascii="Arial"/>
                    <w:sz w:val="19"/>
                  </w:rPr>
                  <w:t>PwC</w:t>
                </w:r>
              </w:p>
            </w:txbxContent>
          </v:textbox>
          <w10:wrap type="none"/>
        </v:shape>
      </w:pict>
    </w:r>
    <w:r>
      <w:rPr/>
      <w:pict>
        <v:shape style="position:absolute;margin-left:508.100006pt;margin-top:802.073975pt;width:37.450pt;height:12.6pt;mso-position-horizontal-relative:page;mso-position-vertical-relative:page;z-index:-181384" type="#_x0000_t202" filled="false" stroked="false">
          <v:textbox inset="0,0,0,0">
            <w:txbxContent>
              <w:p>
                <w:pPr>
                  <w:spacing w:before="13"/>
                  <w:ind w:left="40" w:right="0" w:firstLine="0"/>
                  <w:jc w:val="left"/>
                  <w:rPr>
                    <w:rFonts w:ascii="Arial"/>
                    <w:sz w:val="19"/>
                  </w:rPr>
                </w:pPr>
                <w:r>
                  <w:rPr/>
                  <w:fldChar w:fldCharType="begin"/>
                </w:r>
                <w:r>
                  <w:rPr>
                    <w:rFonts w:ascii="Arial"/>
                    <w:sz w:val="19"/>
                  </w:rPr>
                  <w:instrText> PAGE </w:instrText>
                </w:r>
                <w:r>
                  <w:rPr/>
                  <w:fldChar w:fldCharType="separate"/>
                </w:r>
                <w:r>
                  <w:rPr/>
                  <w:t>10</w:t>
                </w:r>
                <w:r>
                  <w:rPr/>
                  <w:fldChar w:fldCharType="end"/>
                </w:r>
                <w:r>
                  <w:rPr>
                    <w:rFonts w:ascii="Arial"/>
                    <w:sz w:val="19"/>
                  </w:rPr>
                  <w:t> af 92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944pt;margin-top:802.073975pt;width:22.05pt;height:12.6pt;mso-position-horizontal-relative:page;mso-position-vertical-relative:page;z-index:-181360" type="#_x0000_t202" filled="false" stroked="false">
          <v:textbox inset="0,0,0,0">
            <w:txbxContent>
              <w:p>
                <w:pPr>
                  <w:spacing w:before="13"/>
                  <w:ind w:left="20" w:right="0" w:firstLine="0"/>
                  <w:jc w:val="left"/>
                  <w:rPr>
                    <w:rFonts w:ascii="Arial"/>
                    <w:sz w:val="19"/>
                  </w:rPr>
                </w:pPr>
                <w:r>
                  <w:rPr>
                    <w:rFonts w:ascii="Arial"/>
                    <w:sz w:val="19"/>
                  </w:rPr>
                  <w:t>PwC</w:t>
                </w:r>
              </w:p>
            </w:txbxContent>
          </v:textbox>
          <w10:wrap type="none"/>
        </v:shape>
      </w:pict>
    </w:r>
    <w:r>
      <w:rPr/>
      <w:pict>
        <v:shape style="position:absolute;margin-left:508.100006pt;margin-top:802.073975pt;width:37.450pt;height:12.6pt;mso-position-horizontal-relative:page;mso-position-vertical-relative:page;z-index:-181336" type="#_x0000_t202" filled="false" stroked="false">
          <v:textbox inset="0,0,0,0">
            <w:txbxContent>
              <w:p>
                <w:pPr>
                  <w:spacing w:before="13"/>
                  <w:ind w:left="40" w:right="0" w:firstLine="0"/>
                  <w:jc w:val="left"/>
                  <w:rPr>
                    <w:rFonts w:ascii="Arial"/>
                    <w:sz w:val="19"/>
                  </w:rPr>
                </w:pPr>
                <w:r>
                  <w:rPr/>
                  <w:fldChar w:fldCharType="begin"/>
                </w:r>
                <w:r>
                  <w:rPr>
                    <w:rFonts w:ascii="Arial"/>
                    <w:sz w:val="19"/>
                  </w:rPr>
                  <w:instrText> PAGE </w:instrText>
                </w:r>
                <w:r>
                  <w:rPr/>
                  <w:fldChar w:fldCharType="separate"/>
                </w:r>
                <w:r>
                  <w:rPr/>
                  <w:t>64</w:t>
                </w:r>
                <w:r>
                  <w:rPr/>
                  <w:fldChar w:fldCharType="end"/>
                </w:r>
                <w:r>
                  <w:rPr>
                    <w:rFonts w:ascii="Arial"/>
                    <w:sz w:val="19"/>
                  </w:rPr>
                  <w:t> af 92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176.259995pt;margin-top:27.146896pt;width:55.3pt;height:12.8pt;mso-position-horizontal-relative:page;mso-position-vertical-relative:page;z-index:-181456" type="#_x0000_t202" filled="false" stroked="false">
          <v:textbox inset="0,0,0,0">
            <w:txbxContent>
              <w:p>
                <w:pPr>
                  <w:spacing w:before="19"/>
                  <w:ind w:left="20" w:right="0" w:firstLine="0"/>
                  <w:jc w:val="left"/>
                  <w:rPr>
                    <w:sz w:val="19"/>
                  </w:rPr>
                </w:pPr>
                <w:hyperlink r:id="rId1">
                  <w:r>
                    <w:rPr>
                      <w:sz w:val="19"/>
                    </w:rPr>
                    <w:t>www.pwc.dk</w:t>
                  </w:r>
                </w:hyperlink>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9.944pt;margin-top:27.61799pt;width:172.1pt;height:12.6pt;mso-position-horizontal-relative:page;mso-position-vertical-relative:page;z-index:-181432" type="#_x0000_t202" filled="false" stroked="false">
          <v:textbox inset="0,0,0,0">
            <w:txbxContent>
              <w:p>
                <w:pPr>
                  <w:spacing w:before="13"/>
                  <w:ind w:left="20" w:right="0" w:firstLine="0"/>
                  <w:jc w:val="left"/>
                  <w:rPr>
                    <w:rFonts w:ascii="Arial" w:hAnsi="Arial"/>
                    <w:sz w:val="19"/>
                  </w:rPr>
                </w:pPr>
                <w:r>
                  <w:rPr>
                    <w:rFonts w:ascii="Arial" w:hAnsi="Arial"/>
                    <w:sz w:val="19"/>
                  </w:rPr>
                  <w:t>Effekten af de frie geodata – Eftermåling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11">
    <w:multiLevelType w:val="hybridMultilevel"/>
    <w:lvl w:ilvl="0">
      <w:start w:val="0"/>
      <w:numFmt w:val="bullet"/>
      <w:lvlText w:val=""/>
      <w:lvlJc w:val="left"/>
      <w:pPr>
        <w:ind w:left="991" w:hanging="356"/>
      </w:pPr>
      <w:rPr>
        <w:rFonts w:hint="default" w:ascii="Symbol" w:hAnsi="Symbol" w:eastAsia="Symbol" w:cs="Symbol"/>
        <w:w w:val="99"/>
        <w:sz w:val="20"/>
        <w:szCs w:val="20"/>
        <w:lang w:val="en-us" w:eastAsia="en-us" w:bidi="en-us"/>
      </w:rPr>
    </w:lvl>
    <w:lvl w:ilvl="1">
      <w:start w:val="0"/>
      <w:numFmt w:val="bullet"/>
      <w:lvlText w:val="•"/>
      <w:lvlJc w:val="left"/>
      <w:pPr>
        <w:ind w:left="1976" w:hanging="356"/>
      </w:pPr>
      <w:rPr>
        <w:rFonts w:hint="default"/>
        <w:lang w:val="en-us" w:eastAsia="en-us" w:bidi="en-us"/>
      </w:rPr>
    </w:lvl>
    <w:lvl w:ilvl="2">
      <w:start w:val="0"/>
      <w:numFmt w:val="bullet"/>
      <w:lvlText w:val="•"/>
      <w:lvlJc w:val="left"/>
      <w:pPr>
        <w:ind w:left="2953" w:hanging="356"/>
      </w:pPr>
      <w:rPr>
        <w:rFonts w:hint="default"/>
        <w:lang w:val="en-us" w:eastAsia="en-us" w:bidi="en-us"/>
      </w:rPr>
    </w:lvl>
    <w:lvl w:ilvl="3">
      <w:start w:val="0"/>
      <w:numFmt w:val="bullet"/>
      <w:lvlText w:val="•"/>
      <w:lvlJc w:val="left"/>
      <w:pPr>
        <w:ind w:left="3929" w:hanging="356"/>
      </w:pPr>
      <w:rPr>
        <w:rFonts w:hint="default"/>
        <w:lang w:val="en-us" w:eastAsia="en-us" w:bidi="en-us"/>
      </w:rPr>
    </w:lvl>
    <w:lvl w:ilvl="4">
      <w:start w:val="0"/>
      <w:numFmt w:val="bullet"/>
      <w:lvlText w:val="•"/>
      <w:lvlJc w:val="left"/>
      <w:pPr>
        <w:ind w:left="4906" w:hanging="356"/>
      </w:pPr>
      <w:rPr>
        <w:rFonts w:hint="default"/>
        <w:lang w:val="en-us" w:eastAsia="en-us" w:bidi="en-us"/>
      </w:rPr>
    </w:lvl>
    <w:lvl w:ilvl="5">
      <w:start w:val="0"/>
      <w:numFmt w:val="bullet"/>
      <w:lvlText w:val="•"/>
      <w:lvlJc w:val="left"/>
      <w:pPr>
        <w:ind w:left="5883" w:hanging="356"/>
      </w:pPr>
      <w:rPr>
        <w:rFonts w:hint="default"/>
        <w:lang w:val="en-us" w:eastAsia="en-us" w:bidi="en-us"/>
      </w:rPr>
    </w:lvl>
    <w:lvl w:ilvl="6">
      <w:start w:val="0"/>
      <w:numFmt w:val="bullet"/>
      <w:lvlText w:val="•"/>
      <w:lvlJc w:val="left"/>
      <w:pPr>
        <w:ind w:left="6859" w:hanging="356"/>
      </w:pPr>
      <w:rPr>
        <w:rFonts w:hint="default"/>
        <w:lang w:val="en-us" w:eastAsia="en-us" w:bidi="en-us"/>
      </w:rPr>
    </w:lvl>
    <w:lvl w:ilvl="7">
      <w:start w:val="0"/>
      <w:numFmt w:val="bullet"/>
      <w:lvlText w:val="•"/>
      <w:lvlJc w:val="left"/>
      <w:pPr>
        <w:ind w:left="7836" w:hanging="356"/>
      </w:pPr>
      <w:rPr>
        <w:rFonts w:hint="default"/>
        <w:lang w:val="en-us" w:eastAsia="en-us" w:bidi="en-us"/>
      </w:rPr>
    </w:lvl>
    <w:lvl w:ilvl="8">
      <w:start w:val="0"/>
      <w:numFmt w:val="bullet"/>
      <w:lvlText w:val="•"/>
      <w:lvlJc w:val="left"/>
      <w:pPr>
        <w:ind w:left="8813" w:hanging="356"/>
      </w:pPr>
      <w:rPr>
        <w:rFonts w:hint="default"/>
        <w:lang w:val="en-us" w:eastAsia="en-us" w:bidi="en-us"/>
      </w:rPr>
    </w:lvl>
  </w:abstractNum>
  <w:abstractNum w:abstractNumId="9">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8">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7">
    <w:multiLevelType w:val="hybridMultilevel"/>
    <w:lvl w:ilvl="0">
      <w:start w:val="1"/>
      <w:numFmt w:val="decimal"/>
      <w:lvlText w:val="%1."/>
      <w:lvlJc w:val="left"/>
      <w:pPr>
        <w:ind w:left="998" w:hanging="360"/>
        <w:jc w:val="left"/>
      </w:pPr>
      <w:rPr>
        <w:rFonts w:hint="default"/>
        <w:b/>
        <w:bCs/>
        <w:w w:val="99"/>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5">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3">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36">
    <w:multiLevelType w:val="hybridMultilevel"/>
    <w:lvl w:ilvl="0">
      <w:start w:val="8"/>
      <w:numFmt w:val="decimal"/>
      <w:lvlText w:val="%1"/>
      <w:lvlJc w:val="left"/>
      <w:pPr>
        <w:ind w:left="998" w:hanging="720"/>
        <w:jc w:val="left"/>
      </w:pPr>
      <w:rPr>
        <w:rFonts w:hint="default"/>
        <w:lang w:val="en-us" w:eastAsia="en-us" w:bidi="en-us"/>
      </w:rPr>
    </w:lvl>
    <w:lvl w:ilvl="1">
      <w:start w:val="3"/>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2"/>
        <w:w w:val="99"/>
        <w:sz w:val="32"/>
        <w:szCs w:val="32"/>
        <w:lang w:val="en-us" w:eastAsia="en-us" w:bidi="en-us"/>
      </w:rPr>
    </w:lvl>
    <w:lvl w:ilvl="3">
      <w:start w:val="0"/>
      <w:numFmt w:val="bullet"/>
      <w:lvlText w:val=""/>
      <w:lvlJc w:val="left"/>
      <w:pPr>
        <w:ind w:left="998" w:hanging="360"/>
      </w:pPr>
      <w:rPr>
        <w:rFonts w:hint="default" w:ascii="Symbol" w:hAnsi="Symbol" w:eastAsia="Symbol" w:cs="Symbol"/>
        <w:w w:val="99"/>
        <w:sz w:val="20"/>
        <w:szCs w:val="20"/>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35">
    <w:multiLevelType w:val="hybridMultilevel"/>
    <w:lvl w:ilvl="0">
      <w:start w:val="8"/>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0"/>
      <w:numFmt w:val="bullet"/>
      <w:lvlText w:val="•"/>
      <w:lvlJc w:val="left"/>
      <w:pPr>
        <w:ind w:left="2841" w:hanging="576"/>
      </w:pPr>
      <w:rPr>
        <w:rFonts w:hint="default"/>
        <w:lang w:val="en-us" w:eastAsia="en-us" w:bidi="en-us"/>
      </w:rPr>
    </w:lvl>
    <w:lvl w:ilvl="3">
      <w:start w:val="0"/>
      <w:numFmt w:val="bullet"/>
      <w:lvlText w:val="•"/>
      <w:lvlJc w:val="left"/>
      <w:pPr>
        <w:ind w:left="3831" w:hanging="576"/>
      </w:pPr>
      <w:rPr>
        <w:rFonts w:hint="default"/>
        <w:lang w:val="en-us" w:eastAsia="en-us" w:bidi="en-us"/>
      </w:rPr>
    </w:lvl>
    <w:lvl w:ilvl="4">
      <w:start w:val="0"/>
      <w:numFmt w:val="bullet"/>
      <w:lvlText w:val="•"/>
      <w:lvlJc w:val="left"/>
      <w:pPr>
        <w:ind w:left="4822" w:hanging="576"/>
      </w:pPr>
      <w:rPr>
        <w:rFonts w:hint="default"/>
        <w:lang w:val="en-us" w:eastAsia="en-us" w:bidi="en-us"/>
      </w:rPr>
    </w:lvl>
    <w:lvl w:ilvl="5">
      <w:start w:val="0"/>
      <w:numFmt w:val="bullet"/>
      <w:lvlText w:val="•"/>
      <w:lvlJc w:val="left"/>
      <w:pPr>
        <w:ind w:left="5813" w:hanging="576"/>
      </w:pPr>
      <w:rPr>
        <w:rFonts w:hint="default"/>
        <w:lang w:val="en-us" w:eastAsia="en-us" w:bidi="en-us"/>
      </w:rPr>
    </w:lvl>
    <w:lvl w:ilvl="6">
      <w:start w:val="0"/>
      <w:numFmt w:val="bullet"/>
      <w:lvlText w:val="•"/>
      <w:lvlJc w:val="left"/>
      <w:pPr>
        <w:ind w:left="6803" w:hanging="576"/>
      </w:pPr>
      <w:rPr>
        <w:rFonts w:hint="default"/>
        <w:lang w:val="en-us" w:eastAsia="en-us" w:bidi="en-us"/>
      </w:rPr>
    </w:lvl>
    <w:lvl w:ilvl="7">
      <w:start w:val="0"/>
      <w:numFmt w:val="bullet"/>
      <w:lvlText w:val="•"/>
      <w:lvlJc w:val="left"/>
      <w:pPr>
        <w:ind w:left="7794" w:hanging="576"/>
      </w:pPr>
      <w:rPr>
        <w:rFonts w:hint="default"/>
        <w:lang w:val="en-us" w:eastAsia="en-us" w:bidi="en-us"/>
      </w:rPr>
    </w:lvl>
    <w:lvl w:ilvl="8">
      <w:start w:val="0"/>
      <w:numFmt w:val="bullet"/>
      <w:lvlText w:val="•"/>
      <w:lvlJc w:val="left"/>
      <w:pPr>
        <w:ind w:left="8785" w:hanging="576"/>
      </w:pPr>
      <w:rPr>
        <w:rFonts w:hint="default"/>
        <w:lang w:val="en-us" w:eastAsia="en-us" w:bidi="en-us"/>
      </w:rPr>
    </w:lvl>
  </w:abstractNum>
  <w:abstractNum w:abstractNumId="32">
    <w:multiLevelType w:val="hybridMultilevel"/>
    <w:lvl w:ilvl="0">
      <w:start w:val="0"/>
      <w:numFmt w:val="bullet"/>
      <w:lvlText w:val="•"/>
      <w:lvlJc w:val="left"/>
      <w:pPr>
        <w:ind w:left="172" w:hanging="123"/>
      </w:pPr>
      <w:rPr>
        <w:rFonts w:hint="default" w:ascii="Arial" w:hAnsi="Arial" w:eastAsia="Arial" w:cs="Arial"/>
        <w:color w:val="FFFFFF"/>
        <w:w w:val="105"/>
        <w:sz w:val="15"/>
        <w:szCs w:val="15"/>
        <w:lang w:val="en-us" w:eastAsia="en-us" w:bidi="en-us"/>
      </w:rPr>
    </w:lvl>
    <w:lvl w:ilvl="1">
      <w:start w:val="0"/>
      <w:numFmt w:val="bullet"/>
      <w:lvlText w:val="•"/>
      <w:lvlJc w:val="left"/>
      <w:pPr>
        <w:ind w:left="347" w:hanging="123"/>
      </w:pPr>
      <w:rPr>
        <w:rFonts w:hint="default"/>
        <w:lang w:val="en-us" w:eastAsia="en-us" w:bidi="en-us"/>
      </w:rPr>
    </w:lvl>
    <w:lvl w:ilvl="2">
      <w:start w:val="0"/>
      <w:numFmt w:val="bullet"/>
      <w:lvlText w:val="•"/>
      <w:lvlJc w:val="left"/>
      <w:pPr>
        <w:ind w:left="515" w:hanging="123"/>
      </w:pPr>
      <w:rPr>
        <w:rFonts w:hint="default"/>
        <w:lang w:val="en-us" w:eastAsia="en-us" w:bidi="en-us"/>
      </w:rPr>
    </w:lvl>
    <w:lvl w:ilvl="3">
      <w:start w:val="0"/>
      <w:numFmt w:val="bullet"/>
      <w:lvlText w:val="•"/>
      <w:lvlJc w:val="left"/>
      <w:pPr>
        <w:ind w:left="682" w:hanging="123"/>
      </w:pPr>
      <w:rPr>
        <w:rFonts w:hint="default"/>
        <w:lang w:val="en-us" w:eastAsia="en-us" w:bidi="en-us"/>
      </w:rPr>
    </w:lvl>
    <w:lvl w:ilvl="4">
      <w:start w:val="0"/>
      <w:numFmt w:val="bullet"/>
      <w:lvlText w:val="•"/>
      <w:lvlJc w:val="left"/>
      <w:pPr>
        <w:ind w:left="850" w:hanging="123"/>
      </w:pPr>
      <w:rPr>
        <w:rFonts w:hint="default"/>
        <w:lang w:val="en-us" w:eastAsia="en-us" w:bidi="en-us"/>
      </w:rPr>
    </w:lvl>
    <w:lvl w:ilvl="5">
      <w:start w:val="0"/>
      <w:numFmt w:val="bullet"/>
      <w:lvlText w:val="•"/>
      <w:lvlJc w:val="left"/>
      <w:pPr>
        <w:ind w:left="1018" w:hanging="123"/>
      </w:pPr>
      <w:rPr>
        <w:rFonts w:hint="default"/>
        <w:lang w:val="en-us" w:eastAsia="en-us" w:bidi="en-us"/>
      </w:rPr>
    </w:lvl>
    <w:lvl w:ilvl="6">
      <w:start w:val="0"/>
      <w:numFmt w:val="bullet"/>
      <w:lvlText w:val="•"/>
      <w:lvlJc w:val="left"/>
      <w:pPr>
        <w:ind w:left="1185" w:hanging="123"/>
      </w:pPr>
      <w:rPr>
        <w:rFonts w:hint="default"/>
        <w:lang w:val="en-us" w:eastAsia="en-us" w:bidi="en-us"/>
      </w:rPr>
    </w:lvl>
    <w:lvl w:ilvl="7">
      <w:start w:val="0"/>
      <w:numFmt w:val="bullet"/>
      <w:lvlText w:val="•"/>
      <w:lvlJc w:val="left"/>
      <w:pPr>
        <w:ind w:left="1353" w:hanging="123"/>
      </w:pPr>
      <w:rPr>
        <w:rFonts w:hint="default"/>
        <w:lang w:val="en-us" w:eastAsia="en-us" w:bidi="en-us"/>
      </w:rPr>
    </w:lvl>
    <w:lvl w:ilvl="8">
      <w:start w:val="0"/>
      <w:numFmt w:val="bullet"/>
      <w:lvlText w:val="•"/>
      <w:lvlJc w:val="left"/>
      <w:pPr>
        <w:ind w:left="1521" w:hanging="123"/>
      </w:pPr>
      <w:rPr>
        <w:rFonts w:hint="default"/>
        <w:lang w:val="en-us" w:eastAsia="en-us" w:bidi="en-us"/>
      </w:rPr>
    </w:lvl>
  </w:abstractNum>
  <w:abstractNum w:abstractNumId="34">
    <w:multiLevelType w:val="hybridMultilevel"/>
    <w:lvl w:ilvl="0">
      <w:start w:val="0"/>
      <w:numFmt w:val="bullet"/>
      <w:lvlText w:val=""/>
      <w:lvlJc w:val="left"/>
      <w:pPr>
        <w:ind w:left="998" w:hanging="360"/>
      </w:pPr>
      <w:rPr>
        <w:rFonts w:hint="default" w:ascii="Symbol" w:hAnsi="Symbol" w:eastAsia="Symbol" w:cs="Symbol"/>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33">
    <w:multiLevelType w:val="hybridMultilevel"/>
    <w:lvl w:ilvl="0">
      <w:start w:val="0"/>
      <w:numFmt w:val="bullet"/>
      <w:lvlText w:val="•"/>
      <w:lvlJc w:val="left"/>
      <w:pPr>
        <w:ind w:left="174" w:hanging="123"/>
      </w:pPr>
      <w:rPr>
        <w:rFonts w:hint="default" w:ascii="Arial" w:hAnsi="Arial" w:eastAsia="Arial" w:cs="Arial"/>
        <w:color w:val="FFFFFF"/>
        <w:w w:val="105"/>
        <w:sz w:val="15"/>
        <w:szCs w:val="15"/>
        <w:lang w:val="en-us" w:eastAsia="en-us" w:bidi="en-us"/>
      </w:rPr>
    </w:lvl>
    <w:lvl w:ilvl="1">
      <w:start w:val="0"/>
      <w:numFmt w:val="bullet"/>
      <w:lvlText w:val="•"/>
      <w:lvlJc w:val="left"/>
      <w:pPr>
        <w:ind w:left="367" w:hanging="123"/>
      </w:pPr>
      <w:rPr>
        <w:rFonts w:hint="default"/>
        <w:lang w:val="en-us" w:eastAsia="en-us" w:bidi="en-us"/>
      </w:rPr>
    </w:lvl>
    <w:lvl w:ilvl="2">
      <w:start w:val="0"/>
      <w:numFmt w:val="bullet"/>
      <w:lvlText w:val="•"/>
      <w:lvlJc w:val="left"/>
      <w:pPr>
        <w:ind w:left="554" w:hanging="123"/>
      </w:pPr>
      <w:rPr>
        <w:rFonts w:hint="default"/>
        <w:lang w:val="en-us" w:eastAsia="en-us" w:bidi="en-us"/>
      </w:rPr>
    </w:lvl>
    <w:lvl w:ilvl="3">
      <w:start w:val="0"/>
      <w:numFmt w:val="bullet"/>
      <w:lvlText w:val="•"/>
      <w:lvlJc w:val="left"/>
      <w:pPr>
        <w:ind w:left="741" w:hanging="123"/>
      </w:pPr>
      <w:rPr>
        <w:rFonts w:hint="default"/>
        <w:lang w:val="en-us" w:eastAsia="en-us" w:bidi="en-us"/>
      </w:rPr>
    </w:lvl>
    <w:lvl w:ilvl="4">
      <w:start w:val="0"/>
      <w:numFmt w:val="bullet"/>
      <w:lvlText w:val="•"/>
      <w:lvlJc w:val="left"/>
      <w:pPr>
        <w:ind w:left="928" w:hanging="123"/>
      </w:pPr>
      <w:rPr>
        <w:rFonts w:hint="default"/>
        <w:lang w:val="en-us" w:eastAsia="en-us" w:bidi="en-us"/>
      </w:rPr>
    </w:lvl>
    <w:lvl w:ilvl="5">
      <w:start w:val="0"/>
      <w:numFmt w:val="bullet"/>
      <w:lvlText w:val="•"/>
      <w:lvlJc w:val="left"/>
      <w:pPr>
        <w:ind w:left="1115" w:hanging="123"/>
      </w:pPr>
      <w:rPr>
        <w:rFonts w:hint="default"/>
        <w:lang w:val="en-us" w:eastAsia="en-us" w:bidi="en-us"/>
      </w:rPr>
    </w:lvl>
    <w:lvl w:ilvl="6">
      <w:start w:val="0"/>
      <w:numFmt w:val="bullet"/>
      <w:lvlText w:val="•"/>
      <w:lvlJc w:val="left"/>
      <w:pPr>
        <w:ind w:left="1302" w:hanging="123"/>
      </w:pPr>
      <w:rPr>
        <w:rFonts w:hint="default"/>
        <w:lang w:val="en-us" w:eastAsia="en-us" w:bidi="en-us"/>
      </w:rPr>
    </w:lvl>
    <w:lvl w:ilvl="7">
      <w:start w:val="0"/>
      <w:numFmt w:val="bullet"/>
      <w:lvlText w:val="•"/>
      <w:lvlJc w:val="left"/>
      <w:pPr>
        <w:ind w:left="1489" w:hanging="123"/>
      </w:pPr>
      <w:rPr>
        <w:rFonts w:hint="default"/>
        <w:lang w:val="en-us" w:eastAsia="en-us" w:bidi="en-us"/>
      </w:rPr>
    </w:lvl>
    <w:lvl w:ilvl="8">
      <w:start w:val="0"/>
      <w:numFmt w:val="bullet"/>
      <w:lvlText w:val="•"/>
      <w:lvlJc w:val="left"/>
      <w:pPr>
        <w:ind w:left="1676" w:hanging="123"/>
      </w:pPr>
      <w:rPr>
        <w:rFonts w:hint="default"/>
        <w:lang w:val="en-us" w:eastAsia="en-us" w:bidi="en-us"/>
      </w:rPr>
    </w:lvl>
  </w:abstractNum>
  <w:abstractNum w:abstractNumId="31">
    <w:multiLevelType w:val="hybridMultilevel"/>
    <w:lvl w:ilvl="0">
      <w:start w:val="0"/>
      <w:numFmt w:val="bullet"/>
      <w:lvlText w:val="•"/>
      <w:lvlJc w:val="left"/>
      <w:pPr>
        <w:ind w:left="174" w:hanging="123"/>
      </w:pPr>
      <w:rPr>
        <w:rFonts w:hint="default" w:ascii="Arial" w:hAnsi="Arial" w:eastAsia="Arial" w:cs="Arial"/>
        <w:color w:val="FFFFFF"/>
        <w:w w:val="105"/>
        <w:sz w:val="15"/>
        <w:szCs w:val="15"/>
        <w:lang w:val="en-us" w:eastAsia="en-us" w:bidi="en-us"/>
      </w:rPr>
    </w:lvl>
    <w:lvl w:ilvl="1">
      <w:start w:val="0"/>
      <w:numFmt w:val="bullet"/>
      <w:lvlText w:val="•"/>
      <w:lvlJc w:val="left"/>
      <w:pPr>
        <w:ind w:left="367" w:hanging="123"/>
      </w:pPr>
      <w:rPr>
        <w:rFonts w:hint="default"/>
        <w:lang w:val="en-us" w:eastAsia="en-us" w:bidi="en-us"/>
      </w:rPr>
    </w:lvl>
    <w:lvl w:ilvl="2">
      <w:start w:val="0"/>
      <w:numFmt w:val="bullet"/>
      <w:lvlText w:val="•"/>
      <w:lvlJc w:val="left"/>
      <w:pPr>
        <w:ind w:left="554" w:hanging="123"/>
      </w:pPr>
      <w:rPr>
        <w:rFonts w:hint="default"/>
        <w:lang w:val="en-us" w:eastAsia="en-us" w:bidi="en-us"/>
      </w:rPr>
    </w:lvl>
    <w:lvl w:ilvl="3">
      <w:start w:val="0"/>
      <w:numFmt w:val="bullet"/>
      <w:lvlText w:val="•"/>
      <w:lvlJc w:val="left"/>
      <w:pPr>
        <w:ind w:left="741" w:hanging="123"/>
      </w:pPr>
      <w:rPr>
        <w:rFonts w:hint="default"/>
        <w:lang w:val="en-us" w:eastAsia="en-us" w:bidi="en-us"/>
      </w:rPr>
    </w:lvl>
    <w:lvl w:ilvl="4">
      <w:start w:val="0"/>
      <w:numFmt w:val="bullet"/>
      <w:lvlText w:val="•"/>
      <w:lvlJc w:val="left"/>
      <w:pPr>
        <w:ind w:left="928" w:hanging="123"/>
      </w:pPr>
      <w:rPr>
        <w:rFonts w:hint="default"/>
        <w:lang w:val="en-us" w:eastAsia="en-us" w:bidi="en-us"/>
      </w:rPr>
    </w:lvl>
    <w:lvl w:ilvl="5">
      <w:start w:val="0"/>
      <w:numFmt w:val="bullet"/>
      <w:lvlText w:val="•"/>
      <w:lvlJc w:val="left"/>
      <w:pPr>
        <w:ind w:left="1115" w:hanging="123"/>
      </w:pPr>
      <w:rPr>
        <w:rFonts w:hint="default"/>
        <w:lang w:val="en-us" w:eastAsia="en-us" w:bidi="en-us"/>
      </w:rPr>
    </w:lvl>
    <w:lvl w:ilvl="6">
      <w:start w:val="0"/>
      <w:numFmt w:val="bullet"/>
      <w:lvlText w:val="•"/>
      <w:lvlJc w:val="left"/>
      <w:pPr>
        <w:ind w:left="1302" w:hanging="123"/>
      </w:pPr>
      <w:rPr>
        <w:rFonts w:hint="default"/>
        <w:lang w:val="en-us" w:eastAsia="en-us" w:bidi="en-us"/>
      </w:rPr>
    </w:lvl>
    <w:lvl w:ilvl="7">
      <w:start w:val="0"/>
      <w:numFmt w:val="bullet"/>
      <w:lvlText w:val="•"/>
      <w:lvlJc w:val="left"/>
      <w:pPr>
        <w:ind w:left="1489" w:hanging="123"/>
      </w:pPr>
      <w:rPr>
        <w:rFonts w:hint="default"/>
        <w:lang w:val="en-us" w:eastAsia="en-us" w:bidi="en-us"/>
      </w:rPr>
    </w:lvl>
    <w:lvl w:ilvl="8">
      <w:start w:val="0"/>
      <w:numFmt w:val="bullet"/>
      <w:lvlText w:val="•"/>
      <w:lvlJc w:val="left"/>
      <w:pPr>
        <w:ind w:left="1676" w:hanging="123"/>
      </w:pPr>
      <w:rPr>
        <w:rFonts w:hint="default"/>
        <w:lang w:val="en-us" w:eastAsia="en-us" w:bidi="en-us"/>
      </w:rPr>
    </w:lvl>
  </w:abstractNum>
  <w:abstractNum w:abstractNumId="30">
    <w:multiLevelType w:val="hybridMultilevel"/>
    <w:lvl w:ilvl="0">
      <w:start w:val="7"/>
      <w:numFmt w:val="decimal"/>
      <w:lvlText w:val="%1"/>
      <w:lvlJc w:val="left"/>
      <w:pPr>
        <w:ind w:left="998" w:hanging="720"/>
        <w:jc w:val="left"/>
      </w:pPr>
      <w:rPr>
        <w:rFonts w:hint="default"/>
        <w:lang w:val="en-us" w:eastAsia="en-us" w:bidi="en-us"/>
      </w:rPr>
    </w:lvl>
    <w:lvl w:ilvl="1">
      <w:start w:val="2"/>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w w:val="99"/>
        <w:sz w:val="32"/>
        <w:szCs w:val="32"/>
        <w:lang w:val="en-us" w:eastAsia="en-us" w:bidi="en-us"/>
      </w:rPr>
    </w:lvl>
    <w:lvl w:ilvl="3">
      <w:start w:val="0"/>
      <w:numFmt w:val="bullet"/>
      <w:lvlText w:val="•"/>
      <w:lvlJc w:val="left"/>
      <w:pPr>
        <w:ind w:left="3929" w:hanging="720"/>
      </w:pPr>
      <w:rPr>
        <w:rFonts w:hint="default"/>
        <w:lang w:val="en-us" w:eastAsia="en-us" w:bidi="en-us"/>
      </w:rPr>
    </w:lvl>
    <w:lvl w:ilvl="4">
      <w:start w:val="0"/>
      <w:numFmt w:val="bullet"/>
      <w:lvlText w:val="•"/>
      <w:lvlJc w:val="left"/>
      <w:pPr>
        <w:ind w:left="4906" w:hanging="720"/>
      </w:pPr>
      <w:rPr>
        <w:rFonts w:hint="default"/>
        <w:lang w:val="en-us" w:eastAsia="en-us" w:bidi="en-us"/>
      </w:rPr>
    </w:lvl>
    <w:lvl w:ilvl="5">
      <w:start w:val="0"/>
      <w:numFmt w:val="bullet"/>
      <w:lvlText w:val="•"/>
      <w:lvlJc w:val="left"/>
      <w:pPr>
        <w:ind w:left="5883" w:hanging="720"/>
      </w:pPr>
      <w:rPr>
        <w:rFonts w:hint="default"/>
        <w:lang w:val="en-us" w:eastAsia="en-us" w:bidi="en-us"/>
      </w:rPr>
    </w:lvl>
    <w:lvl w:ilvl="6">
      <w:start w:val="0"/>
      <w:numFmt w:val="bullet"/>
      <w:lvlText w:val="•"/>
      <w:lvlJc w:val="left"/>
      <w:pPr>
        <w:ind w:left="6859" w:hanging="720"/>
      </w:pPr>
      <w:rPr>
        <w:rFonts w:hint="default"/>
        <w:lang w:val="en-us" w:eastAsia="en-us" w:bidi="en-us"/>
      </w:rPr>
    </w:lvl>
    <w:lvl w:ilvl="7">
      <w:start w:val="0"/>
      <w:numFmt w:val="bullet"/>
      <w:lvlText w:val="•"/>
      <w:lvlJc w:val="left"/>
      <w:pPr>
        <w:ind w:left="7836" w:hanging="720"/>
      </w:pPr>
      <w:rPr>
        <w:rFonts w:hint="default"/>
        <w:lang w:val="en-us" w:eastAsia="en-us" w:bidi="en-us"/>
      </w:rPr>
    </w:lvl>
    <w:lvl w:ilvl="8">
      <w:start w:val="0"/>
      <w:numFmt w:val="bullet"/>
      <w:lvlText w:val="•"/>
      <w:lvlJc w:val="left"/>
      <w:pPr>
        <w:ind w:left="8813" w:hanging="720"/>
      </w:pPr>
      <w:rPr>
        <w:rFonts w:hint="default"/>
        <w:lang w:val="en-us" w:eastAsia="en-us" w:bidi="en-us"/>
      </w:rPr>
    </w:lvl>
  </w:abstractNum>
  <w:abstractNum w:abstractNumId="28">
    <w:multiLevelType w:val="hybridMultilevel"/>
    <w:lvl w:ilvl="0">
      <w:start w:val="0"/>
      <w:numFmt w:val="bullet"/>
      <w:lvlText w:val="•"/>
      <w:lvlJc w:val="left"/>
      <w:pPr>
        <w:ind w:left="174" w:hanging="124"/>
      </w:pPr>
      <w:rPr>
        <w:rFonts w:hint="default" w:ascii="Arial" w:hAnsi="Arial" w:eastAsia="Arial" w:cs="Arial"/>
        <w:color w:val="FFFFFF"/>
        <w:w w:val="106"/>
        <w:sz w:val="15"/>
        <w:szCs w:val="15"/>
        <w:lang w:val="en-us" w:eastAsia="en-us" w:bidi="en-us"/>
      </w:rPr>
    </w:lvl>
    <w:lvl w:ilvl="1">
      <w:start w:val="0"/>
      <w:numFmt w:val="bullet"/>
      <w:lvlText w:val="•"/>
      <w:lvlJc w:val="left"/>
      <w:pPr>
        <w:ind w:left="349" w:hanging="124"/>
      </w:pPr>
      <w:rPr>
        <w:rFonts w:hint="default"/>
        <w:lang w:val="en-us" w:eastAsia="en-us" w:bidi="en-us"/>
      </w:rPr>
    </w:lvl>
    <w:lvl w:ilvl="2">
      <w:start w:val="0"/>
      <w:numFmt w:val="bullet"/>
      <w:lvlText w:val="•"/>
      <w:lvlJc w:val="left"/>
      <w:pPr>
        <w:ind w:left="518" w:hanging="124"/>
      </w:pPr>
      <w:rPr>
        <w:rFonts w:hint="default"/>
        <w:lang w:val="en-us" w:eastAsia="en-us" w:bidi="en-us"/>
      </w:rPr>
    </w:lvl>
    <w:lvl w:ilvl="3">
      <w:start w:val="0"/>
      <w:numFmt w:val="bullet"/>
      <w:lvlText w:val="•"/>
      <w:lvlJc w:val="left"/>
      <w:pPr>
        <w:ind w:left="688" w:hanging="124"/>
      </w:pPr>
      <w:rPr>
        <w:rFonts w:hint="default"/>
        <w:lang w:val="en-us" w:eastAsia="en-us" w:bidi="en-us"/>
      </w:rPr>
    </w:lvl>
    <w:lvl w:ilvl="4">
      <w:start w:val="0"/>
      <w:numFmt w:val="bullet"/>
      <w:lvlText w:val="•"/>
      <w:lvlJc w:val="left"/>
      <w:pPr>
        <w:ind w:left="857" w:hanging="124"/>
      </w:pPr>
      <w:rPr>
        <w:rFonts w:hint="default"/>
        <w:lang w:val="en-us" w:eastAsia="en-us" w:bidi="en-us"/>
      </w:rPr>
    </w:lvl>
    <w:lvl w:ilvl="5">
      <w:start w:val="0"/>
      <w:numFmt w:val="bullet"/>
      <w:lvlText w:val="•"/>
      <w:lvlJc w:val="left"/>
      <w:pPr>
        <w:ind w:left="1027" w:hanging="124"/>
      </w:pPr>
      <w:rPr>
        <w:rFonts w:hint="default"/>
        <w:lang w:val="en-us" w:eastAsia="en-us" w:bidi="en-us"/>
      </w:rPr>
    </w:lvl>
    <w:lvl w:ilvl="6">
      <w:start w:val="0"/>
      <w:numFmt w:val="bullet"/>
      <w:lvlText w:val="•"/>
      <w:lvlJc w:val="left"/>
      <w:pPr>
        <w:ind w:left="1196" w:hanging="124"/>
      </w:pPr>
      <w:rPr>
        <w:rFonts w:hint="default"/>
        <w:lang w:val="en-us" w:eastAsia="en-us" w:bidi="en-us"/>
      </w:rPr>
    </w:lvl>
    <w:lvl w:ilvl="7">
      <w:start w:val="0"/>
      <w:numFmt w:val="bullet"/>
      <w:lvlText w:val="•"/>
      <w:lvlJc w:val="left"/>
      <w:pPr>
        <w:ind w:left="1366" w:hanging="124"/>
      </w:pPr>
      <w:rPr>
        <w:rFonts w:hint="default"/>
        <w:lang w:val="en-us" w:eastAsia="en-us" w:bidi="en-us"/>
      </w:rPr>
    </w:lvl>
    <w:lvl w:ilvl="8">
      <w:start w:val="0"/>
      <w:numFmt w:val="bullet"/>
      <w:lvlText w:val="•"/>
      <w:lvlJc w:val="left"/>
      <w:pPr>
        <w:ind w:left="1535" w:hanging="124"/>
      </w:pPr>
      <w:rPr>
        <w:rFonts w:hint="default"/>
        <w:lang w:val="en-us" w:eastAsia="en-us" w:bidi="en-us"/>
      </w:rPr>
    </w:lvl>
  </w:abstractNum>
  <w:abstractNum w:abstractNumId="29">
    <w:multiLevelType w:val="hybridMultilevel"/>
    <w:lvl w:ilvl="0">
      <w:start w:val="0"/>
      <w:numFmt w:val="bullet"/>
      <w:lvlText w:val="•"/>
      <w:lvlJc w:val="left"/>
      <w:pPr>
        <w:ind w:left="175" w:hanging="124"/>
      </w:pPr>
      <w:rPr>
        <w:rFonts w:hint="default" w:ascii="Arial" w:hAnsi="Arial" w:eastAsia="Arial" w:cs="Arial"/>
        <w:color w:val="FFFFFF"/>
        <w:w w:val="106"/>
        <w:sz w:val="15"/>
        <w:szCs w:val="15"/>
        <w:lang w:val="en-us" w:eastAsia="en-us" w:bidi="en-us"/>
      </w:rPr>
    </w:lvl>
    <w:lvl w:ilvl="1">
      <w:start w:val="0"/>
      <w:numFmt w:val="bullet"/>
      <w:lvlText w:val="•"/>
      <w:lvlJc w:val="left"/>
      <w:pPr>
        <w:ind w:left="356" w:hanging="124"/>
      </w:pPr>
      <w:rPr>
        <w:rFonts w:hint="default"/>
        <w:lang w:val="en-us" w:eastAsia="en-us" w:bidi="en-us"/>
      </w:rPr>
    </w:lvl>
    <w:lvl w:ilvl="2">
      <w:start w:val="0"/>
      <w:numFmt w:val="bullet"/>
      <w:lvlText w:val="•"/>
      <w:lvlJc w:val="left"/>
      <w:pPr>
        <w:ind w:left="532" w:hanging="124"/>
      </w:pPr>
      <w:rPr>
        <w:rFonts w:hint="default"/>
        <w:lang w:val="en-us" w:eastAsia="en-us" w:bidi="en-us"/>
      </w:rPr>
    </w:lvl>
    <w:lvl w:ilvl="3">
      <w:start w:val="0"/>
      <w:numFmt w:val="bullet"/>
      <w:lvlText w:val="•"/>
      <w:lvlJc w:val="left"/>
      <w:pPr>
        <w:ind w:left="708" w:hanging="124"/>
      </w:pPr>
      <w:rPr>
        <w:rFonts w:hint="default"/>
        <w:lang w:val="en-us" w:eastAsia="en-us" w:bidi="en-us"/>
      </w:rPr>
    </w:lvl>
    <w:lvl w:ilvl="4">
      <w:start w:val="0"/>
      <w:numFmt w:val="bullet"/>
      <w:lvlText w:val="•"/>
      <w:lvlJc w:val="left"/>
      <w:pPr>
        <w:ind w:left="885" w:hanging="124"/>
      </w:pPr>
      <w:rPr>
        <w:rFonts w:hint="default"/>
        <w:lang w:val="en-us" w:eastAsia="en-us" w:bidi="en-us"/>
      </w:rPr>
    </w:lvl>
    <w:lvl w:ilvl="5">
      <w:start w:val="0"/>
      <w:numFmt w:val="bullet"/>
      <w:lvlText w:val="•"/>
      <w:lvlJc w:val="left"/>
      <w:pPr>
        <w:ind w:left="1061" w:hanging="124"/>
      </w:pPr>
      <w:rPr>
        <w:rFonts w:hint="default"/>
        <w:lang w:val="en-us" w:eastAsia="en-us" w:bidi="en-us"/>
      </w:rPr>
    </w:lvl>
    <w:lvl w:ilvl="6">
      <w:start w:val="0"/>
      <w:numFmt w:val="bullet"/>
      <w:lvlText w:val="•"/>
      <w:lvlJc w:val="left"/>
      <w:pPr>
        <w:ind w:left="1237" w:hanging="124"/>
      </w:pPr>
      <w:rPr>
        <w:rFonts w:hint="default"/>
        <w:lang w:val="en-us" w:eastAsia="en-us" w:bidi="en-us"/>
      </w:rPr>
    </w:lvl>
    <w:lvl w:ilvl="7">
      <w:start w:val="0"/>
      <w:numFmt w:val="bullet"/>
      <w:lvlText w:val="•"/>
      <w:lvlJc w:val="left"/>
      <w:pPr>
        <w:ind w:left="1413" w:hanging="124"/>
      </w:pPr>
      <w:rPr>
        <w:rFonts w:hint="default"/>
        <w:lang w:val="en-us" w:eastAsia="en-us" w:bidi="en-us"/>
      </w:rPr>
    </w:lvl>
    <w:lvl w:ilvl="8">
      <w:start w:val="0"/>
      <w:numFmt w:val="bullet"/>
      <w:lvlText w:val="•"/>
      <w:lvlJc w:val="left"/>
      <w:pPr>
        <w:ind w:left="1590" w:hanging="124"/>
      </w:pPr>
      <w:rPr>
        <w:rFonts w:hint="default"/>
        <w:lang w:val="en-us" w:eastAsia="en-us" w:bidi="en-us"/>
      </w:rPr>
    </w:lvl>
  </w:abstractNum>
  <w:abstractNum w:abstractNumId="27">
    <w:multiLevelType w:val="hybridMultilevel"/>
    <w:lvl w:ilvl="0">
      <w:start w:val="7"/>
      <w:numFmt w:val="decimal"/>
      <w:lvlText w:val="%1"/>
      <w:lvlJc w:val="left"/>
      <w:pPr>
        <w:ind w:left="854" w:hanging="576"/>
        <w:jc w:val="left"/>
      </w:pPr>
      <w:rPr>
        <w:rFonts w:hint="default"/>
        <w:lang w:val="en-us" w:eastAsia="en-us" w:bidi="en-us"/>
      </w:rPr>
    </w:lvl>
    <w:lvl w:ilvl="1">
      <w:start w:val="2"/>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0"/>
      <w:numFmt w:val="bullet"/>
      <w:lvlText w:val=""/>
      <w:lvlJc w:val="left"/>
      <w:pPr>
        <w:ind w:left="998" w:hanging="360"/>
      </w:pPr>
      <w:rPr>
        <w:rFonts w:hint="default"/>
        <w:w w:val="99"/>
        <w:lang w:val="en-us" w:eastAsia="en-us" w:bidi="en-us"/>
      </w:rPr>
    </w:lvl>
    <w:lvl w:ilvl="3">
      <w:start w:val="0"/>
      <w:numFmt w:val="bullet"/>
      <w:lvlText w:val="•"/>
      <w:lvlJc w:val="left"/>
      <w:pPr>
        <w:ind w:left="3170" w:hanging="360"/>
      </w:pPr>
      <w:rPr>
        <w:rFonts w:hint="default"/>
        <w:lang w:val="en-us" w:eastAsia="en-us" w:bidi="en-us"/>
      </w:rPr>
    </w:lvl>
    <w:lvl w:ilvl="4">
      <w:start w:val="0"/>
      <w:numFmt w:val="bullet"/>
      <w:lvlText w:val="•"/>
      <w:lvlJc w:val="left"/>
      <w:pPr>
        <w:ind w:left="4255" w:hanging="360"/>
      </w:pPr>
      <w:rPr>
        <w:rFonts w:hint="default"/>
        <w:lang w:val="en-us" w:eastAsia="en-us" w:bidi="en-us"/>
      </w:rPr>
    </w:lvl>
    <w:lvl w:ilvl="5">
      <w:start w:val="0"/>
      <w:numFmt w:val="bullet"/>
      <w:lvlText w:val="•"/>
      <w:lvlJc w:val="left"/>
      <w:pPr>
        <w:ind w:left="5340" w:hanging="360"/>
      </w:pPr>
      <w:rPr>
        <w:rFonts w:hint="default"/>
        <w:lang w:val="en-us" w:eastAsia="en-us" w:bidi="en-us"/>
      </w:rPr>
    </w:lvl>
    <w:lvl w:ilvl="6">
      <w:start w:val="0"/>
      <w:numFmt w:val="bullet"/>
      <w:lvlText w:val="•"/>
      <w:lvlJc w:val="left"/>
      <w:pPr>
        <w:ind w:left="6425" w:hanging="360"/>
      </w:pPr>
      <w:rPr>
        <w:rFonts w:hint="default"/>
        <w:lang w:val="en-us" w:eastAsia="en-us" w:bidi="en-us"/>
      </w:rPr>
    </w:lvl>
    <w:lvl w:ilvl="7">
      <w:start w:val="0"/>
      <w:numFmt w:val="bullet"/>
      <w:lvlText w:val="•"/>
      <w:lvlJc w:val="left"/>
      <w:pPr>
        <w:ind w:left="7510" w:hanging="360"/>
      </w:pPr>
      <w:rPr>
        <w:rFonts w:hint="default"/>
        <w:lang w:val="en-us" w:eastAsia="en-us" w:bidi="en-us"/>
      </w:rPr>
    </w:lvl>
    <w:lvl w:ilvl="8">
      <w:start w:val="0"/>
      <w:numFmt w:val="bullet"/>
      <w:lvlText w:val="•"/>
      <w:lvlJc w:val="left"/>
      <w:pPr>
        <w:ind w:left="8596" w:hanging="360"/>
      </w:pPr>
      <w:rPr>
        <w:rFonts w:hint="default"/>
        <w:lang w:val="en-us" w:eastAsia="en-us" w:bidi="en-us"/>
      </w:rPr>
    </w:lvl>
  </w:abstractNum>
  <w:abstractNum w:abstractNumId="26">
    <w:multiLevelType w:val="hybridMultilevel"/>
    <w:lvl w:ilvl="0">
      <w:start w:val="7"/>
      <w:numFmt w:val="decimal"/>
      <w:lvlText w:val="%1"/>
      <w:lvlJc w:val="left"/>
      <w:pPr>
        <w:ind w:left="998" w:hanging="720"/>
        <w:jc w:val="left"/>
      </w:pPr>
      <w:rPr>
        <w:rFonts w:hint="default"/>
        <w:lang w:val="en-us" w:eastAsia="en-us" w:bidi="en-us"/>
      </w:rPr>
    </w:lvl>
    <w:lvl w:ilvl="1">
      <w:start w:val="1"/>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w w:val="99"/>
        <w:sz w:val="32"/>
        <w:szCs w:val="32"/>
        <w:lang w:val="en-us" w:eastAsia="en-us" w:bidi="en-us"/>
      </w:rPr>
    </w:lvl>
    <w:lvl w:ilvl="3">
      <w:start w:val="0"/>
      <w:numFmt w:val="bullet"/>
      <w:lvlText w:val="•"/>
      <w:lvlJc w:val="left"/>
      <w:pPr>
        <w:ind w:left="3929" w:hanging="720"/>
      </w:pPr>
      <w:rPr>
        <w:rFonts w:hint="default"/>
        <w:lang w:val="en-us" w:eastAsia="en-us" w:bidi="en-us"/>
      </w:rPr>
    </w:lvl>
    <w:lvl w:ilvl="4">
      <w:start w:val="0"/>
      <w:numFmt w:val="bullet"/>
      <w:lvlText w:val="•"/>
      <w:lvlJc w:val="left"/>
      <w:pPr>
        <w:ind w:left="4906" w:hanging="720"/>
      </w:pPr>
      <w:rPr>
        <w:rFonts w:hint="default"/>
        <w:lang w:val="en-us" w:eastAsia="en-us" w:bidi="en-us"/>
      </w:rPr>
    </w:lvl>
    <w:lvl w:ilvl="5">
      <w:start w:val="0"/>
      <w:numFmt w:val="bullet"/>
      <w:lvlText w:val="•"/>
      <w:lvlJc w:val="left"/>
      <w:pPr>
        <w:ind w:left="5883" w:hanging="720"/>
      </w:pPr>
      <w:rPr>
        <w:rFonts w:hint="default"/>
        <w:lang w:val="en-us" w:eastAsia="en-us" w:bidi="en-us"/>
      </w:rPr>
    </w:lvl>
    <w:lvl w:ilvl="6">
      <w:start w:val="0"/>
      <w:numFmt w:val="bullet"/>
      <w:lvlText w:val="•"/>
      <w:lvlJc w:val="left"/>
      <w:pPr>
        <w:ind w:left="6859" w:hanging="720"/>
      </w:pPr>
      <w:rPr>
        <w:rFonts w:hint="default"/>
        <w:lang w:val="en-us" w:eastAsia="en-us" w:bidi="en-us"/>
      </w:rPr>
    </w:lvl>
    <w:lvl w:ilvl="7">
      <w:start w:val="0"/>
      <w:numFmt w:val="bullet"/>
      <w:lvlText w:val="•"/>
      <w:lvlJc w:val="left"/>
      <w:pPr>
        <w:ind w:left="7836" w:hanging="720"/>
      </w:pPr>
      <w:rPr>
        <w:rFonts w:hint="default"/>
        <w:lang w:val="en-us" w:eastAsia="en-us" w:bidi="en-us"/>
      </w:rPr>
    </w:lvl>
    <w:lvl w:ilvl="8">
      <w:start w:val="0"/>
      <w:numFmt w:val="bullet"/>
      <w:lvlText w:val="•"/>
      <w:lvlJc w:val="left"/>
      <w:pPr>
        <w:ind w:left="8813" w:hanging="720"/>
      </w:pPr>
      <w:rPr>
        <w:rFonts w:hint="default"/>
        <w:lang w:val="en-us" w:eastAsia="en-us" w:bidi="en-us"/>
      </w:rPr>
    </w:lvl>
  </w:abstractNum>
  <w:abstractNum w:abstractNumId="24">
    <w:multiLevelType w:val="hybridMultilevel"/>
    <w:lvl w:ilvl="0">
      <w:start w:val="0"/>
      <w:numFmt w:val="bullet"/>
      <w:lvlText w:val="•"/>
      <w:lvlJc w:val="left"/>
      <w:pPr>
        <w:ind w:left="165" w:hanging="117"/>
      </w:pPr>
      <w:rPr>
        <w:rFonts w:hint="default" w:ascii="Arial" w:hAnsi="Arial" w:eastAsia="Arial" w:cs="Arial"/>
        <w:color w:val="FFFFFF"/>
        <w:w w:val="100"/>
        <w:sz w:val="15"/>
        <w:szCs w:val="15"/>
        <w:lang w:val="en-us" w:eastAsia="en-us" w:bidi="en-us"/>
      </w:rPr>
    </w:lvl>
    <w:lvl w:ilvl="1">
      <w:start w:val="0"/>
      <w:numFmt w:val="bullet"/>
      <w:lvlText w:val="•"/>
      <w:lvlJc w:val="left"/>
      <w:pPr>
        <w:ind w:left="310" w:hanging="117"/>
      </w:pPr>
      <w:rPr>
        <w:rFonts w:hint="default"/>
        <w:lang w:val="en-us" w:eastAsia="en-us" w:bidi="en-us"/>
      </w:rPr>
    </w:lvl>
    <w:lvl w:ilvl="2">
      <w:start w:val="0"/>
      <w:numFmt w:val="bullet"/>
      <w:lvlText w:val="•"/>
      <w:lvlJc w:val="left"/>
      <w:pPr>
        <w:ind w:left="460" w:hanging="117"/>
      </w:pPr>
      <w:rPr>
        <w:rFonts w:hint="default"/>
        <w:lang w:val="en-us" w:eastAsia="en-us" w:bidi="en-us"/>
      </w:rPr>
    </w:lvl>
    <w:lvl w:ilvl="3">
      <w:start w:val="0"/>
      <w:numFmt w:val="bullet"/>
      <w:lvlText w:val="•"/>
      <w:lvlJc w:val="left"/>
      <w:pPr>
        <w:ind w:left="610" w:hanging="117"/>
      </w:pPr>
      <w:rPr>
        <w:rFonts w:hint="default"/>
        <w:lang w:val="en-us" w:eastAsia="en-us" w:bidi="en-us"/>
      </w:rPr>
    </w:lvl>
    <w:lvl w:ilvl="4">
      <w:start w:val="0"/>
      <w:numFmt w:val="bullet"/>
      <w:lvlText w:val="•"/>
      <w:lvlJc w:val="left"/>
      <w:pPr>
        <w:ind w:left="760" w:hanging="117"/>
      </w:pPr>
      <w:rPr>
        <w:rFonts w:hint="default"/>
        <w:lang w:val="en-us" w:eastAsia="en-us" w:bidi="en-us"/>
      </w:rPr>
    </w:lvl>
    <w:lvl w:ilvl="5">
      <w:start w:val="0"/>
      <w:numFmt w:val="bullet"/>
      <w:lvlText w:val="•"/>
      <w:lvlJc w:val="left"/>
      <w:pPr>
        <w:ind w:left="910" w:hanging="117"/>
      </w:pPr>
      <w:rPr>
        <w:rFonts w:hint="default"/>
        <w:lang w:val="en-us" w:eastAsia="en-us" w:bidi="en-us"/>
      </w:rPr>
    </w:lvl>
    <w:lvl w:ilvl="6">
      <w:start w:val="0"/>
      <w:numFmt w:val="bullet"/>
      <w:lvlText w:val="•"/>
      <w:lvlJc w:val="left"/>
      <w:pPr>
        <w:ind w:left="1060" w:hanging="117"/>
      </w:pPr>
      <w:rPr>
        <w:rFonts w:hint="default"/>
        <w:lang w:val="en-us" w:eastAsia="en-us" w:bidi="en-us"/>
      </w:rPr>
    </w:lvl>
    <w:lvl w:ilvl="7">
      <w:start w:val="0"/>
      <w:numFmt w:val="bullet"/>
      <w:lvlText w:val="•"/>
      <w:lvlJc w:val="left"/>
      <w:pPr>
        <w:ind w:left="1210" w:hanging="117"/>
      </w:pPr>
      <w:rPr>
        <w:rFonts w:hint="default"/>
        <w:lang w:val="en-us" w:eastAsia="en-us" w:bidi="en-us"/>
      </w:rPr>
    </w:lvl>
    <w:lvl w:ilvl="8">
      <w:start w:val="0"/>
      <w:numFmt w:val="bullet"/>
      <w:lvlText w:val="•"/>
      <w:lvlJc w:val="left"/>
      <w:pPr>
        <w:ind w:left="1360" w:hanging="117"/>
      </w:pPr>
      <w:rPr>
        <w:rFonts w:hint="default"/>
        <w:lang w:val="en-us" w:eastAsia="en-us" w:bidi="en-us"/>
      </w:rPr>
    </w:lvl>
  </w:abstractNum>
  <w:abstractNum w:abstractNumId="23">
    <w:multiLevelType w:val="hybridMultilevel"/>
    <w:lvl w:ilvl="0">
      <w:start w:val="0"/>
      <w:numFmt w:val="bullet"/>
      <w:lvlText w:val="•"/>
      <w:lvlJc w:val="left"/>
      <w:pPr>
        <w:ind w:left="164" w:hanging="117"/>
      </w:pPr>
      <w:rPr>
        <w:rFonts w:hint="default" w:ascii="Arial" w:hAnsi="Arial" w:eastAsia="Arial" w:cs="Arial"/>
        <w:color w:val="FFFFFF"/>
        <w:w w:val="100"/>
        <w:sz w:val="15"/>
        <w:szCs w:val="15"/>
        <w:lang w:val="en-us" w:eastAsia="en-us" w:bidi="en-us"/>
      </w:rPr>
    </w:lvl>
    <w:lvl w:ilvl="1">
      <w:start w:val="0"/>
      <w:numFmt w:val="bullet"/>
      <w:lvlText w:val="•"/>
      <w:lvlJc w:val="left"/>
      <w:pPr>
        <w:ind w:left="315" w:hanging="117"/>
      </w:pPr>
      <w:rPr>
        <w:rFonts w:hint="default"/>
        <w:lang w:val="en-us" w:eastAsia="en-us" w:bidi="en-us"/>
      </w:rPr>
    </w:lvl>
    <w:lvl w:ilvl="2">
      <w:start w:val="0"/>
      <w:numFmt w:val="bullet"/>
      <w:lvlText w:val="•"/>
      <w:lvlJc w:val="left"/>
      <w:pPr>
        <w:ind w:left="471" w:hanging="117"/>
      </w:pPr>
      <w:rPr>
        <w:rFonts w:hint="default"/>
        <w:lang w:val="en-us" w:eastAsia="en-us" w:bidi="en-us"/>
      </w:rPr>
    </w:lvl>
    <w:lvl w:ilvl="3">
      <w:start w:val="0"/>
      <w:numFmt w:val="bullet"/>
      <w:lvlText w:val="•"/>
      <w:lvlJc w:val="left"/>
      <w:pPr>
        <w:ind w:left="627" w:hanging="117"/>
      </w:pPr>
      <w:rPr>
        <w:rFonts w:hint="default"/>
        <w:lang w:val="en-us" w:eastAsia="en-us" w:bidi="en-us"/>
      </w:rPr>
    </w:lvl>
    <w:lvl w:ilvl="4">
      <w:start w:val="0"/>
      <w:numFmt w:val="bullet"/>
      <w:lvlText w:val="•"/>
      <w:lvlJc w:val="left"/>
      <w:pPr>
        <w:ind w:left="782" w:hanging="117"/>
      </w:pPr>
      <w:rPr>
        <w:rFonts w:hint="default"/>
        <w:lang w:val="en-us" w:eastAsia="en-us" w:bidi="en-us"/>
      </w:rPr>
    </w:lvl>
    <w:lvl w:ilvl="5">
      <w:start w:val="0"/>
      <w:numFmt w:val="bullet"/>
      <w:lvlText w:val="•"/>
      <w:lvlJc w:val="left"/>
      <w:pPr>
        <w:ind w:left="938" w:hanging="117"/>
      </w:pPr>
      <w:rPr>
        <w:rFonts w:hint="default"/>
        <w:lang w:val="en-us" w:eastAsia="en-us" w:bidi="en-us"/>
      </w:rPr>
    </w:lvl>
    <w:lvl w:ilvl="6">
      <w:start w:val="0"/>
      <w:numFmt w:val="bullet"/>
      <w:lvlText w:val="•"/>
      <w:lvlJc w:val="left"/>
      <w:pPr>
        <w:ind w:left="1094" w:hanging="117"/>
      </w:pPr>
      <w:rPr>
        <w:rFonts w:hint="default"/>
        <w:lang w:val="en-us" w:eastAsia="en-us" w:bidi="en-us"/>
      </w:rPr>
    </w:lvl>
    <w:lvl w:ilvl="7">
      <w:start w:val="0"/>
      <w:numFmt w:val="bullet"/>
      <w:lvlText w:val="•"/>
      <w:lvlJc w:val="left"/>
      <w:pPr>
        <w:ind w:left="1250" w:hanging="117"/>
      </w:pPr>
      <w:rPr>
        <w:rFonts w:hint="default"/>
        <w:lang w:val="en-us" w:eastAsia="en-us" w:bidi="en-us"/>
      </w:rPr>
    </w:lvl>
    <w:lvl w:ilvl="8">
      <w:start w:val="0"/>
      <w:numFmt w:val="bullet"/>
      <w:lvlText w:val="•"/>
      <w:lvlJc w:val="left"/>
      <w:pPr>
        <w:ind w:left="1405" w:hanging="117"/>
      </w:pPr>
      <w:rPr>
        <w:rFonts w:hint="default"/>
        <w:lang w:val="en-us" w:eastAsia="en-us" w:bidi="en-us"/>
      </w:rPr>
    </w:lvl>
  </w:abstractNum>
  <w:abstractNum w:abstractNumId="25">
    <w:multiLevelType w:val="hybridMultilevel"/>
    <w:lvl w:ilvl="0">
      <w:start w:val="0"/>
      <w:numFmt w:val="bullet"/>
      <w:lvlText w:val="•"/>
      <w:lvlJc w:val="left"/>
      <w:pPr>
        <w:ind w:left="166" w:hanging="117"/>
      </w:pPr>
      <w:rPr>
        <w:rFonts w:hint="default" w:ascii="Arial" w:hAnsi="Arial" w:eastAsia="Arial" w:cs="Arial"/>
        <w:color w:val="FFFFFF"/>
        <w:w w:val="100"/>
        <w:sz w:val="15"/>
        <w:szCs w:val="15"/>
        <w:lang w:val="en-us" w:eastAsia="en-us" w:bidi="en-us"/>
      </w:rPr>
    </w:lvl>
    <w:lvl w:ilvl="1">
      <w:start w:val="0"/>
      <w:numFmt w:val="bullet"/>
      <w:lvlText w:val="•"/>
      <w:lvlJc w:val="left"/>
      <w:pPr>
        <w:ind w:left="304" w:hanging="117"/>
      </w:pPr>
      <w:rPr>
        <w:rFonts w:hint="default"/>
        <w:lang w:val="en-us" w:eastAsia="en-us" w:bidi="en-us"/>
      </w:rPr>
    </w:lvl>
    <w:lvl w:ilvl="2">
      <w:start w:val="0"/>
      <w:numFmt w:val="bullet"/>
      <w:lvlText w:val="•"/>
      <w:lvlJc w:val="left"/>
      <w:pPr>
        <w:ind w:left="448" w:hanging="117"/>
      </w:pPr>
      <w:rPr>
        <w:rFonts w:hint="default"/>
        <w:lang w:val="en-us" w:eastAsia="en-us" w:bidi="en-us"/>
      </w:rPr>
    </w:lvl>
    <w:lvl w:ilvl="3">
      <w:start w:val="0"/>
      <w:numFmt w:val="bullet"/>
      <w:lvlText w:val="•"/>
      <w:lvlJc w:val="left"/>
      <w:pPr>
        <w:ind w:left="592" w:hanging="117"/>
      </w:pPr>
      <w:rPr>
        <w:rFonts w:hint="default"/>
        <w:lang w:val="en-us" w:eastAsia="en-us" w:bidi="en-us"/>
      </w:rPr>
    </w:lvl>
    <w:lvl w:ilvl="4">
      <w:start w:val="0"/>
      <w:numFmt w:val="bullet"/>
      <w:lvlText w:val="•"/>
      <w:lvlJc w:val="left"/>
      <w:pPr>
        <w:ind w:left="736" w:hanging="117"/>
      </w:pPr>
      <w:rPr>
        <w:rFonts w:hint="default"/>
        <w:lang w:val="en-us" w:eastAsia="en-us" w:bidi="en-us"/>
      </w:rPr>
    </w:lvl>
    <w:lvl w:ilvl="5">
      <w:start w:val="0"/>
      <w:numFmt w:val="bullet"/>
      <w:lvlText w:val="•"/>
      <w:lvlJc w:val="left"/>
      <w:pPr>
        <w:ind w:left="880" w:hanging="117"/>
      </w:pPr>
      <w:rPr>
        <w:rFonts w:hint="default"/>
        <w:lang w:val="en-us" w:eastAsia="en-us" w:bidi="en-us"/>
      </w:rPr>
    </w:lvl>
    <w:lvl w:ilvl="6">
      <w:start w:val="0"/>
      <w:numFmt w:val="bullet"/>
      <w:lvlText w:val="•"/>
      <w:lvlJc w:val="left"/>
      <w:pPr>
        <w:ind w:left="1024" w:hanging="117"/>
      </w:pPr>
      <w:rPr>
        <w:rFonts w:hint="default"/>
        <w:lang w:val="en-us" w:eastAsia="en-us" w:bidi="en-us"/>
      </w:rPr>
    </w:lvl>
    <w:lvl w:ilvl="7">
      <w:start w:val="0"/>
      <w:numFmt w:val="bullet"/>
      <w:lvlText w:val="•"/>
      <w:lvlJc w:val="left"/>
      <w:pPr>
        <w:ind w:left="1168" w:hanging="117"/>
      </w:pPr>
      <w:rPr>
        <w:rFonts w:hint="default"/>
        <w:lang w:val="en-us" w:eastAsia="en-us" w:bidi="en-us"/>
      </w:rPr>
    </w:lvl>
    <w:lvl w:ilvl="8">
      <w:start w:val="0"/>
      <w:numFmt w:val="bullet"/>
      <w:lvlText w:val="•"/>
      <w:lvlJc w:val="left"/>
      <w:pPr>
        <w:ind w:left="1312" w:hanging="117"/>
      </w:pPr>
      <w:rPr>
        <w:rFonts w:hint="default"/>
        <w:lang w:val="en-us" w:eastAsia="en-us" w:bidi="en-us"/>
      </w:rPr>
    </w:lvl>
  </w:abstractNum>
  <w:abstractNum w:abstractNumId="22">
    <w:multiLevelType w:val="hybridMultilevel"/>
    <w:lvl w:ilvl="0">
      <w:start w:val="7"/>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0"/>
      <w:numFmt w:val="bullet"/>
      <w:lvlText w:val=""/>
      <w:lvlJc w:val="left"/>
      <w:pPr>
        <w:ind w:left="998" w:hanging="360"/>
      </w:pPr>
      <w:rPr>
        <w:rFonts w:hint="default" w:ascii="Symbol" w:hAnsi="Symbol" w:eastAsia="Symbol" w:cs="Symbol"/>
        <w:w w:val="99"/>
        <w:sz w:val="20"/>
        <w:szCs w:val="20"/>
        <w:lang w:val="en-us" w:eastAsia="en-us" w:bidi="en-us"/>
      </w:rPr>
    </w:lvl>
    <w:lvl w:ilvl="3">
      <w:start w:val="0"/>
      <w:numFmt w:val="bullet"/>
      <w:lvlText w:val="•"/>
      <w:lvlJc w:val="left"/>
      <w:pPr>
        <w:ind w:left="3170" w:hanging="360"/>
      </w:pPr>
      <w:rPr>
        <w:rFonts w:hint="default"/>
        <w:lang w:val="en-us" w:eastAsia="en-us" w:bidi="en-us"/>
      </w:rPr>
    </w:lvl>
    <w:lvl w:ilvl="4">
      <w:start w:val="0"/>
      <w:numFmt w:val="bullet"/>
      <w:lvlText w:val="•"/>
      <w:lvlJc w:val="left"/>
      <w:pPr>
        <w:ind w:left="4255" w:hanging="360"/>
      </w:pPr>
      <w:rPr>
        <w:rFonts w:hint="default"/>
        <w:lang w:val="en-us" w:eastAsia="en-us" w:bidi="en-us"/>
      </w:rPr>
    </w:lvl>
    <w:lvl w:ilvl="5">
      <w:start w:val="0"/>
      <w:numFmt w:val="bullet"/>
      <w:lvlText w:val="•"/>
      <w:lvlJc w:val="left"/>
      <w:pPr>
        <w:ind w:left="5340" w:hanging="360"/>
      </w:pPr>
      <w:rPr>
        <w:rFonts w:hint="default"/>
        <w:lang w:val="en-us" w:eastAsia="en-us" w:bidi="en-us"/>
      </w:rPr>
    </w:lvl>
    <w:lvl w:ilvl="6">
      <w:start w:val="0"/>
      <w:numFmt w:val="bullet"/>
      <w:lvlText w:val="•"/>
      <w:lvlJc w:val="left"/>
      <w:pPr>
        <w:ind w:left="6425" w:hanging="360"/>
      </w:pPr>
      <w:rPr>
        <w:rFonts w:hint="default"/>
        <w:lang w:val="en-us" w:eastAsia="en-us" w:bidi="en-us"/>
      </w:rPr>
    </w:lvl>
    <w:lvl w:ilvl="7">
      <w:start w:val="0"/>
      <w:numFmt w:val="bullet"/>
      <w:lvlText w:val="•"/>
      <w:lvlJc w:val="left"/>
      <w:pPr>
        <w:ind w:left="7510" w:hanging="360"/>
      </w:pPr>
      <w:rPr>
        <w:rFonts w:hint="default"/>
        <w:lang w:val="en-us" w:eastAsia="en-us" w:bidi="en-us"/>
      </w:rPr>
    </w:lvl>
    <w:lvl w:ilvl="8">
      <w:start w:val="0"/>
      <w:numFmt w:val="bullet"/>
      <w:lvlText w:val="•"/>
      <w:lvlJc w:val="left"/>
      <w:pPr>
        <w:ind w:left="8596" w:hanging="360"/>
      </w:pPr>
      <w:rPr>
        <w:rFonts w:hint="default"/>
        <w:lang w:val="en-us" w:eastAsia="en-us" w:bidi="en-us"/>
      </w:rPr>
    </w:lvl>
  </w:abstractNum>
  <w:abstractNum w:abstractNumId="20">
    <w:multiLevelType w:val="hybridMultilevel"/>
    <w:lvl w:ilvl="0">
      <w:start w:val="1"/>
      <w:numFmt w:val="decimal"/>
      <w:lvlText w:val="%1."/>
      <w:lvlJc w:val="left"/>
      <w:pPr>
        <w:ind w:left="998" w:hanging="360"/>
        <w:jc w:val="left"/>
      </w:pPr>
      <w:rPr>
        <w:rFonts w:hint="default" w:ascii="Georgia" w:hAnsi="Georgia" w:eastAsia="Georgia" w:cs="Georgia"/>
        <w:w w:val="99"/>
        <w:sz w:val="20"/>
        <w:szCs w:val="20"/>
        <w:lang w:val="en-us" w:eastAsia="en-us" w:bidi="en-us"/>
      </w:rPr>
    </w:lvl>
    <w:lvl w:ilvl="1">
      <w:start w:val="0"/>
      <w:numFmt w:val="bullet"/>
      <w:lvlText w:val="•"/>
      <w:lvlJc w:val="left"/>
      <w:pPr>
        <w:ind w:left="1976" w:hanging="360"/>
      </w:pPr>
      <w:rPr>
        <w:rFonts w:hint="default"/>
        <w:lang w:val="en-us" w:eastAsia="en-us" w:bidi="en-us"/>
      </w:rPr>
    </w:lvl>
    <w:lvl w:ilvl="2">
      <w:start w:val="0"/>
      <w:numFmt w:val="bullet"/>
      <w:lvlText w:val="•"/>
      <w:lvlJc w:val="left"/>
      <w:pPr>
        <w:ind w:left="2953" w:hanging="360"/>
      </w:pPr>
      <w:rPr>
        <w:rFonts w:hint="default"/>
        <w:lang w:val="en-us" w:eastAsia="en-us" w:bidi="en-us"/>
      </w:rPr>
    </w:lvl>
    <w:lvl w:ilvl="3">
      <w:start w:val="0"/>
      <w:numFmt w:val="bullet"/>
      <w:lvlText w:val="•"/>
      <w:lvlJc w:val="left"/>
      <w:pPr>
        <w:ind w:left="3929" w:hanging="360"/>
      </w:pPr>
      <w:rPr>
        <w:rFonts w:hint="default"/>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19">
    <w:multiLevelType w:val="hybridMultilevel"/>
    <w:lvl w:ilvl="0">
      <w:start w:val="6"/>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w w:val="99"/>
        <w:sz w:val="32"/>
        <w:szCs w:val="32"/>
        <w:lang w:val="en-us" w:eastAsia="en-us" w:bidi="en-us"/>
      </w:rPr>
    </w:lvl>
    <w:lvl w:ilvl="2">
      <w:start w:val="0"/>
      <w:numFmt w:val="bullet"/>
      <w:lvlText w:val="•"/>
      <w:lvlJc w:val="left"/>
      <w:pPr>
        <w:ind w:left="2841" w:hanging="576"/>
      </w:pPr>
      <w:rPr>
        <w:rFonts w:hint="default"/>
        <w:lang w:val="en-us" w:eastAsia="en-us" w:bidi="en-us"/>
      </w:rPr>
    </w:lvl>
    <w:lvl w:ilvl="3">
      <w:start w:val="0"/>
      <w:numFmt w:val="bullet"/>
      <w:lvlText w:val="•"/>
      <w:lvlJc w:val="left"/>
      <w:pPr>
        <w:ind w:left="3831" w:hanging="576"/>
      </w:pPr>
      <w:rPr>
        <w:rFonts w:hint="default"/>
        <w:lang w:val="en-us" w:eastAsia="en-us" w:bidi="en-us"/>
      </w:rPr>
    </w:lvl>
    <w:lvl w:ilvl="4">
      <w:start w:val="0"/>
      <w:numFmt w:val="bullet"/>
      <w:lvlText w:val="•"/>
      <w:lvlJc w:val="left"/>
      <w:pPr>
        <w:ind w:left="4822" w:hanging="576"/>
      </w:pPr>
      <w:rPr>
        <w:rFonts w:hint="default"/>
        <w:lang w:val="en-us" w:eastAsia="en-us" w:bidi="en-us"/>
      </w:rPr>
    </w:lvl>
    <w:lvl w:ilvl="5">
      <w:start w:val="0"/>
      <w:numFmt w:val="bullet"/>
      <w:lvlText w:val="•"/>
      <w:lvlJc w:val="left"/>
      <w:pPr>
        <w:ind w:left="5813" w:hanging="576"/>
      </w:pPr>
      <w:rPr>
        <w:rFonts w:hint="default"/>
        <w:lang w:val="en-us" w:eastAsia="en-us" w:bidi="en-us"/>
      </w:rPr>
    </w:lvl>
    <w:lvl w:ilvl="6">
      <w:start w:val="0"/>
      <w:numFmt w:val="bullet"/>
      <w:lvlText w:val="•"/>
      <w:lvlJc w:val="left"/>
      <w:pPr>
        <w:ind w:left="6803" w:hanging="576"/>
      </w:pPr>
      <w:rPr>
        <w:rFonts w:hint="default"/>
        <w:lang w:val="en-us" w:eastAsia="en-us" w:bidi="en-us"/>
      </w:rPr>
    </w:lvl>
    <w:lvl w:ilvl="7">
      <w:start w:val="0"/>
      <w:numFmt w:val="bullet"/>
      <w:lvlText w:val="•"/>
      <w:lvlJc w:val="left"/>
      <w:pPr>
        <w:ind w:left="7794" w:hanging="576"/>
      </w:pPr>
      <w:rPr>
        <w:rFonts w:hint="default"/>
        <w:lang w:val="en-us" w:eastAsia="en-us" w:bidi="en-us"/>
      </w:rPr>
    </w:lvl>
    <w:lvl w:ilvl="8">
      <w:start w:val="0"/>
      <w:numFmt w:val="bullet"/>
      <w:lvlText w:val="•"/>
      <w:lvlJc w:val="left"/>
      <w:pPr>
        <w:ind w:left="8785" w:hanging="576"/>
      </w:pPr>
      <w:rPr>
        <w:rFonts w:hint="default"/>
        <w:lang w:val="en-us" w:eastAsia="en-us" w:bidi="en-us"/>
      </w:rPr>
    </w:lvl>
  </w:abstractNum>
  <w:abstractNum w:abstractNumId="18">
    <w:multiLevelType w:val="hybridMultilevel"/>
    <w:lvl w:ilvl="0">
      <w:start w:val="0"/>
      <w:numFmt w:val="bullet"/>
      <w:lvlText w:val=""/>
      <w:lvlJc w:val="left"/>
      <w:pPr>
        <w:ind w:left="719" w:hanging="360"/>
      </w:pPr>
      <w:rPr>
        <w:rFonts w:hint="default" w:ascii="Symbol" w:hAnsi="Symbol" w:eastAsia="Symbol" w:cs="Symbol"/>
        <w:w w:val="99"/>
        <w:sz w:val="20"/>
        <w:szCs w:val="20"/>
        <w:lang w:val="en-us" w:eastAsia="en-us" w:bidi="en-us"/>
      </w:rPr>
    </w:lvl>
    <w:lvl w:ilvl="1">
      <w:start w:val="0"/>
      <w:numFmt w:val="bullet"/>
      <w:lvlText w:val="•"/>
      <w:lvlJc w:val="left"/>
      <w:pPr>
        <w:ind w:left="1593" w:hanging="360"/>
      </w:pPr>
      <w:rPr>
        <w:rFonts w:hint="default"/>
        <w:lang w:val="en-us" w:eastAsia="en-us" w:bidi="en-us"/>
      </w:rPr>
    </w:lvl>
    <w:lvl w:ilvl="2">
      <w:start w:val="0"/>
      <w:numFmt w:val="bullet"/>
      <w:lvlText w:val="•"/>
      <w:lvlJc w:val="left"/>
      <w:pPr>
        <w:ind w:left="2466" w:hanging="360"/>
      </w:pPr>
      <w:rPr>
        <w:rFonts w:hint="default"/>
        <w:lang w:val="en-us" w:eastAsia="en-us" w:bidi="en-us"/>
      </w:rPr>
    </w:lvl>
    <w:lvl w:ilvl="3">
      <w:start w:val="0"/>
      <w:numFmt w:val="bullet"/>
      <w:lvlText w:val="•"/>
      <w:lvlJc w:val="left"/>
      <w:pPr>
        <w:ind w:left="3339" w:hanging="360"/>
      </w:pPr>
      <w:rPr>
        <w:rFonts w:hint="default"/>
        <w:lang w:val="en-us" w:eastAsia="en-us" w:bidi="en-us"/>
      </w:rPr>
    </w:lvl>
    <w:lvl w:ilvl="4">
      <w:start w:val="0"/>
      <w:numFmt w:val="bullet"/>
      <w:lvlText w:val="•"/>
      <w:lvlJc w:val="left"/>
      <w:pPr>
        <w:ind w:left="4213" w:hanging="360"/>
      </w:pPr>
      <w:rPr>
        <w:rFonts w:hint="default"/>
        <w:lang w:val="en-us" w:eastAsia="en-us" w:bidi="en-us"/>
      </w:rPr>
    </w:lvl>
    <w:lvl w:ilvl="5">
      <w:start w:val="0"/>
      <w:numFmt w:val="bullet"/>
      <w:lvlText w:val="•"/>
      <w:lvlJc w:val="left"/>
      <w:pPr>
        <w:ind w:left="5086" w:hanging="360"/>
      </w:pPr>
      <w:rPr>
        <w:rFonts w:hint="default"/>
        <w:lang w:val="en-us" w:eastAsia="en-us" w:bidi="en-us"/>
      </w:rPr>
    </w:lvl>
    <w:lvl w:ilvl="6">
      <w:start w:val="0"/>
      <w:numFmt w:val="bullet"/>
      <w:lvlText w:val="•"/>
      <w:lvlJc w:val="left"/>
      <w:pPr>
        <w:ind w:left="5959" w:hanging="360"/>
      </w:pPr>
      <w:rPr>
        <w:rFonts w:hint="default"/>
        <w:lang w:val="en-us" w:eastAsia="en-us" w:bidi="en-us"/>
      </w:rPr>
    </w:lvl>
    <w:lvl w:ilvl="7">
      <w:start w:val="0"/>
      <w:numFmt w:val="bullet"/>
      <w:lvlText w:val="•"/>
      <w:lvlJc w:val="left"/>
      <w:pPr>
        <w:ind w:left="6832" w:hanging="360"/>
      </w:pPr>
      <w:rPr>
        <w:rFonts w:hint="default"/>
        <w:lang w:val="en-us" w:eastAsia="en-us" w:bidi="en-us"/>
      </w:rPr>
    </w:lvl>
    <w:lvl w:ilvl="8">
      <w:start w:val="0"/>
      <w:numFmt w:val="bullet"/>
      <w:lvlText w:val="•"/>
      <w:lvlJc w:val="left"/>
      <w:pPr>
        <w:ind w:left="7706" w:hanging="360"/>
      </w:pPr>
      <w:rPr>
        <w:rFonts w:hint="default"/>
        <w:lang w:val="en-us" w:eastAsia="en-us" w:bidi="en-us"/>
      </w:rPr>
    </w:lvl>
  </w:abstractNum>
  <w:abstractNum w:abstractNumId="17">
    <w:multiLevelType w:val="hybridMultilevel"/>
    <w:lvl w:ilvl="0">
      <w:start w:val="0"/>
      <w:numFmt w:val="bullet"/>
      <w:lvlText w:val=""/>
      <w:lvlJc w:val="left"/>
      <w:pPr>
        <w:ind w:left="945" w:hanging="360"/>
      </w:pPr>
      <w:rPr>
        <w:rFonts w:hint="default" w:ascii="Symbol" w:hAnsi="Symbol" w:eastAsia="Symbol" w:cs="Symbol"/>
        <w:w w:val="99"/>
        <w:sz w:val="20"/>
        <w:szCs w:val="20"/>
        <w:lang w:val="en-us" w:eastAsia="en-us" w:bidi="en-us"/>
      </w:rPr>
    </w:lvl>
    <w:lvl w:ilvl="1">
      <w:start w:val="0"/>
      <w:numFmt w:val="bullet"/>
      <w:lvlText w:val="•"/>
      <w:lvlJc w:val="left"/>
      <w:pPr>
        <w:ind w:left="1790" w:hanging="360"/>
      </w:pPr>
      <w:rPr>
        <w:rFonts w:hint="default"/>
        <w:lang w:val="en-us" w:eastAsia="en-us" w:bidi="en-us"/>
      </w:rPr>
    </w:lvl>
    <w:lvl w:ilvl="2">
      <w:start w:val="0"/>
      <w:numFmt w:val="bullet"/>
      <w:lvlText w:val="•"/>
      <w:lvlJc w:val="left"/>
      <w:pPr>
        <w:ind w:left="2641" w:hanging="360"/>
      </w:pPr>
      <w:rPr>
        <w:rFonts w:hint="default"/>
        <w:lang w:val="en-us" w:eastAsia="en-us" w:bidi="en-us"/>
      </w:rPr>
    </w:lvl>
    <w:lvl w:ilvl="3">
      <w:start w:val="0"/>
      <w:numFmt w:val="bullet"/>
      <w:lvlText w:val="•"/>
      <w:lvlJc w:val="left"/>
      <w:pPr>
        <w:ind w:left="3492" w:hanging="360"/>
      </w:pPr>
      <w:rPr>
        <w:rFonts w:hint="default"/>
        <w:lang w:val="en-us" w:eastAsia="en-us" w:bidi="en-us"/>
      </w:rPr>
    </w:lvl>
    <w:lvl w:ilvl="4">
      <w:start w:val="0"/>
      <w:numFmt w:val="bullet"/>
      <w:lvlText w:val="•"/>
      <w:lvlJc w:val="left"/>
      <w:pPr>
        <w:ind w:left="4343" w:hanging="360"/>
      </w:pPr>
      <w:rPr>
        <w:rFonts w:hint="default"/>
        <w:lang w:val="en-us" w:eastAsia="en-us" w:bidi="en-us"/>
      </w:rPr>
    </w:lvl>
    <w:lvl w:ilvl="5">
      <w:start w:val="0"/>
      <w:numFmt w:val="bullet"/>
      <w:lvlText w:val="•"/>
      <w:lvlJc w:val="left"/>
      <w:pPr>
        <w:ind w:left="5193" w:hanging="360"/>
      </w:pPr>
      <w:rPr>
        <w:rFonts w:hint="default"/>
        <w:lang w:val="en-us" w:eastAsia="en-us" w:bidi="en-us"/>
      </w:rPr>
    </w:lvl>
    <w:lvl w:ilvl="6">
      <w:start w:val="0"/>
      <w:numFmt w:val="bullet"/>
      <w:lvlText w:val="•"/>
      <w:lvlJc w:val="left"/>
      <w:pPr>
        <w:ind w:left="6044" w:hanging="360"/>
      </w:pPr>
      <w:rPr>
        <w:rFonts w:hint="default"/>
        <w:lang w:val="en-us" w:eastAsia="en-us" w:bidi="en-us"/>
      </w:rPr>
    </w:lvl>
    <w:lvl w:ilvl="7">
      <w:start w:val="0"/>
      <w:numFmt w:val="bullet"/>
      <w:lvlText w:val="•"/>
      <w:lvlJc w:val="left"/>
      <w:pPr>
        <w:ind w:left="6895" w:hanging="360"/>
      </w:pPr>
      <w:rPr>
        <w:rFonts w:hint="default"/>
        <w:lang w:val="en-us" w:eastAsia="en-us" w:bidi="en-us"/>
      </w:rPr>
    </w:lvl>
    <w:lvl w:ilvl="8">
      <w:start w:val="0"/>
      <w:numFmt w:val="bullet"/>
      <w:lvlText w:val="•"/>
      <w:lvlJc w:val="left"/>
      <w:pPr>
        <w:ind w:left="7746" w:hanging="360"/>
      </w:pPr>
      <w:rPr>
        <w:rFonts w:hint="default"/>
        <w:lang w:val="en-us" w:eastAsia="en-us" w:bidi="en-us"/>
      </w:rPr>
    </w:lvl>
  </w:abstractNum>
  <w:abstractNum w:abstractNumId="16">
    <w:multiLevelType w:val="hybridMultilevel"/>
    <w:lvl w:ilvl="0">
      <w:start w:val="0"/>
      <w:numFmt w:val="bullet"/>
      <w:lvlText w:val=""/>
      <w:lvlJc w:val="left"/>
      <w:pPr>
        <w:ind w:left="945" w:hanging="360"/>
      </w:pPr>
      <w:rPr>
        <w:rFonts w:hint="default" w:ascii="Symbol" w:hAnsi="Symbol" w:eastAsia="Symbol" w:cs="Symbol"/>
        <w:w w:val="99"/>
        <w:sz w:val="20"/>
        <w:szCs w:val="20"/>
        <w:lang w:val="en-us" w:eastAsia="en-us" w:bidi="en-us"/>
      </w:rPr>
    </w:lvl>
    <w:lvl w:ilvl="1">
      <w:start w:val="0"/>
      <w:numFmt w:val="bullet"/>
      <w:lvlText w:val="•"/>
      <w:lvlJc w:val="left"/>
      <w:pPr>
        <w:ind w:left="1790" w:hanging="360"/>
      </w:pPr>
      <w:rPr>
        <w:rFonts w:hint="default"/>
        <w:lang w:val="en-us" w:eastAsia="en-us" w:bidi="en-us"/>
      </w:rPr>
    </w:lvl>
    <w:lvl w:ilvl="2">
      <w:start w:val="0"/>
      <w:numFmt w:val="bullet"/>
      <w:lvlText w:val="•"/>
      <w:lvlJc w:val="left"/>
      <w:pPr>
        <w:ind w:left="2641" w:hanging="360"/>
      </w:pPr>
      <w:rPr>
        <w:rFonts w:hint="default"/>
        <w:lang w:val="en-us" w:eastAsia="en-us" w:bidi="en-us"/>
      </w:rPr>
    </w:lvl>
    <w:lvl w:ilvl="3">
      <w:start w:val="0"/>
      <w:numFmt w:val="bullet"/>
      <w:lvlText w:val="•"/>
      <w:lvlJc w:val="left"/>
      <w:pPr>
        <w:ind w:left="3492" w:hanging="360"/>
      </w:pPr>
      <w:rPr>
        <w:rFonts w:hint="default"/>
        <w:lang w:val="en-us" w:eastAsia="en-us" w:bidi="en-us"/>
      </w:rPr>
    </w:lvl>
    <w:lvl w:ilvl="4">
      <w:start w:val="0"/>
      <w:numFmt w:val="bullet"/>
      <w:lvlText w:val="•"/>
      <w:lvlJc w:val="left"/>
      <w:pPr>
        <w:ind w:left="4343" w:hanging="360"/>
      </w:pPr>
      <w:rPr>
        <w:rFonts w:hint="default"/>
        <w:lang w:val="en-us" w:eastAsia="en-us" w:bidi="en-us"/>
      </w:rPr>
    </w:lvl>
    <w:lvl w:ilvl="5">
      <w:start w:val="0"/>
      <w:numFmt w:val="bullet"/>
      <w:lvlText w:val="•"/>
      <w:lvlJc w:val="left"/>
      <w:pPr>
        <w:ind w:left="5193" w:hanging="360"/>
      </w:pPr>
      <w:rPr>
        <w:rFonts w:hint="default"/>
        <w:lang w:val="en-us" w:eastAsia="en-us" w:bidi="en-us"/>
      </w:rPr>
    </w:lvl>
    <w:lvl w:ilvl="6">
      <w:start w:val="0"/>
      <w:numFmt w:val="bullet"/>
      <w:lvlText w:val="•"/>
      <w:lvlJc w:val="left"/>
      <w:pPr>
        <w:ind w:left="6044" w:hanging="360"/>
      </w:pPr>
      <w:rPr>
        <w:rFonts w:hint="default"/>
        <w:lang w:val="en-us" w:eastAsia="en-us" w:bidi="en-us"/>
      </w:rPr>
    </w:lvl>
    <w:lvl w:ilvl="7">
      <w:start w:val="0"/>
      <w:numFmt w:val="bullet"/>
      <w:lvlText w:val="•"/>
      <w:lvlJc w:val="left"/>
      <w:pPr>
        <w:ind w:left="6895" w:hanging="360"/>
      </w:pPr>
      <w:rPr>
        <w:rFonts w:hint="default"/>
        <w:lang w:val="en-us" w:eastAsia="en-us" w:bidi="en-us"/>
      </w:rPr>
    </w:lvl>
    <w:lvl w:ilvl="8">
      <w:start w:val="0"/>
      <w:numFmt w:val="bullet"/>
      <w:lvlText w:val="•"/>
      <w:lvlJc w:val="left"/>
      <w:pPr>
        <w:ind w:left="7746" w:hanging="360"/>
      </w:pPr>
      <w:rPr>
        <w:rFonts w:hint="default"/>
        <w:lang w:val="en-us" w:eastAsia="en-us" w:bidi="en-us"/>
      </w:rPr>
    </w:lvl>
  </w:abstractNum>
  <w:abstractNum w:abstractNumId="15">
    <w:multiLevelType w:val="hybridMultilevel"/>
    <w:lvl w:ilvl="0">
      <w:start w:val="0"/>
      <w:numFmt w:val="bullet"/>
      <w:lvlText w:val=""/>
      <w:lvlJc w:val="left"/>
      <w:pPr>
        <w:ind w:left="945" w:hanging="360"/>
      </w:pPr>
      <w:rPr>
        <w:rFonts w:hint="default" w:ascii="Symbol" w:hAnsi="Symbol" w:eastAsia="Symbol" w:cs="Symbol"/>
        <w:w w:val="99"/>
        <w:sz w:val="20"/>
        <w:szCs w:val="20"/>
        <w:lang w:val="en-us" w:eastAsia="en-us" w:bidi="en-us"/>
      </w:rPr>
    </w:lvl>
    <w:lvl w:ilvl="1">
      <w:start w:val="0"/>
      <w:numFmt w:val="bullet"/>
      <w:lvlText w:val="•"/>
      <w:lvlJc w:val="left"/>
      <w:pPr>
        <w:ind w:left="1790" w:hanging="360"/>
      </w:pPr>
      <w:rPr>
        <w:rFonts w:hint="default"/>
        <w:lang w:val="en-us" w:eastAsia="en-us" w:bidi="en-us"/>
      </w:rPr>
    </w:lvl>
    <w:lvl w:ilvl="2">
      <w:start w:val="0"/>
      <w:numFmt w:val="bullet"/>
      <w:lvlText w:val="•"/>
      <w:lvlJc w:val="left"/>
      <w:pPr>
        <w:ind w:left="2641" w:hanging="360"/>
      </w:pPr>
      <w:rPr>
        <w:rFonts w:hint="default"/>
        <w:lang w:val="en-us" w:eastAsia="en-us" w:bidi="en-us"/>
      </w:rPr>
    </w:lvl>
    <w:lvl w:ilvl="3">
      <w:start w:val="0"/>
      <w:numFmt w:val="bullet"/>
      <w:lvlText w:val="•"/>
      <w:lvlJc w:val="left"/>
      <w:pPr>
        <w:ind w:left="3492" w:hanging="360"/>
      </w:pPr>
      <w:rPr>
        <w:rFonts w:hint="default"/>
        <w:lang w:val="en-us" w:eastAsia="en-us" w:bidi="en-us"/>
      </w:rPr>
    </w:lvl>
    <w:lvl w:ilvl="4">
      <w:start w:val="0"/>
      <w:numFmt w:val="bullet"/>
      <w:lvlText w:val="•"/>
      <w:lvlJc w:val="left"/>
      <w:pPr>
        <w:ind w:left="4343" w:hanging="360"/>
      </w:pPr>
      <w:rPr>
        <w:rFonts w:hint="default"/>
        <w:lang w:val="en-us" w:eastAsia="en-us" w:bidi="en-us"/>
      </w:rPr>
    </w:lvl>
    <w:lvl w:ilvl="5">
      <w:start w:val="0"/>
      <w:numFmt w:val="bullet"/>
      <w:lvlText w:val="•"/>
      <w:lvlJc w:val="left"/>
      <w:pPr>
        <w:ind w:left="5193" w:hanging="360"/>
      </w:pPr>
      <w:rPr>
        <w:rFonts w:hint="default"/>
        <w:lang w:val="en-us" w:eastAsia="en-us" w:bidi="en-us"/>
      </w:rPr>
    </w:lvl>
    <w:lvl w:ilvl="6">
      <w:start w:val="0"/>
      <w:numFmt w:val="bullet"/>
      <w:lvlText w:val="•"/>
      <w:lvlJc w:val="left"/>
      <w:pPr>
        <w:ind w:left="6044" w:hanging="360"/>
      </w:pPr>
      <w:rPr>
        <w:rFonts w:hint="default"/>
        <w:lang w:val="en-us" w:eastAsia="en-us" w:bidi="en-us"/>
      </w:rPr>
    </w:lvl>
    <w:lvl w:ilvl="7">
      <w:start w:val="0"/>
      <w:numFmt w:val="bullet"/>
      <w:lvlText w:val="•"/>
      <w:lvlJc w:val="left"/>
      <w:pPr>
        <w:ind w:left="6895" w:hanging="360"/>
      </w:pPr>
      <w:rPr>
        <w:rFonts w:hint="default"/>
        <w:lang w:val="en-us" w:eastAsia="en-us" w:bidi="en-us"/>
      </w:rPr>
    </w:lvl>
    <w:lvl w:ilvl="8">
      <w:start w:val="0"/>
      <w:numFmt w:val="bullet"/>
      <w:lvlText w:val="•"/>
      <w:lvlJc w:val="left"/>
      <w:pPr>
        <w:ind w:left="7746" w:hanging="360"/>
      </w:pPr>
      <w:rPr>
        <w:rFonts w:hint="default"/>
        <w:lang w:val="en-us" w:eastAsia="en-us" w:bidi="en-us"/>
      </w:rPr>
    </w:lvl>
  </w:abstractNum>
  <w:abstractNum w:abstractNumId="14">
    <w:multiLevelType w:val="hybridMultilevel"/>
    <w:lvl w:ilvl="0">
      <w:start w:val="5"/>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w w:val="99"/>
        <w:sz w:val="32"/>
        <w:szCs w:val="32"/>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2"/>
        <w:w w:val="99"/>
        <w:sz w:val="32"/>
        <w:szCs w:val="32"/>
        <w:lang w:val="en-us" w:eastAsia="en-us" w:bidi="en-us"/>
      </w:rPr>
    </w:lvl>
    <w:lvl w:ilvl="3">
      <w:start w:val="0"/>
      <w:numFmt w:val="bullet"/>
      <w:lvlText w:val="•"/>
      <w:lvlJc w:val="left"/>
      <w:pPr>
        <w:ind w:left="3170" w:hanging="720"/>
      </w:pPr>
      <w:rPr>
        <w:rFonts w:hint="default"/>
        <w:lang w:val="en-us" w:eastAsia="en-us" w:bidi="en-us"/>
      </w:rPr>
    </w:lvl>
    <w:lvl w:ilvl="4">
      <w:start w:val="0"/>
      <w:numFmt w:val="bullet"/>
      <w:lvlText w:val="•"/>
      <w:lvlJc w:val="left"/>
      <w:pPr>
        <w:ind w:left="4255" w:hanging="720"/>
      </w:pPr>
      <w:rPr>
        <w:rFonts w:hint="default"/>
        <w:lang w:val="en-us" w:eastAsia="en-us" w:bidi="en-us"/>
      </w:rPr>
    </w:lvl>
    <w:lvl w:ilvl="5">
      <w:start w:val="0"/>
      <w:numFmt w:val="bullet"/>
      <w:lvlText w:val="•"/>
      <w:lvlJc w:val="left"/>
      <w:pPr>
        <w:ind w:left="5340" w:hanging="720"/>
      </w:pPr>
      <w:rPr>
        <w:rFonts w:hint="default"/>
        <w:lang w:val="en-us" w:eastAsia="en-us" w:bidi="en-us"/>
      </w:rPr>
    </w:lvl>
    <w:lvl w:ilvl="6">
      <w:start w:val="0"/>
      <w:numFmt w:val="bullet"/>
      <w:lvlText w:val="•"/>
      <w:lvlJc w:val="left"/>
      <w:pPr>
        <w:ind w:left="6425" w:hanging="720"/>
      </w:pPr>
      <w:rPr>
        <w:rFonts w:hint="default"/>
        <w:lang w:val="en-us" w:eastAsia="en-us" w:bidi="en-us"/>
      </w:rPr>
    </w:lvl>
    <w:lvl w:ilvl="7">
      <w:start w:val="0"/>
      <w:numFmt w:val="bullet"/>
      <w:lvlText w:val="•"/>
      <w:lvlJc w:val="left"/>
      <w:pPr>
        <w:ind w:left="7510" w:hanging="720"/>
      </w:pPr>
      <w:rPr>
        <w:rFonts w:hint="default"/>
        <w:lang w:val="en-us" w:eastAsia="en-us" w:bidi="en-us"/>
      </w:rPr>
    </w:lvl>
    <w:lvl w:ilvl="8">
      <w:start w:val="0"/>
      <w:numFmt w:val="bullet"/>
      <w:lvlText w:val="•"/>
      <w:lvlJc w:val="left"/>
      <w:pPr>
        <w:ind w:left="8596" w:hanging="720"/>
      </w:pPr>
      <w:rPr>
        <w:rFonts w:hint="default"/>
        <w:lang w:val="en-us" w:eastAsia="en-us" w:bidi="en-us"/>
      </w:rPr>
    </w:lvl>
  </w:abstractNum>
  <w:abstractNum w:abstractNumId="13">
    <w:multiLevelType w:val="hybridMultilevel"/>
    <w:lvl w:ilvl="0">
      <w:start w:val="4"/>
      <w:numFmt w:val="decimal"/>
      <w:lvlText w:val="%1"/>
      <w:lvlJc w:val="left"/>
      <w:pPr>
        <w:ind w:left="854" w:hanging="576"/>
        <w:jc w:val="left"/>
      </w:pPr>
      <w:rPr>
        <w:rFonts w:hint="default"/>
        <w:lang w:val="en-us" w:eastAsia="en-us" w:bidi="en-us"/>
      </w:rPr>
    </w:lvl>
    <w:lvl w:ilvl="1">
      <w:start w:val="2"/>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1"/>
        <w:w w:val="99"/>
        <w:sz w:val="32"/>
        <w:szCs w:val="32"/>
        <w:lang w:val="en-us" w:eastAsia="en-us" w:bidi="en-us"/>
      </w:rPr>
    </w:lvl>
    <w:lvl w:ilvl="3">
      <w:start w:val="0"/>
      <w:numFmt w:val="bullet"/>
      <w:lvlText w:val="•"/>
      <w:lvlJc w:val="left"/>
      <w:pPr>
        <w:ind w:left="3170" w:hanging="720"/>
      </w:pPr>
      <w:rPr>
        <w:rFonts w:hint="default"/>
        <w:lang w:val="en-us" w:eastAsia="en-us" w:bidi="en-us"/>
      </w:rPr>
    </w:lvl>
    <w:lvl w:ilvl="4">
      <w:start w:val="0"/>
      <w:numFmt w:val="bullet"/>
      <w:lvlText w:val="•"/>
      <w:lvlJc w:val="left"/>
      <w:pPr>
        <w:ind w:left="4255" w:hanging="720"/>
      </w:pPr>
      <w:rPr>
        <w:rFonts w:hint="default"/>
        <w:lang w:val="en-us" w:eastAsia="en-us" w:bidi="en-us"/>
      </w:rPr>
    </w:lvl>
    <w:lvl w:ilvl="5">
      <w:start w:val="0"/>
      <w:numFmt w:val="bullet"/>
      <w:lvlText w:val="•"/>
      <w:lvlJc w:val="left"/>
      <w:pPr>
        <w:ind w:left="5340" w:hanging="720"/>
      </w:pPr>
      <w:rPr>
        <w:rFonts w:hint="default"/>
        <w:lang w:val="en-us" w:eastAsia="en-us" w:bidi="en-us"/>
      </w:rPr>
    </w:lvl>
    <w:lvl w:ilvl="6">
      <w:start w:val="0"/>
      <w:numFmt w:val="bullet"/>
      <w:lvlText w:val="•"/>
      <w:lvlJc w:val="left"/>
      <w:pPr>
        <w:ind w:left="6425" w:hanging="720"/>
      </w:pPr>
      <w:rPr>
        <w:rFonts w:hint="default"/>
        <w:lang w:val="en-us" w:eastAsia="en-us" w:bidi="en-us"/>
      </w:rPr>
    </w:lvl>
    <w:lvl w:ilvl="7">
      <w:start w:val="0"/>
      <w:numFmt w:val="bullet"/>
      <w:lvlText w:val="•"/>
      <w:lvlJc w:val="left"/>
      <w:pPr>
        <w:ind w:left="7510" w:hanging="720"/>
      </w:pPr>
      <w:rPr>
        <w:rFonts w:hint="default"/>
        <w:lang w:val="en-us" w:eastAsia="en-us" w:bidi="en-us"/>
      </w:rPr>
    </w:lvl>
    <w:lvl w:ilvl="8">
      <w:start w:val="0"/>
      <w:numFmt w:val="bullet"/>
      <w:lvlText w:val="•"/>
      <w:lvlJc w:val="left"/>
      <w:pPr>
        <w:ind w:left="8596" w:hanging="720"/>
      </w:pPr>
      <w:rPr>
        <w:rFonts w:hint="default"/>
        <w:lang w:val="en-us" w:eastAsia="en-us" w:bidi="en-us"/>
      </w:rPr>
    </w:lvl>
  </w:abstractNum>
  <w:abstractNum w:abstractNumId="12">
    <w:multiLevelType w:val="hybridMultilevel"/>
    <w:lvl w:ilvl="0">
      <w:start w:val="4"/>
      <w:numFmt w:val="decimal"/>
      <w:lvlText w:val="%1"/>
      <w:lvlJc w:val="left"/>
      <w:pPr>
        <w:ind w:left="854" w:hanging="576"/>
        <w:jc w:val="left"/>
      </w:pPr>
      <w:rPr>
        <w:rFonts w:hint="default"/>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w w:val="99"/>
        <w:sz w:val="32"/>
        <w:szCs w:val="32"/>
        <w:lang w:val="en-us" w:eastAsia="en-us" w:bidi="en-us"/>
      </w:rPr>
    </w:lvl>
    <w:lvl w:ilvl="3">
      <w:start w:val="0"/>
      <w:numFmt w:val="bullet"/>
      <w:lvlText w:val="•"/>
      <w:lvlJc w:val="left"/>
      <w:pPr>
        <w:ind w:left="3170" w:hanging="720"/>
      </w:pPr>
      <w:rPr>
        <w:rFonts w:hint="default"/>
        <w:lang w:val="en-us" w:eastAsia="en-us" w:bidi="en-us"/>
      </w:rPr>
    </w:lvl>
    <w:lvl w:ilvl="4">
      <w:start w:val="0"/>
      <w:numFmt w:val="bullet"/>
      <w:lvlText w:val="•"/>
      <w:lvlJc w:val="left"/>
      <w:pPr>
        <w:ind w:left="4255" w:hanging="720"/>
      </w:pPr>
      <w:rPr>
        <w:rFonts w:hint="default"/>
        <w:lang w:val="en-us" w:eastAsia="en-us" w:bidi="en-us"/>
      </w:rPr>
    </w:lvl>
    <w:lvl w:ilvl="5">
      <w:start w:val="0"/>
      <w:numFmt w:val="bullet"/>
      <w:lvlText w:val="•"/>
      <w:lvlJc w:val="left"/>
      <w:pPr>
        <w:ind w:left="5340" w:hanging="720"/>
      </w:pPr>
      <w:rPr>
        <w:rFonts w:hint="default"/>
        <w:lang w:val="en-us" w:eastAsia="en-us" w:bidi="en-us"/>
      </w:rPr>
    </w:lvl>
    <w:lvl w:ilvl="6">
      <w:start w:val="0"/>
      <w:numFmt w:val="bullet"/>
      <w:lvlText w:val="•"/>
      <w:lvlJc w:val="left"/>
      <w:pPr>
        <w:ind w:left="6425" w:hanging="720"/>
      </w:pPr>
      <w:rPr>
        <w:rFonts w:hint="default"/>
        <w:lang w:val="en-us" w:eastAsia="en-us" w:bidi="en-us"/>
      </w:rPr>
    </w:lvl>
    <w:lvl w:ilvl="7">
      <w:start w:val="0"/>
      <w:numFmt w:val="bullet"/>
      <w:lvlText w:val="•"/>
      <w:lvlJc w:val="left"/>
      <w:pPr>
        <w:ind w:left="7510" w:hanging="720"/>
      </w:pPr>
      <w:rPr>
        <w:rFonts w:hint="default"/>
        <w:lang w:val="en-us" w:eastAsia="en-us" w:bidi="en-us"/>
      </w:rPr>
    </w:lvl>
    <w:lvl w:ilvl="8">
      <w:start w:val="0"/>
      <w:numFmt w:val="bullet"/>
      <w:lvlText w:val="•"/>
      <w:lvlJc w:val="left"/>
      <w:pPr>
        <w:ind w:left="8596" w:hanging="720"/>
      </w:pPr>
      <w:rPr>
        <w:rFonts w:hint="default"/>
        <w:lang w:val="en-us" w:eastAsia="en-us" w:bidi="en-us"/>
      </w:rPr>
    </w:lvl>
  </w:abstractNum>
  <w:abstractNum w:abstractNumId="10">
    <w:multiLevelType w:val="hybridMultilevel"/>
    <w:lvl w:ilvl="0">
      <w:start w:val="3"/>
      <w:numFmt w:val="decimal"/>
      <w:lvlText w:val="%1"/>
      <w:lvlJc w:val="left"/>
      <w:pPr>
        <w:ind w:left="998" w:hanging="720"/>
        <w:jc w:val="left"/>
      </w:pPr>
      <w:rPr>
        <w:rFonts w:hint="default"/>
        <w:lang w:val="en-us" w:eastAsia="en-us" w:bidi="en-us"/>
      </w:rPr>
    </w:lvl>
    <w:lvl w:ilvl="1">
      <w:start w:val="1"/>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1"/>
        <w:w w:val="99"/>
        <w:sz w:val="32"/>
        <w:szCs w:val="32"/>
        <w:lang w:val="en-us" w:eastAsia="en-us" w:bidi="en-us"/>
      </w:rPr>
    </w:lvl>
    <w:lvl w:ilvl="3">
      <w:start w:val="0"/>
      <w:numFmt w:val="bullet"/>
      <w:lvlText w:val="•"/>
      <w:lvlJc w:val="left"/>
      <w:pPr>
        <w:ind w:left="3929" w:hanging="720"/>
      </w:pPr>
      <w:rPr>
        <w:rFonts w:hint="default"/>
        <w:lang w:val="en-us" w:eastAsia="en-us" w:bidi="en-us"/>
      </w:rPr>
    </w:lvl>
    <w:lvl w:ilvl="4">
      <w:start w:val="0"/>
      <w:numFmt w:val="bullet"/>
      <w:lvlText w:val="•"/>
      <w:lvlJc w:val="left"/>
      <w:pPr>
        <w:ind w:left="4906" w:hanging="720"/>
      </w:pPr>
      <w:rPr>
        <w:rFonts w:hint="default"/>
        <w:lang w:val="en-us" w:eastAsia="en-us" w:bidi="en-us"/>
      </w:rPr>
    </w:lvl>
    <w:lvl w:ilvl="5">
      <w:start w:val="0"/>
      <w:numFmt w:val="bullet"/>
      <w:lvlText w:val="•"/>
      <w:lvlJc w:val="left"/>
      <w:pPr>
        <w:ind w:left="5883" w:hanging="720"/>
      </w:pPr>
      <w:rPr>
        <w:rFonts w:hint="default"/>
        <w:lang w:val="en-us" w:eastAsia="en-us" w:bidi="en-us"/>
      </w:rPr>
    </w:lvl>
    <w:lvl w:ilvl="6">
      <w:start w:val="0"/>
      <w:numFmt w:val="bullet"/>
      <w:lvlText w:val="•"/>
      <w:lvlJc w:val="left"/>
      <w:pPr>
        <w:ind w:left="6859" w:hanging="720"/>
      </w:pPr>
      <w:rPr>
        <w:rFonts w:hint="default"/>
        <w:lang w:val="en-us" w:eastAsia="en-us" w:bidi="en-us"/>
      </w:rPr>
    </w:lvl>
    <w:lvl w:ilvl="7">
      <w:start w:val="0"/>
      <w:numFmt w:val="bullet"/>
      <w:lvlText w:val="•"/>
      <w:lvlJc w:val="left"/>
      <w:pPr>
        <w:ind w:left="7836" w:hanging="720"/>
      </w:pPr>
      <w:rPr>
        <w:rFonts w:hint="default"/>
        <w:lang w:val="en-us" w:eastAsia="en-us" w:bidi="en-us"/>
      </w:rPr>
    </w:lvl>
    <w:lvl w:ilvl="8">
      <w:start w:val="0"/>
      <w:numFmt w:val="bullet"/>
      <w:lvlText w:val="•"/>
      <w:lvlJc w:val="left"/>
      <w:pPr>
        <w:ind w:left="8813" w:hanging="720"/>
      </w:pPr>
      <w:rPr>
        <w:rFonts w:hint="default"/>
        <w:lang w:val="en-us" w:eastAsia="en-us" w:bidi="en-us"/>
      </w:rPr>
    </w:lvl>
  </w:abstractNum>
  <w:abstractNum w:abstractNumId="6">
    <w:multiLevelType w:val="hybridMultilevel"/>
    <w:lvl w:ilvl="0">
      <w:start w:val="2"/>
      <w:numFmt w:val="decimal"/>
      <w:lvlText w:val="%1"/>
      <w:lvlJc w:val="left"/>
      <w:pPr>
        <w:ind w:left="998" w:hanging="720"/>
        <w:jc w:val="left"/>
      </w:pPr>
      <w:rPr>
        <w:rFonts w:hint="default"/>
        <w:lang w:val="en-us" w:eastAsia="en-us" w:bidi="en-us"/>
      </w:rPr>
    </w:lvl>
    <w:lvl w:ilvl="1">
      <w:start w:val="3"/>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spacing w:val="-2"/>
        <w:w w:val="99"/>
        <w:sz w:val="32"/>
        <w:szCs w:val="32"/>
        <w:lang w:val="en-us" w:eastAsia="en-us" w:bidi="en-us"/>
      </w:rPr>
    </w:lvl>
    <w:lvl w:ilvl="3">
      <w:start w:val="0"/>
      <w:numFmt w:val="bullet"/>
      <w:lvlText w:val="•"/>
      <w:lvlJc w:val="left"/>
      <w:pPr>
        <w:ind w:left="3929" w:hanging="720"/>
      </w:pPr>
      <w:rPr>
        <w:rFonts w:hint="default"/>
        <w:lang w:val="en-us" w:eastAsia="en-us" w:bidi="en-us"/>
      </w:rPr>
    </w:lvl>
    <w:lvl w:ilvl="4">
      <w:start w:val="0"/>
      <w:numFmt w:val="bullet"/>
      <w:lvlText w:val="•"/>
      <w:lvlJc w:val="left"/>
      <w:pPr>
        <w:ind w:left="4906" w:hanging="720"/>
      </w:pPr>
      <w:rPr>
        <w:rFonts w:hint="default"/>
        <w:lang w:val="en-us" w:eastAsia="en-us" w:bidi="en-us"/>
      </w:rPr>
    </w:lvl>
    <w:lvl w:ilvl="5">
      <w:start w:val="0"/>
      <w:numFmt w:val="bullet"/>
      <w:lvlText w:val="•"/>
      <w:lvlJc w:val="left"/>
      <w:pPr>
        <w:ind w:left="5883" w:hanging="720"/>
      </w:pPr>
      <w:rPr>
        <w:rFonts w:hint="default"/>
        <w:lang w:val="en-us" w:eastAsia="en-us" w:bidi="en-us"/>
      </w:rPr>
    </w:lvl>
    <w:lvl w:ilvl="6">
      <w:start w:val="0"/>
      <w:numFmt w:val="bullet"/>
      <w:lvlText w:val="•"/>
      <w:lvlJc w:val="left"/>
      <w:pPr>
        <w:ind w:left="6859" w:hanging="720"/>
      </w:pPr>
      <w:rPr>
        <w:rFonts w:hint="default"/>
        <w:lang w:val="en-us" w:eastAsia="en-us" w:bidi="en-us"/>
      </w:rPr>
    </w:lvl>
    <w:lvl w:ilvl="7">
      <w:start w:val="0"/>
      <w:numFmt w:val="bullet"/>
      <w:lvlText w:val="•"/>
      <w:lvlJc w:val="left"/>
      <w:pPr>
        <w:ind w:left="7836" w:hanging="720"/>
      </w:pPr>
      <w:rPr>
        <w:rFonts w:hint="default"/>
        <w:lang w:val="en-us" w:eastAsia="en-us" w:bidi="en-us"/>
      </w:rPr>
    </w:lvl>
    <w:lvl w:ilvl="8">
      <w:start w:val="0"/>
      <w:numFmt w:val="bullet"/>
      <w:lvlText w:val="•"/>
      <w:lvlJc w:val="left"/>
      <w:pPr>
        <w:ind w:left="8813" w:hanging="720"/>
      </w:pPr>
      <w:rPr>
        <w:rFonts w:hint="default"/>
        <w:lang w:val="en-us" w:eastAsia="en-us" w:bidi="en-us"/>
      </w:rPr>
    </w:lvl>
  </w:abstractNum>
  <w:abstractNum w:abstractNumId="4">
    <w:multiLevelType w:val="hybridMultilevel"/>
    <w:lvl w:ilvl="0">
      <w:start w:val="0"/>
      <w:numFmt w:val="bullet"/>
      <w:lvlText w:val=""/>
      <w:lvlJc w:val="left"/>
      <w:pPr>
        <w:ind w:left="1096" w:hanging="360"/>
      </w:pPr>
      <w:rPr>
        <w:rFonts w:hint="default" w:ascii="Symbol" w:hAnsi="Symbol" w:eastAsia="Symbol" w:cs="Symbol"/>
        <w:w w:val="99"/>
        <w:sz w:val="20"/>
        <w:szCs w:val="20"/>
        <w:lang w:val="en-us" w:eastAsia="en-us" w:bidi="en-us"/>
      </w:rPr>
    </w:lvl>
    <w:lvl w:ilvl="1">
      <w:start w:val="0"/>
      <w:numFmt w:val="bullet"/>
      <w:lvlText w:val="•"/>
      <w:lvlJc w:val="left"/>
      <w:pPr>
        <w:ind w:left="1934" w:hanging="360"/>
      </w:pPr>
      <w:rPr>
        <w:rFonts w:hint="default"/>
        <w:lang w:val="en-us" w:eastAsia="en-us" w:bidi="en-us"/>
      </w:rPr>
    </w:lvl>
    <w:lvl w:ilvl="2">
      <w:start w:val="0"/>
      <w:numFmt w:val="bullet"/>
      <w:lvlText w:val="•"/>
      <w:lvlJc w:val="left"/>
      <w:pPr>
        <w:ind w:left="2769" w:hanging="360"/>
      </w:pPr>
      <w:rPr>
        <w:rFonts w:hint="default"/>
        <w:lang w:val="en-us" w:eastAsia="en-us" w:bidi="en-us"/>
      </w:rPr>
    </w:lvl>
    <w:lvl w:ilvl="3">
      <w:start w:val="0"/>
      <w:numFmt w:val="bullet"/>
      <w:lvlText w:val="•"/>
      <w:lvlJc w:val="left"/>
      <w:pPr>
        <w:ind w:left="3604" w:hanging="360"/>
      </w:pPr>
      <w:rPr>
        <w:rFonts w:hint="default"/>
        <w:lang w:val="en-us" w:eastAsia="en-us" w:bidi="en-us"/>
      </w:rPr>
    </w:lvl>
    <w:lvl w:ilvl="4">
      <w:start w:val="0"/>
      <w:numFmt w:val="bullet"/>
      <w:lvlText w:val="•"/>
      <w:lvlJc w:val="left"/>
      <w:pPr>
        <w:ind w:left="4439" w:hanging="360"/>
      </w:pPr>
      <w:rPr>
        <w:rFonts w:hint="default"/>
        <w:lang w:val="en-us" w:eastAsia="en-us" w:bidi="en-us"/>
      </w:rPr>
    </w:lvl>
    <w:lvl w:ilvl="5">
      <w:start w:val="0"/>
      <w:numFmt w:val="bullet"/>
      <w:lvlText w:val="•"/>
      <w:lvlJc w:val="left"/>
      <w:pPr>
        <w:ind w:left="5273" w:hanging="360"/>
      </w:pPr>
      <w:rPr>
        <w:rFonts w:hint="default"/>
        <w:lang w:val="en-us" w:eastAsia="en-us" w:bidi="en-us"/>
      </w:rPr>
    </w:lvl>
    <w:lvl w:ilvl="6">
      <w:start w:val="0"/>
      <w:numFmt w:val="bullet"/>
      <w:lvlText w:val="•"/>
      <w:lvlJc w:val="left"/>
      <w:pPr>
        <w:ind w:left="6108" w:hanging="360"/>
      </w:pPr>
      <w:rPr>
        <w:rFonts w:hint="default"/>
        <w:lang w:val="en-us" w:eastAsia="en-us" w:bidi="en-us"/>
      </w:rPr>
    </w:lvl>
    <w:lvl w:ilvl="7">
      <w:start w:val="0"/>
      <w:numFmt w:val="bullet"/>
      <w:lvlText w:val="•"/>
      <w:lvlJc w:val="left"/>
      <w:pPr>
        <w:ind w:left="6943" w:hanging="360"/>
      </w:pPr>
      <w:rPr>
        <w:rFonts w:hint="default"/>
        <w:lang w:val="en-us" w:eastAsia="en-us" w:bidi="en-us"/>
      </w:rPr>
    </w:lvl>
    <w:lvl w:ilvl="8">
      <w:start w:val="0"/>
      <w:numFmt w:val="bullet"/>
      <w:lvlText w:val="•"/>
      <w:lvlJc w:val="left"/>
      <w:pPr>
        <w:ind w:left="7778" w:hanging="360"/>
      </w:pPr>
      <w:rPr>
        <w:rFonts w:hint="default"/>
        <w:lang w:val="en-us" w:eastAsia="en-us" w:bidi="en-us"/>
      </w:rPr>
    </w:lvl>
  </w:abstractNum>
  <w:abstractNum w:abstractNumId="2">
    <w:multiLevelType w:val="hybridMultilevel"/>
    <w:lvl w:ilvl="0">
      <w:start w:val="1"/>
      <w:numFmt w:val="decimal"/>
      <w:lvlText w:val="%1"/>
      <w:lvlJc w:val="left"/>
      <w:pPr>
        <w:ind w:left="998" w:hanging="720"/>
        <w:jc w:val="left"/>
      </w:pPr>
      <w:rPr>
        <w:rFonts w:hint="default"/>
        <w:lang w:val="en-us" w:eastAsia="en-us" w:bidi="en-us"/>
      </w:rPr>
    </w:lvl>
    <w:lvl w:ilvl="1">
      <w:start w:val="1"/>
      <w:numFmt w:val="decimal"/>
      <w:lvlText w:val="%1.%2"/>
      <w:lvlJc w:val="left"/>
      <w:pPr>
        <w:ind w:left="998" w:hanging="720"/>
        <w:jc w:val="left"/>
      </w:pPr>
      <w:rPr>
        <w:rFonts w:hint="default"/>
        <w:lang w:val="en-us" w:eastAsia="en-us" w:bidi="en-us"/>
      </w:rPr>
    </w:lvl>
    <w:lvl w:ilvl="2">
      <w:start w:val="1"/>
      <w:numFmt w:val="decimal"/>
      <w:lvlText w:val="%1.%2.%3"/>
      <w:lvlJc w:val="left"/>
      <w:pPr>
        <w:ind w:left="998" w:hanging="720"/>
        <w:jc w:val="left"/>
      </w:pPr>
      <w:rPr>
        <w:rFonts w:hint="default" w:ascii="Georgia" w:hAnsi="Georgia" w:eastAsia="Georgia" w:cs="Georgia"/>
        <w:i/>
        <w:color w:val="A21F1F"/>
        <w:w w:val="99"/>
        <w:sz w:val="32"/>
        <w:szCs w:val="32"/>
        <w:lang w:val="en-us" w:eastAsia="en-us" w:bidi="en-us"/>
      </w:rPr>
    </w:lvl>
    <w:lvl w:ilvl="3">
      <w:start w:val="1"/>
      <w:numFmt w:val="decimal"/>
      <w:lvlText w:val="%4)"/>
      <w:lvlJc w:val="left"/>
      <w:pPr>
        <w:ind w:left="998" w:hanging="360"/>
        <w:jc w:val="left"/>
      </w:pPr>
      <w:rPr>
        <w:rFonts w:hint="default" w:ascii="Georgia" w:hAnsi="Georgia" w:eastAsia="Georgia" w:cs="Georgia"/>
        <w:w w:val="99"/>
        <w:sz w:val="20"/>
        <w:szCs w:val="20"/>
        <w:lang w:val="en-us" w:eastAsia="en-us" w:bidi="en-us"/>
      </w:rPr>
    </w:lvl>
    <w:lvl w:ilvl="4">
      <w:start w:val="0"/>
      <w:numFmt w:val="bullet"/>
      <w:lvlText w:val="•"/>
      <w:lvlJc w:val="left"/>
      <w:pPr>
        <w:ind w:left="4906" w:hanging="360"/>
      </w:pPr>
      <w:rPr>
        <w:rFonts w:hint="default"/>
        <w:lang w:val="en-us" w:eastAsia="en-us" w:bidi="en-us"/>
      </w:rPr>
    </w:lvl>
    <w:lvl w:ilvl="5">
      <w:start w:val="0"/>
      <w:numFmt w:val="bullet"/>
      <w:lvlText w:val="•"/>
      <w:lvlJc w:val="left"/>
      <w:pPr>
        <w:ind w:left="5883" w:hanging="360"/>
      </w:pPr>
      <w:rPr>
        <w:rFonts w:hint="default"/>
        <w:lang w:val="en-us" w:eastAsia="en-us" w:bidi="en-us"/>
      </w:rPr>
    </w:lvl>
    <w:lvl w:ilvl="6">
      <w:start w:val="0"/>
      <w:numFmt w:val="bullet"/>
      <w:lvlText w:val="•"/>
      <w:lvlJc w:val="left"/>
      <w:pPr>
        <w:ind w:left="6859" w:hanging="360"/>
      </w:pPr>
      <w:rPr>
        <w:rFonts w:hint="default"/>
        <w:lang w:val="en-us" w:eastAsia="en-us" w:bidi="en-us"/>
      </w:rPr>
    </w:lvl>
    <w:lvl w:ilvl="7">
      <w:start w:val="0"/>
      <w:numFmt w:val="bullet"/>
      <w:lvlText w:val="•"/>
      <w:lvlJc w:val="left"/>
      <w:pPr>
        <w:ind w:left="7836" w:hanging="360"/>
      </w:pPr>
      <w:rPr>
        <w:rFonts w:hint="default"/>
        <w:lang w:val="en-us" w:eastAsia="en-us" w:bidi="en-us"/>
      </w:rPr>
    </w:lvl>
    <w:lvl w:ilvl="8">
      <w:start w:val="0"/>
      <w:numFmt w:val="bullet"/>
      <w:lvlText w:val="•"/>
      <w:lvlJc w:val="left"/>
      <w:pPr>
        <w:ind w:left="8813" w:hanging="360"/>
      </w:pPr>
      <w:rPr>
        <w:rFonts w:hint="default"/>
        <w:lang w:val="en-us" w:eastAsia="en-us" w:bidi="en-us"/>
      </w:rPr>
    </w:lvl>
  </w:abstractNum>
  <w:abstractNum w:abstractNumId="1">
    <w:multiLevelType w:val="hybridMultilevel"/>
    <w:lvl w:ilvl="0">
      <w:start w:val="1"/>
      <w:numFmt w:val="decimal"/>
      <w:lvlText w:val="%1"/>
      <w:lvlJc w:val="left"/>
      <w:pPr>
        <w:ind w:left="710" w:hanging="432"/>
        <w:jc w:val="left"/>
      </w:pPr>
      <w:rPr>
        <w:rFonts w:hint="default" w:ascii="Georgia" w:hAnsi="Georgia" w:eastAsia="Georgia" w:cs="Georgia"/>
        <w:b/>
        <w:bCs/>
        <w:i/>
        <w:w w:val="99"/>
        <w:sz w:val="56"/>
        <w:szCs w:val="56"/>
        <w:lang w:val="en-us" w:eastAsia="en-us" w:bidi="en-us"/>
      </w:rPr>
    </w:lvl>
    <w:lvl w:ilvl="1">
      <w:start w:val="1"/>
      <w:numFmt w:val="decimal"/>
      <w:lvlText w:val="%1.%2"/>
      <w:lvlJc w:val="left"/>
      <w:pPr>
        <w:ind w:left="854" w:hanging="576"/>
        <w:jc w:val="left"/>
      </w:pPr>
      <w:rPr>
        <w:rFonts w:hint="default" w:ascii="Georgia" w:hAnsi="Georgia" w:eastAsia="Georgia" w:cs="Georgia"/>
        <w:b/>
        <w:bCs/>
        <w:i/>
        <w:color w:val="A21F1F"/>
        <w:spacing w:val="-1"/>
        <w:w w:val="99"/>
        <w:sz w:val="32"/>
        <w:szCs w:val="32"/>
        <w:lang w:val="en-us" w:eastAsia="en-us" w:bidi="en-us"/>
      </w:rPr>
    </w:lvl>
    <w:lvl w:ilvl="2">
      <w:start w:val="0"/>
      <w:numFmt w:val="bullet"/>
      <w:lvlText w:val=""/>
      <w:lvlJc w:val="left"/>
      <w:pPr>
        <w:ind w:left="1049" w:hanging="360"/>
      </w:pPr>
      <w:rPr>
        <w:rFonts w:hint="default" w:ascii="Symbol" w:hAnsi="Symbol" w:eastAsia="Symbol" w:cs="Symbol"/>
        <w:w w:val="99"/>
        <w:sz w:val="20"/>
        <w:szCs w:val="20"/>
        <w:lang w:val="en-us" w:eastAsia="en-us" w:bidi="en-us"/>
      </w:rPr>
    </w:lvl>
    <w:lvl w:ilvl="3">
      <w:start w:val="0"/>
      <w:numFmt w:val="bullet"/>
      <w:lvlText w:val="•"/>
      <w:lvlJc w:val="left"/>
      <w:pPr>
        <w:ind w:left="1040" w:hanging="360"/>
      </w:pPr>
      <w:rPr>
        <w:rFonts w:hint="default"/>
        <w:lang w:val="en-us" w:eastAsia="en-us" w:bidi="en-us"/>
      </w:rPr>
    </w:lvl>
    <w:lvl w:ilvl="4">
      <w:start w:val="0"/>
      <w:numFmt w:val="bullet"/>
      <w:lvlText w:val="•"/>
      <w:lvlJc w:val="left"/>
      <w:pPr>
        <w:ind w:left="2429" w:hanging="360"/>
      </w:pPr>
      <w:rPr>
        <w:rFonts w:hint="default"/>
        <w:lang w:val="en-us" w:eastAsia="en-us" w:bidi="en-us"/>
      </w:rPr>
    </w:lvl>
    <w:lvl w:ilvl="5">
      <w:start w:val="0"/>
      <w:numFmt w:val="bullet"/>
      <w:lvlText w:val="•"/>
      <w:lvlJc w:val="left"/>
      <w:pPr>
        <w:ind w:left="3818" w:hanging="360"/>
      </w:pPr>
      <w:rPr>
        <w:rFonts w:hint="default"/>
        <w:lang w:val="en-us" w:eastAsia="en-us" w:bidi="en-us"/>
      </w:rPr>
    </w:lvl>
    <w:lvl w:ilvl="6">
      <w:start w:val="0"/>
      <w:numFmt w:val="bullet"/>
      <w:lvlText w:val="•"/>
      <w:lvlJc w:val="left"/>
      <w:pPr>
        <w:ind w:left="5208" w:hanging="360"/>
      </w:pPr>
      <w:rPr>
        <w:rFonts w:hint="default"/>
        <w:lang w:val="en-us" w:eastAsia="en-us" w:bidi="en-us"/>
      </w:rPr>
    </w:lvl>
    <w:lvl w:ilvl="7">
      <w:start w:val="0"/>
      <w:numFmt w:val="bullet"/>
      <w:lvlText w:val="•"/>
      <w:lvlJc w:val="left"/>
      <w:pPr>
        <w:ind w:left="6597" w:hanging="360"/>
      </w:pPr>
      <w:rPr>
        <w:rFonts w:hint="default"/>
        <w:lang w:val="en-us" w:eastAsia="en-us" w:bidi="en-us"/>
      </w:rPr>
    </w:lvl>
    <w:lvl w:ilvl="8">
      <w:start w:val="0"/>
      <w:numFmt w:val="bullet"/>
      <w:lvlText w:val="•"/>
      <w:lvlJc w:val="left"/>
      <w:pPr>
        <w:ind w:left="7987" w:hanging="360"/>
      </w:pPr>
      <w:rPr>
        <w:rFonts w:hint="default"/>
        <w:lang w:val="en-us" w:eastAsia="en-us" w:bidi="en-us"/>
      </w:rPr>
    </w:lvl>
  </w:abstractNum>
  <w:abstractNum w:abstractNumId="0">
    <w:multiLevelType w:val="hybridMultilevel"/>
    <w:lvl w:ilvl="0">
      <w:start w:val="1"/>
      <w:numFmt w:val="decimal"/>
      <w:lvlText w:val="%1"/>
      <w:lvlJc w:val="left"/>
      <w:pPr>
        <w:ind w:left="845" w:hanging="567"/>
        <w:jc w:val="left"/>
      </w:pPr>
      <w:rPr>
        <w:rFonts w:hint="default" w:ascii="Georgia" w:hAnsi="Georgia" w:eastAsia="Georgia" w:cs="Georgia"/>
        <w:w w:val="99"/>
        <w:sz w:val="20"/>
        <w:szCs w:val="20"/>
        <w:lang w:val="en-us" w:eastAsia="en-us" w:bidi="en-us"/>
      </w:rPr>
    </w:lvl>
    <w:lvl w:ilvl="1">
      <w:start w:val="1"/>
      <w:numFmt w:val="decimal"/>
      <w:lvlText w:val="%1.%2"/>
      <w:lvlJc w:val="left"/>
      <w:pPr>
        <w:ind w:left="958" w:hanging="567"/>
        <w:jc w:val="left"/>
      </w:pPr>
      <w:rPr>
        <w:rFonts w:hint="default" w:ascii="Georgia" w:hAnsi="Georgia" w:eastAsia="Georgia" w:cs="Georgia"/>
        <w:spacing w:val="-1"/>
        <w:w w:val="99"/>
        <w:sz w:val="20"/>
        <w:szCs w:val="20"/>
        <w:lang w:val="en-us" w:eastAsia="en-us" w:bidi="en-us"/>
      </w:rPr>
    </w:lvl>
    <w:lvl w:ilvl="2">
      <w:start w:val="1"/>
      <w:numFmt w:val="decimal"/>
      <w:lvlText w:val="%1.%2.%3"/>
      <w:lvlJc w:val="left"/>
      <w:pPr>
        <w:ind w:left="1130" w:hanging="569"/>
        <w:jc w:val="left"/>
      </w:pPr>
      <w:rPr>
        <w:rFonts w:hint="default" w:ascii="Georgia" w:hAnsi="Georgia" w:eastAsia="Georgia" w:cs="Georgia"/>
        <w:spacing w:val="-1"/>
        <w:w w:val="99"/>
        <w:sz w:val="20"/>
        <w:szCs w:val="20"/>
        <w:lang w:val="en-us" w:eastAsia="en-us" w:bidi="en-us"/>
      </w:rPr>
    </w:lvl>
    <w:lvl w:ilvl="3">
      <w:start w:val="0"/>
      <w:numFmt w:val="bullet"/>
      <w:lvlText w:val="•"/>
      <w:lvlJc w:val="left"/>
      <w:pPr>
        <w:ind w:left="2343" w:hanging="569"/>
      </w:pPr>
      <w:rPr>
        <w:rFonts w:hint="default"/>
        <w:lang w:val="en-us" w:eastAsia="en-us" w:bidi="en-us"/>
      </w:rPr>
    </w:lvl>
    <w:lvl w:ilvl="4">
      <w:start w:val="0"/>
      <w:numFmt w:val="bullet"/>
      <w:lvlText w:val="•"/>
      <w:lvlJc w:val="left"/>
      <w:pPr>
        <w:ind w:left="3546" w:hanging="569"/>
      </w:pPr>
      <w:rPr>
        <w:rFonts w:hint="default"/>
        <w:lang w:val="en-us" w:eastAsia="en-us" w:bidi="en-us"/>
      </w:rPr>
    </w:lvl>
    <w:lvl w:ilvl="5">
      <w:start w:val="0"/>
      <w:numFmt w:val="bullet"/>
      <w:lvlText w:val="•"/>
      <w:lvlJc w:val="left"/>
      <w:pPr>
        <w:ind w:left="4749" w:hanging="569"/>
      </w:pPr>
      <w:rPr>
        <w:rFonts w:hint="default"/>
        <w:lang w:val="en-us" w:eastAsia="en-us" w:bidi="en-us"/>
      </w:rPr>
    </w:lvl>
    <w:lvl w:ilvl="6">
      <w:start w:val="0"/>
      <w:numFmt w:val="bullet"/>
      <w:lvlText w:val="•"/>
      <w:lvlJc w:val="left"/>
      <w:pPr>
        <w:ind w:left="5953" w:hanging="569"/>
      </w:pPr>
      <w:rPr>
        <w:rFonts w:hint="default"/>
        <w:lang w:val="en-us" w:eastAsia="en-us" w:bidi="en-us"/>
      </w:rPr>
    </w:lvl>
    <w:lvl w:ilvl="7">
      <w:start w:val="0"/>
      <w:numFmt w:val="bullet"/>
      <w:lvlText w:val="•"/>
      <w:lvlJc w:val="left"/>
      <w:pPr>
        <w:ind w:left="7156" w:hanging="569"/>
      </w:pPr>
      <w:rPr>
        <w:rFonts w:hint="default"/>
        <w:lang w:val="en-us" w:eastAsia="en-us" w:bidi="en-us"/>
      </w:rPr>
    </w:lvl>
    <w:lvl w:ilvl="8">
      <w:start w:val="0"/>
      <w:numFmt w:val="bullet"/>
      <w:lvlText w:val="•"/>
      <w:lvlJc w:val="left"/>
      <w:pPr>
        <w:ind w:left="8359" w:hanging="569"/>
      </w:pPr>
      <w:rPr>
        <w:rFonts w:hint="default"/>
        <w:lang w:val="en-us" w:eastAsia="en-us" w:bidi="en-us"/>
      </w:rPr>
    </w:lvl>
  </w:abstractNum>
  <w:num w:numId="22">
    <w:abstractNumId w:val="21"/>
  </w:num>
  <w:num w:numId="12">
    <w:abstractNumId w:val="11"/>
  </w:num>
  <w:num w:numId="10">
    <w:abstractNumId w:val="9"/>
  </w:num>
  <w:num w:numId="9">
    <w:abstractNumId w:val="8"/>
  </w:num>
  <w:num w:numId="8">
    <w:abstractNumId w:val="7"/>
  </w:num>
  <w:num w:numId="6">
    <w:abstractNumId w:val="5"/>
  </w:num>
  <w:num w:numId="4">
    <w:abstractNumId w:val="3"/>
  </w:num>
  <w:num w:numId="37">
    <w:abstractNumId w:val="36"/>
  </w:num>
  <w:num w:numId="36">
    <w:abstractNumId w:val="35"/>
  </w:num>
  <w:num w:numId="33">
    <w:abstractNumId w:val="32"/>
  </w:num>
  <w:num w:numId="35">
    <w:abstractNumId w:val="34"/>
  </w:num>
  <w:num w:numId="34">
    <w:abstractNumId w:val="33"/>
  </w:num>
  <w:num w:numId="32">
    <w:abstractNumId w:val="31"/>
  </w:num>
  <w:num w:numId="31">
    <w:abstractNumId w:val="30"/>
  </w:num>
  <w:num w:numId="29">
    <w:abstractNumId w:val="28"/>
  </w:num>
  <w:num w:numId="30">
    <w:abstractNumId w:val="29"/>
  </w:num>
  <w:num w:numId="28">
    <w:abstractNumId w:val="27"/>
  </w:num>
  <w:num w:numId="27">
    <w:abstractNumId w:val="26"/>
  </w:num>
  <w:num w:numId="25">
    <w:abstractNumId w:val="24"/>
  </w:num>
  <w:num w:numId="24">
    <w:abstractNumId w:val="23"/>
  </w:num>
  <w:num w:numId="26">
    <w:abstractNumId w:val="25"/>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7">
    <w:abstractNumId w:val="6"/>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en-us"/>
    </w:rPr>
  </w:style>
  <w:style w:styleId="TOC1" w:type="paragraph">
    <w:name w:val="TOC 1"/>
    <w:basedOn w:val="Normal"/>
    <w:uiPriority w:val="1"/>
    <w:qFormat/>
    <w:pPr>
      <w:spacing w:before="231"/>
      <w:ind w:left="845" w:hanging="567"/>
    </w:pPr>
    <w:rPr>
      <w:rFonts w:ascii="Georgia" w:hAnsi="Georgia" w:eastAsia="Georgia" w:cs="Georgia"/>
      <w:sz w:val="20"/>
      <w:szCs w:val="20"/>
      <w:lang w:val="en-us" w:eastAsia="en-us" w:bidi="en-us"/>
    </w:rPr>
  </w:style>
  <w:style w:styleId="TOC2" w:type="paragraph">
    <w:name w:val="TOC 2"/>
    <w:basedOn w:val="Normal"/>
    <w:uiPriority w:val="1"/>
    <w:qFormat/>
    <w:pPr>
      <w:spacing w:before="231"/>
      <w:ind w:left="958" w:hanging="567"/>
    </w:pPr>
    <w:rPr>
      <w:rFonts w:ascii="Georgia" w:hAnsi="Georgia" w:eastAsia="Georgia" w:cs="Georgia"/>
      <w:sz w:val="20"/>
      <w:szCs w:val="20"/>
      <w:lang w:val="en-us" w:eastAsia="en-us" w:bidi="en-us"/>
    </w:rPr>
  </w:style>
  <w:style w:styleId="TOC3" w:type="paragraph">
    <w:name w:val="TOC 3"/>
    <w:basedOn w:val="Normal"/>
    <w:uiPriority w:val="1"/>
    <w:qFormat/>
    <w:pPr>
      <w:spacing w:before="133"/>
      <w:ind w:left="1130" w:hanging="568"/>
    </w:pPr>
    <w:rPr>
      <w:rFonts w:ascii="Georgia" w:hAnsi="Georgia" w:eastAsia="Georgia" w:cs="Georgia"/>
      <w:sz w:val="20"/>
      <w:szCs w:val="20"/>
      <w:lang w:val="en-us" w:eastAsia="en-us" w:bidi="en-us"/>
    </w:rPr>
  </w:style>
  <w:style w:styleId="BodyText" w:type="paragraph">
    <w:name w:val="Body Text"/>
    <w:basedOn w:val="Normal"/>
    <w:uiPriority w:val="1"/>
    <w:qFormat/>
    <w:pPr/>
    <w:rPr>
      <w:rFonts w:ascii="Georgia" w:hAnsi="Georgia" w:eastAsia="Georgia" w:cs="Georgia"/>
      <w:sz w:val="20"/>
      <w:szCs w:val="20"/>
      <w:lang w:val="en-us" w:eastAsia="en-us" w:bidi="en-us"/>
    </w:rPr>
  </w:style>
  <w:style w:styleId="Heading1" w:type="paragraph">
    <w:name w:val="Heading 1"/>
    <w:basedOn w:val="Normal"/>
    <w:uiPriority w:val="1"/>
    <w:qFormat/>
    <w:pPr>
      <w:ind w:left="710"/>
      <w:outlineLvl w:val="1"/>
    </w:pPr>
    <w:rPr>
      <w:rFonts w:ascii="Georgia" w:hAnsi="Georgia" w:eastAsia="Georgia" w:cs="Georgia"/>
      <w:b/>
      <w:bCs/>
      <w:i/>
      <w:sz w:val="56"/>
      <w:szCs w:val="56"/>
      <w:lang w:val="en-us" w:eastAsia="en-us" w:bidi="en-us"/>
    </w:rPr>
  </w:style>
  <w:style w:styleId="Heading2" w:type="paragraph">
    <w:name w:val="Heading 2"/>
    <w:basedOn w:val="Normal"/>
    <w:uiPriority w:val="1"/>
    <w:qFormat/>
    <w:pPr>
      <w:ind w:left="854" w:hanging="576"/>
      <w:outlineLvl w:val="2"/>
    </w:pPr>
    <w:rPr>
      <w:rFonts w:ascii="Georgia" w:hAnsi="Georgia" w:eastAsia="Georgia" w:cs="Georgia"/>
      <w:b/>
      <w:bCs/>
      <w:i/>
      <w:sz w:val="32"/>
      <w:szCs w:val="32"/>
      <w:lang w:val="en-us" w:eastAsia="en-us" w:bidi="en-us"/>
    </w:rPr>
  </w:style>
  <w:style w:styleId="Heading3" w:type="paragraph">
    <w:name w:val="Heading 3"/>
    <w:basedOn w:val="Normal"/>
    <w:uiPriority w:val="1"/>
    <w:qFormat/>
    <w:pPr>
      <w:ind w:left="998" w:hanging="720"/>
      <w:outlineLvl w:val="3"/>
    </w:pPr>
    <w:rPr>
      <w:rFonts w:ascii="Georgia" w:hAnsi="Georgia" w:eastAsia="Georgia" w:cs="Georgia"/>
      <w:i/>
      <w:sz w:val="32"/>
      <w:szCs w:val="32"/>
      <w:lang w:val="en-us" w:eastAsia="en-us" w:bidi="en-us"/>
    </w:rPr>
  </w:style>
  <w:style w:styleId="ListParagraph" w:type="paragraph">
    <w:name w:val="List Paragraph"/>
    <w:basedOn w:val="Normal"/>
    <w:uiPriority w:val="1"/>
    <w:qFormat/>
    <w:pPr>
      <w:ind w:left="998" w:hanging="360"/>
    </w:pPr>
    <w:rPr>
      <w:rFonts w:ascii="Georgia" w:hAnsi="Georgia" w:eastAsia="Georgia" w:cs="Georgia"/>
      <w:lang w:val="en-us" w:eastAsia="en-us" w:bidi="en-us"/>
    </w:rPr>
  </w:style>
  <w:style w:styleId="TableParagraph" w:type="paragraph">
    <w:name w:val="Table Paragraph"/>
    <w:basedOn w:val="Normal"/>
    <w:uiPriority w:val="1"/>
    <w:qFormat/>
    <w:pPr/>
    <w:rPr>
      <w:rFonts w:ascii="Georgia" w:hAnsi="Georgia" w:eastAsia="Georgia" w:cs="Georgia"/>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yperlink" Target="http://www.grunddata.dk/"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gst.dk/media/gst/2153759/det%20fulde%20overblik%20over%20frie%20data.pdf"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www.kl.dk/Kommunale-opgaver/Teknik-og-miljo/Digital-forvaltning/Geodata/" TargetMode="External"/><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footer" Target="footer2.xml"/><Relationship Id="rId38" Type="http://schemas.openxmlformats.org/officeDocument/2006/relationships/image" Target="media/image27.jpeg"/><Relationship Id="rId39" Type="http://schemas.openxmlformats.org/officeDocument/2006/relationships/hyperlink" Target="http://scalgo.com/live-flood-risk.html" TargetMode="External"/><Relationship Id="rId40" Type="http://schemas.openxmlformats.org/officeDocument/2006/relationships/hyperlink" Target="http://www.bisbase.dk/" TargetMode="External"/><Relationship Id="rId41" Type="http://schemas.openxmlformats.org/officeDocument/2006/relationships/image" Target="media/image28.pn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hyperlink" Target="http://www.dalux.dk/" TargetMode="External"/><Relationship Id="rId45" Type="http://schemas.openxmlformats.org/officeDocument/2006/relationships/hyperlink" Target="http://www.datafordeler.dk/" TargetMode="External"/><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hyperlink" Target="http://www.pwc.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2019-09-16T06:48:44Z</dcterms:created>
  <dcterms:modified xsi:type="dcterms:W3CDTF">2019-09-16T06:48:44Z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2017-03-17T00:00:00Z</vt:filetime>
  </property>
  <property fmtid="{D5CDD505-2E9C-101B-9397-08002B2CF9AE}" pid="3" name="LastSaved">
    <vt:filetime>2019-09-16T00:00:00Z</vt:filetime>
  </property>
</Properties>
</file>