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2"/>
        <w:ind w:left="118" w:right="0" w:firstLine="0"/>
        <w:jc w:val="left"/>
        <w:rPr>
          <w:sz w:val="20"/>
        </w:rPr>
      </w:pPr>
      <w:r>
        <w:rPr>
          <w:sz w:val="20"/>
        </w:rPr>
        <w:t>FM, EFKM, MFVM, EVM, KL og Danske Regioner</w:t>
      </w:r>
    </w:p>
    <w:p>
      <w:pPr>
        <w:pStyle w:val="BodyText"/>
        <w:rPr>
          <w:sz w:val="22"/>
        </w:rPr>
      </w:pPr>
    </w:p>
    <w:p>
      <w:pPr>
        <w:pStyle w:val="BodyText"/>
        <w:rPr>
          <w:sz w:val="22"/>
        </w:rPr>
      </w:pPr>
    </w:p>
    <w:p>
      <w:pPr>
        <w:pStyle w:val="BodyText"/>
        <w:spacing w:before="3"/>
        <w:rPr>
          <w:sz w:val="18"/>
        </w:rPr>
      </w:pPr>
    </w:p>
    <w:p>
      <w:pPr>
        <w:tabs>
          <w:tab w:pos="7895" w:val="left" w:leader="none"/>
        </w:tabs>
        <w:spacing w:before="0"/>
        <w:ind w:left="118" w:right="0" w:firstLine="0"/>
        <w:jc w:val="left"/>
        <w:rPr>
          <w:sz w:val="24"/>
        </w:rPr>
      </w:pPr>
      <w:r>
        <w:rPr/>
        <w:pict>
          <v:line style="position:absolute;mso-position-horizontal-relative:page;mso-position-vertical-relative:paragraph;z-index:-1024;mso-wrap-distance-left:0;mso-wrap-distance-right:0" from="70.212822pt,28.361094pt" to="446.601554pt,28.361094pt" stroked="true" strokeweight=".480065pt" strokecolor="#000000">
            <v:stroke dashstyle="solid"/>
            <w10:wrap type="topAndBottom"/>
          </v:line>
        </w:pict>
      </w:r>
      <w:bookmarkStart w:name="6.1 Fælles data om terræn, klima og vand" w:id="1"/>
      <w:bookmarkEnd w:id="1"/>
      <w:r>
        <w:rPr/>
      </w:r>
      <w:r>
        <w:rPr>
          <w:rFonts w:ascii="Arial" w:hAnsi="Arial"/>
          <w:sz w:val="40"/>
        </w:rPr>
        <w:t>6.1 Fælles data om terræn, klima</w:t>
      </w:r>
      <w:r>
        <w:rPr>
          <w:rFonts w:ascii="Arial" w:hAnsi="Arial"/>
          <w:spacing w:val="-25"/>
          <w:sz w:val="40"/>
        </w:rPr>
        <w:t> </w:t>
      </w:r>
      <w:r>
        <w:rPr>
          <w:rFonts w:ascii="Arial" w:hAnsi="Arial"/>
          <w:sz w:val="40"/>
        </w:rPr>
        <w:t>og</w:t>
      </w:r>
      <w:r>
        <w:rPr>
          <w:rFonts w:ascii="Arial" w:hAnsi="Arial"/>
          <w:spacing w:val="-1"/>
          <w:sz w:val="40"/>
        </w:rPr>
        <w:t> </w:t>
      </w:r>
      <w:r>
        <w:rPr>
          <w:rFonts w:ascii="Arial" w:hAnsi="Arial"/>
          <w:sz w:val="40"/>
        </w:rPr>
        <w:t>vand</w:t>
        <w:tab/>
      </w:r>
      <w:r>
        <w:rPr>
          <w:position w:val="15"/>
          <w:sz w:val="24"/>
        </w:rPr>
        <w:t>4. maj</w:t>
      </w:r>
      <w:r>
        <w:rPr>
          <w:spacing w:val="-1"/>
          <w:position w:val="15"/>
          <w:sz w:val="24"/>
        </w:rPr>
        <w:t> </w:t>
      </w:r>
      <w:r>
        <w:rPr>
          <w:position w:val="15"/>
          <w:sz w:val="24"/>
        </w:rPr>
        <w:t>2016</w:t>
      </w:r>
    </w:p>
    <w:p>
      <w:pPr>
        <w:pStyle w:val="BodyText"/>
        <w:spacing w:before="1"/>
        <w:rPr>
          <w:sz w:val="18"/>
        </w:rPr>
      </w:pPr>
    </w:p>
    <w:p>
      <w:pPr>
        <w:spacing w:before="93"/>
        <w:ind w:left="118" w:right="0" w:firstLine="0"/>
        <w:jc w:val="left"/>
        <w:rPr>
          <w:rFonts w:ascii="Arial"/>
          <w:b/>
          <w:sz w:val="20"/>
        </w:rPr>
      </w:pPr>
      <w:bookmarkStart w:name="Aftalens indhold " w:id="2"/>
      <w:bookmarkEnd w:id="2"/>
      <w:r>
        <w:rPr/>
      </w:r>
      <w:r>
        <w:rPr>
          <w:rFonts w:ascii="Arial"/>
          <w:b/>
          <w:sz w:val="20"/>
        </w:rPr>
        <w:t>Aftalens indhold</w:t>
      </w:r>
    </w:p>
    <w:p>
      <w:pPr>
        <w:pStyle w:val="BodyText"/>
        <w:spacing w:line="249" w:lineRule="auto" w:before="12"/>
        <w:ind w:left="118" w:right="110"/>
        <w:jc w:val="both"/>
      </w:pPr>
      <w:r>
        <w:rPr/>
        <w:t>Bedre, flere og mere sammenhængende samt let tilgængelige data om det hydrologiske kredsløb vil effektivisere eksisterende produktion og forvaltning samt understøtte innovation  af datadrevne produkter og services. Initiativet skal gøre landsdækkende og ajourførte data let tilgængelige via en fællesoffentlig geografisk infrastruktur, der kan understøtte en sammenhængende effektiv forsyning af terræn-, klima- og vanddata. Initiativet består</w:t>
      </w:r>
      <w:r>
        <w:rPr>
          <w:spacing w:val="-21"/>
        </w:rPr>
        <w:t> </w:t>
      </w:r>
      <w:r>
        <w:rPr/>
        <w:t>af:</w:t>
      </w:r>
    </w:p>
    <w:p>
      <w:pPr>
        <w:pStyle w:val="ListParagraph"/>
        <w:numPr>
          <w:ilvl w:val="0"/>
          <w:numId w:val="1"/>
        </w:numPr>
        <w:tabs>
          <w:tab w:pos="290" w:val="left" w:leader="none"/>
        </w:tabs>
        <w:spacing w:line="249" w:lineRule="auto" w:before="228" w:after="0"/>
        <w:ind w:left="289" w:right="110" w:hanging="171"/>
        <w:jc w:val="both"/>
        <w:rPr>
          <w:sz w:val="24"/>
        </w:rPr>
      </w:pPr>
      <w:r>
        <w:rPr>
          <w:sz w:val="24"/>
        </w:rPr>
        <w:t>Etablering af fællesoffentlige geografiske infrastrukturer til sammenstilling og distribution af terræn-, klima- og vanddata, der skal skabe sammenhæng mellem eksisterende data. En fællesoffentlig geografisk infrastruktur omhandler data, metadata, værktøjer og selve den fysiske infrastruktur tillige med aftaler om organisering, standarder, drift, vedligeholdelse</w:t>
      </w:r>
      <w:r>
        <w:rPr>
          <w:spacing w:val="-17"/>
          <w:sz w:val="24"/>
        </w:rPr>
        <w:t> </w:t>
      </w:r>
      <w:r>
        <w:rPr>
          <w:sz w:val="24"/>
        </w:rPr>
        <w:t>mv.</w:t>
      </w:r>
    </w:p>
    <w:p>
      <w:pPr>
        <w:pStyle w:val="ListParagraph"/>
        <w:numPr>
          <w:ilvl w:val="0"/>
          <w:numId w:val="1"/>
        </w:numPr>
        <w:tabs>
          <w:tab w:pos="290" w:val="left" w:leader="none"/>
        </w:tabs>
        <w:spacing w:line="280" w:lineRule="exact" w:before="1" w:after="0"/>
        <w:ind w:left="289" w:right="111" w:hanging="171"/>
        <w:jc w:val="both"/>
        <w:rPr>
          <w:sz w:val="24"/>
        </w:rPr>
      </w:pPr>
      <w:r>
        <w:rPr>
          <w:sz w:val="24"/>
        </w:rPr>
        <w:t>Etablering af business cases for prioritering af nye indsatser gennem analyse af datasæt om det hydrologiske kredsløb (både eksisterende men svært tilgængelige datasæt og etablering af nye datasæt) og eksisterende infrastrukturkomponenter og portalløsninger (eksempelvis Danmarks Miljøportal, Kortforsyningen/Datafordeleren</w:t>
      </w:r>
      <w:r>
        <w:rPr>
          <w:spacing w:val="-2"/>
          <w:sz w:val="24"/>
        </w:rPr>
        <w:t> </w:t>
      </w:r>
      <w:r>
        <w:rPr>
          <w:sz w:val="24"/>
        </w:rPr>
        <w:t>mfl.).</w:t>
      </w:r>
    </w:p>
    <w:p>
      <w:pPr>
        <w:pStyle w:val="BodyText"/>
        <w:spacing w:before="6"/>
        <w:rPr>
          <w:sz w:val="26"/>
        </w:rPr>
      </w:pPr>
    </w:p>
    <w:p>
      <w:pPr>
        <w:pStyle w:val="BodyText"/>
        <w:spacing w:line="249" w:lineRule="auto" w:before="1"/>
        <w:ind w:left="118" w:right="110"/>
        <w:jc w:val="both"/>
      </w:pPr>
      <w:r>
        <w:rPr/>
        <w:t>Initiativet baserer sig på Grunddataprogrammets principper for datadeling. En effektiv fællesoffentlig udnyttelse af data vil skabe positive gevinster på tværs af vand- og spildevandsforsyning, by- og erhvervsudvikling, klimatilpasning, som både forebyggelse og håndtering af oversvømmelser, vejrprognoser til planlægningsformål, varslinger til beredskab, grund- og drikkevand, miljøgodkendelser, landbrugsproduktion, entreprenørvirksomhed, byggebranchen og forsikringsbranchen mfl.</w:t>
      </w:r>
    </w:p>
    <w:p>
      <w:pPr>
        <w:pStyle w:val="BodyText"/>
        <w:spacing w:before="8"/>
        <w:rPr>
          <w:sz w:val="27"/>
        </w:rPr>
      </w:pPr>
    </w:p>
    <w:p>
      <w:pPr>
        <w:spacing w:before="0"/>
        <w:ind w:left="118" w:right="0" w:firstLine="0"/>
        <w:jc w:val="left"/>
        <w:rPr>
          <w:rFonts w:ascii="Arial"/>
          <w:b/>
          <w:sz w:val="20"/>
        </w:rPr>
      </w:pPr>
      <w:bookmarkStart w:name="Organisering " w:id="3"/>
      <w:bookmarkEnd w:id="3"/>
      <w:r>
        <w:rPr/>
      </w:r>
      <w:r>
        <w:rPr>
          <w:rFonts w:ascii="Arial"/>
          <w:b/>
          <w:sz w:val="20"/>
        </w:rPr>
        <w:t>Organisering</w:t>
      </w:r>
    </w:p>
    <w:p>
      <w:pPr>
        <w:pStyle w:val="BodyText"/>
        <w:spacing w:line="249" w:lineRule="auto" w:before="13"/>
        <w:ind w:left="118" w:right="110"/>
        <w:jc w:val="both"/>
      </w:pPr>
      <w:r>
        <w:rPr/>
        <w:t>Initiativet forankres i SDFE, der sammen med SVANA/NST, KL og Danske Regioner varetager implementeringen af initiativet. Der etableres samtidig en referencegruppe med deltagelse af de væsentligste forvaltningsmyndigheder, dataejere og databrugere, herunder DMI, GEUS, GST, KDI, TRM, beredskabsmyndigheder, regioner og kommunale vand- og spildevandsforsyningsselskaber. Endvidere inddrages private aktører. På  baggrund af resultater fra de i punkt to omtalte business cases træffes beslutning om, hvilke offentlige data om det samlede hydrologiske kredsløb der bør stilles til rådighed, hvilken kvalitet data skal have, og hvilke nye datasæt der med fordel kan</w:t>
      </w:r>
      <w:r>
        <w:rPr>
          <w:spacing w:val="-5"/>
        </w:rPr>
        <w:t> </w:t>
      </w:r>
      <w:r>
        <w:rPr/>
        <w:t>etableres.</w:t>
      </w:r>
    </w:p>
    <w:p>
      <w:pPr>
        <w:pStyle w:val="BodyText"/>
        <w:spacing w:before="10"/>
        <w:rPr>
          <w:sz w:val="20"/>
        </w:rPr>
      </w:pPr>
    </w:p>
    <w:p>
      <w:pPr>
        <w:pStyle w:val="BodyText"/>
        <w:ind w:left="118"/>
        <w:jc w:val="both"/>
      </w:pPr>
      <w:r>
        <w:rPr/>
        <w:t>Der afrapporteres til porteføljestyregruppen for den fællesoffentlige digitaliseringsstrategi.</w:t>
      </w:r>
    </w:p>
    <w:sectPr>
      <w:type w:val="continuous"/>
      <w:pgSz w:w="11910" w:h="16850"/>
      <w:pgMar w:top="10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Garamond">
    <w:altName w:val="Garamond"/>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9" w:hanging="171"/>
      </w:pPr>
      <w:rPr>
        <w:rFonts w:hint="default" w:ascii="Symbol" w:hAnsi="Symbol" w:eastAsia="Symbol" w:cs="Symbol"/>
        <w:w w:val="100"/>
        <w:sz w:val="24"/>
        <w:szCs w:val="24"/>
        <w:lang w:val="da-DY" w:eastAsia="da-DY" w:bidi="da-DY"/>
      </w:rPr>
    </w:lvl>
    <w:lvl w:ilvl="1">
      <w:start w:val="0"/>
      <w:numFmt w:val="bullet"/>
      <w:lvlText w:val="•"/>
      <w:lvlJc w:val="left"/>
      <w:pPr>
        <w:ind w:left="1182" w:hanging="171"/>
      </w:pPr>
      <w:rPr>
        <w:rFonts w:hint="default"/>
        <w:lang w:val="da-DY" w:eastAsia="da-DY" w:bidi="da-DY"/>
      </w:rPr>
    </w:lvl>
    <w:lvl w:ilvl="2">
      <w:start w:val="0"/>
      <w:numFmt w:val="bullet"/>
      <w:lvlText w:val="•"/>
      <w:lvlJc w:val="left"/>
      <w:pPr>
        <w:ind w:left="2085" w:hanging="171"/>
      </w:pPr>
      <w:rPr>
        <w:rFonts w:hint="default"/>
        <w:lang w:val="da-DY" w:eastAsia="da-DY" w:bidi="da-DY"/>
      </w:rPr>
    </w:lvl>
    <w:lvl w:ilvl="3">
      <w:start w:val="0"/>
      <w:numFmt w:val="bullet"/>
      <w:lvlText w:val="•"/>
      <w:lvlJc w:val="left"/>
      <w:pPr>
        <w:ind w:left="2987" w:hanging="171"/>
      </w:pPr>
      <w:rPr>
        <w:rFonts w:hint="default"/>
        <w:lang w:val="da-DY" w:eastAsia="da-DY" w:bidi="da-DY"/>
      </w:rPr>
    </w:lvl>
    <w:lvl w:ilvl="4">
      <w:start w:val="0"/>
      <w:numFmt w:val="bullet"/>
      <w:lvlText w:val="•"/>
      <w:lvlJc w:val="left"/>
      <w:pPr>
        <w:ind w:left="3890" w:hanging="171"/>
      </w:pPr>
      <w:rPr>
        <w:rFonts w:hint="default"/>
        <w:lang w:val="da-DY" w:eastAsia="da-DY" w:bidi="da-DY"/>
      </w:rPr>
    </w:lvl>
    <w:lvl w:ilvl="5">
      <w:start w:val="0"/>
      <w:numFmt w:val="bullet"/>
      <w:lvlText w:val="•"/>
      <w:lvlJc w:val="left"/>
      <w:pPr>
        <w:ind w:left="4793" w:hanging="171"/>
      </w:pPr>
      <w:rPr>
        <w:rFonts w:hint="default"/>
        <w:lang w:val="da-DY" w:eastAsia="da-DY" w:bidi="da-DY"/>
      </w:rPr>
    </w:lvl>
    <w:lvl w:ilvl="6">
      <w:start w:val="0"/>
      <w:numFmt w:val="bullet"/>
      <w:lvlText w:val="•"/>
      <w:lvlJc w:val="left"/>
      <w:pPr>
        <w:ind w:left="5695" w:hanging="171"/>
      </w:pPr>
      <w:rPr>
        <w:rFonts w:hint="default"/>
        <w:lang w:val="da-DY" w:eastAsia="da-DY" w:bidi="da-DY"/>
      </w:rPr>
    </w:lvl>
    <w:lvl w:ilvl="7">
      <w:start w:val="0"/>
      <w:numFmt w:val="bullet"/>
      <w:lvlText w:val="•"/>
      <w:lvlJc w:val="left"/>
      <w:pPr>
        <w:ind w:left="6598" w:hanging="171"/>
      </w:pPr>
      <w:rPr>
        <w:rFonts w:hint="default"/>
        <w:lang w:val="da-DY" w:eastAsia="da-DY" w:bidi="da-DY"/>
      </w:rPr>
    </w:lvl>
    <w:lvl w:ilvl="8">
      <w:start w:val="0"/>
      <w:numFmt w:val="bullet"/>
      <w:lvlText w:val="•"/>
      <w:lvlJc w:val="left"/>
      <w:pPr>
        <w:ind w:left="7501" w:hanging="171"/>
      </w:pPr>
      <w:rPr>
        <w:rFonts w:hint="default"/>
        <w:lang w:val="da-DY" w:eastAsia="da-DY" w:bidi="da-DY"/>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da-DY" w:eastAsia="da-DY" w:bidi="da-DY"/>
    </w:rPr>
  </w:style>
  <w:style w:styleId="BodyText" w:type="paragraph">
    <w:name w:val="Body Text"/>
    <w:basedOn w:val="Normal"/>
    <w:uiPriority w:val="1"/>
    <w:qFormat/>
    <w:pPr/>
    <w:rPr>
      <w:rFonts w:ascii="Garamond" w:hAnsi="Garamond" w:eastAsia="Garamond" w:cs="Garamond"/>
      <w:sz w:val="24"/>
      <w:szCs w:val="24"/>
      <w:lang w:val="da-DY" w:eastAsia="da-DY" w:bidi="da-DY"/>
    </w:rPr>
  </w:style>
  <w:style w:styleId="ListParagraph" w:type="paragraph">
    <w:name w:val="List Paragraph"/>
    <w:basedOn w:val="Normal"/>
    <w:uiPriority w:val="1"/>
    <w:qFormat/>
    <w:pPr>
      <w:spacing w:before="1"/>
      <w:ind w:left="289" w:right="110" w:hanging="171"/>
      <w:jc w:val="both"/>
    </w:pPr>
    <w:rPr>
      <w:rFonts w:ascii="Garamond" w:hAnsi="Garamond" w:eastAsia="Garamond" w:cs="Garamond"/>
      <w:lang w:val="da-DY" w:eastAsia="da-DY" w:bidi="da-DY"/>
    </w:rPr>
  </w:style>
  <w:style w:styleId="TableParagraph" w:type="paragraph">
    <w:name w:val="Table Paragraph"/>
    <w:basedOn w:val="Normal"/>
    <w:uiPriority w:val="1"/>
    <w:qFormat/>
    <w:pPr/>
    <w:rPr>
      <w:lang w:val="da-DY" w:eastAsia="da-DY" w:bidi="da-DY"/>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Dreisler</dc:creator>
  <dcterms:created xsi:type="dcterms:W3CDTF">2019-09-16T06:47:00Z</dcterms:created>
  <dcterms:modified xsi:type="dcterms:W3CDTF">2019-09-16T06:47:00Z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2016-05-10T00:00:00Z</vt:filetime>
  </property>
  <property fmtid="{D5CDD505-2E9C-101B-9397-08002B2CF9AE}" pid="3" name="LastSaved">
    <vt:filetime>2019-09-16T00:00:00Z</vt:filetime>
  </property>
</Properties>
</file>